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82809" w14:textId="4DB11815" w:rsidR="00325A18" w:rsidRDefault="00325A18" w:rsidP="00325A18">
      <w:pPr>
        <w:jc w:val="right"/>
        <w:rPr>
          <w:rFonts w:ascii="Times New Roman" w:hAnsi="Times New Roman" w:cs="Times New Roman"/>
          <w:b/>
        </w:rPr>
      </w:pPr>
      <w:r>
        <w:rPr>
          <w:rFonts w:ascii="Times New Roman" w:hAnsi="Times New Roman" w:cs="Times New Roman"/>
          <w:b/>
        </w:rPr>
        <w:t>Autor: Dr. Daniel de Oliviera Lima</w:t>
      </w:r>
    </w:p>
    <w:p w14:paraId="0783D1EF" w14:textId="1C17E0CF" w:rsidR="004040BC" w:rsidRPr="004040BC" w:rsidRDefault="004040BC" w:rsidP="004040BC">
      <w:pPr>
        <w:rPr>
          <w:rFonts w:ascii="Times New Roman" w:hAnsi="Times New Roman" w:cs="Times New Roman"/>
        </w:rPr>
      </w:pPr>
      <w:r w:rsidRPr="004040BC">
        <w:rPr>
          <w:rFonts w:ascii="Times New Roman" w:hAnsi="Times New Roman" w:cs="Times New Roman"/>
          <w:b/>
        </w:rPr>
        <w:t xml:space="preserve">SUMÁRIO </w:t>
      </w:r>
    </w:p>
    <w:p w14:paraId="67196157"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Introdução — Deixa que eu fale, não as minhas cicatrizes</w:t>
      </w:r>
    </w:p>
    <w:p w14:paraId="53B82431"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0.1 Trajetória, motivações e o nascimento do Projeto Matemática Antirracista</w:t>
      </w:r>
    </w:p>
    <w:p w14:paraId="5A51409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0.2 Por que este livro: objetivos, público e organização</w:t>
      </w:r>
    </w:p>
    <w:p w14:paraId="7A28DEE9" w14:textId="77777777" w:rsidR="004040BC" w:rsidRPr="004040BC" w:rsidRDefault="004040BC" w:rsidP="004040BC">
      <w:pPr>
        <w:rPr>
          <w:rFonts w:ascii="Times New Roman" w:hAnsi="Times New Roman" w:cs="Times New Roman"/>
        </w:rPr>
      </w:pPr>
    </w:p>
    <w:p w14:paraId="0CFC97F8"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1 — Por que o letramento racial é importante para quem ensina Matemática?</w:t>
      </w:r>
    </w:p>
    <w:p w14:paraId="515EBA38"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1.1 Escravidão e a lógica da mercadoria</w:t>
      </w:r>
    </w:p>
    <w:p w14:paraId="3A1AC7D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1.2 Pós-abolição, cidadania negada e criminalização da existência negra</w:t>
      </w:r>
    </w:p>
    <w:p w14:paraId="30725B1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1.3 Eugenia e embranquecimento: racismo como “ciência” e projeto de nação</w:t>
      </w:r>
    </w:p>
    <w:p w14:paraId="2E1DCAE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1.4 Escola e saúde: quando o Estado aprende a governar por meio da educação</w:t>
      </w:r>
    </w:p>
    <w:p w14:paraId="47FE3E03"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1.5 Pacto da branquitude: privilégios preservados por instituições </w:t>
      </w:r>
    </w:p>
    <w:p w14:paraId="7F9DCC1B"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1.6 Epistemicídio: apagar saberes para governar o future </w:t>
      </w:r>
    </w:p>
    <w:p w14:paraId="63AC31E6"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1.7 Matemática escolar e “neutralidade”: um filtro racial sofisticado</w:t>
      </w:r>
    </w:p>
    <w:p w14:paraId="60033BC4"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1.8 Letramento racial como compromisso docente no ensino de Matemática</w:t>
      </w:r>
    </w:p>
    <w:p w14:paraId="7718A7AA" w14:textId="77777777" w:rsidR="004040BC" w:rsidRPr="004040BC" w:rsidRDefault="004040BC" w:rsidP="004040BC">
      <w:pPr>
        <w:rPr>
          <w:rFonts w:ascii="Times New Roman" w:hAnsi="Times New Roman" w:cs="Times New Roman"/>
        </w:rPr>
      </w:pPr>
    </w:p>
    <w:p w14:paraId="07E52051"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2 — Afinal, por que misturar Matemática com discussões sobre raça?</w:t>
      </w:r>
    </w:p>
    <w:p w14:paraId="7C158B21"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2.1 A escola eugênica: expansão com triagem</w:t>
      </w:r>
    </w:p>
    <w:p w14:paraId="61876AA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2.2 Testes, medidas, avaliação e a produção do “fracasso escolar”</w:t>
      </w:r>
    </w:p>
    <w:p w14:paraId="231421B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2.3 Currículo, cultura e epistemicídio: a escola como política de conhecimento</w:t>
      </w:r>
    </w:p>
    <w:p w14:paraId="565E9CD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2.4 Quem é autorizado a ser bom em Matemática: imaginário social e exclusões </w:t>
      </w:r>
    </w:p>
    <w:p w14:paraId="06B477E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2.5 Matemática e avaliação: exames como tecnologia de seleção </w:t>
      </w:r>
    </w:p>
    <w:p w14:paraId="54693D99"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2.6 O “dom” matemático e o imaginário da superioridade: raça, seleção e autorização</w:t>
      </w:r>
    </w:p>
    <w:p w14:paraId="646CFE81" w14:textId="77777777" w:rsidR="004040BC" w:rsidRPr="004040BC" w:rsidRDefault="004040BC" w:rsidP="004040BC">
      <w:pPr>
        <w:rPr>
          <w:rFonts w:ascii="Times New Roman" w:hAnsi="Times New Roman" w:cs="Times New Roman"/>
        </w:rPr>
      </w:pPr>
    </w:p>
    <w:p w14:paraId="446C9898"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3 — Equidade racial: quando o ponto de partida importa</w:t>
      </w:r>
    </w:p>
    <w:p w14:paraId="1526D11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3.1 Meritocracia e o apagamento das condições de partida</w:t>
      </w:r>
    </w:p>
    <w:p w14:paraId="0D3133D5"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3.2 Desigualdade justa e desigualdade injusta: o que a escola compensa e o que ela reproduz</w:t>
      </w:r>
    </w:p>
    <w:p w14:paraId="339E343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3.3 Indicadores, padrões escolares e a urgência da equidade racial</w:t>
      </w:r>
    </w:p>
    <w:p w14:paraId="5746FB66"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3.4 Desigualdade e aprendizagem: o problema brasileiro da Finlândia</w:t>
      </w:r>
    </w:p>
    <w:p w14:paraId="59275FD4"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3.5 Igualdade, equidade e justiça: por que tratar “igual” pode manter a desigualdade </w:t>
      </w:r>
    </w:p>
    <w:p w14:paraId="569437CF"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3.6 O obstáculo meritocrático e duas concepções de igualdade </w:t>
      </w:r>
    </w:p>
    <w:p w14:paraId="0F2DDA57"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3.7 Equidade como construção histórica e ética: Pascal, Bourdieu e Aristóteles </w:t>
      </w:r>
    </w:p>
    <w:p w14:paraId="6D1E02C9" w14:textId="77777777" w:rsidR="004040BC" w:rsidRPr="004040BC" w:rsidRDefault="004040BC" w:rsidP="004040BC">
      <w:pPr>
        <w:spacing w:line="360" w:lineRule="auto"/>
        <w:jc w:val="both"/>
        <w:rPr>
          <w:rFonts w:ascii="Times New Roman" w:hAnsi="Times New Roman" w:cs="Times New Roman"/>
        </w:rPr>
      </w:pPr>
      <w:r w:rsidRPr="004040BC">
        <w:rPr>
          <w:rFonts w:ascii="Times New Roman" w:hAnsi="Times New Roman" w:cs="Times New Roman"/>
        </w:rPr>
        <w:t xml:space="preserve">  3.8 Equidade transformadora: para além de mudanças superficiais </w:t>
      </w:r>
    </w:p>
    <w:p w14:paraId="335DC84A" w14:textId="77777777" w:rsidR="004040BC" w:rsidRPr="004040BC" w:rsidRDefault="004040BC" w:rsidP="004040BC">
      <w:pPr>
        <w:spacing w:line="360" w:lineRule="auto"/>
        <w:jc w:val="both"/>
        <w:rPr>
          <w:rFonts w:ascii="Times New Roman" w:hAnsi="Times New Roman" w:cs="Times New Roman"/>
        </w:rPr>
      </w:pPr>
      <w:r w:rsidRPr="004040BC">
        <w:rPr>
          <w:rFonts w:ascii="Times New Roman" w:hAnsi="Times New Roman" w:cs="Times New Roman"/>
        </w:rPr>
        <w:t xml:space="preserve">  3.9</w:t>
      </w:r>
      <w:r w:rsidRPr="004040BC">
        <w:rPr>
          <w:rFonts w:ascii="Times New Roman" w:hAnsi="Times New Roman" w:cs="Times New Roman"/>
          <w:b/>
          <w:bCs/>
        </w:rPr>
        <w:t xml:space="preserve"> </w:t>
      </w:r>
      <w:r w:rsidRPr="004040BC">
        <w:rPr>
          <w:rFonts w:ascii="Times New Roman" w:hAnsi="Times New Roman" w:cs="Times New Roman"/>
        </w:rPr>
        <w:t>Redistribuição, reconhecimento e representação: três critérios práticos de justiça</w:t>
      </w:r>
    </w:p>
    <w:p w14:paraId="2FD98EAF" w14:textId="77777777" w:rsidR="004040BC" w:rsidRPr="004040BC" w:rsidRDefault="004040BC" w:rsidP="004040BC">
      <w:pPr>
        <w:spacing w:line="360" w:lineRule="auto"/>
        <w:jc w:val="both"/>
        <w:rPr>
          <w:rFonts w:ascii="Times New Roman" w:hAnsi="Times New Roman" w:cs="Times New Roman"/>
        </w:rPr>
      </w:pPr>
      <w:r w:rsidRPr="004040BC">
        <w:rPr>
          <w:rFonts w:ascii="Times New Roman" w:hAnsi="Times New Roman" w:cs="Times New Roman"/>
        </w:rPr>
        <w:t xml:space="preserve">  3.10 Do paradigma à prática: estratégias didáticas para discutir equidade no ensino de Matemática </w:t>
      </w:r>
    </w:p>
    <w:p w14:paraId="48439435" w14:textId="77777777" w:rsidR="004040BC" w:rsidRPr="004040BC" w:rsidRDefault="004040BC" w:rsidP="004040BC">
      <w:pPr>
        <w:spacing w:line="360" w:lineRule="auto"/>
        <w:jc w:val="both"/>
        <w:rPr>
          <w:rFonts w:ascii="Times New Roman" w:hAnsi="Times New Roman" w:cs="Times New Roman"/>
          <w:b/>
          <w:bCs/>
        </w:rPr>
      </w:pPr>
      <w:r w:rsidRPr="004040BC">
        <w:rPr>
          <w:rFonts w:ascii="Times New Roman" w:hAnsi="Times New Roman" w:cs="Times New Roman"/>
        </w:rPr>
        <w:t xml:space="preserve">  3.11 Formação continuada: equidade sem exposição individual e com foco institucional</w:t>
      </w:r>
    </w:p>
    <w:p w14:paraId="63999DC7"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Capítulo 4 — Por uma Matemática Antirracista: proposições e reflexões</w:t>
      </w:r>
    </w:p>
    <w:p w14:paraId="1746C40C"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4.1 Por que falar em Matemática Antirracista se o ensino de Matemática é “neutro”?</w:t>
      </w:r>
    </w:p>
    <w:p w14:paraId="10DBB14A"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4.2 Concepções docentes sobre a Matemática e seus efeitos</w:t>
      </w:r>
    </w:p>
    <w:p w14:paraId="572D2ECF"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4.3 Uma cena de sala de aula: quando aprender vira direito concreto</w:t>
      </w:r>
    </w:p>
    <w:p w14:paraId="7B69AD9D"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 Matemática Antirracista em três níveis: macro, </w:t>
      </w:r>
      <w:proofErr w:type="spellStart"/>
      <w:r w:rsidRPr="004040BC">
        <w:rPr>
          <w:rFonts w:ascii="Times New Roman" w:hAnsi="Times New Roman" w:cs="Times New Roman"/>
        </w:rPr>
        <w:t>meso</w:t>
      </w:r>
      <w:proofErr w:type="spellEnd"/>
      <w:r w:rsidRPr="004040BC">
        <w:rPr>
          <w:rFonts w:ascii="Times New Roman" w:hAnsi="Times New Roman" w:cs="Times New Roman"/>
        </w:rPr>
        <w:t xml:space="preserve"> e micro </w:t>
      </w:r>
    </w:p>
    <w:p w14:paraId="203647E3"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4.4.1 Nível macro: políticas públicas e marcos normativos </w:t>
      </w:r>
    </w:p>
    <w:p w14:paraId="5D709FDD"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4.4.2 Nível </w:t>
      </w:r>
      <w:proofErr w:type="spellStart"/>
      <w:r w:rsidRPr="004040BC">
        <w:rPr>
          <w:rFonts w:ascii="Times New Roman" w:hAnsi="Times New Roman" w:cs="Times New Roman"/>
        </w:rPr>
        <w:t>meso</w:t>
      </w:r>
      <w:proofErr w:type="spellEnd"/>
      <w:r w:rsidRPr="004040BC">
        <w:rPr>
          <w:rFonts w:ascii="Times New Roman" w:hAnsi="Times New Roman" w:cs="Times New Roman"/>
        </w:rPr>
        <w:t xml:space="preserve">: gestão escolar, liderança e justiça institucional </w:t>
      </w:r>
    </w:p>
    <w:p w14:paraId="44B1B74E" w14:textId="77777777" w:rsidR="004040BC" w:rsidRPr="004040BC" w:rsidRDefault="004040BC" w:rsidP="004040BC">
      <w:pPr>
        <w:rPr>
          <w:rFonts w:ascii="Times New Roman" w:hAnsi="Times New Roman" w:cs="Times New Roman"/>
        </w:rPr>
      </w:pPr>
      <w:r w:rsidRPr="004040BC">
        <w:rPr>
          <w:rFonts w:ascii="Times New Roman" w:hAnsi="Times New Roman" w:cs="Times New Roman"/>
        </w:rPr>
        <w:t xml:space="preserve">  4.4.3 Nível micro: o trabalho docente e o direito de aprender</w:t>
      </w:r>
    </w:p>
    <w:p w14:paraId="70D1F2E4" w14:textId="77777777" w:rsidR="004040BC" w:rsidRPr="004040BC" w:rsidRDefault="004040BC" w:rsidP="004040BC">
      <w:pPr>
        <w:rPr>
          <w:rFonts w:ascii="Times New Roman" w:hAnsi="Times New Roman" w:cs="Times New Roman"/>
        </w:rPr>
      </w:pPr>
      <w:r w:rsidRPr="004040BC">
        <w:rPr>
          <w:rFonts w:ascii="Times New Roman" w:hAnsi="Times New Roman" w:cs="Times New Roman"/>
          <w:b/>
        </w:rPr>
        <w:t>Considerações finais</w:t>
      </w:r>
    </w:p>
    <w:p w14:paraId="6B53DA95" w14:textId="77777777" w:rsidR="00F51CC6" w:rsidRDefault="00F51CC6" w:rsidP="00FA1E90">
      <w:pPr>
        <w:rPr>
          <w:rFonts w:ascii="Times New Roman" w:hAnsi="Times New Roman" w:cs="Times New Roman"/>
          <w:b/>
          <w:bCs/>
        </w:rPr>
      </w:pPr>
    </w:p>
    <w:p w14:paraId="3A3467ED" w14:textId="77777777" w:rsidR="004040BC" w:rsidRPr="0075221B" w:rsidRDefault="004040BC" w:rsidP="00FA1E90">
      <w:pPr>
        <w:rPr>
          <w:rFonts w:ascii="Times New Roman" w:hAnsi="Times New Roman" w:cs="Times New Roman"/>
          <w:b/>
          <w:bCs/>
        </w:rPr>
      </w:pPr>
    </w:p>
    <w:p w14:paraId="1FCAFE98" w14:textId="77777777" w:rsidR="00F51CC6" w:rsidRPr="0075221B" w:rsidRDefault="00F51CC6" w:rsidP="00552866">
      <w:pPr>
        <w:jc w:val="center"/>
        <w:rPr>
          <w:rFonts w:ascii="Times New Roman" w:hAnsi="Times New Roman" w:cs="Times New Roman"/>
          <w:b/>
          <w:bCs/>
        </w:rPr>
      </w:pPr>
    </w:p>
    <w:p w14:paraId="7B2D246D" w14:textId="21203311" w:rsidR="00552866" w:rsidRDefault="00552866" w:rsidP="00552866">
      <w:pPr>
        <w:jc w:val="center"/>
        <w:rPr>
          <w:rFonts w:ascii="Times New Roman" w:hAnsi="Times New Roman" w:cs="Times New Roman"/>
          <w:b/>
          <w:bCs/>
        </w:rPr>
      </w:pPr>
      <w:r w:rsidRPr="0075221B">
        <w:rPr>
          <w:rFonts w:ascii="Times New Roman" w:hAnsi="Times New Roman" w:cs="Times New Roman"/>
          <w:b/>
          <w:bCs/>
        </w:rPr>
        <w:t>Introdução- Deixa que eu fale, não as minhas cicatrizes</w:t>
      </w:r>
    </w:p>
    <w:p w14:paraId="3AB80A7B" w14:textId="4176E08F" w:rsidR="003D2C46" w:rsidRPr="0075221B" w:rsidRDefault="003D2C46" w:rsidP="00552866">
      <w:pPr>
        <w:jc w:val="center"/>
        <w:rPr>
          <w:rFonts w:ascii="Times New Roman" w:hAnsi="Times New Roman" w:cs="Times New Roman"/>
          <w:b/>
          <w:bCs/>
        </w:rPr>
      </w:pPr>
      <w:r w:rsidRPr="003D2C46">
        <w:rPr>
          <w:rFonts w:ascii="Times New Roman" w:hAnsi="Times New Roman" w:cs="Times New Roman"/>
          <w:b/>
          <w:bCs/>
        </w:rPr>
        <w:t>0.1 Trajetória, motivações e o nascimento do Projeto Matemática Antirracista</w:t>
      </w:r>
    </w:p>
    <w:p w14:paraId="0DDB57BF"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Por que escrever um livro? Essa foi uma das minhas primeiras perguntas quando comecei a pensar sobre esse material. Até que resolvi começar a escrever, especificamente, no dia 15 de outubro de 2025. O meu objetivo em escrever este livro é para contribuir com o debate no campo do ensino da Matemática no Brasil: discussões sobre equidade racial. Ao longo da minha caminhada essa temática foi ganhando importância, não vou falar que sempre foi assim, mas com o tempo, eu fui compreendendo o porquê eu considero essencial que o debate sobre ensino de Matemática tenha a componente sobre a raça. Para que você possa compreender melhor, vamos começar pelo início! </w:t>
      </w:r>
    </w:p>
    <w:p w14:paraId="32C1EE50"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Minha relação com a Matemática inicia- se muito cedo, por volta dos 7 anos de idade. Ainda tenho uma fita em VHS que possui uma cena bem incomum: minha participação em um programa de auditório infantil. Nesse episódio, a apresentadora pergunta qual matéria as crianças mais gostam, eu respondo a plenos pulmões: “Matemática!”.</w:t>
      </w:r>
    </w:p>
    <w:p w14:paraId="54E0482E" w14:textId="67C364B1"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Essa relação com a Matemática se desenvolve durante toda a minha Educação Básica, recebendo notas boas e com bom aprendizado nos conteúdos escolares. Essa aproximação me conduziu ao desejo de ser professor de Matemática e, em especial, estudar na Universidade do Estado do Rio de Janeiro (UERJ). No ano de 2004, ingresso no curso de Licenciatura em Matemática, na UERJ, pelo sistema de cotas raciais, o que foi um marco para minha trajetória. Sem as cotas eu não teria ingressado! Ao longo do curso, fui percebendo que eu tinha uma boa relação com as disciplinas pedagógicas, pois o modelo do meu curso tinha um formato mais tradicional. Os cursos de licenciaturas eram uma combinação entre o bacharelado com algumas disciplinas pedagógicas, que não eram ministradas por docentes de Matemática. Nesse modelo, os alunos estudavam </w:t>
      </w:r>
      <w:r w:rsidR="007C7C6C" w:rsidRPr="0075221B">
        <w:rPr>
          <w:rFonts w:ascii="Times New Roman" w:hAnsi="Times New Roman" w:cs="Times New Roman"/>
          <w:color w:val="000000"/>
        </w:rPr>
        <w:t xml:space="preserve">por três anos </w:t>
      </w:r>
      <w:r w:rsidRPr="0075221B">
        <w:rPr>
          <w:rFonts w:ascii="Times New Roman" w:hAnsi="Times New Roman" w:cs="Times New Roman"/>
          <w:color w:val="000000"/>
        </w:rPr>
        <w:t>a área “dura” da Matemática, Cálculo, Álgebra, Análise Real; e depois disciplinas que tratavam de questões mais pedagógicas, como Didática, Currículo, Políticas Públicas</w:t>
      </w:r>
      <w:r w:rsidR="007C7C6C" w:rsidRPr="0075221B">
        <w:rPr>
          <w:rFonts w:ascii="Times New Roman" w:hAnsi="Times New Roman" w:cs="Times New Roman"/>
          <w:color w:val="000000"/>
        </w:rPr>
        <w:t>, por um ano, em geral esse modelo</w:t>
      </w:r>
      <w:r w:rsidRPr="0075221B">
        <w:rPr>
          <w:rFonts w:ascii="Times New Roman" w:hAnsi="Times New Roman" w:cs="Times New Roman"/>
          <w:color w:val="000000"/>
        </w:rPr>
        <w:t xml:space="preserve"> é conhecido como 3 + 1 (Giraldo, 2017).</w:t>
      </w:r>
    </w:p>
    <w:p w14:paraId="3B3DF3BD"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Durante a minha formação inicial, no ano de 2007, montei uma </w:t>
      </w:r>
      <w:proofErr w:type="spellStart"/>
      <w:r w:rsidRPr="0075221B">
        <w:rPr>
          <w:rFonts w:ascii="Times New Roman" w:hAnsi="Times New Roman" w:cs="Times New Roman"/>
          <w:color w:val="000000"/>
        </w:rPr>
        <w:t>pré</w:t>
      </w:r>
      <w:proofErr w:type="spellEnd"/>
      <w:r w:rsidRPr="0075221B">
        <w:rPr>
          <w:rFonts w:ascii="Times New Roman" w:hAnsi="Times New Roman" w:cs="Times New Roman"/>
          <w:color w:val="000000"/>
        </w:rPr>
        <w:t xml:space="preserve"> – vestibular popular que tinha como meta preparar alunos oriundos de famílias de baixa renda para o </w:t>
      </w:r>
      <w:r w:rsidRPr="0075221B">
        <w:rPr>
          <w:rFonts w:ascii="Times New Roman" w:hAnsi="Times New Roman" w:cs="Times New Roman"/>
          <w:color w:val="000000"/>
        </w:rPr>
        <w:lastRenderedPageBreak/>
        <w:t>vestibular, para ministrar aulas de Matemática para os moradores da região do bairro de Realengo e foi nesse espaço que inicio minha prática docente. Ou seja, foi no chão de um pré-vestibular comunitário que inicio minha trajetória e a partir dessa experiência que inicio minha identidade e carreira profissional.</w:t>
      </w:r>
    </w:p>
    <w:p w14:paraId="52BC6A22"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Logo quando terminei a licenciatura passei no concurso para ministrar aulas no Estado do Rio de Janeiro, no ano de 2009, e também fui contratado, como professor substituto, no Instituto de Aplicação Fernando Rodrigues da Silveira – CAp-UERJ. Foi um ano bem intenso, pois convivi com realidades bem diferentes no ensino público, o que provocou uma intensa reflexão sobre a minha atuação como docente. Após um ano, em 2010, fui aprovado em outro concurso, na Prefeitura do município do Rio de Janeiro, e logo ao tomar posse fui convidado a participar do Ginásio Experimental Carioca (programa de escola integral da Prefeitura do Rio de Janeiro). Aceitei o convite para experimentar uma outra vivência como docente, e assim, tive que sair das outras instituições em que estava trabalhando.</w:t>
      </w:r>
    </w:p>
    <w:p w14:paraId="21407757"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Meu trabalho como docente foi bem intenso, eram 8 horas diárias dentro da escola, e me vi passando do estágio de quem sonhava com a docência ao ponto de quem não queria ser mais professor de Matemática. Destaco que a ausência de discussões mais claras e evidentes sobre a sala de aula das escolas públicas na minha formação inicial, esse ponto contribuiu e muito para minha frustação, que já tinha sido iniciada no ano anterior, quando atuei como docente no Estado do Rio de Janeiro. Ao final do ano encerrei minha passagem pela Prefeitura do Rio e me afastei do magistério, indo atuar em outra função em um outro órgão.</w:t>
      </w:r>
    </w:p>
    <w:p w14:paraId="412F080B" w14:textId="4324D542"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 afastamento durou apenas dois anos, pois a ausência da sala de aula e da rotina do trabalho docente interferia na minha qualidade de vida. Assim, em 2013, retornei à docência como professor substituto no Colégio Pedro II (CP2), unidade de Realengo, e como professor efetivo na Prefeitura de Nova Iguaçu, na modalidade de Educação para Jovens e Adultos. Com essa trajetória, vivi diferentes situações de ensino, aprendizagem e enfrentei muitos desafios diários.</w:t>
      </w:r>
    </w:p>
    <w:p w14:paraId="445453C1" w14:textId="6AEC33F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Minha vivência em escolas públicas de referência, como o Cap-UERJ e o CP2, me levou a refletir sobre a importância da formação continuada. Conviver com professores mestres e doutores atuando no ensino básico revelou uma realidade nova para mim: a relevância de profissionais altamente qualificados dedicados à Educação Básica. Além disso, pude ressignificar experiências vividas em outras escolas públicas pelas quais passei, que, embora desafiadoras, me motivaram a buscar ser um professor melhor</w:t>
      </w:r>
      <w:r w:rsidR="003F7DB5" w:rsidRPr="0075221B">
        <w:rPr>
          <w:rFonts w:ascii="Times New Roman" w:hAnsi="Times New Roman" w:cs="Times New Roman"/>
          <w:color w:val="000000"/>
        </w:rPr>
        <w:t xml:space="preserve">, </w:t>
      </w:r>
      <w:r w:rsidRPr="0075221B">
        <w:rPr>
          <w:rFonts w:ascii="Times New Roman" w:hAnsi="Times New Roman" w:cs="Times New Roman"/>
          <w:color w:val="000000"/>
        </w:rPr>
        <w:lastRenderedPageBreak/>
        <w:t xml:space="preserve">alguém capaz de responder às necessidades reais dos estudantes e contribuir para sua formação cidadã. Esses fatores foram decisivos para minha escolha pelo mestrado. </w:t>
      </w:r>
    </w:p>
    <w:p w14:paraId="721DF112"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ano de 2016 ingressei no Mestrado Profissional em Matemática em Rede Nacional (PROFMAT) na Universidade Federal do Rio de Janeiro (UFRJ), o que permitiu ampliar meus conhecimentos e desenvolver hábitos de um pesquisador. O curso foi muito bom, porém acredito que alguns pontos poderiam ser inseridos para melhorar, como por exemplo, a preocupação de relacionar os conteúdos estudados com a prática da sala de aula. À época eu não tinha muito contato com pesquisa acadêmica e o PROFMAT também não incentivava esse contato, porém minha dissertação teve um olhar para a sala de aula, foi quando eu iniciei os estudos sobre a avaliação em Matemática. </w:t>
      </w:r>
    </w:p>
    <w:p w14:paraId="01B63734" w14:textId="6902104B"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Por isso, durante o mestrado, procurei programas que conciliassem Educação e Matemática. Inclusive, o fato de ter estudado na UFRJ me motivou a conhecer o Programa de Pós – Graduação em Ensino de Matemática (PEMAT)</w:t>
      </w:r>
      <w:r w:rsidR="00D75171" w:rsidRPr="0075221B">
        <w:rPr>
          <w:rFonts w:ascii="Times New Roman" w:hAnsi="Times New Roman" w:cs="Times New Roman"/>
          <w:color w:val="000000"/>
        </w:rPr>
        <w:t xml:space="preserve"> da UFRJ</w:t>
      </w:r>
      <w:r w:rsidRPr="0075221B">
        <w:rPr>
          <w:rFonts w:ascii="Times New Roman" w:hAnsi="Times New Roman" w:cs="Times New Roman"/>
          <w:color w:val="000000"/>
        </w:rPr>
        <w:t>, que tinha uma abordagem distinta do PROFMAT e, ao conhecê-lo, tive mais motivação em seguir com a formação acadêmica, continuando a estudar.</w:t>
      </w:r>
    </w:p>
    <w:p w14:paraId="46707C83"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Mesmo sem terminar o mestrado participei da seleção para o doutorado do PEMAT-UFRJ, a fim de conhecer a dinâmica do Programa. A segunda tentativa veio logo após a minha defesa no mestrado, no ano de 2017, mas ainda não fui selecionado. Por isso, cursei duas disciplinas como aluno ouvinte, uma modalidade para alunos que não estão matriculados, no ano seguinte, que me colocaram em contato com trabalhos de pesquisadores como Ball e Bass (2009), Nóvoa (2009) e Shulman (1987). Tal contato me possibilitou a ampliação de saberes e de conteúdos acadêmicos, e assim, fui aprovado na seleção do doutorado no ano de 2019.</w:t>
      </w:r>
    </w:p>
    <w:p w14:paraId="64659764" w14:textId="337EF5FE"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início da minha caminhada no doutorado em </w:t>
      </w:r>
      <w:proofErr w:type="spellStart"/>
      <w:r w:rsidR="00894C64" w:rsidRPr="0075221B">
        <w:rPr>
          <w:rFonts w:ascii="Times New Roman" w:hAnsi="Times New Roman" w:cs="Times New Roman"/>
          <w:color w:val="000000"/>
        </w:rPr>
        <w:t>em</w:t>
      </w:r>
      <w:proofErr w:type="spellEnd"/>
      <w:r w:rsidR="00894C64" w:rsidRPr="0075221B">
        <w:rPr>
          <w:rFonts w:ascii="Times New Roman" w:hAnsi="Times New Roman" w:cs="Times New Roman"/>
          <w:color w:val="000000"/>
        </w:rPr>
        <w:t xml:space="preserve"> Ensino e História da Matemática e da Física </w:t>
      </w:r>
      <w:r w:rsidRPr="0075221B">
        <w:rPr>
          <w:rFonts w:ascii="Times New Roman" w:hAnsi="Times New Roman" w:cs="Times New Roman"/>
          <w:color w:val="000000"/>
        </w:rPr>
        <w:t>possibilitou o acesso ao Grupo de Pesquisa em Avaliação em Matemática (GPAM/UFRJ), no qual discutimos sobre as funções da avaliação, instrumentos de avaliação, avaliação em larga escala e sobre as nossas pesquisas. Os debates e reflexões promovidos no grupo, o incentivo da minha orientadora e a pandemia me levaram a pensar sobre minha temática de pesquisa, que já seria sobre avaliação. E foi quando conduzi uma pesquisa sobre concepções e práticas docentes sobre avaliação em Matemática. Esta pesquisa foi muito importante para minha formação, pois foi quando me deparei com estudos sobre as concepções dos professores de Matemática sobre a Matemática. O que deixou com um ponto de reflexão importante: como eu compreendia a Matemática?</w:t>
      </w:r>
    </w:p>
    <w:p w14:paraId="6D7BE67B" w14:textId="2DD34C52" w:rsidR="000C7962" w:rsidRPr="0075221B" w:rsidRDefault="000C7962"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Terminei o doutorado em 2022</w:t>
      </w:r>
      <w:r w:rsidR="00796EB5" w:rsidRPr="0075221B">
        <w:rPr>
          <w:rFonts w:ascii="Times New Roman" w:hAnsi="Times New Roman" w:cs="Times New Roman"/>
          <w:color w:val="000000"/>
        </w:rPr>
        <w:t>,</w:t>
      </w:r>
      <w:r w:rsidRPr="0075221B">
        <w:rPr>
          <w:rFonts w:ascii="Times New Roman" w:hAnsi="Times New Roman" w:cs="Times New Roman"/>
          <w:color w:val="000000"/>
        </w:rPr>
        <w:t xml:space="preserve"> e no ano de 2023,</w:t>
      </w:r>
      <w:r w:rsidR="00586C23" w:rsidRPr="0075221B">
        <w:rPr>
          <w:rFonts w:ascii="Times New Roman" w:hAnsi="Times New Roman" w:cs="Times New Roman"/>
          <w:color w:val="000000"/>
        </w:rPr>
        <w:t xml:space="preserve"> </w:t>
      </w:r>
      <w:r w:rsidRPr="0075221B">
        <w:rPr>
          <w:rFonts w:ascii="Times New Roman" w:hAnsi="Times New Roman" w:cs="Times New Roman"/>
          <w:color w:val="000000"/>
        </w:rPr>
        <w:t>eu sou aprovado com concurso para professor efetivo no Instituto de Aplicação Fernando Rodrigues da Silveira – CAp-UERJ. Assim, retorno à UERJ, mas dessa vez como docente, tanto da Educação Básica, como na licenciatura em Matemática.</w:t>
      </w:r>
    </w:p>
    <w:p w14:paraId="286DB417" w14:textId="7080651A"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Um outro ponto que gostaria de compartilhar com você é sobre a leitura do livro da </w:t>
      </w:r>
      <w:proofErr w:type="spellStart"/>
      <w:r w:rsidRPr="0075221B">
        <w:rPr>
          <w:rFonts w:ascii="Times New Roman" w:hAnsi="Times New Roman" w:cs="Times New Roman"/>
          <w:color w:val="000000"/>
        </w:rPr>
        <w:t>Jo</w:t>
      </w:r>
      <w:proofErr w:type="spellEnd"/>
      <w:r w:rsidRPr="0075221B">
        <w:rPr>
          <w:rFonts w:ascii="Times New Roman" w:hAnsi="Times New Roman" w:cs="Times New Roman"/>
          <w:color w:val="000000"/>
        </w:rPr>
        <w:t xml:space="preserve"> </w:t>
      </w:r>
      <w:proofErr w:type="spellStart"/>
      <w:r w:rsidRPr="0075221B">
        <w:rPr>
          <w:rFonts w:ascii="Times New Roman" w:hAnsi="Times New Roman" w:cs="Times New Roman"/>
          <w:color w:val="000000"/>
        </w:rPr>
        <w:t>Boaler</w:t>
      </w:r>
      <w:proofErr w:type="spellEnd"/>
      <w:r w:rsidRPr="0075221B">
        <w:rPr>
          <w:rFonts w:ascii="Times New Roman" w:hAnsi="Times New Roman" w:cs="Times New Roman"/>
          <w:color w:val="000000"/>
        </w:rPr>
        <w:t xml:space="preserve">, Mentalidades Matemáticas. Ao longo desse livro ela cita uma frase que mudou a minha forma de pensar sobre a Matemática: “A Matemática será o novo direito civil do século XXI.” Essa frase pertence ao educador matemático chamado Robert Moses. Pesquisei sobre ele e descobriu que ele criou o Projeto Álgebra. Ele era professor de Matemática, formado por Harvard, foi contemporâneo de Martin Luther King Jr e também foi um ativista pelos direitos civis. </w:t>
      </w:r>
    </w:p>
    <w:p w14:paraId="6290885F"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Moses percebeu que jovens negros não conseguiam ingressar nas universidades, principalmente em carreiras de exatas, devido às barreiras no aprendizado de álgebra. Se nos EUA a álgebra é um "divisor de águas" no currículo, no Brasil ela também atua como tal, mas geralmente como o momento em que nossos estudantes começam a se desinteressar pela Matemática. Essa percepção nasce das minhas experiências em sala de aula e de conversas com colegas e familiares. Minha mãe, que atua como explicadora escolar, certa vez me ligou e perguntou: “Para que serve a álgebra?”. É uma pergunta genuína que, muitas vezes, não respondemos ao ensinar.</w:t>
      </w:r>
    </w:p>
    <w:p w14:paraId="5DCC8159"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Em 2023, por meio do edital </w:t>
      </w:r>
      <w:proofErr w:type="spellStart"/>
      <w:r w:rsidRPr="0075221B">
        <w:rPr>
          <w:rFonts w:ascii="Times New Roman" w:hAnsi="Times New Roman" w:cs="Times New Roman"/>
          <w:i/>
          <w:iCs/>
          <w:color w:val="000000"/>
        </w:rPr>
        <w:t>Small</w:t>
      </w:r>
      <w:proofErr w:type="spellEnd"/>
      <w:r w:rsidRPr="0075221B">
        <w:rPr>
          <w:rFonts w:ascii="Times New Roman" w:hAnsi="Times New Roman" w:cs="Times New Roman"/>
          <w:i/>
          <w:iCs/>
          <w:color w:val="000000"/>
        </w:rPr>
        <w:t xml:space="preserve"> </w:t>
      </w:r>
      <w:proofErr w:type="spellStart"/>
      <w:r w:rsidRPr="0075221B">
        <w:rPr>
          <w:rFonts w:ascii="Times New Roman" w:hAnsi="Times New Roman" w:cs="Times New Roman"/>
          <w:i/>
          <w:iCs/>
          <w:color w:val="000000"/>
        </w:rPr>
        <w:t>Grants</w:t>
      </w:r>
      <w:proofErr w:type="spellEnd"/>
      <w:r w:rsidRPr="0075221B">
        <w:rPr>
          <w:rFonts w:ascii="Times New Roman" w:hAnsi="Times New Roman" w:cs="Times New Roman"/>
          <w:i/>
          <w:iCs/>
          <w:color w:val="000000"/>
        </w:rPr>
        <w:t xml:space="preserve"> </w:t>
      </w:r>
      <w:proofErr w:type="spellStart"/>
      <w:r w:rsidRPr="0075221B">
        <w:rPr>
          <w:rFonts w:ascii="Times New Roman" w:hAnsi="Times New Roman" w:cs="Times New Roman"/>
          <w:i/>
          <w:iCs/>
          <w:color w:val="000000"/>
        </w:rPr>
        <w:t>Program</w:t>
      </w:r>
      <w:proofErr w:type="spellEnd"/>
      <w:r w:rsidRPr="0075221B">
        <w:rPr>
          <w:rFonts w:ascii="Times New Roman" w:hAnsi="Times New Roman" w:cs="Times New Roman"/>
          <w:color w:val="000000"/>
        </w:rPr>
        <w:t xml:space="preserve"> do Consulado dos Estados Unidos, submeti uma proposta de curso de formação para professores: a Matemática Antirracista. Com base na premissa de Moses de que a matemática é um direito civil, o projeto visava combater as altas taxas de insucesso na disciplina e apoiar alunos negros. Inspirado em Moses e Ubiratan D’</w:t>
      </w:r>
      <w:proofErr w:type="spellStart"/>
      <w:r w:rsidRPr="0075221B">
        <w:rPr>
          <w:rFonts w:ascii="Times New Roman" w:hAnsi="Times New Roman" w:cs="Times New Roman"/>
          <w:color w:val="000000"/>
        </w:rPr>
        <w:t>Ambrosio</w:t>
      </w:r>
      <w:proofErr w:type="spellEnd"/>
      <w:r w:rsidRPr="0075221B">
        <w:rPr>
          <w:rFonts w:ascii="Times New Roman" w:hAnsi="Times New Roman" w:cs="Times New Roman"/>
          <w:color w:val="000000"/>
        </w:rPr>
        <w:t>, o curso enfatizou o antirracismo e a valorização do aprendizado do aluno por meio de práticas reflexivas docentes.</w:t>
      </w:r>
    </w:p>
    <w:p w14:paraId="098B0F33"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proposta foi aceita e, assim, nasceu o Projeto Matemática Antirracista. O curso ocorreu de forma online em 2024, atendendo 35 docentes de todo o Brasil. Foi essa iniciativa que me levou à Fundação Itaú, que me convidou a transpor o conteúdo para sua plataforma oficial. Tanto o desenvolvimento do curso quanto essa transposição foram essenciais para minhas reflexões sobre as relações étnico-raciais. </w:t>
      </w:r>
    </w:p>
    <w:p w14:paraId="36D2BF2A" w14:textId="77777777" w:rsidR="00552866"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ano de 2025, iniciei a minha trajetória como docente na pós – graduação no Programa de pós – graduação em Relações étnico-raciais no CEFET – RJ. Neste programa, ministrei a disciplina: intelectualidade, raça e poder: racismo e antirracismo e </w:t>
      </w:r>
      <w:r w:rsidRPr="0075221B">
        <w:rPr>
          <w:rFonts w:ascii="Times New Roman" w:hAnsi="Times New Roman" w:cs="Times New Roman"/>
          <w:color w:val="000000"/>
        </w:rPr>
        <w:lastRenderedPageBreak/>
        <w:t xml:space="preserve">tenho desenvolvido pesquisas sobre formação de quem ensina matemática e relações étnico-raciais: currículo, avaliação e práticas com foco no antirracismo. </w:t>
      </w:r>
    </w:p>
    <w:p w14:paraId="303B24E6" w14:textId="035C188C" w:rsidR="008A4944" w:rsidRPr="003D2C46" w:rsidRDefault="008A4944" w:rsidP="003D2C46">
      <w:pPr>
        <w:jc w:val="center"/>
        <w:rPr>
          <w:rFonts w:ascii="Times New Roman" w:hAnsi="Times New Roman" w:cs="Times New Roman"/>
          <w:b/>
          <w:bCs/>
        </w:rPr>
      </w:pPr>
      <w:r w:rsidRPr="008A4944">
        <w:rPr>
          <w:rFonts w:ascii="Times New Roman" w:hAnsi="Times New Roman" w:cs="Times New Roman"/>
          <w:b/>
          <w:bCs/>
        </w:rPr>
        <w:t xml:space="preserve">  0.2 Por que este livro: objetivos, público e organização</w:t>
      </w:r>
    </w:p>
    <w:p w14:paraId="4DFC8B78" w14:textId="481EEFF5"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Também em 2025 fui convidado para participar d</w:t>
      </w:r>
      <w:r w:rsidR="00F336AE" w:rsidRPr="0075221B">
        <w:rPr>
          <w:rFonts w:ascii="Times New Roman" w:hAnsi="Times New Roman" w:cs="Times New Roman"/>
          <w:color w:val="000000"/>
        </w:rPr>
        <w:t xml:space="preserve">o </w:t>
      </w:r>
      <w:r w:rsidRPr="0075221B">
        <w:rPr>
          <w:rFonts w:ascii="Times New Roman" w:hAnsi="Times New Roman" w:cs="Times New Roman"/>
          <w:color w:val="000000"/>
        </w:rPr>
        <w:t xml:space="preserve">evento </w:t>
      </w:r>
      <w:r w:rsidR="00F336AE" w:rsidRPr="0075221B">
        <w:rPr>
          <w:rFonts w:ascii="Times New Roman" w:hAnsi="Times New Roman" w:cs="Times New Roman"/>
          <w:color w:val="000000"/>
        </w:rPr>
        <w:t xml:space="preserve">que </w:t>
      </w:r>
      <w:r w:rsidRPr="0075221B">
        <w:rPr>
          <w:rFonts w:ascii="Times New Roman" w:hAnsi="Times New Roman" w:cs="Times New Roman"/>
          <w:color w:val="000000"/>
        </w:rPr>
        <w:t xml:space="preserve">foi determinante para começar este livro: Imersão em Educação Matemática, na Universidade de Stanford. Esse evento foi organizado pela professora Kátia </w:t>
      </w:r>
      <w:proofErr w:type="spellStart"/>
      <w:r w:rsidRPr="0075221B">
        <w:rPr>
          <w:rFonts w:ascii="Times New Roman" w:hAnsi="Times New Roman" w:cs="Times New Roman"/>
          <w:color w:val="000000"/>
        </w:rPr>
        <w:t>Smolle</w:t>
      </w:r>
      <w:proofErr w:type="spellEnd"/>
      <w:r w:rsidRPr="0075221B">
        <w:rPr>
          <w:rFonts w:ascii="Times New Roman" w:hAnsi="Times New Roman" w:cs="Times New Roman"/>
          <w:color w:val="000000"/>
        </w:rPr>
        <w:t>, líder do Instituto Reúna, e foi onde e</w:t>
      </w:r>
      <w:r w:rsidR="00F336AE" w:rsidRPr="0075221B">
        <w:rPr>
          <w:rFonts w:ascii="Times New Roman" w:hAnsi="Times New Roman" w:cs="Times New Roman"/>
          <w:color w:val="000000"/>
        </w:rPr>
        <w:t>u</w:t>
      </w:r>
      <w:r w:rsidRPr="0075221B">
        <w:rPr>
          <w:rFonts w:ascii="Times New Roman" w:hAnsi="Times New Roman" w:cs="Times New Roman"/>
          <w:color w:val="000000"/>
        </w:rPr>
        <w:t xml:space="preserve"> tive contato com pesquisadores internacionais, em especial a professora </w:t>
      </w:r>
      <w:proofErr w:type="spellStart"/>
      <w:r w:rsidRPr="0075221B">
        <w:rPr>
          <w:rFonts w:ascii="Times New Roman" w:hAnsi="Times New Roman" w:cs="Times New Roman"/>
          <w:color w:val="000000"/>
        </w:rPr>
        <w:t>Dra</w:t>
      </w:r>
      <w:proofErr w:type="spellEnd"/>
      <w:r w:rsidRPr="0075221B">
        <w:rPr>
          <w:rFonts w:ascii="Times New Roman" w:hAnsi="Times New Roman" w:cs="Times New Roman"/>
          <w:color w:val="000000"/>
        </w:rPr>
        <w:t xml:space="preserve"> Lisa D. </w:t>
      </w:r>
      <w:proofErr w:type="spellStart"/>
      <w:r w:rsidRPr="0075221B">
        <w:rPr>
          <w:rFonts w:ascii="Times New Roman" w:hAnsi="Times New Roman" w:cs="Times New Roman"/>
          <w:color w:val="000000"/>
        </w:rPr>
        <w:t>Delpit</w:t>
      </w:r>
      <w:proofErr w:type="spellEnd"/>
      <w:r w:rsidRPr="0075221B">
        <w:rPr>
          <w:rFonts w:ascii="Times New Roman" w:hAnsi="Times New Roman" w:cs="Times New Roman"/>
          <w:color w:val="000000"/>
        </w:rPr>
        <w:t xml:space="preserve">, autora do livro </w:t>
      </w:r>
      <w:proofErr w:type="spellStart"/>
      <w:r w:rsidRPr="0075221B">
        <w:rPr>
          <w:rFonts w:ascii="Times New Roman" w:hAnsi="Times New Roman" w:cs="Times New Roman"/>
          <w:i/>
          <w:iCs/>
          <w:color w:val="000000"/>
        </w:rPr>
        <w:t>Multiplication</w:t>
      </w:r>
      <w:proofErr w:type="spellEnd"/>
      <w:r w:rsidRPr="0075221B">
        <w:rPr>
          <w:rFonts w:ascii="Times New Roman" w:hAnsi="Times New Roman" w:cs="Times New Roman"/>
          <w:i/>
          <w:iCs/>
          <w:color w:val="000000"/>
        </w:rPr>
        <w:t xml:space="preserve"> </w:t>
      </w:r>
      <w:proofErr w:type="spellStart"/>
      <w:r w:rsidRPr="0075221B">
        <w:rPr>
          <w:rFonts w:ascii="Times New Roman" w:hAnsi="Times New Roman" w:cs="Times New Roman"/>
          <w:i/>
          <w:iCs/>
          <w:color w:val="000000"/>
        </w:rPr>
        <w:t>is</w:t>
      </w:r>
      <w:proofErr w:type="spellEnd"/>
      <w:r w:rsidRPr="0075221B">
        <w:rPr>
          <w:rFonts w:ascii="Times New Roman" w:hAnsi="Times New Roman" w:cs="Times New Roman"/>
          <w:i/>
          <w:iCs/>
          <w:color w:val="000000"/>
        </w:rPr>
        <w:t xml:space="preserve"> for White People</w:t>
      </w:r>
      <w:r w:rsidRPr="0075221B">
        <w:rPr>
          <w:rFonts w:ascii="Times New Roman" w:hAnsi="Times New Roman" w:cs="Times New Roman"/>
          <w:color w:val="000000"/>
        </w:rPr>
        <w:t xml:space="preserve">. E foi a partir deste evento que a ideia deste livro nasceu. </w:t>
      </w:r>
    </w:p>
    <w:p w14:paraId="6C7F52EF" w14:textId="25644C33" w:rsidR="00552866" w:rsidRPr="0075221B" w:rsidRDefault="00A97C9C"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primeiro capítulo reconstrói o processo histórico que produziu as desigualdades raciais no Brasil e mostra como a escola participou desse projeto. Da escravidão às leis de controle social no pós-abolição, passando pela eugenia e pela “higienização” urbana, o texto evidencia que o racismo foi organizado como estrutura de país, e não como acidente. Busco introduzir as noções de racismo institucional, pacto da branquitude e epistemicídio para explicar como currículos, critérios de “normalidade” e padrões de inteligência foram racializados. Ao final, afirmo que ensinar Matemática exige letramento racial para romper com a ideia de neutralidade e compreender que desigualdades de aprendizagem são estruturais, não déficits individuais.</w:t>
      </w:r>
    </w:p>
    <w:p w14:paraId="6B9D7A95" w14:textId="55DA6DCE" w:rsidR="00552866" w:rsidRPr="0075221B" w:rsidRDefault="004C1CC8"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segundo capítulo enfrento a pergunta “por que conectar Matemática e raça?”, argumentando que a suposta neutralidade da Matemática escolar encobre mecanismos de classificação e exclusão. Mostro como, a partir das reformas educacionais do século XX, práticas de testes e medidas, currículos e avaliações foram influenciados por pressupostos eugênicos, produzindo hierarquias raciais e de classe sob linguagem técnica. Analiso a profissionalização docente e a formação universitária (licenciatura/bacharelado), indicando como se consolidou uma cultura de seleção e meritocracia no ensino de Matemática. Concluindo que a Matemática funciona como filtro social e racial quando tratada como dom, abstrata e descontextualizada, e que isso exige reposicionar o ensino como direito.</w:t>
      </w:r>
    </w:p>
    <w:p w14:paraId="13748537" w14:textId="539356F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 termo equidade racial </w:t>
      </w:r>
      <w:r w:rsidR="003650BA" w:rsidRPr="0075221B">
        <w:rPr>
          <w:rFonts w:ascii="Times New Roman" w:hAnsi="Times New Roman" w:cs="Times New Roman"/>
          <w:color w:val="000000"/>
        </w:rPr>
        <w:t>é um termo importante para pensar na superação do racismo no Brasil. E, no terceiro capítulo,</w:t>
      </w:r>
      <w:r w:rsidRPr="0075221B">
        <w:rPr>
          <w:rFonts w:ascii="Times New Roman" w:hAnsi="Times New Roman" w:cs="Times New Roman"/>
          <w:color w:val="000000"/>
        </w:rPr>
        <w:t xml:space="preserve"> pensamos</w:t>
      </w:r>
      <w:r w:rsidR="003650BA" w:rsidRPr="0075221B">
        <w:rPr>
          <w:rFonts w:ascii="Times New Roman" w:hAnsi="Times New Roman" w:cs="Times New Roman"/>
          <w:color w:val="000000"/>
        </w:rPr>
        <w:t xml:space="preserve"> </w:t>
      </w:r>
      <w:r w:rsidRPr="0075221B">
        <w:rPr>
          <w:rFonts w:ascii="Times New Roman" w:hAnsi="Times New Roman" w:cs="Times New Roman"/>
          <w:color w:val="000000"/>
        </w:rPr>
        <w:t>em uma Matemática para as relações étnico-raciais</w:t>
      </w:r>
      <w:r w:rsidR="003650BA" w:rsidRPr="0075221B">
        <w:rPr>
          <w:rFonts w:ascii="Times New Roman" w:hAnsi="Times New Roman" w:cs="Times New Roman"/>
          <w:color w:val="000000"/>
        </w:rPr>
        <w:t xml:space="preserve"> e como ela se apresenta no combate ao racismo</w:t>
      </w:r>
      <w:r w:rsidRPr="0075221B">
        <w:rPr>
          <w:rFonts w:ascii="Times New Roman" w:hAnsi="Times New Roman" w:cs="Times New Roman"/>
          <w:color w:val="000000"/>
        </w:rPr>
        <w:t xml:space="preserve">. Assim, </w:t>
      </w:r>
      <w:r w:rsidR="003650BA" w:rsidRPr="0075221B">
        <w:rPr>
          <w:rFonts w:ascii="Times New Roman" w:hAnsi="Times New Roman" w:cs="Times New Roman"/>
          <w:color w:val="000000"/>
        </w:rPr>
        <w:t>desejo</w:t>
      </w:r>
      <w:r w:rsidRPr="0075221B">
        <w:rPr>
          <w:rFonts w:ascii="Times New Roman" w:hAnsi="Times New Roman" w:cs="Times New Roman"/>
          <w:color w:val="000000"/>
        </w:rPr>
        <w:t xml:space="preserve"> de apresentar a conexão entre esses termos e como a Matemática pode contribuir para a promoção da equidade racial. Desta forma, o capítulo 3 apresentará definições  sobre equidade racial, relações étnico-raciais e servirá de ponte para o próximo capítulo.</w:t>
      </w:r>
      <w:r w:rsidR="003650BA" w:rsidRPr="0075221B">
        <w:rPr>
          <w:rFonts w:ascii="Times New Roman" w:hAnsi="Times New Roman" w:cs="Times New Roman"/>
          <w:color w:val="000000"/>
        </w:rPr>
        <w:t xml:space="preserve"> O capítulo discute a </w:t>
      </w:r>
      <w:r w:rsidR="003650BA" w:rsidRPr="0075221B">
        <w:rPr>
          <w:rFonts w:ascii="Times New Roman" w:hAnsi="Times New Roman" w:cs="Times New Roman"/>
          <w:color w:val="000000"/>
        </w:rPr>
        <w:lastRenderedPageBreak/>
        <w:t xml:space="preserve">meritocracia como narrativa que naturaliza desigualdades ao ignorar condições desiguais de partida. Com apoio em Michael França e Filipi Nascimento (2025) e em Jonh </w:t>
      </w:r>
      <w:proofErr w:type="spellStart"/>
      <w:r w:rsidR="003650BA" w:rsidRPr="0075221B">
        <w:rPr>
          <w:rFonts w:ascii="Times New Roman" w:hAnsi="Times New Roman" w:cs="Times New Roman"/>
          <w:color w:val="000000"/>
        </w:rPr>
        <w:t>Roemer</w:t>
      </w:r>
      <w:proofErr w:type="spellEnd"/>
      <w:r w:rsidR="003650BA" w:rsidRPr="0075221B">
        <w:rPr>
          <w:rFonts w:ascii="Times New Roman" w:hAnsi="Times New Roman" w:cs="Times New Roman"/>
          <w:color w:val="000000"/>
        </w:rPr>
        <w:t xml:space="preserve"> (1998), distingue desigualdades “justas” e “injustas” e argumenta que a população negra é afetada majoritariamente por desigualdades injustas, que precisam ser compensadas por políticas e práticas educacionais. Debato igualdade versus equidade, mobilizando Bourdieu</w:t>
      </w:r>
      <w:r w:rsidR="001939FE" w:rsidRPr="0075221B">
        <w:rPr>
          <w:rFonts w:ascii="Times New Roman" w:hAnsi="Times New Roman" w:cs="Times New Roman"/>
          <w:color w:val="000000"/>
        </w:rPr>
        <w:t xml:space="preserve"> (1997)</w:t>
      </w:r>
      <w:r w:rsidR="003650BA" w:rsidRPr="0075221B">
        <w:rPr>
          <w:rFonts w:ascii="Times New Roman" w:hAnsi="Times New Roman" w:cs="Times New Roman"/>
          <w:color w:val="000000"/>
        </w:rPr>
        <w:t xml:space="preserve">, Aristóteles, </w:t>
      </w:r>
      <w:r w:rsidR="001939FE" w:rsidRPr="0075221B">
        <w:rPr>
          <w:rFonts w:ascii="Times New Roman" w:hAnsi="Times New Roman" w:cs="Times New Roman"/>
          <w:color w:val="000000"/>
        </w:rPr>
        <w:t xml:space="preserve">Mário </w:t>
      </w:r>
      <w:r w:rsidR="003650BA" w:rsidRPr="0075221B">
        <w:rPr>
          <w:rFonts w:ascii="Times New Roman" w:hAnsi="Times New Roman" w:cs="Times New Roman"/>
          <w:color w:val="000000"/>
        </w:rPr>
        <w:t>Azevedo</w:t>
      </w:r>
      <w:r w:rsidR="001939FE" w:rsidRPr="0075221B">
        <w:rPr>
          <w:rFonts w:ascii="Times New Roman" w:hAnsi="Times New Roman" w:cs="Times New Roman"/>
          <w:color w:val="000000"/>
        </w:rPr>
        <w:t xml:space="preserve"> (2013) </w:t>
      </w:r>
      <w:r w:rsidR="003650BA" w:rsidRPr="0075221B">
        <w:rPr>
          <w:rFonts w:ascii="Times New Roman" w:hAnsi="Times New Roman" w:cs="Times New Roman"/>
          <w:color w:val="000000"/>
        </w:rPr>
        <w:t xml:space="preserve"> e </w:t>
      </w:r>
      <w:r w:rsidR="001939FE" w:rsidRPr="0075221B">
        <w:rPr>
          <w:rFonts w:ascii="Times New Roman" w:hAnsi="Times New Roman" w:cs="Times New Roman"/>
          <w:color w:val="000000"/>
        </w:rPr>
        <w:t xml:space="preserve">Emílio </w:t>
      </w:r>
      <w:proofErr w:type="spellStart"/>
      <w:r w:rsidR="003650BA" w:rsidRPr="0075221B">
        <w:rPr>
          <w:rFonts w:ascii="Times New Roman" w:hAnsi="Times New Roman" w:cs="Times New Roman"/>
          <w:color w:val="000000"/>
        </w:rPr>
        <w:t>Tenti</w:t>
      </w:r>
      <w:proofErr w:type="spellEnd"/>
      <w:r w:rsidR="003650BA" w:rsidRPr="0075221B">
        <w:rPr>
          <w:rFonts w:ascii="Times New Roman" w:hAnsi="Times New Roman" w:cs="Times New Roman"/>
          <w:color w:val="000000"/>
        </w:rPr>
        <w:t xml:space="preserve"> </w:t>
      </w:r>
      <w:proofErr w:type="spellStart"/>
      <w:r w:rsidR="003650BA" w:rsidRPr="0075221B">
        <w:rPr>
          <w:rFonts w:ascii="Times New Roman" w:hAnsi="Times New Roman" w:cs="Times New Roman"/>
          <w:color w:val="000000"/>
        </w:rPr>
        <w:t>Fanfani</w:t>
      </w:r>
      <w:proofErr w:type="spellEnd"/>
      <w:r w:rsidR="001939FE" w:rsidRPr="0075221B">
        <w:rPr>
          <w:rFonts w:ascii="Times New Roman" w:hAnsi="Times New Roman" w:cs="Times New Roman"/>
          <w:color w:val="000000"/>
        </w:rPr>
        <w:t xml:space="preserve"> (2008)</w:t>
      </w:r>
      <w:r w:rsidR="003650BA" w:rsidRPr="0075221B">
        <w:rPr>
          <w:rFonts w:ascii="Times New Roman" w:hAnsi="Times New Roman" w:cs="Times New Roman"/>
          <w:color w:val="000000"/>
        </w:rPr>
        <w:t>, e defendo que tratar igualmente em um sistema desigual perpetua injustiças. Com Nancy Fraser (1995, 2005, 2009), organiza o paradigma da equidade em redistribuição, reconhecimento e representação, e propõe estratégias didáticas (corrida dos privilégios, análise de trajetórias) adaptadas também à formação continuada. Fech</w:t>
      </w:r>
      <w:r w:rsidR="0089545F" w:rsidRPr="0075221B">
        <w:rPr>
          <w:rFonts w:ascii="Times New Roman" w:hAnsi="Times New Roman" w:cs="Times New Roman"/>
          <w:color w:val="000000"/>
        </w:rPr>
        <w:t>o</w:t>
      </w:r>
      <w:r w:rsidR="003650BA" w:rsidRPr="0075221B">
        <w:rPr>
          <w:rFonts w:ascii="Times New Roman" w:hAnsi="Times New Roman" w:cs="Times New Roman"/>
          <w:color w:val="000000"/>
        </w:rPr>
        <w:t xml:space="preserve"> encaminhando para o capítulo 4: como transformar equidade em prática concreta no ensino de Matemática.</w:t>
      </w:r>
    </w:p>
    <w:p w14:paraId="782755C9" w14:textId="51B79AE6"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capítulo 4, apresentaremos o que compreendemos por uma Matemática Antirracista e como esse termo pode ser apresentado nas escolas, nas universidades de forma a colaborar com o debate sobre o papel social, político e econômico de quem ensina e da própria Matemática.</w:t>
      </w:r>
      <w:r w:rsidR="0089545F" w:rsidRPr="0075221B">
        <w:rPr>
          <w:rFonts w:ascii="Times New Roman" w:hAnsi="Times New Roman" w:cs="Times New Roman"/>
          <w:color w:val="000000"/>
        </w:rPr>
        <w:t xml:space="preserve"> O capítulo define Matemática Antirracista como postura pedagógica e política, não como método pontual, e começa problematizando a tese da neutralidade para mostrar que escolhas de temas, métodos e usos da Matemática são atravessados por valores. Discute como concepções docentes sobre a Matemática  e modelos de formação inicial alimentam práticas seletivas, a crença em “talento inato” e a exclusão simbólica. A partir de uma cena de sala de aula, reposiciona o foco no direito de aprender e organiza a proposta em três níveis: macro (marcos legais e políticas públicas), </w:t>
      </w:r>
      <w:proofErr w:type="spellStart"/>
      <w:r w:rsidR="0089545F" w:rsidRPr="0075221B">
        <w:rPr>
          <w:rFonts w:ascii="Times New Roman" w:hAnsi="Times New Roman" w:cs="Times New Roman"/>
          <w:color w:val="000000"/>
        </w:rPr>
        <w:t>meso</w:t>
      </w:r>
      <w:proofErr w:type="spellEnd"/>
      <w:r w:rsidR="0089545F" w:rsidRPr="0075221B">
        <w:rPr>
          <w:rFonts w:ascii="Times New Roman" w:hAnsi="Times New Roman" w:cs="Times New Roman"/>
          <w:color w:val="000000"/>
        </w:rPr>
        <w:t xml:space="preserve"> (gestão e liderança escolar como condição institucional para equidade, com redistribuição, reconhecimento e representação) e micro (prática docente, altas expectativas com suporte e função política/econômica/social da Matemática). Conclu</w:t>
      </w:r>
      <w:r w:rsidR="004D7BAA" w:rsidRPr="0075221B">
        <w:rPr>
          <w:rFonts w:ascii="Times New Roman" w:hAnsi="Times New Roman" w:cs="Times New Roman"/>
          <w:color w:val="000000"/>
        </w:rPr>
        <w:t>o</w:t>
      </w:r>
      <w:r w:rsidR="0089545F" w:rsidRPr="0075221B">
        <w:rPr>
          <w:rFonts w:ascii="Times New Roman" w:hAnsi="Times New Roman" w:cs="Times New Roman"/>
          <w:color w:val="000000"/>
        </w:rPr>
        <w:t xml:space="preserve"> defendendo que a equidade racial precisa ser compromisso coletivo da escola, articulando currículo, avaliação, formação e pertencimento para ampliar futuros.</w:t>
      </w:r>
    </w:p>
    <w:p w14:paraId="29F9D388" w14:textId="639B309C" w:rsidR="00552866" w:rsidRPr="0075221B" w:rsidRDefault="00465CA0"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w:t>
      </w:r>
      <w:r w:rsidR="00552866" w:rsidRPr="0075221B">
        <w:rPr>
          <w:rFonts w:ascii="Times New Roman" w:hAnsi="Times New Roman" w:cs="Times New Roman"/>
          <w:color w:val="000000"/>
        </w:rPr>
        <w:t xml:space="preserve"> minha trajetória</w:t>
      </w:r>
      <w:r w:rsidRPr="0075221B">
        <w:rPr>
          <w:rFonts w:ascii="Times New Roman" w:hAnsi="Times New Roman" w:cs="Times New Roman"/>
          <w:color w:val="000000"/>
        </w:rPr>
        <w:t xml:space="preserve"> em contato com </w:t>
      </w:r>
      <w:r w:rsidR="00552866" w:rsidRPr="0075221B">
        <w:rPr>
          <w:rFonts w:ascii="Times New Roman" w:hAnsi="Times New Roman" w:cs="Times New Roman"/>
          <w:color w:val="000000"/>
        </w:rPr>
        <w:t xml:space="preserve">as ideias de intelectuais negros, </w:t>
      </w:r>
      <w:r w:rsidRPr="0075221B">
        <w:rPr>
          <w:rFonts w:ascii="Times New Roman" w:hAnsi="Times New Roman" w:cs="Times New Roman"/>
          <w:color w:val="000000"/>
        </w:rPr>
        <w:t>assim como</w:t>
      </w:r>
      <w:r w:rsidR="00552866" w:rsidRPr="0075221B">
        <w:rPr>
          <w:rFonts w:ascii="Times New Roman" w:hAnsi="Times New Roman" w:cs="Times New Roman"/>
          <w:color w:val="000000"/>
        </w:rPr>
        <w:t xml:space="preserve"> a análise da história da educação e o peso de ser um dos poucos professores doutores negros em Ensino de Matemática </w:t>
      </w:r>
      <w:r w:rsidRPr="0075221B">
        <w:rPr>
          <w:rFonts w:ascii="Times New Roman" w:hAnsi="Times New Roman" w:cs="Times New Roman"/>
          <w:color w:val="000000"/>
        </w:rPr>
        <w:t>me mobilizam pela</w:t>
      </w:r>
      <w:r w:rsidR="00552866" w:rsidRPr="0075221B">
        <w:rPr>
          <w:rFonts w:ascii="Times New Roman" w:hAnsi="Times New Roman" w:cs="Times New Roman"/>
          <w:color w:val="000000"/>
        </w:rPr>
        <w:t xml:space="preserve"> urgência de debatermos aspecto raciais no ensino de matemática. Assim, desejo que você faça uma leitura atenta, profunda e reflexiva sobre o ensino e a aprendizagem de matemática no Brasil e que a Matemática seja assunto de pauta daquele churrasco de domingo!</w:t>
      </w:r>
    </w:p>
    <w:p w14:paraId="52CEB65B" w14:textId="77777777" w:rsidR="00552866" w:rsidRPr="0075221B" w:rsidRDefault="00552866" w:rsidP="00552866">
      <w:pPr>
        <w:jc w:val="center"/>
        <w:rPr>
          <w:rFonts w:ascii="Times New Roman" w:hAnsi="Times New Roman" w:cs="Times New Roman"/>
          <w:b/>
          <w:bCs/>
        </w:rPr>
      </w:pPr>
      <w:r w:rsidRPr="0075221B">
        <w:rPr>
          <w:rFonts w:ascii="Times New Roman" w:hAnsi="Times New Roman" w:cs="Times New Roman"/>
          <w:b/>
          <w:bCs/>
        </w:rPr>
        <w:lastRenderedPageBreak/>
        <w:t>Capítulo 1: Por que o letramento racial é importante para quem ensina Matemática?</w:t>
      </w:r>
    </w:p>
    <w:p w14:paraId="53BB483A" w14:textId="77777777" w:rsidR="00552866" w:rsidRPr="0075221B" w:rsidRDefault="00552866" w:rsidP="00552866">
      <w:pPr>
        <w:spacing w:line="360" w:lineRule="auto"/>
        <w:ind w:firstLine="709"/>
        <w:jc w:val="both"/>
        <w:rPr>
          <w:rFonts w:ascii="Times New Roman" w:hAnsi="Times New Roman" w:cs="Times New Roman"/>
          <w:color w:val="000000"/>
        </w:rPr>
      </w:pPr>
    </w:p>
    <w:p w14:paraId="471D9AE6" w14:textId="796FF1E4"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Compreender o processo histórico de como a população negra foi tratada no Brasil é essencial para analisar quaisquer dados atuais relacionados às condições sociais, econômicas e educacionais dessa população. As desigualdades que se manifestam hoje nas escolas</w:t>
      </w:r>
      <w:r w:rsidR="00F336AE" w:rsidRPr="0075221B">
        <w:rPr>
          <w:rFonts w:ascii="Times New Roman" w:hAnsi="Times New Roman" w:cs="Times New Roman"/>
          <w:color w:val="000000"/>
        </w:rPr>
        <w:t xml:space="preserve">, principalmente na aprendizagem em </w:t>
      </w:r>
      <w:r w:rsidRPr="0075221B">
        <w:rPr>
          <w:rFonts w:ascii="Times New Roman" w:hAnsi="Times New Roman" w:cs="Times New Roman"/>
          <w:color w:val="000000"/>
        </w:rPr>
        <w:t>Matemática</w:t>
      </w:r>
      <w:r w:rsidR="00F336AE" w:rsidRPr="0075221B">
        <w:rPr>
          <w:rFonts w:ascii="Times New Roman" w:hAnsi="Times New Roman" w:cs="Times New Roman"/>
          <w:color w:val="000000"/>
        </w:rPr>
        <w:t xml:space="preserve"> (Todos pela Educação, 2025) </w:t>
      </w:r>
      <w:r w:rsidRPr="0075221B">
        <w:rPr>
          <w:rFonts w:ascii="Times New Roman" w:hAnsi="Times New Roman" w:cs="Times New Roman"/>
          <w:color w:val="000000"/>
        </w:rPr>
        <w:t xml:space="preserve">não são fruto do acaso, mas resultado de um longo processo histórico de exclusão, exploração e desumanização. </w:t>
      </w:r>
      <w:r w:rsidR="0034531B" w:rsidRPr="0075221B">
        <w:rPr>
          <w:rFonts w:ascii="Times New Roman" w:hAnsi="Times New Roman" w:cs="Times New Roman"/>
          <w:color w:val="000000"/>
        </w:rPr>
        <w:t>Neste</w:t>
      </w:r>
      <w:r w:rsidRPr="0075221B">
        <w:rPr>
          <w:rFonts w:ascii="Times New Roman" w:hAnsi="Times New Roman" w:cs="Times New Roman"/>
          <w:color w:val="000000"/>
        </w:rPr>
        <w:t xml:space="preserve"> capítulo </w:t>
      </w:r>
      <w:r w:rsidR="0034531B" w:rsidRPr="0075221B">
        <w:rPr>
          <w:rFonts w:ascii="Times New Roman" w:hAnsi="Times New Roman" w:cs="Times New Roman"/>
          <w:color w:val="000000"/>
        </w:rPr>
        <w:t>busco apresentar a importância</w:t>
      </w:r>
      <w:r w:rsidRPr="0075221B">
        <w:rPr>
          <w:rFonts w:ascii="Times New Roman" w:hAnsi="Times New Roman" w:cs="Times New Roman"/>
          <w:color w:val="000000"/>
        </w:rPr>
        <w:t> </w:t>
      </w:r>
      <w:r w:rsidR="0034531B" w:rsidRPr="0075221B">
        <w:rPr>
          <w:rFonts w:ascii="Times New Roman" w:hAnsi="Times New Roman" w:cs="Times New Roman"/>
          <w:color w:val="000000"/>
        </w:rPr>
        <w:t>d</w:t>
      </w:r>
      <w:r w:rsidRPr="0075221B">
        <w:rPr>
          <w:rFonts w:ascii="Times New Roman" w:hAnsi="Times New Roman" w:cs="Times New Roman"/>
          <w:color w:val="000000"/>
        </w:rPr>
        <w:t xml:space="preserve">o letramento racial </w:t>
      </w:r>
      <w:r w:rsidR="0034531B" w:rsidRPr="0075221B">
        <w:rPr>
          <w:rFonts w:ascii="Times New Roman" w:hAnsi="Times New Roman" w:cs="Times New Roman"/>
          <w:color w:val="000000"/>
        </w:rPr>
        <w:t>a partir de</w:t>
      </w:r>
      <w:r w:rsidRPr="0075221B">
        <w:rPr>
          <w:rFonts w:ascii="Times New Roman" w:hAnsi="Times New Roman" w:cs="Times New Roman"/>
          <w:color w:val="000000"/>
        </w:rPr>
        <w:t xml:space="preserve"> uma condição de leitura do presente, porque permite reconhecer como a escola e seus critérios de “normalidade”, “mérito” e “desempenho” foram historicamente construídos a partir de relações de poder racializadas.</w:t>
      </w:r>
    </w:p>
    <w:p w14:paraId="43A3C1D8" w14:textId="5B320418" w:rsidR="002F52AC" w:rsidRPr="0075221B" w:rsidRDefault="002F52AC" w:rsidP="002F52AC">
      <w:pPr>
        <w:jc w:val="center"/>
        <w:rPr>
          <w:rFonts w:ascii="Times New Roman" w:hAnsi="Times New Roman" w:cs="Times New Roman"/>
          <w:b/>
          <w:bCs/>
        </w:rPr>
      </w:pPr>
      <w:r w:rsidRPr="0075221B">
        <w:rPr>
          <w:rFonts w:ascii="Times New Roman" w:hAnsi="Times New Roman" w:cs="Times New Roman"/>
          <w:b/>
          <w:bCs/>
        </w:rPr>
        <w:t>1.1 Escravidão e a lógica da mercadoria</w:t>
      </w:r>
    </w:p>
    <w:p w14:paraId="61D84F28" w14:textId="5FFA57EA" w:rsidR="00552866" w:rsidRPr="0075221B" w:rsidRDefault="00552866" w:rsidP="00D81DD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Abdias do Nascimento</w:t>
      </w:r>
      <w:r w:rsidR="00D81DDC" w:rsidRPr="0075221B">
        <w:rPr>
          <w:rFonts w:ascii="Times New Roman" w:hAnsi="Times New Roman" w:cs="Times New Roman"/>
          <w:color w:val="000000"/>
        </w:rPr>
        <w:t xml:space="preserve"> (20</w:t>
      </w:r>
      <w:r w:rsidR="00446C54" w:rsidRPr="0075221B">
        <w:rPr>
          <w:rFonts w:ascii="Times New Roman" w:hAnsi="Times New Roman" w:cs="Times New Roman"/>
          <w:color w:val="000000"/>
        </w:rPr>
        <w:t>1</w:t>
      </w:r>
      <w:r w:rsidR="00D81DDC" w:rsidRPr="0075221B">
        <w:rPr>
          <w:rFonts w:ascii="Times New Roman" w:hAnsi="Times New Roman" w:cs="Times New Roman"/>
          <w:color w:val="000000"/>
        </w:rPr>
        <w:t>6)</w:t>
      </w:r>
      <w:r w:rsidRPr="0075221B">
        <w:rPr>
          <w:rFonts w:ascii="Times New Roman" w:hAnsi="Times New Roman" w:cs="Times New Roman"/>
          <w:color w:val="000000"/>
        </w:rPr>
        <w:t xml:space="preserve"> relata que documentos históricos e arquivos relacionados ao comércio de pessoas escravizadas e à escravidão, de modo geral, foram destruídos pelo fogo por ordem do então ministro da Fazenda, Rui Barbosa, em 1891, numa tentativa de apagar registros desse passado. Ainda assim, estima-se que cerca de quatro milhões de africanos foram trazidos à força para o Brasil, distribuídos majoritariamente pelos seguintes portos: 38% no Rio de Janeiro, 25% na Bahia, 13% em Pernambuco, 12% em São Paulo, 7% no Maranhão e 5% no Pará. </w:t>
      </w:r>
      <w:r w:rsidR="00D81DDC" w:rsidRPr="0075221B">
        <w:rPr>
          <w:rFonts w:ascii="Times New Roman" w:hAnsi="Times New Roman" w:cs="Times New Roman"/>
          <w:color w:val="000000"/>
        </w:rPr>
        <w:t>É essencial afirmar que o</w:t>
      </w:r>
      <w:r w:rsidRPr="0075221B">
        <w:rPr>
          <w:rFonts w:ascii="Times New Roman" w:hAnsi="Times New Roman" w:cs="Times New Roman"/>
          <w:color w:val="000000"/>
        </w:rPr>
        <w:t xml:space="preserve"> papel da população negra foi decisivo para a formação da economia brasileira desde os seus primórdios.</w:t>
      </w:r>
      <w:r w:rsidR="00D81DDC" w:rsidRPr="0075221B">
        <w:rPr>
          <w:rFonts w:ascii="Times New Roman" w:hAnsi="Times New Roman" w:cs="Times New Roman"/>
          <w:color w:val="000000"/>
        </w:rPr>
        <w:t xml:space="preserve"> A escravidão não foi apenas um regime econômico; foi também uma tecnologia social de desumanização que estruturou hierarquias persistentes (Gonzalez e Hasenbalg, 2022).</w:t>
      </w:r>
    </w:p>
    <w:p w14:paraId="35022B5A" w14:textId="2F43F4DA" w:rsidR="00552866" w:rsidRPr="0075221B" w:rsidRDefault="00552866" w:rsidP="00B020D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Brasil, a presença de mais de duzentas pessoas escravizadas em uma única fazenda era um fato comum, enquanto, nos Estados Unidos, propriedades com mais de cem pessoas escravizadas constituíam exceção. O tratamento desumano, aliado aos constantes abusos, resultou em elevadas taxas de mortalidade infantil entre a população escravizada. No Rio de Janeiro</w:t>
      </w:r>
      <w:r w:rsidR="00EF6E19" w:rsidRPr="0075221B">
        <w:rPr>
          <w:rFonts w:ascii="Times New Roman" w:hAnsi="Times New Roman" w:cs="Times New Roman"/>
          <w:color w:val="000000"/>
        </w:rPr>
        <w:t>, c</w:t>
      </w:r>
      <w:r w:rsidRPr="0075221B">
        <w:rPr>
          <w:rFonts w:ascii="Times New Roman" w:hAnsi="Times New Roman" w:cs="Times New Roman"/>
          <w:color w:val="000000"/>
        </w:rPr>
        <w:t>idade onde se supunha haver melhores condiçõe</w:t>
      </w:r>
      <w:r w:rsidR="00EF6E19" w:rsidRPr="0075221B">
        <w:rPr>
          <w:rFonts w:ascii="Times New Roman" w:hAnsi="Times New Roman" w:cs="Times New Roman"/>
          <w:color w:val="000000"/>
        </w:rPr>
        <w:t>s,</w:t>
      </w:r>
      <w:r w:rsidRPr="0075221B">
        <w:rPr>
          <w:rFonts w:ascii="Times New Roman" w:hAnsi="Times New Roman" w:cs="Times New Roman"/>
          <w:color w:val="000000"/>
        </w:rPr>
        <w:t xml:space="preserve"> a taxa de mortalidade infantil chegava a 88%. Esses dados evidenciam o caráter brutal e mercantil da escravidão: pessoas negras eram tratadas como mercadoria. Os homens eram destinados ao trabalho forçado, enquanto as mulheres negras, em número reduzido, eram impedidas de constituir estruturas familiares estáveis, sendo frequentemente exploradas sexualmente como fonte de renda para seus escravizadores</w:t>
      </w:r>
      <w:r w:rsidR="00446C54" w:rsidRPr="0075221B">
        <w:rPr>
          <w:rFonts w:ascii="Times New Roman" w:hAnsi="Times New Roman" w:cs="Times New Roman"/>
          <w:color w:val="000000"/>
        </w:rPr>
        <w:t xml:space="preserve"> </w:t>
      </w:r>
      <w:r w:rsidR="00B020D8" w:rsidRPr="0075221B">
        <w:rPr>
          <w:rFonts w:ascii="Times New Roman" w:hAnsi="Times New Roman" w:cs="Times New Roman"/>
          <w:color w:val="000000"/>
        </w:rPr>
        <w:t>(</w:t>
      </w:r>
      <w:r w:rsidR="00446C54" w:rsidRPr="0075221B">
        <w:rPr>
          <w:rFonts w:ascii="Times New Roman" w:hAnsi="Times New Roman" w:cs="Times New Roman"/>
          <w:color w:val="000000"/>
        </w:rPr>
        <w:t>Nascimento</w:t>
      </w:r>
      <w:r w:rsidR="00B020D8" w:rsidRPr="0075221B">
        <w:rPr>
          <w:rFonts w:ascii="Times New Roman" w:hAnsi="Times New Roman" w:cs="Times New Roman"/>
          <w:color w:val="000000"/>
        </w:rPr>
        <w:t>, A.</w:t>
      </w:r>
      <w:r w:rsidR="00446C54" w:rsidRPr="0075221B">
        <w:rPr>
          <w:rFonts w:ascii="Times New Roman" w:hAnsi="Times New Roman" w:cs="Times New Roman"/>
          <w:color w:val="000000"/>
        </w:rPr>
        <w:t xml:space="preserve"> 2016) </w:t>
      </w:r>
      <w:r w:rsidRPr="0075221B">
        <w:rPr>
          <w:rFonts w:ascii="Times New Roman" w:hAnsi="Times New Roman" w:cs="Times New Roman"/>
          <w:color w:val="000000"/>
        </w:rPr>
        <w:t xml:space="preserve">Os </w:t>
      </w:r>
      <w:r w:rsidRPr="0075221B">
        <w:rPr>
          <w:rFonts w:ascii="Times New Roman" w:hAnsi="Times New Roman" w:cs="Times New Roman"/>
          <w:color w:val="000000"/>
        </w:rPr>
        <w:lastRenderedPageBreak/>
        <w:t>corpos negros, como apontam Maria Alice Rosa Ribeiro e Maria Aparecida Alvim de Camargo Penteado (2020), serviam inclusive como hipoteca.</w:t>
      </w:r>
    </w:p>
    <w:p w14:paraId="2F749F01" w14:textId="6902A3BE" w:rsidR="00E917AF" w:rsidRPr="0075221B" w:rsidRDefault="00E917AF" w:rsidP="00D70252">
      <w:pPr>
        <w:jc w:val="center"/>
        <w:rPr>
          <w:rFonts w:ascii="Times New Roman" w:hAnsi="Times New Roman" w:cs="Times New Roman"/>
          <w:b/>
          <w:bCs/>
        </w:rPr>
      </w:pPr>
      <w:r w:rsidRPr="0075221B">
        <w:rPr>
          <w:rFonts w:ascii="Times New Roman" w:hAnsi="Times New Roman" w:cs="Times New Roman"/>
          <w:b/>
          <w:bCs/>
        </w:rPr>
        <w:t>1.2 Pós-abolição, cidadania negada e criminalização da existência negra</w:t>
      </w:r>
      <w:r w:rsidR="008A4944">
        <w:rPr>
          <w:rFonts w:ascii="Times New Roman" w:hAnsi="Times New Roman" w:cs="Times New Roman"/>
          <w:b/>
          <w:bCs/>
        </w:rPr>
        <w:t xml:space="preserve"> </w:t>
      </w:r>
    </w:p>
    <w:p w14:paraId="1CEC9CCA" w14:textId="525AF07F" w:rsidR="00B020D8" w:rsidRPr="0075221B" w:rsidRDefault="00552866" w:rsidP="00B020D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Mesmo após o fim formal da escravidão, novas leis e mecanismos de controle social foram criados para manter a população negra à margem da cidadania. </w:t>
      </w:r>
      <w:r w:rsidR="00B020D8" w:rsidRPr="0075221B">
        <w:rPr>
          <w:rFonts w:ascii="Times New Roman" w:hAnsi="Times New Roman" w:cs="Times New Roman"/>
          <w:color w:val="000000"/>
        </w:rPr>
        <w:t>O fim formal da escravidão não significou inclusão; significou a reconfiguração dos mecanismos de controle.</w:t>
      </w:r>
    </w:p>
    <w:p w14:paraId="2F45EBB8" w14:textId="3C47C108"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Lilia Moritz Schwarcz (2012) destaca que a abolição provocou profundas transformações na sociedade brasileira, alterando sua composição racial e seus costumes e trazendo à tona debates até então ignorados, como o acesso à cidadania, à educação e ao mercado de trabalho. A resposta do Estado, entretanto, não foi a inclusão plena dessa população, mas a criação de dispositivos legais e simbólicos de exclusão.</w:t>
      </w:r>
    </w:p>
    <w:p w14:paraId="2870CB63"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Durante a República Velha (1889–1930), a vadiagem foi tipificada como crime no Código Penal de 1890, sob o argumento da “higienização urbana”. O artigo 399 definia como vadio aquele que não exercesse profissão, não possuísse meios de subsistência ou domicílio fixo, ou cuja ocupação fosse considerada ofensiva à moral e aos bons costumes, prevendo pena de prisão celular de quinze a trinta dias (Brasil, 1890). Embora o texto legal não mencionasse explicitamente a raça, as condições descritas correspondiam de forma evidente à realidade da população negra recém-liberta: sem acesso ao trabalho formal, à moradia e à proteção do Estado. Em termos práticos, o texto tinha cor. Assim, a presença negra nos espaços urbanos foi sendo regulada por uma gramática jurídica que criminalizava a precariedade produzida pelo próprio regime escravocrata.</w:t>
      </w:r>
    </w:p>
    <w:p w14:paraId="237D9272" w14:textId="55EA5D18" w:rsidR="00BC6497" w:rsidRPr="0075221B" w:rsidRDefault="00BC6497" w:rsidP="00BC6497">
      <w:pPr>
        <w:jc w:val="center"/>
        <w:rPr>
          <w:rFonts w:ascii="Times New Roman" w:hAnsi="Times New Roman" w:cs="Times New Roman"/>
          <w:b/>
          <w:bCs/>
        </w:rPr>
      </w:pPr>
      <w:r w:rsidRPr="0075221B">
        <w:rPr>
          <w:rFonts w:ascii="Times New Roman" w:hAnsi="Times New Roman" w:cs="Times New Roman"/>
          <w:b/>
          <w:bCs/>
        </w:rPr>
        <w:t>1.3 Eugenia e embranquecimento: racismo como “ciência” e projeto de nação</w:t>
      </w:r>
    </w:p>
    <w:p w14:paraId="478DAD35" w14:textId="790E6FD1" w:rsidR="00552866" w:rsidRPr="0075221B" w:rsidRDefault="00E121D4"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entanto, e</w:t>
      </w:r>
      <w:r w:rsidR="00552866" w:rsidRPr="0075221B">
        <w:rPr>
          <w:rFonts w:ascii="Times New Roman" w:hAnsi="Times New Roman" w:cs="Times New Roman"/>
          <w:color w:val="000000"/>
        </w:rPr>
        <w:t>ssas estratégias de controle social não surtiram o efeito desejado pelas elites: a presença negra continuava significativa, o que gerava incômodo e reações explícitas. Abdias do Nascimento (2016) registra esse sentimento ao transcrever um trecho de uma carta de Monteiro Lobato, escrita em 1908, na qual o autor afirmava: “Que problemas terríveis o pobre negro da África nos criou aqui, na sua inconsistente vingança! Talvez a salvação venha de São Paulo e outras zonas que intensamente se injetam de sangue europeu”.</w:t>
      </w:r>
    </w:p>
    <w:p w14:paraId="213AA418" w14:textId="7DD92E51" w:rsidR="00552866" w:rsidRPr="0075221B" w:rsidRDefault="00552866" w:rsidP="00C2259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Segundo Jerry Dávila (2006), Monteiro Lobato não estava isolado. Sua visão refletia uma ideologia dominante entre as elites brasileiras no início do século XX: a eugenia. A eugenia apresentava-se como uma tentativa “científica” de aperfeiçoar a população humana por meio do controle de traços hereditários, combinando teorias sobre </w:t>
      </w:r>
      <w:r w:rsidRPr="0075221B">
        <w:rPr>
          <w:rFonts w:ascii="Times New Roman" w:hAnsi="Times New Roman" w:cs="Times New Roman"/>
          <w:color w:val="000000"/>
        </w:rPr>
        <w:lastRenderedPageBreak/>
        <w:t>raça, hereditariedade, cultura e influência do meio ambiente. Enquanto versões “pesadas</w:t>
      </w:r>
      <w:r w:rsidR="00E121D4" w:rsidRPr="0075221B">
        <w:rPr>
          <w:rFonts w:ascii="Times New Roman" w:hAnsi="Times New Roman" w:cs="Times New Roman"/>
          <w:color w:val="000000"/>
        </w:rPr>
        <w:t>”,</w:t>
      </w:r>
      <w:r w:rsidRPr="0075221B">
        <w:rPr>
          <w:rFonts w:ascii="Times New Roman" w:hAnsi="Times New Roman" w:cs="Times New Roman"/>
          <w:color w:val="000000"/>
        </w:rPr>
        <w:t xml:space="preserve"> baseadas na esterilização ou no genocídio</w:t>
      </w:r>
      <w:r w:rsidR="00E121D4" w:rsidRPr="0075221B">
        <w:rPr>
          <w:rFonts w:ascii="Times New Roman" w:hAnsi="Times New Roman" w:cs="Times New Roman"/>
          <w:color w:val="000000"/>
        </w:rPr>
        <w:t xml:space="preserve">, </w:t>
      </w:r>
      <w:r w:rsidRPr="0075221B">
        <w:rPr>
          <w:rFonts w:ascii="Times New Roman" w:hAnsi="Times New Roman" w:cs="Times New Roman"/>
          <w:color w:val="000000"/>
        </w:rPr>
        <w:t>foram praticadas de forma extrema em países como a Alemanha nazista, a Grã-Bretanha e os Estados Unidos, o Brasil adotou uma versão considerada “leve”, centrada em políticas de saúde, higiene, educação e controle cultural.</w:t>
      </w:r>
      <w:r w:rsidR="00E121D4" w:rsidRPr="0075221B">
        <w:rPr>
          <w:rFonts w:ascii="Times New Roman" w:hAnsi="Times New Roman" w:cs="Times New Roman"/>
          <w:color w:val="000000"/>
        </w:rPr>
        <w:t xml:space="preserve"> A eugenia ofereceu ao racismo uma linguagem de neutralidade, progresso e técnica, tornando-o mais eficaz e socialmente aceitável.</w:t>
      </w:r>
    </w:p>
    <w:p w14:paraId="61B5FE64" w14:textId="0D0350AC"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 versão “leve” mostrou-se particularmente conveniente ao contexto brasileiro, pois permitia justificar desigualdades sociais, raciais e educacionais sob o discurso da ciência e do progresso. Médicos, cientistas e intelectuais de diferentes áreas</w:t>
      </w:r>
      <w:r w:rsidR="00EC0900" w:rsidRPr="0075221B">
        <w:rPr>
          <w:rFonts w:ascii="Times New Roman" w:hAnsi="Times New Roman" w:cs="Times New Roman"/>
          <w:color w:val="000000"/>
        </w:rPr>
        <w:t>,</w:t>
      </w:r>
      <w:r w:rsidRPr="0075221B">
        <w:rPr>
          <w:rFonts w:ascii="Times New Roman" w:hAnsi="Times New Roman" w:cs="Times New Roman"/>
          <w:color w:val="000000"/>
        </w:rPr>
        <w:t xml:space="preserve"> da biologia à sociologia</w:t>
      </w:r>
      <w:r w:rsidR="00EC0900" w:rsidRPr="0075221B">
        <w:rPr>
          <w:rFonts w:ascii="Times New Roman" w:hAnsi="Times New Roman" w:cs="Times New Roman"/>
          <w:color w:val="000000"/>
        </w:rPr>
        <w:t xml:space="preserve">, </w:t>
      </w:r>
      <w:r w:rsidRPr="0075221B">
        <w:rPr>
          <w:rFonts w:ascii="Times New Roman" w:hAnsi="Times New Roman" w:cs="Times New Roman"/>
          <w:color w:val="000000"/>
        </w:rPr>
        <w:t>passaram a influenciar diretamente as políticas públicas, especialmente no campo educacional. Segundo Dávila (2006), a eugenia brasileira foi defendida por uma confederação de profissionais unidos pelo desejo nacionalista de afastar o país da suposta degeneração resultante da miscigenação, da pobreza e de costumes considerados “primitivos” e insalubres.</w:t>
      </w:r>
    </w:p>
    <w:p w14:paraId="1DED1BB8"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 projeto esteve diretamente conectado à ideologia do embranquecimento da população. Para viabilizá-lo, intelectuais se organizaram em associações como a Sociedade Eugênica de São Paulo, a Liga da Higiene Mental, a Associação de Biotipologia e a Liga Pró-Saneamento. Nomes como Fernando Peixoto, Edgar Roquette-Pinto e Afrânio Peixoto tiveram atuação central em reformas dos sistemas escolares do Rio de Janeiro e de São Paulo, defendendo a inserção da eugenia nas políticas públicas. A ciência era apresentada como algo que “transcendia” a política, o que permitia despolitizar o debate racial ao apresentá-lo como uma questão técnica e neutra.</w:t>
      </w:r>
    </w:p>
    <w:p w14:paraId="6A6D5076" w14:textId="291ACEEF" w:rsidR="004C5189" w:rsidRPr="0075221B" w:rsidRDefault="004C5189" w:rsidP="004C5189">
      <w:pPr>
        <w:jc w:val="center"/>
        <w:rPr>
          <w:rFonts w:ascii="Times New Roman" w:hAnsi="Times New Roman" w:cs="Times New Roman"/>
          <w:b/>
          <w:bCs/>
        </w:rPr>
      </w:pPr>
      <w:r w:rsidRPr="0075221B">
        <w:rPr>
          <w:rFonts w:ascii="Times New Roman" w:hAnsi="Times New Roman" w:cs="Times New Roman"/>
          <w:b/>
          <w:bCs/>
        </w:rPr>
        <w:t>1.4 Escola e saúde: quando o Estado aprende a governar por meio da educação</w:t>
      </w:r>
      <w:r w:rsidR="00AB1935">
        <w:rPr>
          <w:rFonts w:ascii="Times New Roman" w:hAnsi="Times New Roman" w:cs="Times New Roman"/>
          <w:b/>
          <w:bCs/>
        </w:rPr>
        <w:t xml:space="preserve"> </w:t>
      </w:r>
    </w:p>
    <w:p w14:paraId="2F61E779" w14:textId="76B740B0" w:rsidR="001107DA" w:rsidRPr="0075221B" w:rsidRDefault="00552866" w:rsidP="001107D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Nesse contexto, o racismo não se desenvolveu como coincidência histórica, mas como projeto de país, que teve nas escolas e nas políticas de saúde pública importantes instrumentos de sustentação. Educação e saúde foram capturadas por esse ideário, e o desenvolvimento nacional passou a ser pensado a partir de um viés racial, no qual pobreza e desigualdades eram interpretadas como problemas médicos, culturais e psicológicos (Lima</w:t>
      </w:r>
      <w:r w:rsidR="001107DA" w:rsidRPr="0075221B">
        <w:rPr>
          <w:rFonts w:ascii="Times New Roman" w:hAnsi="Times New Roman" w:cs="Times New Roman"/>
          <w:color w:val="000000"/>
        </w:rPr>
        <w:t xml:space="preserve"> e </w:t>
      </w:r>
      <w:proofErr w:type="spellStart"/>
      <w:r w:rsidR="001107DA" w:rsidRPr="0075221B">
        <w:rPr>
          <w:rFonts w:ascii="Times New Roman" w:hAnsi="Times New Roman" w:cs="Times New Roman"/>
        </w:rPr>
        <w:t>Hochman</w:t>
      </w:r>
      <w:proofErr w:type="spellEnd"/>
      <w:r w:rsidRPr="0075221B">
        <w:rPr>
          <w:rFonts w:ascii="Times New Roman" w:hAnsi="Times New Roman" w:cs="Times New Roman"/>
          <w:color w:val="000000"/>
        </w:rPr>
        <w:t xml:space="preserve">, 1996). </w:t>
      </w:r>
    </w:p>
    <w:p w14:paraId="51777F39" w14:textId="4D6EFD69" w:rsidR="00552866" w:rsidRPr="0075221B" w:rsidRDefault="00552866" w:rsidP="00B077D9">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Assim, a escola torna-se um espaço privilegiado de produção de normalidades: define quem é “apto”, quem precisa ser “corrigido”, quais valores devem ser cultivados e quais práticas culturais devem ser combatidas.</w:t>
      </w:r>
      <w:r w:rsidR="00B077D9" w:rsidRPr="0075221B">
        <w:rPr>
          <w:rFonts w:ascii="Times New Roman" w:hAnsi="Times New Roman" w:cs="Times New Roman"/>
          <w:color w:val="000000"/>
        </w:rPr>
        <w:t xml:space="preserve"> A educação e saúde foram articuladas como ferramentas de modernização e controle, com um viés racial estruturante.</w:t>
      </w:r>
    </w:p>
    <w:p w14:paraId="70588E96" w14:textId="20FC20B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A figura de Monteiro Lobato foi muito importante nesse Brasil eugenista. Por meio de seus personagens e de sua literatura, difundiu concepções profundamente racistas. Em 1914, criou o personagem Jeca Tatu, um caipira que reunia, segundo essa visão, tudo o que haveria de “errado” nas populações racialmente miscigenadas. O ensaio atribuía a Jeca a responsabilidade pelas dificuldades econômicas e políticas do país. Posteriormente, Lobato apresenta uma suposta “cura” para o personagem: um médico ambulante o libertaria de sua degeneração, permitindo-lhe prosperar economicamente. Essa narrativa foi amplamente divulgada por instituições como a Sociedade Eugênica de São Paulo e a Liga Pró-Saneamento, reforçando a ideia de que pobreza e exclusão teriam origem racial e cultural</w:t>
      </w:r>
      <w:r w:rsidR="00B077D9" w:rsidRPr="0075221B">
        <w:rPr>
          <w:rFonts w:ascii="Times New Roman" w:hAnsi="Times New Roman" w:cs="Times New Roman"/>
          <w:color w:val="000000"/>
        </w:rPr>
        <w:t xml:space="preserve"> (Dávila ,2006).</w:t>
      </w:r>
    </w:p>
    <w:p w14:paraId="378C9328" w14:textId="45C88FE6" w:rsidR="00711277" w:rsidRPr="0075221B" w:rsidRDefault="00711277" w:rsidP="005643C3">
      <w:pPr>
        <w:jc w:val="center"/>
        <w:rPr>
          <w:rFonts w:ascii="Times New Roman" w:hAnsi="Times New Roman" w:cs="Times New Roman"/>
          <w:b/>
          <w:bCs/>
        </w:rPr>
      </w:pPr>
      <w:r w:rsidRPr="0075221B">
        <w:rPr>
          <w:rFonts w:ascii="Times New Roman" w:hAnsi="Times New Roman" w:cs="Times New Roman"/>
          <w:b/>
          <w:bCs/>
        </w:rPr>
        <w:t>1.5 Pacto da branquitude: privilégios preservados por instituições</w:t>
      </w:r>
    </w:p>
    <w:p w14:paraId="3036B465"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consolidação do racismo como estrutura social no Brasil encontrou na escola um de seus principais dispositivos de operacionalização, especialmente a partir da incorporação de pressupostos eugênicos às políticas educacionais. Ao se apresentar como saber científico legítimo, a eugenia forneceu à educação códigos aparentemente neutros para classificar, hierarquizar e intervir sobre corpos e mentes, transformando desigualdades raciais em diferenças supostamente naturais de capacidade intelectual. Nesse sentido, a escola não apenas refletiu o projeto eugenista de nação: ela se tornou um de seus braços executores, ao definir padrões de normalidade, desempenho e inteligência alinhados à branquitude.</w:t>
      </w:r>
    </w:p>
    <w:p w14:paraId="3DB360AE" w14:textId="2ABAE76E"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Como argumenta Cida Bento (2022), o pacto da branquitude opera precisamente na preservação de privilégios, sustentando práticas institucionais que mantêm grupos brancos nos lugares de poder, inclusive por meio da produção e validação do conhecimento escolar. Isso ajuda a compreender por que determinadas trajetórias são vistas como “naturais” e outras como “improváveis”, por que certos estudantes são associados ao “potencial” e outros ao “esforço”</w:t>
      </w:r>
      <w:r w:rsidR="006F60A4" w:rsidRPr="0075221B">
        <w:rPr>
          <w:rFonts w:ascii="Times New Roman" w:hAnsi="Times New Roman" w:cs="Times New Roman"/>
          <w:color w:val="000000"/>
        </w:rPr>
        <w:t>,</w:t>
      </w:r>
      <w:r w:rsidRPr="0075221B">
        <w:rPr>
          <w:rFonts w:ascii="Times New Roman" w:hAnsi="Times New Roman" w:cs="Times New Roman"/>
          <w:color w:val="000000"/>
        </w:rPr>
        <w:t xml:space="preserve"> e porque, muitas vezes, a escola lê o fracasso como responsabilidade individual, em vez de reconhecê-lo como efeito estrutural.</w:t>
      </w:r>
      <w:r w:rsidR="006F60A4" w:rsidRPr="0075221B">
        <w:rPr>
          <w:rFonts w:ascii="Times New Roman" w:hAnsi="Times New Roman" w:cs="Times New Roman"/>
          <w:color w:val="000000"/>
        </w:rPr>
        <w:t xml:space="preserve"> O racismo institucional não depende apenas de exclusões explícitas; ele se sustenta pela preservação cotidiana de privilégios.</w:t>
      </w:r>
    </w:p>
    <w:p w14:paraId="2590D2D2" w14:textId="0CA140B5"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leitura de </w:t>
      </w:r>
      <w:proofErr w:type="spellStart"/>
      <w:r w:rsidRPr="0075221B">
        <w:rPr>
          <w:rFonts w:ascii="Times New Roman" w:hAnsi="Times New Roman" w:cs="Times New Roman"/>
          <w:color w:val="000000"/>
        </w:rPr>
        <w:t>Djamila</w:t>
      </w:r>
      <w:proofErr w:type="spellEnd"/>
      <w:r w:rsidRPr="0075221B">
        <w:rPr>
          <w:rFonts w:ascii="Times New Roman" w:hAnsi="Times New Roman" w:cs="Times New Roman"/>
          <w:color w:val="000000"/>
        </w:rPr>
        <w:t xml:space="preserve"> Ribeiro (2019) contribui para perceber que o racismo institucional não se manifesta apenas por ações explícitas de exclusão, mas também por meio da normalização de critérios que favorecem determinados grupos raciais. No âmbito educacional, pressupostos eugênicos influenciaram a construção de currículos, métodos avaliativos e práticas pedagógicas, promovendo a ideia de que o fracasso escolar estaria </w:t>
      </w:r>
      <w:r w:rsidRPr="0075221B">
        <w:rPr>
          <w:rFonts w:ascii="Times New Roman" w:hAnsi="Times New Roman" w:cs="Times New Roman"/>
          <w:color w:val="000000"/>
        </w:rPr>
        <w:lastRenderedPageBreak/>
        <w:t>associado a déficits culturais, cognitivos ou morais dos estudantes</w:t>
      </w:r>
      <w:r w:rsidR="001825EE" w:rsidRPr="0075221B">
        <w:rPr>
          <w:rFonts w:ascii="Times New Roman" w:hAnsi="Times New Roman" w:cs="Times New Roman"/>
          <w:color w:val="000000"/>
        </w:rPr>
        <w:t xml:space="preserve">, </w:t>
      </w:r>
      <w:r w:rsidRPr="0075221B">
        <w:rPr>
          <w:rFonts w:ascii="Times New Roman" w:hAnsi="Times New Roman" w:cs="Times New Roman"/>
          <w:color w:val="000000"/>
        </w:rPr>
        <w:t>especialmente os negros. A escola, ao adotar essas concepções, passou a funcionar como um espaço de triagem social, no qual a exclusão era justificada por discursos técnicos e científicos, e não como resultado de um projeto político racializado.</w:t>
      </w:r>
    </w:p>
    <w:p w14:paraId="5E35FDAF" w14:textId="6D1ADB5C" w:rsidR="00C467CA" w:rsidRPr="0075221B" w:rsidRDefault="00C467CA" w:rsidP="00C467CA">
      <w:pPr>
        <w:jc w:val="center"/>
        <w:rPr>
          <w:rFonts w:ascii="Times New Roman" w:hAnsi="Times New Roman" w:cs="Times New Roman"/>
          <w:b/>
          <w:bCs/>
        </w:rPr>
      </w:pPr>
      <w:r w:rsidRPr="0075221B">
        <w:rPr>
          <w:rFonts w:ascii="Times New Roman" w:hAnsi="Times New Roman" w:cs="Times New Roman"/>
          <w:b/>
          <w:bCs/>
        </w:rPr>
        <w:t>1.6 Epistemicídio: apagar saberes para governar o futuro</w:t>
      </w:r>
    </w:p>
    <w:p w14:paraId="4DDE8477" w14:textId="5152B8E2"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análise da eugenia no campo educacional exige incorporar o conceito de epistemicídio, desenvolvido por Sueli Carneiro, que se refere ao processo sistemático de deslegitimação, silenciamento e destruição dos saberes produzidos por populações negras. Como afirma a autora, “o epistemicídio fere de morte a racionalidade do subjugado ou a sequestra, mutila a capacidade de aprender etc.” (Carneiro, 2005, p. 97). Para além da violência física e da exclusão material, o projeto eugenista operou como política de conhecimento, ao definir quais formas de saber seriam consideradas científicas, racionais e universais, e quais seriam classificadas como atrasadas, primitivas ou inexistentes.</w:t>
      </w:r>
      <w:r w:rsidR="003C3449" w:rsidRPr="0075221B">
        <w:rPr>
          <w:rFonts w:ascii="Times New Roman" w:hAnsi="Times New Roman" w:cs="Times New Roman"/>
          <w:color w:val="000000"/>
        </w:rPr>
        <w:t xml:space="preserve"> O racismo também opera como política de conhecimento: define quem pode produzir saber e quais saberes têm estatuto de verdade.</w:t>
      </w:r>
    </w:p>
    <w:p w14:paraId="6C8CB8B9" w14:textId="77777777"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âmbito da educação brasileira, esse epistemicídio se materializou na construção de currículos eurocentrados, na ausência de referências intelectuais negras e na negação dos saberes afro-brasileiros como produtores legítimos de conhecimento. Ao articular raça, ciência e educação, a eugenia forneceu base ideológica para que a escola atuasse não apenas como espaço de reprodução das desigualdades raciais, mas como agente ativo na produção do apagamento epistemológico, comprometendo o desenvolvimento de uma educação plural, democrática e socialmente referenciada.</w:t>
      </w:r>
    </w:p>
    <w:p w14:paraId="1253EC2E" w14:textId="22C8C541" w:rsidR="005775AE" w:rsidRPr="0075221B" w:rsidRDefault="005775AE" w:rsidP="005775AE">
      <w:pPr>
        <w:jc w:val="center"/>
        <w:rPr>
          <w:rFonts w:ascii="Times New Roman" w:hAnsi="Times New Roman" w:cs="Times New Roman"/>
          <w:b/>
          <w:bCs/>
        </w:rPr>
      </w:pPr>
      <w:r w:rsidRPr="0075221B">
        <w:rPr>
          <w:rFonts w:ascii="Times New Roman" w:hAnsi="Times New Roman" w:cs="Times New Roman"/>
          <w:b/>
          <w:bCs/>
        </w:rPr>
        <w:t>1.7 Matemática escolar e “neutralidade”: um filtro racial sofisticado</w:t>
      </w:r>
    </w:p>
    <w:p w14:paraId="4D51E57F" w14:textId="5160BB62" w:rsidR="00552866" w:rsidRPr="0075221B" w:rsidRDefault="00552866" w:rsidP="008C686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ensino da Matemática, esses processos assumem contornos ainda mais sofisticados. A Matemática é frequentemente apresentada como um campo neutro, universal e descontextualizado, o que contribui para invisibilizar os mecanismos raciais que atravessam suas práticas. Avaliações padronizadas, classificações de desempenho e a valorização exclusiva de determinadas formas de raciocínio operam como instrumentos históricos de exclusão, alinhados a concepções eugênicas de inteligência. Sob o discurso da objetividade, a Matemática escolar pode funcionar como filtro: legitima trajetórias de sucesso associadas à branquitude e naturaliza a exclusão de estudantes negros dos espaços de excelência acadêmica.</w:t>
      </w:r>
      <w:r w:rsidR="00A60B89" w:rsidRPr="0075221B">
        <w:rPr>
          <w:rFonts w:ascii="Times New Roman" w:hAnsi="Times New Roman" w:cs="Times New Roman"/>
          <w:color w:val="000000"/>
        </w:rPr>
        <w:t xml:space="preserve"> </w:t>
      </w:r>
    </w:p>
    <w:p w14:paraId="6E5283FF" w14:textId="77777777" w:rsidR="00570CE9" w:rsidRPr="0075221B" w:rsidRDefault="00552866" w:rsidP="003571A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Dessa forma, o racismo no campo educacional não deve ser compreendido como um desvio ou uma falha pontual, mas como parte constitutiva do projeto de escola que se </w:t>
      </w:r>
      <w:r w:rsidRPr="0075221B">
        <w:rPr>
          <w:rFonts w:ascii="Times New Roman" w:hAnsi="Times New Roman" w:cs="Times New Roman"/>
          <w:color w:val="000000"/>
        </w:rPr>
        <w:lastRenderedPageBreak/>
        <w:t>consolidou no Brasil. Reconhecer essa trajetória</w:t>
      </w:r>
      <w:r w:rsidR="008C686C" w:rsidRPr="0075221B">
        <w:rPr>
          <w:rFonts w:ascii="Times New Roman" w:hAnsi="Times New Roman" w:cs="Times New Roman"/>
          <w:color w:val="000000"/>
        </w:rPr>
        <w:t xml:space="preserve"> : </w:t>
      </w:r>
      <w:r w:rsidRPr="0075221B">
        <w:rPr>
          <w:rFonts w:ascii="Times New Roman" w:hAnsi="Times New Roman" w:cs="Times New Roman"/>
          <w:color w:val="000000"/>
        </w:rPr>
        <w:t>da escravidão à eugenia, do pacto da branquitude ao epistemicídio, e da escola às práticas supostamente neutras</w:t>
      </w:r>
      <w:r w:rsidR="008C686C" w:rsidRPr="0075221B">
        <w:rPr>
          <w:rFonts w:ascii="Times New Roman" w:hAnsi="Times New Roman" w:cs="Times New Roman"/>
          <w:color w:val="000000"/>
        </w:rPr>
        <w:t>. É</w:t>
      </w:r>
      <w:r w:rsidRPr="0075221B">
        <w:rPr>
          <w:rFonts w:ascii="Times New Roman" w:hAnsi="Times New Roman" w:cs="Times New Roman"/>
          <w:color w:val="000000"/>
        </w:rPr>
        <w:t xml:space="preserve"> condição indispensável para compreender por que a Matemática, muitas vezes, aparece como “porta estreita” para alguns e como direito real para poucos.</w:t>
      </w:r>
    </w:p>
    <w:p w14:paraId="6E9ED268" w14:textId="77777777" w:rsidR="00570CE9" w:rsidRPr="0075221B" w:rsidRDefault="00570CE9" w:rsidP="00570CE9">
      <w:pPr>
        <w:jc w:val="center"/>
        <w:rPr>
          <w:rFonts w:ascii="Times New Roman" w:hAnsi="Times New Roman" w:cs="Times New Roman"/>
          <w:b/>
          <w:bCs/>
        </w:rPr>
      </w:pPr>
      <w:r w:rsidRPr="0075221B">
        <w:rPr>
          <w:rFonts w:ascii="Times New Roman" w:hAnsi="Times New Roman" w:cs="Times New Roman"/>
          <w:b/>
          <w:bCs/>
        </w:rPr>
        <w:t>1.8 Letramento racial como compromisso docente no ensino de Matemática</w:t>
      </w:r>
    </w:p>
    <w:p w14:paraId="1E856CF0" w14:textId="08743CF0" w:rsidR="00552866" w:rsidRPr="0075221B" w:rsidRDefault="00552866" w:rsidP="003571A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Reconhecer esse percurso histórico é condição indispensável para o desenvolvimento do letramento racial de quem ensina Matemática. Somente a partir dessa compreensão crítica torna-se possível questionar a suposta neutralidade da escola e da Matemática </w:t>
      </w:r>
      <w:r w:rsidR="007E0253" w:rsidRPr="0075221B">
        <w:rPr>
          <w:rFonts w:ascii="Times New Roman" w:hAnsi="Times New Roman" w:cs="Times New Roman"/>
          <w:color w:val="000000"/>
        </w:rPr>
        <w:t>para</w:t>
      </w:r>
      <w:r w:rsidRPr="0075221B">
        <w:rPr>
          <w:rFonts w:ascii="Times New Roman" w:hAnsi="Times New Roman" w:cs="Times New Roman"/>
          <w:color w:val="000000"/>
        </w:rPr>
        <w:t xml:space="preserve"> avançar na construção de práticas pedagógicas comprometidas com a equidade racial.</w:t>
      </w:r>
      <w:r w:rsidR="003571A6" w:rsidRPr="0075221B">
        <w:rPr>
          <w:rFonts w:ascii="Times New Roman" w:hAnsi="Times New Roman" w:cs="Times New Roman"/>
          <w:color w:val="000000"/>
        </w:rPr>
        <w:t xml:space="preserve"> </w:t>
      </w:r>
    </w:p>
    <w:p w14:paraId="7FB0F160" w14:textId="2D9108EF" w:rsidR="00552866" w:rsidRPr="0075221B" w:rsidRDefault="00552866"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Portanto, defendo que quem atua na educação brasileira deva assumir o letramento racial como parte constitutiva de sua prática profissional. Não se trata da adoção de um modelo prescritivo ou de um conjunto fechado de técnicas, mas de um movimento contínuo de reflexão crítica sobre as próprias ações pedagógicas</w:t>
      </w:r>
      <w:r w:rsidR="00400425" w:rsidRPr="0075221B">
        <w:rPr>
          <w:rFonts w:ascii="Times New Roman" w:hAnsi="Times New Roman" w:cs="Times New Roman"/>
          <w:color w:val="000000"/>
        </w:rPr>
        <w:t xml:space="preserve">, </w:t>
      </w:r>
      <w:r w:rsidRPr="0075221B">
        <w:rPr>
          <w:rFonts w:ascii="Times New Roman" w:hAnsi="Times New Roman" w:cs="Times New Roman"/>
          <w:color w:val="000000"/>
        </w:rPr>
        <w:t>especialmente aquelas realizadas em sala de aula. Essa mudança possui um endereço e um propósito explícitos: nossos estudantes negros, historicamente atravessados por desigualdades estruturais no acesso, na permanência e no reconhecimento escolar. Ser letrado racialmente implica posicionar-se como agente de transformação social, comprometido com a construção de um projeto educacional mais justo. Nesse sentido, ensinar Matemática a partir do letramento racial permite compreender que desigualdades de aprendizagem não são fruto de déficits individuais, mas resultado de processos históricos, sociais e institucionais que atravessam a escola e o currículo.</w:t>
      </w:r>
    </w:p>
    <w:p w14:paraId="4228E6F0" w14:textId="00B738C7" w:rsidR="00552866" w:rsidRPr="0075221B" w:rsidRDefault="00DF42FB" w:rsidP="0055286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Assim, </w:t>
      </w:r>
      <w:r w:rsidR="00552866" w:rsidRPr="0075221B">
        <w:rPr>
          <w:rFonts w:ascii="Times New Roman" w:hAnsi="Times New Roman" w:cs="Times New Roman"/>
          <w:color w:val="000000"/>
        </w:rPr>
        <w:t xml:space="preserve">neste capítulo, </w:t>
      </w:r>
      <w:r w:rsidRPr="0075221B">
        <w:rPr>
          <w:rFonts w:ascii="Times New Roman" w:hAnsi="Times New Roman" w:cs="Times New Roman"/>
          <w:color w:val="000000"/>
        </w:rPr>
        <w:t xml:space="preserve"> busquei apresentar </w:t>
      </w:r>
      <w:r w:rsidR="00552866" w:rsidRPr="0075221B">
        <w:rPr>
          <w:rFonts w:ascii="Times New Roman" w:hAnsi="Times New Roman" w:cs="Times New Roman"/>
          <w:color w:val="000000"/>
        </w:rPr>
        <w:t xml:space="preserve">a reconstrução histórica </w:t>
      </w:r>
      <w:r w:rsidRPr="0075221B">
        <w:rPr>
          <w:rFonts w:ascii="Times New Roman" w:hAnsi="Times New Roman" w:cs="Times New Roman"/>
          <w:color w:val="000000"/>
        </w:rPr>
        <w:t>sobre</w:t>
      </w:r>
      <w:r w:rsidR="00552866" w:rsidRPr="0075221B">
        <w:rPr>
          <w:rFonts w:ascii="Times New Roman" w:hAnsi="Times New Roman" w:cs="Times New Roman"/>
          <w:color w:val="000000"/>
        </w:rPr>
        <w:t xml:space="preserve"> como o racismo se estruturou e se atualizou na escola</w:t>
      </w:r>
      <w:r w:rsidRPr="0075221B">
        <w:rPr>
          <w:rFonts w:ascii="Times New Roman" w:hAnsi="Times New Roman" w:cs="Times New Roman"/>
          <w:color w:val="000000"/>
        </w:rPr>
        <w:t>,</w:t>
      </w:r>
      <w:r w:rsidR="00552866" w:rsidRPr="0075221B">
        <w:rPr>
          <w:rFonts w:ascii="Times New Roman" w:hAnsi="Times New Roman" w:cs="Times New Roman"/>
          <w:color w:val="000000"/>
        </w:rPr>
        <w:t xml:space="preserve"> com a eugenia oferecendo linguagem “técnica” e o epistemicídio restringindo o que pode ser reconhecido como sabe</w:t>
      </w:r>
      <w:r w:rsidRPr="0075221B">
        <w:rPr>
          <w:rFonts w:ascii="Times New Roman" w:hAnsi="Times New Roman" w:cs="Times New Roman"/>
          <w:color w:val="000000"/>
        </w:rPr>
        <w:t>r. O próximo</w:t>
      </w:r>
      <w:r w:rsidR="00552866" w:rsidRPr="0075221B">
        <w:rPr>
          <w:rFonts w:ascii="Times New Roman" w:hAnsi="Times New Roman" w:cs="Times New Roman"/>
          <w:color w:val="000000"/>
        </w:rPr>
        <w:t xml:space="preserve"> capítulo aprofunda uma pergunta central: por que a Matemática, em particular, foi (e ainda é) um lugar privilegiado de seleção e hierarquização? A partir daí, torna-se possível explicitar como práticas curriculares e avaliativas, frequentemente tomadas como neutras, operaram como tecnologias de exclusão</w:t>
      </w:r>
      <w:r w:rsidRPr="0075221B">
        <w:rPr>
          <w:rFonts w:ascii="Times New Roman" w:hAnsi="Times New Roman" w:cs="Times New Roman"/>
          <w:color w:val="000000"/>
        </w:rPr>
        <w:t>,</w:t>
      </w:r>
      <w:r w:rsidR="00552866" w:rsidRPr="0075221B">
        <w:rPr>
          <w:rFonts w:ascii="Times New Roman" w:hAnsi="Times New Roman" w:cs="Times New Roman"/>
          <w:color w:val="000000"/>
        </w:rPr>
        <w:t xml:space="preserve"> e porque, então, faz sentido (e é necessário) misturar Matemática com discussões sobre raça</w:t>
      </w:r>
      <w:r w:rsidRPr="0075221B">
        <w:rPr>
          <w:rFonts w:ascii="Times New Roman" w:hAnsi="Times New Roman" w:cs="Times New Roman"/>
          <w:color w:val="000000"/>
        </w:rPr>
        <w:t>.</w:t>
      </w:r>
    </w:p>
    <w:p w14:paraId="5C3E76DD" w14:textId="77777777" w:rsidR="003C3BBC" w:rsidRPr="0075221B" w:rsidRDefault="003C3BBC" w:rsidP="003C3BBC">
      <w:pPr>
        <w:spacing w:line="360" w:lineRule="auto"/>
        <w:ind w:firstLine="709"/>
        <w:jc w:val="both"/>
        <w:rPr>
          <w:rFonts w:ascii="Times New Roman" w:hAnsi="Times New Roman" w:cs="Times New Roman"/>
          <w:b/>
          <w:bCs/>
        </w:rPr>
      </w:pPr>
      <w:r w:rsidRPr="0075221B">
        <w:rPr>
          <w:rFonts w:ascii="Times New Roman" w:hAnsi="Times New Roman" w:cs="Times New Roman"/>
          <w:b/>
          <w:bCs/>
        </w:rPr>
        <w:t>Capítulo 2 - Afinal, por que misturar Matemática com discussões sobre raça?</w:t>
      </w:r>
    </w:p>
    <w:p w14:paraId="370AF3B1" w14:textId="3082BD8A" w:rsidR="0081145E" w:rsidRPr="0075221B" w:rsidRDefault="007D1424" w:rsidP="00676B8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 ponto importante é compreendemos que a ideia de raça que prevalecia</w:t>
      </w:r>
      <w:r w:rsidR="00776404" w:rsidRPr="0075221B">
        <w:rPr>
          <w:rFonts w:ascii="Times New Roman" w:hAnsi="Times New Roman" w:cs="Times New Roman"/>
          <w:color w:val="000000"/>
        </w:rPr>
        <w:t xml:space="preserve">, por volta de 1930, </w:t>
      </w:r>
      <w:r w:rsidRPr="0075221B">
        <w:rPr>
          <w:rFonts w:ascii="Times New Roman" w:hAnsi="Times New Roman" w:cs="Times New Roman"/>
          <w:color w:val="000000"/>
        </w:rPr>
        <w:t>era oriund</w:t>
      </w:r>
      <w:r w:rsidR="004A78AD" w:rsidRPr="0075221B">
        <w:rPr>
          <w:rFonts w:ascii="Times New Roman" w:hAnsi="Times New Roman" w:cs="Times New Roman"/>
          <w:color w:val="000000"/>
        </w:rPr>
        <w:t>a</w:t>
      </w:r>
      <w:r w:rsidRPr="0075221B">
        <w:rPr>
          <w:rFonts w:ascii="Times New Roman" w:hAnsi="Times New Roman" w:cs="Times New Roman"/>
          <w:color w:val="000000"/>
        </w:rPr>
        <w:t xml:space="preserve"> de cinco pressupostos. O primeiro determinava a realidade das raças, o segundo era uma conexão entre as características físicas e morais, o terceiro </w:t>
      </w:r>
      <w:r w:rsidRPr="0075221B">
        <w:rPr>
          <w:rFonts w:ascii="Times New Roman" w:hAnsi="Times New Roman" w:cs="Times New Roman"/>
          <w:color w:val="000000"/>
        </w:rPr>
        <w:lastRenderedPageBreak/>
        <w:t xml:space="preserve">destacava a relevância do grupo </w:t>
      </w:r>
      <w:proofErr w:type="spellStart"/>
      <w:r w:rsidRPr="0075221B">
        <w:rPr>
          <w:rFonts w:ascii="Times New Roman" w:hAnsi="Times New Roman" w:cs="Times New Roman"/>
          <w:color w:val="000000"/>
        </w:rPr>
        <w:t>racio</w:t>
      </w:r>
      <w:proofErr w:type="spellEnd"/>
      <w:r w:rsidRPr="0075221B">
        <w:rPr>
          <w:rFonts w:ascii="Times New Roman" w:hAnsi="Times New Roman" w:cs="Times New Roman"/>
          <w:color w:val="000000"/>
        </w:rPr>
        <w:t>-cultural do comportamento do indivíduo. O quarto afirmava a existência de estruturas diferentes como também a existência de hierarquias humanas únicas, com a Europa no topo da pirâmide na base, a</w:t>
      </w:r>
      <w:r w:rsidR="00676B86" w:rsidRPr="0075221B">
        <w:rPr>
          <w:rFonts w:ascii="Times New Roman" w:hAnsi="Times New Roman" w:cs="Times New Roman"/>
          <w:color w:val="000000"/>
        </w:rPr>
        <w:t>s populações nativas dos países coloniais. E o quinto indicava a urgência de um política que tivesse harmonizasse todas essas ideias, que neste caso seria a própria eugenia</w:t>
      </w:r>
      <w:r w:rsidR="00B523BA" w:rsidRPr="0075221B">
        <w:rPr>
          <w:rFonts w:ascii="Times New Roman" w:hAnsi="Times New Roman" w:cs="Times New Roman"/>
          <w:color w:val="000000"/>
        </w:rPr>
        <w:t xml:space="preserve">. A eugenia no Brasil dava conta de estabelecer uma desigualdade </w:t>
      </w:r>
      <w:r w:rsidR="00263A69" w:rsidRPr="0075221B">
        <w:rPr>
          <w:rFonts w:ascii="Times New Roman" w:hAnsi="Times New Roman" w:cs="Times New Roman"/>
          <w:color w:val="000000"/>
        </w:rPr>
        <w:t>biológica</w:t>
      </w:r>
      <w:r w:rsidR="00B523BA" w:rsidRPr="0075221B">
        <w:rPr>
          <w:rFonts w:ascii="Times New Roman" w:hAnsi="Times New Roman" w:cs="Times New Roman"/>
          <w:color w:val="000000"/>
        </w:rPr>
        <w:t>, com um discurso supostamente universal. E, principalmente, para naturalizar o predomínio de determinadas posições sociais e silenciar aquelas que não estariam no padrão desejado</w:t>
      </w:r>
      <w:r w:rsidR="004A78AD" w:rsidRPr="0075221B">
        <w:rPr>
          <w:rFonts w:ascii="Times New Roman" w:hAnsi="Times New Roman" w:cs="Times New Roman"/>
          <w:color w:val="000000"/>
        </w:rPr>
        <w:t>( Schwarcz, 2023).</w:t>
      </w:r>
    </w:p>
    <w:p w14:paraId="532CB178" w14:textId="69E157A3" w:rsidR="00D4012C" w:rsidRPr="0075221B" w:rsidRDefault="00D4012C" w:rsidP="00D4012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complexidade da estrutura social brasileira é atravessada por múltiplas dimensões, entre as quais se destacam os conceitos de raça e de etnia. Embora frequentemente empregados de forma indistinta, é fundamental compreender suas distinções e implicações. O termo “raça” tem sido historicamente utilizado para classificar grupos humanos com base em características fenotípicas, como a cor da pele, a textura do cabelo e traços morfológicos diversos. No entanto, avanços na genética evidenciam que a diversidade genética </w:t>
      </w:r>
      <w:proofErr w:type="spellStart"/>
      <w:proofErr w:type="gramStart"/>
      <w:r w:rsidRPr="0075221B">
        <w:rPr>
          <w:rFonts w:ascii="Times New Roman" w:hAnsi="Times New Roman" w:cs="Times New Roman"/>
          <w:color w:val="000000"/>
        </w:rPr>
        <w:t>intra-grupos</w:t>
      </w:r>
      <w:proofErr w:type="spellEnd"/>
      <w:proofErr w:type="gramEnd"/>
      <w:r w:rsidRPr="0075221B">
        <w:rPr>
          <w:rFonts w:ascii="Times New Roman" w:hAnsi="Times New Roman" w:cs="Times New Roman"/>
          <w:color w:val="000000"/>
        </w:rPr>
        <w:t xml:space="preserve"> raciais pode ser maior do que aquela observada entre grupos diferentes, o que reforça a noção de que a raça é uma construção social, forjada por narrativas históricas e relações de poder, e não um conceito biologicamente válido. Apesar de sua ampla utilização, há um consenso crescente na comunidade científica de que o termo “raça” carece de fundamentos biológicos, sendo mais apropriado compreendê-lo como uma categoria social</w:t>
      </w:r>
      <w:r w:rsidR="0045215F" w:rsidRPr="0075221B">
        <w:rPr>
          <w:rFonts w:ascii="Times New Roman" w:hAnsi="Times New Roman" w:cs="Times New Roman"/>
          <w:color w:val="000000"/>
        </w:rPr>
        <w:t xml:space="preserve"> (Rutherford, </w:t>
      </w:r>
      <w:r w:rsidR="006E5C40" w:rsidRPr="0075221B">
        <w:rPr>
          <w:rFonts w:ascii="Times New Roman" w:hAnsi="Times New Roman" w:cs="Times New Roman"/>
          <w:color w:val="000000"/>
        </w:rPr>
        <w:t>2025).</w:t>
      </w:r>
    </w:p>
    <w:p w14:paraId="73384E0F" w14:textId="77777777" w:rsidR="005A2671" w:rsidRPr="0075221B" w:rsidRDefault="00D4012C" w:rsidP="005A2671">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contraste, o conceito de etnia possui uma natureza mais abrangente e cultural. Derivado do grego “</w:t>
      </w:r>
      <w:proofErr w:type="spellStart"/>
      <w:r w:rsidRPr="0075221B">
        <w:rPr>
          <w:rFonts w:ascii="Times New Roman" w:hAnsi="Times New Roman" w:cs="Times New Roman"/>
          <w:color w:val="000000"/>
        </w:rPr>
        <w:t>ethnos</w:t>
      </w:r>
      <w:proofErr w:type="spellEnd"/>
      <w:r w:rsidRPr="0075221B">
        <w:rPr>
          <w:rFonts w:ascii="Times New Roman" w:hAnsi="Times New Roman" w:cs="Times New Roman"/>
          <w:color w:val="000000"/>
        </w:rPr>
        <w:t>”, que designava “povo” ou “nação estrangeira”, etnia se refere a um conjunto de elementos identitários compartilhados, tais como laços de ancestralidade, práticas religiosas, idioma, território e formas de organização social — podendo incluir também características físicas (Santos et al, 2010). Etnia abrange, portanto, um espectro mais amplo, incorporando, além dos aspectos físicos, dimensões culturais como nacionalidade e tradições compartilhadas. Guimarães (2003) argumenta que as raças são produtos de discursos, construções narrativas que moldam nossa compreensão sobre origens e identidades. Esses discursos, imersos na cultura simbólica, frequentemente associam características físicas a qualidades morais e intelectuais, perpetuando estereótipos e desigualdades.</w:t>
      </w:r>
    </w:p>
    <w:p w14:paraId="56F03CB3" w14:textId="08F00A43" w:rsidR="00D53167" w:rsidRPr="0075221B" w:rsidRDefault="00D4012C" w:rsidP="005A2671">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contexto brasileiro, as complexas interações entre raça e etnia, ou seja, as relações étnico-raciais, desempenham um papel fundamental na dinâmica social e, consequentemente, no ambiente escolar.</w:t>
      </w:r>
      <w:r w:rsidR="005A2671" w:rsidRPr="0075221B">
        <w:rPr>
          <w:rFonts w:ascii="Times New Roman" w:hAnsi="Times New Roman" w:cs="Times New Roman"/>
          <w:color w:val="000000"/>
        </w:rPr>
        <w:t xml:space="preserve"> E a</w:t>
      </w:r>
      <w:r w:rsidR="00D53167" w:rsidRPr="0075221B">
        <w:rPr>
          <w:rFonts w:ascii="Times New Roman" w:hAnsi="Times New Roman" w:cs="Times New Roman"/>
          <w:color w:val="000000"/>
        </w:rPr>
        <w:t xml:space="preserve">o longo da leitura deste livro, é possível que </w:t>
      </w:r>
      <w:r w:rsidR="00D53167" w:rsidRPr="0075221B">
        <w:rPr>
          <w:rFonts w:ascii="Times New Roman" w:hAnsi="Times New Roman" w:cs="Times New Roman"/>
          <w:color w:val="000000"/>
        </w:rPr>
        <w:lastRenderedPageBreak/>
        <w:t>o leitor tenha se perguntado: por que conectar o ensino de Matemática às discussões raciais? Essa dúvida é legítima. De modo geral, a Matemática tem sido historicamente apresentada como uma área neutra, universal e desvinculada de contextos sociais, culturais e políticos. Estudos como os de Cunha Júnior (2017), Alves-Brito et al. (2021), Santiago (2022) e Sousa, Silva e Carvalho (2024) indicam que a produção acadêmica em Educação Matemática ainda é incipiente no que se refere à Educação para as Relações Étnico-Raciais (ERER), à Educação Escolar Indígena (EEI) e à Educação Escolar Quilombola (EEQ). Essa lacuna não é casual: ela se relaciona a um projeto histórico de escolarização que operou seletivamente, tanto no acesso quanto na legitimação dos saberes considerados válidos.</w:t>
      </w:r>
    </w:p>
    <w:p w14:paraId="59557DA9"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tese que proponho neste capítulo é a seguinte: a Matemática escolar, no Brasil, foi historicamente mobilizada como tecnologia de seleção e classificação, e essa seleção, ainda que frequentemente apresentada como “técnica” e “neutra”, esteve atravessada por raça e classe. Por isso, discutir Matemática e raça não é “misturar temas”; é reconhecer que a escola produziu desigualdades também por meio do que ensinou, do que avaliou e de como estabeleceu quem estaria autorizado a “ser bom” em Matemática.</w:t>
      </w:r>
    </w:p>
    <w:p w14:paraId="707010BE" w14:textId="24441927" w:rsidR="00000CD5" w:rsidRPr="0075221B" w:rsidRDefault="00000CD5" w:rsidP="00000CD5">
      <w:pPr>
        <w:spacing w:line="360" w:lineRule="auto"/>
        <w:ind w:firstLine="709"/>
        <w:jc w:val="both"/>
        <w:rPr>
          <w:rFonts w:ascii="Times New Roman" w:hAnsi="Times New Roman" w:cs="Times New Roman"/>
          <w:b/>
          <w:bCs/>
        </w:rPr>
      </w:pPr>
      <w:r w:rsidRPr="0075221B">
        <w:rPr>
          <w:rFonts w:ascii="Times New Roman" w:hAnsi="Times New Roman" w:cs="Times New Roman"/>
          <w:b/>
          <w:bCs/>
        </w:rPr>
        <w:t>2.1 A escola eugênica: expansão com triagem</w:t>
      </w:r>
    </w:p>
    <w:p w14:paraId="355414EA" w14:textId="794952CC" w:rsidR="00D53167" w:rsidRPr="0075221B" w:rsidRDefault="00D53167" w:rsidP="005A2671">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compreender essa relação, é necessário retomar a década de 1930, período marcado pela consolidação do Estado Novo no Brasil e pela institucionalização de políticas públicas fortemente influenciadas pelo pensamento eugênico. A Constituição de 1934, ao afirmar explicitamente a necessidade de “estimular a educação eugênica” (Brasil, 1934), conferiu respaldo legal a um conjunto de práticas que já vinham sendo articuladas por médicos, educadores e intelectuais desde o início do século XX. Ainda que o texto constitucional não definisse explicitamente a eugenia em termos raciais, sua aplicação prática esteve profundamente atravessada por hierarquias de raça, classe e cultura.</w:t>
      </w:r>
      <w:r w:rsidR="005A2671" w:rsidRPr="0075221B">
        <w:rPr>
          <w:rFonts w:ascii="Times New Roman" w:hAnsi="Times New Roman" w:cs="Times New Roman"/>
          <w:color w:val="000000"/>
        </w:rPr>
        <w:t xml:space="preserve"> A expansão da escola, nos anos 1930, não significou inclusão plena; significou também o refinamento de mecanismos de classificação.</w:t>
      </w:r>
    </w:p>
    <w:p w14:paraId="75B3258E"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década de 1930 foi uma época de ouro para os reformadores educacionais, que ganharam oportunidades inéditas de colocar suas ideias em prática. Suas reformas, tanto no Rio de Janeiro quanto nos estados, foram notáveis pela extensão da expansão do sistema escolar e profundidade das reformas institucionais. Os educadores se valeram não só das ciências aliadas à eugenia, como também abraçaram práticas de racionalização sistemática cada vez mais aplicadas à indústria no Brasil (D’Avila, 2006, p. 34). Em outras </w:t>
      </w:r>
      <w:r w:rsidRPr="0075221B">
        <w:rPr>
          <w:rFonts w:ascii="Times New Roman" w:hAnsi="Times New Roman" w:cs="Times New Roman"/>
          <w:color w:val="000000"/>
        </w:rPr>
        <w:lastRenderedPageBreak/>
        <w:t>palavras: ampliou-se a escolarização, mas também se ampliaram os dispositivos de ordenação, triagem e hierarquização dos estudantes.</w:t>
      </w:r>
    </w:p>
    <w:p w14:paraId="74B49C8A"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Nesse contexto, a escola pública tornou-se um dos principais dispositivos de operacionalização da eugenia no Brasil. Reformadores educacionais como Fernando de Azevedo, Manoel Lourenço Filho e Anísio Teixeira defendiam a ampliação do acesso à escola como estratégia de modernização nacional. Contudo, essa ampliação não significava inclusão plena. Tratava-se de um projeto de reforma social que pressupunha a existência de grupos mais aptos ao desenvolvimento intelectual e outros destinados ao trabalho manual e à disciplina moral, reforçando desigualdades raciais já existentes (Dávila, 2006).</w:t>
      </w:r>
    </w:p>
    <w:p w14:paraId="4FE63FCF"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alguns educadores, como Fernando Azevedo e Manoel Lourenço Filho, era importante que todas as crianças estivessem na escola, com o intuito de formar uma reforma social por meio da educação. Assim, as camadas mais populares continuariam tendo um direcionamento para trabalhar nas indústrias e teriam acesso a uma educação que contribuísse para que o projeto racial brasileiro ultrapassasse gerações e permanecesse em prática. Para tanto, houve financiamento por parte de grandes empresários de indústrias brasileiras e de médicos eugenistas: uma elite branca que, com base nas próprias crenças sociais, influenciou o programa de ensino do país para atender a um objetivo em comum: “aperfeiçoar” a raça (Silva e Santos, 2024).</w:t>
      </w:r>
    </w:p>
    <w:p w14:paraId="4F2AD4C5"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Muitos intelectuais atribuíam a inferioridade do povo brasileiro à herança biológica e cultural da “raça negra”, impressa no fenômeno da mestiçagem. Todavia, esses pressupostos racistas não ficaram confinados aos meios acadêmicos: foram divulgados por jornalistas, incorporados em discursos médicos e debatidos por políticos, que, aliás, os adotaram na elaboração e implementação de programas governamentais (Dávila, 2006). É nesse cenário que a “medição” do estudante ganha status de ciência e passa a organizar parte significativa da vida escolar.</w:t>
      </w:r>
    </w:p>
    <w:p w14:paraId="55AD3580" w14:textId="62909025" w:rsidR="00000CD5" w:rsidRPr="0075221B" w:rsidRDefault="00000CD5" w:rsidP="00000CD5">
      <w:pPr>
        <w:spacing w:line="360" w:lineRule="auto"/>
        <w:ind w:firstLine="709"/>
        <w:jc w:val="both"/>
        <w:rPr>
          <w:rFonts w:ascii="Times New Roman" w:hAnsi="Times New Roman" w:cs="Times New Roman"/>
          <w:b/>
          <w:bCs/>
        </w:rPr>
      </w:pPr>
      <w:r w:rsidRPr="0075221B">
        <w:rPr>
          <w:rFonts w:ascii="Times New Roman" w:hAnsi="Times New Roman" w:cs="Times New Roman"/>
          <w:b/>
          <w:bCs/>
        </w:rPr>
        <w:t xml:space="preserve">2.2 </w:t>
      </w:r>
      <w:r w:rsidR="00AB1935" w:rsidRPr="00AB1935">
        <w:rPr>
          <w:rFonts w:ascii="Times New Roman" w:hAnsi="Times New Roman" w:cs="Times New Roman"/>
          <w:b/>
          <w:bCs/>
        </w:rPr>
        <w:t>Testes, medidas, avaliação e a produção do “fracasso escolar”</w:t>
      </w:r>
    </w:p>
    <w:p w14:paraId="685F287C" w14:textId="5618A476"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Instituto de Pesquisas Educacionais (IPE), criado por Anísio Teixeira em 1938 (Brasil, 1938), no Rio de Janeiro, exemplifica esse modelo. Estruturado a partir de departamentos como Testes e Medidas, Antropometria, Ortofrenia e Higiene Mental, o IPE incorporou práticas científicas que buscavam classificar, medir e hierarquizar os estudantes. Para os eugenistas, o desempenho escolar era interpretado como expressão direta da herança genética, minimizando o papel das condições sociais.</w:t>
      </w:r>
      <w:r w:rsidR="000B1A8A" w:rsidRPr="0075221B">
        <w:rPr>
          <w:rFonts w:ascii="Times New Roman" w:hAnsi="Times New Roman" w:cs="Times New Roman"/>
          <w:color w:val="000000"/>
        </w:rPr>
        <w:t xml:space="preserve"> </w:t>
      </w:r>
    </w:p>
    <w:p w14:paraId="7980A3B5" w14:textId="79559FC2" w:rsidR="005E462D" w:rsidRPr="0075221B" w:rsidRDefault="00D53167" w:rsidP="005E462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O IPE desenvolveu algumas das mais avançadas pesquisas educacionais, sociológicas, eugênicas e psicológicas de sua época, por meio de quatro departamentos. O serviço de Testes e Medidas aplicava testes psicológicos e de inteligência aos estudantes; sua principal medida era o teste de </w:t>
      </w:r>
      <w:proofErr w:type="spellStart"/>
      <w:r w:rsidRPr="0075221B">
        <w:rPr>
          <w:rFonts w:ascii="Times New Roman" w:hAnsi="Times New Roman" w:cs="Times New Roman"/>
          <w:color w:val="000000"/>
        </w:rPr>
        <w:t>Terman</w:t>
      </w:r>
      <w:proofErr w:type="spellEnd"/>
      <w:r w:rsidRPr="0075221B">
        <w:rPr>
          <w:rFonts w:ascii="Times New Roman" w:hAnsi="Times New Roman" w:cs="Times New Roman"/>
          <w:color w:val="000000"/>
        </w:rPr>
        <w:t xml:space="preserve">, sustentado pela crença de que a adequação eugênica de algumas crianças seria inerentemente superior à de outras. Os resultados desses testes implicavam na separação de alunos brancos e negros, assim como de alunos ricos e pobres. </w:t>
      </w:r>
      <w:r w:rsidR="00C60957" w:rsidRPr="0075221B">
        <w:rPr>
          <w:rFonts w:ascii="Times New Roman" w:hAnsi="Times New Roman" w:cs="Times New Roman"/>
          <w:color w:val="000000"/>
        </w:rPr>
        <w:t>Vale</w:t>
      </w:r>
      <w:r w:rsidRPr="0075221B">
        <w:rPr>
          <w:rFonts w:ascii="Times New Roman" w:hAnsi="Times New Roman" w:cs="Times New Roman"/>
          <w:color w:val="000000"/>
        </w:rPr>
        <w:t xml:space="preserve"> destacar que, para os eugenistas, as condições sociais importavam menos quando comparadas às supostas qualidades intelectuais: o bom resultado no teste seria fruto da herança genética. O Serviço de Cinema e Rádio Educacional tinha como meta atingir indivíduos analfabetos e despreparados do interior do país, onde se acreditava que a degeneração fosse mais severa. A Ortofrenia e Higiene Mental combinava influências da psicologia freudiana, da criminologia italiana e da antropologia cultural. Por meio dela, acreditava-se que afro-brasileiros e crianças se encaixariam em uma categoria similar de desenvolvimento primitivo e pré-lógico. A Antropometria focava nos aspectos físicos da degeneração e da eugenia: acreditava-se que, por meio de um inventário de biótipos humanos, os recursos biológicos de uma nação poderiam ser dirigidos de modo eficiente rumo aos objetivos do Estado (Stepan, 1991).</w:t>
      </w:r>
      <w:r w:rsidR="005E462D" w:rsidRPr="0075221B">
        <w:rPr>
          <w:rFonts w:ascii="Times New Roman" w:hAnsi="Times New Roman" w:cs="Times New Roman"/>
          <w:color w:val="000000"/>
        </w:rPr>
        <w:t xml:space="preserve"> O IPE exemplifica como a escola se converteu em laboratório de classificação, com instrumentos que transformavam desigualdade em “diagnóstico”.</w:t>
      </w:r>
    </w:p>
    <w:p w14:paraId="25A1111D" w14:textId="571551B6" w:rsidR="00D53167" w:rsidRPr="0075221B" w:rsidRDefault="00D53167" w:rsidP="006C72EA">
      <w:pPr>
        <w:spacing w:line="360" w:lineRule="auto"/>
        <w:ind w:firstLine="709"/>
        <w:jc w:val="both"/>
        <w:rPr>
          <w:rFonts w:ascii="Times New Roman" w:hAnsi="Times New Roman" w:cs="Times New Roman"/>
          <w:color w:val="000000"/>
        </w:rPr>
      </w:pPr>
    </w:p>
    <w:p w14:paraId="3BEAA4F6" w14:textId="3419BCEB" w:rsidR="00863B1B" w:rsidRPr="0075221B" w:rsidRDefault="00D53167" w:rsidP="005E462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Quadro 1 – O IPE e a operacionalização escolar da eugenia (Rio de Janeiro, década de 1930)</w:t>
      </w:r>
    </w:p>
    <w:tbl>
      <w:tblPr>
        <w:tblStyle w:val="SimplesTabela1"/>
        <w:tblW w:w="8784" w:type="dxa"/>
        <w:tblLook w:val="0420" w:firstRow="1" w:lastRow="0" w:firstColumn="0" w:lastColumn="0" w:noHBand="0" w:noVBand="1"/>
      </w:tblPr>
      <w:tblGrid>
        <w:gridCol w:w="1916"/>
        <w:gridCol w:w="2757"/>
        <w:gridCol w:w="4111"/>
      </w:tblGrid>
      <w:tr w:rsidR="00863B1B" w:rsidRPr="0075221B" w14:paraId="79098034" w14:textId="77777777" w:rsidTr="00863B1B">
        <w:trPr>
          <w:cnfStyle w:val="100000000000" w:firstRow="1" w:lastRow="0" w:firstColumn="0" w:lastColumn="0" w:oddVBand="0" w:evenVBand="0" w:oddHBand="0" w:evenHBand="0" w:firstRowFirstColumn="0" w:firstRowLastColumn="0" w:lastRowFirstColumn="0" w:lastRowLastColumn="0"/>
        </w:trPr>
        <w:tc>
          <w:tcPr>
            <w:tcW w:w="1916" w:type="dxa"/>
          </w:tcPr>
          <w:p w14:paraId="1E5829F1" w14:textId="7C884F36" w:rsidR="00863B1B" w:rsidRPr="0075221B" w:rsidRDefault="00863B1B" w:rsidP="00863B1B">
            <w:pPr>
              <w:rPr>
                <w:rFonts w:ascii="Times New Roman" w:hAnsi="Times New Roman" w:cs="Times New Roman"/>
              </w:rPr>
            </w:pPr>
            <w:r w:rsidRPr="0075221B">
              <w:rPr>
                <w:rFonts w:ascii="Times New Roman" w:hAnsi="Times New Roman" w:cs="Times New Roman"/>
              </w:rPr>
              <w:t>Método</w:t>
            </w:r>
          </w:p>
        </w:tc>
        <w:tc>
          <w:tcPr>
            <w:tcW w:w="2757" w:type="dxa"/>
          </w:tcPr>
          <w:p w14:paraId="374DD306" w14:textId="1453C248" w:rsidR="00863B1B" w:rsidRPr="0075221B" w:rsidRDefault="00863B1B" w:rsidP="00863B1B">
            <w:pPr>
              <w:rPr>
                <w:rFonts w:ascii="Times New Roman" w:hAnsi="Times New Roman" w:cs="Times New Roman"/>
              </w:rPr>
            </w:pPr>
            <w:r w:rsidRPr="0075221B">
              <w:rPr>
                <w:rFonts w:ascii="Times New Roman" w:hAnsi="Times New Roman" w:cs="Times New Roman"/>
              </w:rPr>
              <w:t>Descrição</w:t>
            </w:r>
          </w:p>
        </w:tc>
        <w:tc>
          <w:tcPr>
            <w:tcW w:w="4111" w:type="dxa"/>
          </w:tcPr>
          <w:p w14:paraId="3FA56A2B" w14:textId="6C50FAC7" w:rsidR="00863B1B" w:rsidRPr="0075221B" w:rsidRDefault="00863B1B" w:rsidP="00863B1B">
            <w:pPr>
              <w:rPr>
                <w:rFonts w:ascii="Times New Roman" w:hAnsi="Times New Roman" w:cs="Times New Roman"/>
              </w:rPr>
            </w:pPr>
            <w:r w:rsidRPr="0075221B">
              <w:rPr>
                <w:rFonts w:ascii="Times New Roman" w:hAnsi="Times New Roman" w:cs="Times New Roman"/>
              </w:rPr>
              <w:t>Efeito escolar</w:t>
            </w:r>
          </w:p>
        </w:tc>
      </w:tr>
      <w:tr w:rsidR="00863B1B" w:rsidRPr="0075221B" w14:paraId="3F8325DD" w14:textId="77777777" w:rsidTr="00863B1B">
        <w:trPr>
          <w:cnfStyle w:val="000000100000" w:firstRow="0" w:lastRow="0" w:firstColumn="0" w:lastColumn="0" w:oddVBand="0" w:evenVBand="0" w:oddHBand="1" w:evenHBand="0" w:firstRowFirstColumn="0" w:firstRowLastColumn="0" w:lastRowFirstColumn="0" w:lastRowLastColumn="0"/>
        </w:trPr>
        <w:tc>
          <w:tcPr>
            <w:tcW w:w="1916" w:type="dxa"/>
          </w:tcPr>
          <w:p w14:paraId="5256F6CD" w14:textId="255066BA" w:rsidR="00863B1B" w:rsidRPr="0075221B" w:rsidRDefault="00863B1B" w:rsidP="00863B1B">
            <w:pPr>
              <w:rPr>
                <w:rFonts w:ascii="Times New Roman" w:hAnsi="Times New Roman" w:cs="Times New Roman"/>
              </w:rPr>
            </w:pPr>
            <w:r w:rsidRPr="0075221B">
              <w:rPr>
                <w:rFonts w:ascii="Times New Roman" w:hAnsi="Times New Roman" w:cs="Times New Roman"/>
              </w:rPr>
              <w:t>Testes e Medidas</w:t>
            </w:r>
          </w:p>
        </w:tc>
        <w:tc>
          <w:tcPr>
            <w:tcW w:w="2757" w:type="dxa"/>
          </w:tcPr>
          <w:p w14:paraId="6D46ED9D" w14:textId="1881C670" w:rsidR="00863B1B" w:rsidRPr="0075221B" w:rsidRDefault="00863B1B" w:rsidP="00863B1B">
            <w:pPr>
              <w:rPr>
                <w:rFonts w:ascii="Times New Roman" w:hAnsi="Times New Roman" w:cs="Times New Roman"/>
              </w:rPr>
            </w:pPr>
            <w:r w:rsidRPr="0075221B">
              <w:rPr>
                <w:rFonts w:ascii="Times New Roman" w:hAnsi="Times New Roman" w:cs="Times New Roman"/>
              </w:rPr>
              <w:t xml:space="preserve">aplicação de testes psicológicos e de inteligência (ex.: </w:t>
            </w:r>
            <w:proofErr w:type="spellStart"/>
            <w:r w:rsidRPr="0075221B">
              <w:rPr>
                <w:rFonts w:ascii="Times New Roman" w:hAnsi="Times New Roman" w:cs="Times New Roman"/>
              </w:rPr>
              <w:t>Terman</w:t>
            </w:r>
            <w:proofErr w:type="spellEnd"/>
            <w:r w:rsidRPr="0075221B">
              <w:rPr>
                <w:rFonts w:ascii="Times New Roman" w:hAnsi="Times New Roman" w:cs="Times New Roman"/>
              </w:rPr>
              <w:t>)</w:t>
            </w:r>
          </w:p>
        </w:tc>
        <w:tc>
          <w:tcPr>
            <w:tcW w:w="4111" w:type="dxa"/>
          </w:tcPr>
          <w:p w14:paraId="55168364" w14:textId="45A67A7F" w:rsidR="00863B1B" w:rsidRPr="0075221B" w:rsidRDefault="00863B1B" w:rsidP="00863B1B">
            <w:pPr>
              <w:rPr>
                <w:rFonts w:ascii="Times New Roman" w:hAnsi="Times New Roman" w:cs="Times New Roman"/>
              </w:rPr>
            </w:pPr>
            <w:r w:rsidRPr="0075221B">
              <w:rPr>
                <w:rFonts w:ascii="Times New Roman" w:hAnsi="Times New Roman" w:cs="Times New Roman"/>
              </w:rPr>
              <w:t>classificação, hierarquização e naturalização de diferenças sob discurso técnico</w:t>
            </w:r>
          </w:p>
        </w:tc>
      </w:tr>
      <w:tr w:rsidR="00863B1B" w:rsidRPr="0075221B" w14:paraId="5BB09A07" w14:textId="77777777" w:rsidTr="00863B1B">
        <w:tc>
          <w:tcPr>
            <w:tcW w:w="1916" w:type="dxa"/>
          </w:tcPr>
          <w:p w14:paraId="439B508E" w14:textId="2111F262" w:rsidR="00863B1B" w:rsidRPr="0075221B" w:rsidRDefault="00863B1B" w:rsidP="00863B1B">
            <w:pPr>
              <w:rPr>
                <w:rFonts w:ascii="Times New Roman" w:hAnsi="Times New Roman" w:cs="Times New Roman"/>
              </w:rPr>
            </w:pPr>
            <w:r w:rsidRPr="0075221B">
              <w:rPr>
                <w:rFonts w:ascii="Times New Roman" w:hAnsi="Times New Roman" w:cs="Times New Roman"/>
              </w:rPr>
              <w:t>Antropometria</w:t>
            </w:r>
          </w:p>
        </w:tc>
        <w:tc>
          <w:tcPr>
            <w:tcW w:w="2757" w:type="dxa"/>
          </w:tcPr>
          <w:p w14:paraId="386E3CF7" w14:textId="488C6C66" w:rsidR="00863B1B" w:rsidRPr="0075221B" w:rsidRDefault="00863B1B" w:rsidP="00863B1B">
            <w:pPr>
              <w:rPr>
                <w:rFonts w:ascii="Times New Roman" w:hAnsi="Times New Roman" w:cs="Times New Roman"/>
              </w:rPr>
            </w:pPr>
            <w:r w:rsidRPr="0075221B">
              <w:rPr>
                <w:rFonts w:ascii="Times New Roman" w:hAnsi="Times New Roman" w:cs="Times New Roman"/>
              </w:rPr>
              <w:t>medição e inventário de “biótipos”</w:t>
            </w:r>
          </w:p>
        </w:tc>
        <w:tc>
          <w:tcPr>
            <w:tcW w:w="4111" w:type="dxa"/>
          </w:tcPr>
          <w:p w14:paraId="7825A05A" w14:textId="4E2753E1" w:rsidR="00863B1B" w:rsidRPr="0075221B" w:rsidRDefault="00863B1B" w:rsidP="00863B1B">
            <w:pPr>
              <w:rPr>
                <w:rFonts w:ascii="Times New Roman" w:hAnsi="Times New Roman" w:cs="Times New Roman"/>
              </w:rPr>
            </w:pPr>
            <w:r w:rsidRPr="0075221B">
              <w:rPr>
                <w:rFonts w:ascii="Times New Roman" w:hAnsi="Times New Roman" w:cs="Times New Roman"/>
              </w:rPr>
              <w:t>leitura do corpo como evidência de normalidade/degeneração e base para intervenções</w:t>
            </w:r>
          </w:p>
        </w:tc>
      </w:tr>
      <w:tr w:rsidR="00863B1B" w:rsidRPr="0075221B" w14:paraId="2C4D2B4D" w14:textId="77777777" w:rsidTr="00863B1B">
        <w:trPr>
          <w:cnfStyle w:val="000000100000" w:firstRow="0" w:lastRow="0" w:firstColumn="0" w:lastColumn="0" w:oddVBand="0" w:evenVBand="0" w:oddHBand="1" w:evenHBand="0" w:firstRowFirstColumn="0" w:firstRowLastColumn="0" w:lastRowFirstColumn="0" w:lastRowLastColumn="0"/>
        </w:trPr>
        <w:tc>
          <w:tcPr>
            <w:tcW w:w="1916" w:type="dxa"/>
          </w:tcPr>
          <w:p w14:paraId="6996BE1B" w14:textId="2782FFAB" w:rsidR="00863B1B" w:rsidRPr="0075221B" w:rsidRDefault="00863B1B" w:rsidP="00863B1B">
            <w:pPr>
              <w:rPr>
                <w:rFonts w:ascii="Times New Roman" w:hAnsi="Times New Roman" w:cs="Times New Roman"/>
              </w:rPr>
            </w:pPr>
            <w:r w:rsidRPr="0075221B">
              <w:rPr>
                <w:rFonts w:ascii="Times New Roman" w:hAnsi="Times New Roman" w:cs="Times New Roman"/>
              </w:rPr>
              <w:t>Ortofrenia e Higiene Mental</w:t>
            </w:r>
          </w:p>
        </w:tc>
        <w:tc>
          <w:tcPr>
            <w:tcW w:w="2757" w:type="dxa"/>
          </w:tcPr>
          <w:p w14:paraId="5708111C" w14:textId="6796FCAA" w:rsidR="00863B1B" w:rsidRPr="0075221B" w:rsidRDefault="00863B1B" w:rsidP="00863B1B">
            <w:pPr>
              <w:rPr>
                <w:rFonts w:ascii="Times New Roman" w:hAnsi="Times New Roman" w:cs="Times New Roman"/>
              </w:rPr>
            </w:pPr>
            <w:r w:rsidRPr="0075221B">
              <w:rPr>
                <w:rFonts w:ascii="Times New Roman" w:hAnsi="Times New Roman" w:cs="Times New Roman"/>
              </w:rPr>
              <w:t>psicologia, criminologia e antropologia cultural</w:t>
            </w:r>
          </w:p>
        </w:tc>
        <w:tc>
          <w:tcPr>
            <w:tcW w:w="4111" w:type="dxa"/>
          </w:tcPr>
          <w:p w14:paraId="6B855050" w14:textId="2667F2C8" w:rsidR="00863B1B" w:rsidRPr="0075221B" w:rsidRDefault="00863B1B" w:rsidP="00863B1B">
            <w:pPr>
              <w:rPr>
                <w:rFonts w:ascii="Times New Roman" w:hAnsi="Times New Roman" w:cs="Times New Roman"/>
              </w:rPr>
            </w:pPr>
            <w:r w:rsidRPr="0075221B">
              <w:rPr>
                <w:rFonts w:ascii="Times New Roman" w:hAnsi="Times New Roman" w:cs="Times New Roman"/>
              </w:rPr>
              <w:t>enquadramento de estudantes como sujeitos a “correção” moral, emocional e cultural</w:t>
            </w:r>
          </w:p>
        </w:tc>
      </w:tr>
      <w:tr w:rsidR="00863B1B" w:rsidRPr="0075221B" w14:paraId="740B77EF" w14:textId="77777777" w:rsidTr="00863B1B">
        <w:tc>
          <w:tcPr>
            <w:tcW w:w="1916" w:type="dxa"/>
          </w:tcPr>
          <w:p w14:paraId="046A6503" w14:textId="77050DD2" w:rsidR="00863B1B" w:rsidRPr="0075221B" w:rsidRDefault="00863B1B" w:rsidP="00863B1B">
            <w:pPr>
              <w:rPr>
                <w:rFonts w:ascii="Times New Roman" w:hAnsi="Times New Roman" w:cs="Times New Roman"/>
              </w:rPr>
            </w:pPr>
            <w:r w:rsidRPr="0075221B">
              <w:rPr>
                <w:rFonts w:ascii="Times New Roman" w:hAnsi="Times New Roman" w:cs="Times New Roman"/>
              </w:rPr>
              <w:t>Rádio e Cinema Educativos</w:t>
            </w:r>
          </w:p>
        </w:tc>
        <w:tc>
          <w:tcPr>
            <w:tcW w:w="2757" w:type="dxa"/>
          </w:tcPr>
          <w:p w14:paraId="00B1D8B2" w14:textId="17F03730" w:rsidR="00863B1B" w:rsidRPr="0075221B" w:rsidRDefault="00863B1B" w:rsidP="00863B1B">
            <w:pPr>
              <w:rPr>
                <w:rFonts w:ascii="Times New Roman" w:hAnsi="Times New Roman" w:cs="Times New Roman"/>
              </w:rPr>
            </w:pPr>
            <w:r w:rsidRPr="0075221B">
              <w:rPr>
                <w:rFonts w:ascii="Times New Roman" w:hAnsi="Times New Roman" w:cs="Times New Roman"/>
              </w:rPr>
              <w:t>ações voltadas a populações do interior</w:t>
            </w:r>
          </w:p>
        </w:tc>
        <w:tc>
          <w:tcPr>
            <w:tcW w:w="4111" w:type="dxa"/>
          </w:tcPr>
          <w:p w14:paraId="41D2C568" w14:textId="7581F6B0" w:rsidR="00863B1B" w:rsidRPr="0075221B" w:rsidRDefault="00863B1B" w:rsidP="00863B1B">
            <w:pPr>
              <w:rPr>
                <w:rFonts w:ascii="Times New Roman" w:hAnsi="Times New Roman" w:cs="Times New Roman"/>
              </w:rPr>
            </w:pPr>
            <w:r w:rsidRPr="0075221B">
              <w:rPr>
                <w:rFonts w:ascii="Times New Roman" w:hAnsi="Times New Roman" w:cs="Times New Roman"/>
              </w:rPr>
              <w:t>difusão de um projeto civilizatório que associa modernização a controle cultural</w:t>
            </w:r>
          </w:p>
        </w:tc>
      </w:tr>
    </w:tbl>
    <w:p w14:paraId="0340AAD3" w14:textId="265B6FCA" w:rsidR="00863B1B" w:rsidRPr="0075221B" w:rsidRDefault="00863B1B" w:rsidP="00863B1B">
      <w:pPr>
        <w:rPr>
          <w:rFonts w:ascii="Times New Roman" w:hAnsi="Times New Roman" w:cs="Times New Roman"/>
        </w:rPr>
      </w:pPr>
      <w:r w:rsidRPr="0075221B">
        <w:rPr>
          <w:rFonts w:ascii="Times New Roman" w:hAnsi="Times New Roman" w:cs="Times New Roman"/>
        </w:rPr>
        <w:t>Referências: Stepan, 1991; Dávila, 2006</w:t>
      </w:r>
    </w:p>
    <w:p w14:paraId="7B53C7D3" w14:textId="77777777" w:rsidR="00C91435" w:rsidRPr="0075221B" w:rsidRDefault="00C91435" w:rsidP="00863B1B">
      <w:pPr>
        <w:rPr>
          <w:rFonts w:ascii="Times New Roman" w:hAnsi="Times New Roman" w:cs="Times New Roman"/>
        </w:rPr>
      </w:pPr>
    </w:p>
    <w:p w14:paraId="0F742A59" w14:textId="5D22EF24"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Os testes de inteligência, como o teste de </w:t>
      </w:r>
      <w:proofErr w:type="spellStart"/>
      <w:r w:rsidRPr="0075221B">
        <w:rPr>
          <w:rFonts w:ascii="Times New Roman" w:hAnsi="Times New Roman" w:cs="Times New Roman"/>
          <w:color w:val="000000"/>
        </w:rPr>
        <w:t>Terman</w:t>
      </w:r>
      <w:proofErr w:type="spellEnd"/>
      <w:r w:rsidRPr="0075221B">
        <w:rPr>
          <w:rFonts w:ascii="Times New Roman" w:hAnsi="Times New Roman" w:cs="Times New Roman"/>
          <w:color w:val="000000"/>
        </w:rPr>
        <w:t xml:space="preserve">, eram utilizados para justificar a separação entre alunos considerados aptos e inaptos, frequentemente reproduzindo </w:t>
      </w:r>
      <w:r w:rsidRPr="0075221B">
        <w:rPr>
          <w:rFonts w:ascii="Times New Roman" w:hAnsi="Times New Roman" w:cs="Times New Roman"/>
          <w:color w:val="000000"/>
        </w:rPr>
        <w:lastRenderedPageBreak/>
        <w:t>distinções raciais e de classe sob o discurso da neutralidade científica. Com isso, a escola passa a operar como triagem: não apenas para ensinar melhor, mas para selecionar quem supostamente “merec</w:t>
      </w:r>
      <w:r w:rsidR="00FE00AB" w:rsidRPr="0075221B">
        <w:rPr>
          <w:rFonts w:ascii="Times New Roman" w:hAnsi="Times New Roman" w:cs="Times New Roman"/>
          <w:color w:val="000000"/>
        </w:rPr>
        <w:t>ia</w:t>
      </w:r>
      <w:r w:rsidRPr="0075221B">
        <w:rPr>
          <w:rFonts w:ascii="Times New Roman" w:hAnsi="Times New Roman" w:cs="Times New Roman"/>
          <w:color w:val="000000"/>
        </w:rPr>
        <w:t>” avançar. Essas práticas consolidaram uma concepção de fracasso escolar que atribuía aos estudantes, especialmente negros e pobres, a responsabilidade por seu insucesso, apagando o caráter estrutural das desigualdades educacionais (Patto, 1999; 2004; 2015).</w:t>
      </w:r>
    </w:p>
    <w:p w14:paraId="597B5B72" w14:textId="3DEE1BD5" w:rsidR="00323DDA" w:rsidRPr="0075221B" w:rsidRDefault="00323DDA" w:rsidP="00323DDA">
      <w:pPr>
        <w:spacing w:line="360" w:lineRule="auto"/>
        <w:ind w:firstLine="709"/>
        <w:jc w:val="both"/>
        <w:rPr>
          <w:rFonts w:ascii="Times New Roman" w:hAnsi="Times New Roman" w:cs="Times New Roman"/>
          <w:b/>
          <w:bCs/>
        </w:rPr>
      </w:pPr>
      <w:r w:rsidRPr="0075221B">
        <w:rPr>
          <w:rFonts w:ascii="Times New Roman" w:hAnsi="Times New Roman" w:cs="Times New Roman"/>
          <w:b/>
          <w:bCs/>
        </w:rPr>
        <w:t>2.3 Currículo, cultura e epistemicídio: a escola como política de conhecimento</w:t>
      </w:r>
    </w:p>
    <w:p w14:paraId="7E710F46"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escola, nesse sentido, não apenas reproduzia hierarquias raciais: também contribuía para produzir um imaginário social no qual a cultura afro-brasileira era vista como atraso, patologia ou obstáculo ao progresso nacional. O antropólogo Arthur Ramos utilizou o sistema escolar no Rio para desenvolver estudos de caso sobre aspectos culturais do aperfeiçoamento da raça. Ele definia a cultura afro-brasileira como pré-lógica e defendia que as escolas poderiam ajudar as crianças a “evitar influência insidiosa do logro e da superstição” e “combater essa ação lenta e invisível da macumba e do feitiço que se infiltra em todos os tatos da nossa vida” (Ramos, 1934, p. 7).</w:t>
      </w:r>
    </w:p>
    <w:p w14:paraId="5263F9FF" w14:textId="5BFB23EB" w:rsidR="00D53167" w:rsidRPr="0075221B" w:rsidRDefault="00D53167" w:rsidP="003A479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Ramos defendia que problemas comportamentais, adaptativos e psicológicos das crianças emergiam de condições sociais cultural ou ambientalmente inadequadas. Para ele e outros pesquisadores, a escola seria um meio para diagnosticar desajustes na sociedade e um instrumento para romper o ciclo de pobreza. Ou seja, as crianças seriam a grande esperança de um país melhor. Mas melhor para quem e segundo quais valores? Um país que sistematicamente negou e suprimiu a cultura afro dos espaços escolares e das formações acadêmicas</w:t>
      </w:r>
      <w:r w:rsidR="003A479A" w:rsidRPr="0075221B">
        <w:rPr>
          <w:rFonts w:ascii="Times New Roman" w:hAnsi="Times New Roman" w:cs="Times New Roman"/>
          <w:color w:val="000000"/>
        </w:rPr>
        <w:t xml:space="preserve">, </w:t>
      </w:r>
      <w:r w:rsidRPr="0075221B">
        <w:rPr>
          <w:rFonts w:ascii="Times New Roman" w:hAnsi="Times New Roman" w:cs="Times New Roman"/>
          <w:color w:val="000000"/>
        </w:rPr>
        <w:t>o que compreendemos hoje como um verdadeiro epistemicídio.</w:t>
      </w:r>
      <w:r w:rsidR="003A479A" w:rsidRPr="0075221B">
        <w:rPr>
          <w:rFonts w:ascii="Times New Roman" w:hAnsi="Times New Roman" w:cs="Times New Roman"/>
          <w:color w:val="000000"/>
        </w:rPr>
        <w:t xml:space="preserve"> A eugenia não atuou apenas no corpo e na “inteligência”; atuou também no currículo e no que a escola reconhec</w:t>
      </w:r>
      <w:r w:rsidR="007B477A" w:rsidRPr="0075221B">
        <w:rPr>
          <w:rFonts w:ascii="Times New Roman" w:hAnsi="Times New Roman" w:cs="Times New Roman"/>
          <w:color w:val="000000"/>
        </w:rPr>
        <w:t>ia</w:t>
      </w:r>
      <w:r w:rsidR="003A479A" w:rsidRPr="0075221B">
        <w:rPr>
          <w:rFonts w:ascii="Times New Roman" w:hAnsi="Times New Roman" w:cs="Times New Roman"/>
          <w:color w:val="000000"/>
        </w:rPr>
        <w:t xml:space="preserve"> como conhecimento legítimo.</w:t>
      </w:r>
    </w:p>
    <w:p w14:paraId="607A985B"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As professoras que atuavam nessas escolas tinham a missão de redimir a raça: “Médicos e professores são, pois, hoje, os artífices de uma obra comum que é o aperfeiçoamento somático–psíquico do ser humano para que se possa com maior facilidade realizar os seus melhores destinos sobre a Terra” (Romero, 1943, p. 359). Esse tipo de concepção circulava também por revistas e publicações oficiais, como a Revista de Educação Pública, que o Departamento de Educação do Rio de Janeiro fazia circular entre docentes da cidade e sistemas escolares por todo o país, com ensaios sobre branqueamento, formação de uma raça homogênea e o perfil idealizado do “Homem brasileiro”.</w:t>
      </w:r>
    </w:p>
    <w:p w14:paraId="22A6F0F1" w14:textId="3C35B133" w:rsidR="00F27653" w:rsidRPr="0075221B" w:rsidRDefault="00F27653" w:rsidP="00F27653">
      <w:pPr>
        <w:spacing w:line="360" w:lineRule="auto"/>
        <w:ind w:firstLine="709"/>
        <w:jc w:val="both"/>
        <w:rPr>
          <w:rFonts w:ascii="Times New Roman" w:hAnsi="Times New Roman" w:cs="Times New Roman"/>
          <w:b/>
          <w:bCs/>
        </w:rPr>
      </w:pPr>
      <w:r w:rsidRPr="0075221B">
        <w:rPr>
          <w:rFonts w:ascii="Times New Roman" w:hAnsi="Times New Roman" w:cs="Times New Roman"/>
          <w:b/>
          <w:bCs/>
          <w:color w:val="000000"/>
        </w:rPr>
        <w:lastRenderedPageBreak/>
        <w:t>2</w:t>
      </w:r>
      <w:r w:rsidRPr="0075221B">
        <w:rPr>
          <w:rFonts w:ascii="Times New Roman" w:hAnsi="Times New Roman" w:cs="Times New Roman"/>
          <w:b/>
          <w:bCs/>
        </w:rPr>
        <w:t xml:space="preserve">.4 </w:t>
      </w:r>
      <w:r w:rsidR="005949C5" w:rsidRPr="005949C5">
        <w:rPr>
          <w:rFonts w:ascii="Times New Roman" w:hAnsi="Times New Roman" w:cs="Times New Roman"/>
          <w:b/>
          <w:bCs/>
        </w:rPr>
        <w:t>Quem é autorizado a ser bom em Matemática: imaginário social e exclusões</w:t>
      </w:r>
    </w:p>
    <w:p w14:paraId="6B861A1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Mas quem eram essas professoras? Como eram selecionadas? Qual era o processo de formação? A influência das ideias eugenistas também alcançou a formação docente. É importante destacar que a presença ou ausência de diferentes grupos sociais na profissão de professor no início do século XX é difícil de comprovar, pois há poucos dados censitários: o censo de 1920 não distinguia raças e, em 1940, apenas 7% das mulheres do Rio de Janeiro que trabalhavam no setor público identificavam-se como pretas ou pardas, ainda que mulheres negras constituíssem quase um terço da população feminina da cidade (Dávila, 2006).</w:t>
      </w:r>
    </w:p>
    <w:p w14:paraId="12A35E4A"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Xavier et al. (1994) relatam que, embora no final do século XIX os governos estaduais tivessem começado a organizar escolas normais, em 1950 apenas 60% dos docentes eram formados por elas. Em geral, não havia treinamento sistemático para ser professor do ensino elementar: bastava concluir o secundário, que hoje corresponde, em grande parte, aos anos finais do Ensino Fundamental e ao Ensino Médio. Além disso, as contratações se davam por indicações, segundo Dávila (2006). Registros como o da Frente Negra de Pelotas, em 1934, indicam as dificuldades enfrentadas por pessoas negras ao tentarem cargos públicos docentes:</w:t>
      </w:r>
    </w:p>
    <w:p w14:paraId="2064FB73"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“Muitas jovens </w:t>
      </w:r>
      <w:proofErr w:type="spellStart"/>
      <w:r w:rsidRPr="0075221B">
        <w:rPr>
          <w:rFonts w:ascii="Times New Roman" w:hAnsi="Times New Roman" w:cs="Times New Roman"/>
          <w:color w:val="000000"/>
        </w:rPr>
        <w:t>ethiopes</w:t>
      </w:r>
      <w:proofErr w:type="spellEnd"/>
      <w:r w:rsidRPr="0075221B">
        <w:rPr>
          <w:rFonts w:ascii="Times New Roman" w:hAnsi="Times New Roman" w:cs="Times New Roman"/>
          <w:color w:val="000000"/>
        </w:rPr>
        <w:t xml:space="preserve">, que se diplomam educadoras, lutam para conseguir lecionar e tem que o fazer particularmente, na impossibilidade de trabalhar para o Estado. A maioria desiste, vendo os exemplos dolorosos, e vão para a costura, condição máxima que pode desejar a mulher que </w:t>
      </w:r>
      <w:proofErr w:type="spellStart"/>
      <w:r w:rsidRPr="0075221B">
        <w:rPr>
          <w:rFonts w:ascii="Times New Roman" w:hAnsi="Times New Roman" w:cs="Times New Roman"/>
          <w:color w:val="000000"/>
        </w:rPr>
        <w:t>possue</w:t>
      </w:r>
      <w:proofErr w:type="spellEnd"/>
      <w:r w:rsidRPr="0075221B">
        <w:rPr>
          <w:rFonts w:ascii="Times New Roman" w:hAnsi="Times New Roman" w:cs="Times New Roman"/>
          <w:color w:val="000000"/>
        </w:rPr>
        <w:t xml:space="preserve"> as ‘consideradas’ características da descendência africana” (Barros, 1934, p. 271).</w:t>
      </w:r>
    </w:p>
    <w:p w14:paraId="5D0F37F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Esses obstáculos não foram isolados. Havia uma estrutura social que restringia o acesso de docentes negros ao magistério público. A cidade do Rio de Janeiro torna-se referência das reformas educacionais, sobretudo na Era Vargas, por ser a capital do país. A expansão e a reformulação dos programas de aprendizagem docente, promovidas por lideranças como Afrânio Peixoto, Antônio Carneiro Leão, Francisco Campos, Fernando de Azevedo e Anísio Teixeira, foram elementos-chave para definir que a profissão docente deveria ser exercida majoritariamente por mulheres brancas oriundas da classe média.</w:t>
      </w:r>
    </w:p>
    <w:p w14:paraId="2BE268EE"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Francisco Campos foi personagem central nesse contexto. Ele executou uma reforma no ensino normal em Minas Gerais, organizou o Ministério da Educação e Saúde Pública em 1930, foi autor da Constituição de 1937 e ministro da Justiça em 1942. Implantou uma reforma que elevou o ensino normal ao nível universitário, tal como nos </w:t>
      </w:r>
      <w:r w:rsidRPr="0075221B">
        <w:rPr>
          <w:rFonts w:ascii="Times New Roman" w:hAnsi="Times New Roman" w:cs="Times New Roman"/>
          <w:color w:val="000000"/>
        </w:rPr>
        <w:lastRenderedPageBreak/>
        <w:t xml:space="preserve">Estados Unidos e na Europa. Sua reforma inspirou Anísio Teixeira, que pretendia que o Instituto de Educação no Rio de Janeiro servisse de referência para o restante do país. Compreendia-se, nesse projeto, que quem deveria exercer a função docente seria uma mulher branca da elite brasileira. Os tópicos estudados pelas futuras docentes eram biologia, pedagogia, sociologia e psicologia, além de aulas de educação física, higiene e puericultura (a ciência do cuidado </w:t>
      </w:r>
      <w:proofErr w:type="spellStart"/>
      <w:r w:rsidRPr="0075221B">
        <w:rPr>
          <w:rFonts w:ascii="Times New Roman" w:hAnsi="Times New Roman" w:cs="Times New Roman"/>
          <w:color w:val="000000"/>
        </w:rPr>
        <w:t>pré</w:t>
      </w:r>
      <w:proofErr w:type="spellEnd"/>
      <w:r w:rsidRPr="0075221B">
        <w:rPr>
          <w:rFonts w:ascii="Times New Roman" w:hAnsi="Times New Roman" w:cs="Times New Roman"/>
          <w:color w:val="000000"/>
        </w:rPr>
        <w:t xml:space="preserve"> e pós-natal, baseada na ideia eugênica de que cuidados especiais na gestação poderiam amenizar deficiências geneticamente acumuladas). Aprendiam normas eugênicas para depois ensinar.</w:t>
      </w:r>
    </w:p>
    <w:p w14:paraId="27E02B69"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seleção de alunas era rigorosa: exigia mais três anos de estudos além do secundário (o que inviabilizava a presença de quem precisava trabalhar), critérios acadêmicos, físicos, estéticos e psicológicos, além de autoavaliações que colocavam estudantes não brancas sob um olhar regulador subjetivo e eugênico de colegas brancos. Esses pontos são cruciais para compreender os primeiros passos da profissionalização docente e como ela foi atravessada por expectativas racializadas.</w:t>
      </w:r>
    </w:p>
    <w:p w14:paraId="5DEE106B"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Fernando de Azevedo, secretário de Educação (1926–1930), acreditava que a ordem social dependia de uma elite bem treinada, pois educar as massas sem formar elites capazes de orientá-las importaria na mobilização de forças para “a pior das demagogias”. Anísio Teixeira defendia que a escola deveria dar saúde, inteligência e caráter aos estudantes. Esses reformadores buscavam criar uma nova sociedade e tinham como inspiração os Estados Unidos; queriam um corpo docente moderno e novos métodos (Lourenço Filho, 1934; Azevedo, 1934). Para isso, importaram referências europeias e norte-americanas: ideias de John Dewey e Lewis </w:t>
      </w:r>
      <w:proofErr w:type="spellStart"/>
      <w:r w:rsidRPr="0075221B">
        <w:rPr>
          <w:rFonts w:ascii="Times New Roman" w:hAnsi="Times New Roman" w:cs="Times New Roman"/>
          <w:color w:val="000000"/>
        </w:rPr>
        <w:t>Terman</w:t>
      </w:r>
      <w:proofErr w:type="spellEnd"/>
      <w:r w:rsidRPr="0075221B">
        <w:rPr>
          <w:rFonts w:ascii="Times New Roman" w:hAnsi="Times New Roman" w:cs="Times New Roman"/>
          <w:color w:val="000000"/>
        </w:rPr>
        <w:t>, teorias genéticas e eugênicas britânicas e alemãs, modelos criminológicos italianos e esquemas franceses de medição da inteligência.</w:t>
      </w:r>
    </w:p>
    <w:p w14:paraId="10F8B855" w14:textId="6F4879A9"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À medida que as discussões sobre raça se deslocaram da base biológica para o campo cultural, o treinamento docente ganhou maior relevância: acreditava-se que a transformação dos “degenerados” seria pela educação e pela saúde. Esse ponto é essencial para compreender como o projeto de Brasil foi construído no chão da sala de aula.</w:t>
      </w:r>
      <w:r w:rsidR="005C19B0" w:rsidRPr="0075221B">
        <w:rPr>
          <w:rFonts w:ascii="Times New Roman" w:hAnsi="Times New Roman" w:cs="Times New Roman"/>
          <w:color w:val="000000"/>
        </w:rPr>
        <w:t xml:space="preserve"> Se a escola foi instrumento de “redenção”, a seleção de quem ensinaria ,e como ensinaria, também foi atravessada pela eugenia.</w:t>
      </w:r>
    </w:p>
    <w:p w14:paraId="2C2013CF" w14:textId="70D76EA4" w:rsidR="00B27AEB" w:rsidRPr="0075221B" w:rsidRDefault="00B27AEB" w:rsidP="00B27AEB">
      <w:pPr>
        <w:spacing w:line="360" w:lineRule="auto"/>
        <w:ind w:firstLine="709"/>
        <w:jc w:val="both"/>
        <w:rPr>
          <w:rFonts w:ascii="Times New Roman" w:hAnsi="Times New Roman" w:cs="Times New Roman"/>
          <w:b/>
          <w:bCs/>
          <w:color w:val="000000"/>
        </w:rPr>
      </w:pPr>
      <w:r w:rsidRPr="0075221B">
        <w:rPr>
          <w:rFonts w:ascii="Times New Roman" w:hAnsi="Times New Roman" w:cs="Times New Roman"/>
          <w:b/>
          <w:bCs/>
          <w:color w:val="000000"/>
        </w:rPr>
        <w:t>2.5 Matemática e avaliação: exames como tecnologia de seleção</w:t>
      </w:r>
    </w:p>
    <w:p w14:paraId="4204685D" w14:textId="6B68045F"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As escolas no Rio de Janeiro foram vanguardas da modernização do Brasil. Um de seus elementos essenciais foi a era dos testes e medidas. Exames psicológicos e físicos semelhantes àqueles usados para classificar criminosos, loucos e outros “degenerados” </w:t>
      </w:r>
      <w:r w:rsidRPr="0075221B">
        <w:rPr>
          <w:rFonts w:ascii="Times New Roman" w:hAnsi="Times New Roman" w:cs="Times New Roman"/>
          <w:color w:val="000000"/>
        </w:rPr>
        <w:lastRenderedPageBreak/>
        <w:t>começaram a ser utilizados nas escolas, inaugurando uma tradição em que corpos estudantis heterogêneos eram avaliados por meio de medidas científicas codificadas em termos raciais e de classe. Um dos principais instrumentos foi o Teste ABC, desenvolvido por Lourenço Filho, que media o preparo do estudante para aprender a ler e escrever, definido como “maturidade emocional”. O teste favorecia estudantes com pais alfabetizados</w:t>
      </w:r>
      <w:r w:rsidR="00AE7DCC" w:rsidRPr="0075221B">
        <w:rPr>
          <w:rFonts w:ascii="Times New Roman" w:hAnsi="Times New Roman" w:cs="Times New Roman"/>
          <w:color w:val="000000"/>
        </w:rPr>
        <w:t>,</w:t>
      </w:r>
      <w:r w:rsidRPr="0075221B">
        <w:rPr>
          <w:rFonts w:ascii="Times New Roman" w:hAnsi="Times New Roman" w:cs="Times New Roman"/>
          <w:color w:val="000000"/>
        </w:rPr>
        <w:t xml:space="preserve"> em geral, brancos</w:t>
      </w:r>
      <w:r w:rsidR="00AE7DCC" w:rsidRPr="0075221B">
        <w:rPr>
          <w:rFonts w:ascii="Times New Roman" w:hAnsi="Times New Roman" w:cs="Times New Roman"/>
          <w:color w:val="000000"/>
        </w:rPr>
        <w:t>,</w:t>
      </w:r>
      <w:r w:rsidRPr="0075221B">
        <w:rPr>
          <w:rFonts w:ascii="Times New Roman" w:hAnsi="Times New Roman" w:cs="Times New Roman"/>
          <w:color w:val="000000"/>
        </w:rPr>
        <w:t xml:space="preserve"> e seus resultados eram utilizados para reafirmar “diferenças” que, na prática, eram tratadas como superioridade intelectual branca (Dávila, 2006).</w:t>
      </w:r>
    </w:p>
    <w:p w14:paraId="3E248809"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uso de testes de forma desenfreada coincide com o que Guba e Lincoln (2011) denominam geração da medida, quando avaliação e medida se tornam sinônimos. A ideia dominante era que avaliação seria uma questão essencialmente técnica: testes bem elaborados permitiriam medir com rigor e “neutralidade” a aprendizagem. Esse movimento sofreu influências das Ciências Sociais, de John Stuart Mill (1843) e foi fortalecido pela teoria evolucionista de Darwin. Nesse período, Binet e Simon desenvolveram o coeficiente de inteligência, utilizado para fins de recrutamento nas Forças Armadas (Fernandes, 2009).</w:t>
      </w:r>
    </w:p>
    <w:p w14:paraId="53407134" w14:textId="57EB53BE"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Infelizmente tal politica já mostrava a grande diferença entre brancos e negros, desde 1932. Todavia, o resultado dos testes eram utilizados para reafirmar a “superioridade” intelectual das pessoas brancas (Dávila,  2006). </w:t>
      </w:r>
    </w:p>
    <w:p w14:paraId="6A43C38F" w14:textId="11E26332"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Ao analisar esse parte da história da educação brasileira, ref</w:t>
      </w:r>
      <w:r w:rsidR="00C06F9C" w:rsidRPr="0075221B">
        <w:rPr>
          <w:rFonts w:ascii="Times New Roman" w:hAnsi="Times New Roman" w:cs="Times New Roman"/>
          <w:color w:val="000000"/>
        </w:rPr>
        <w:t>lito</w:t>
      </w:r>
      <w:r w:rsidRPr="0075221B">
        <w:rPr>
          <w:rFonts w:ascii="Times New Roman" w:hAnsi="Times New Roman" w:cs="Times New Roman"/>
          <w:color w:val="000000"/>
        </w:rPr>
        <w:t xml:space="preserve"> a partir de </w:t>
      </w:r>
      <w:r w:rsidR="00511029" w:rsidRPr="0075221B">
        <w:rPr>
          <w:rFonts w:ascii="Times New Roman" w:hAnsi="Times New Roman" w:cs="Times New Roman"/>
          <w:color w:val="000000"/>
        </w:rPr>
        <w:t xml:space="preserve">algumas </w:t>
      </w:r>
      <w:r w:rsidRPr="0075221B">
        <w:rPr>
          <w:rFonts w:ascii="Times New Roman" w:hAnsi="Times New Roman" w:cs="Times New Roman"/>
          <w:color w:val="000000"/>
        </w:rPr>
        <w:t>perspectivas: a escola brasileira não foi pensada para todos. Os avanços na promoção e abertura de vagas, assim, como a profissionalização docente</w:t>
      </w:r>
      <w:r w:rsidR="006A5FB2" w:rsidRPr="0075221B">
        <w:rPr>
          <w:rFonts w:ascii="Times New Roman" w:hAnsi="Times New Roman" w:cs="Times New Roman"/>
          <w:color w:val="000000"/>
        </w:rPr>
        <w:t xml:space="preserve"> foram</w:t>
      </w:r>
      <w:r w:rsidRPr="0075221B">
        <w:rPr>
          <w:rFonts w:ascii="Times New Roman" w:hAnsi="Times New Roman" w:cs="Times New Roman"/>
          <w:color w:val="000000"/>
        </w:rPr>
        <w:t xml:space="preserve"> marcas impressionantes da liderança da época. Não há como negar isso. Todavia, as motivações, conforme apresentei ao longo dessa parte do livro</w:t>
      </w:r>
      <w:r w:rsidR="009D367F" w:rsidRPr="0075221B">
        <w:rPr>
          <w:rFonts w:ascii="Times New Roman" w:hAnsi="Times New Roman" w:cs="Times New Roman"/>
          <w:color w:val="000000"/>
        </w:rPr>
        <w:t>,</w:t>
      </w:r>
      <w:r w:rsidRPr="0075221B">
        <w:rPr>
          <w:rFonts w:ascii="Times New Roman" w:hAnsi="Times New Roman" w:cs="Times New Roman"/>
          <w:color w:val="000000"/>
        </w:rPr>
        <w:t xml:space="preserve"> foram complicadas. D</w:t>
      </w:r>
      <w:r w:rsidR="0081451B" w:rsidRPr="0075221B">
        <w:rPr>
          <w:rFonts w:ascii="Times New Roman" w:hAnsi="Times New Roman" w:cs="Times New Roman"/>
          <w:color w:val="000000"/>
        </w:rPr>
        <w:t>á</w:t>
      </w:r>
      <w:r w:rsidRPr="0075221B">
        <w:rPr>
          <w:rFonts w:ascii="Times New Roman" w:hAnsi="Times New Roman" w:cs="Times New Roman"/>
          <w:color w:val="000000"/>
        </w:rPr>
        <w:t>vila</w:t>
      </w:r>
      <w:r w:rsidR="0081451B" w:rsidRPr="0075221B">
        <w:rPr>
          <w:rFonts w:ascii="Times New Roman" w:hAnsi="Times New Roman" w:cs="Times New Roman"/>
          <w:color w:val="000000"/>
        </w:rPr>
        <w:t xml:space="preserve"> (2006)</w:t>
      </w:r>
      <w:r w:rsidRPr="0075221B">
        <w:rPr>
          <w:rFonts w:ascii="Times New Roman" w:hAnsi="Times New Roman" w:cs="Times New Roman"/>
          <w:color w:val="000000"/>
        </w:rPr>
        <w:t>, o autor que muito nos ajudou a evidenciar esse quebra-cabeça  dessa parte da história, diz que as instituições não eram racistas do ponto de vista da violência racial:</w:t>
      </w:r>
    </w:p>
    <w:p w14:paraId="44B245D3" w14:textId="35043F32"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Eram o Departamento de Educação e o Instituto de Educação do Rio de Janeiro instituições racistas? A definição brasileira desse termo coincide com o conceito de crime de ódio violento nos Estados </w:t>
      </w:r>
      <w:proofErr w:type="spellStart"/>
      <w:r w:rsidRPr="0075221B">
        <w:rPr>
          <w:rFonts w:ascii="Times New Roman" w:hAnsi="Times New Roman" w:cs="Times New Roman"/>
          <w:color w:val="000000"/>
        </w:rPr>
        <w:t>Unidso</w:t>
      </w:r>
      <w:proofErr w:type="spellEnd"/>
      <w:r w:rsidRPr="0075221B">
        <w:rPr>
          <w:rFonts w:ascii="Times New Roman" w:hAnsi="Times New Roman" w:cs="Times New Roman"/>
          <w:color w:val="000000"/>
        </w:rPr>
        <w:t>, implicando a ocorrência de uma ação deliberada e violenta de intolerância. Sob essas condições, a resposta seria “não”.  Todavia, as ações dos administradores do sistema escolar eram hostis à integração racial. Desde a década de 1920, uma barreira de cor desceu sobre o sistema escolar, refletindo mais do que a cegueira dos administradores ao efeito de suas políticas’(p.193).</w:t>
      </w:r>
    </w:p>
    <w:p w14:paraId="062D99AE" w14:textId="0BBEE645"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 xml:space="preserve">Neste ponto eu discordo do autor. Era um projeto de apagamento, um verdadeiro epistemicídio e diversas manifestações daquilo que Cida Bento vai chamar de racismo institucional. Compreender a construção da educação brasileira, a profissionalização docente, assim como a sua importância política para o desenvolvimento da ideia de país que almejavam, revela o quão importante </w:t>
      </w:r>
      <w:r w:rsidR="0081451B" w:rsidRPr="0075221B">
        <w:rPr>
          <w:rFonts w:ascii="Times New Roman" w:hAnsi="Times New Roman" w:cs="Times New Roman"/>
          <w:color w:val="000000"/>
        </w:rPr>
        <w:t>foi</w:t>
      </w:r>
      <w:r w:rsidRPr="0075221B">
        <w:rPr>
          <w:rFonts w:ascii="Times New Roman" w:hAnsi="Times New Roman" w:cs="Times New Roman"/>
          <w:color w:val="000000"/>
        </w:rPr>
        <w:t xml:space="preserve"> esse personagem no Brasil</w:t>
      </w:r>
      <w:r w:rsidR="0081451B" w:rsidRPr="0075221B">
        <w:rPr>
          <w:rFonts w:ascii="Times New Roman" w:hAnsi="Times New Roman" w:cs="Times New Roman"/>
          <w:color w:val="000000"/>
        </w:rPr>
        <w:t>, o professor</w:t>
      </w:r>
      <w:r w:rsidRPr="0075221B">
        <w:rPr>
          <w:rFonts w:ascii="Times New Roman" w:hAnsi="Times New Roman" w:cs="Times New Roman"/>
          <w:color w:val="000000"/>
        </w:rPr>
        <w:t>. As escolhas, por meio das ideias eugenistas, construíram um imaginário social sobre quem seria a professora da educação elementar: mulheres brancas.</w:t>
      </w:r>
    </w:p>
    <w:p w14:paraId="33F11C78" w14:textId="3594A80E" w:rsidR="00F20FBA" w:rsidRPr="0075221B" w:rsidRDefault="00F20FBA" w:rsidP="00F20FB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compreensão da profissionalização docente, pelo Instituto de Educação, é um dos caminhos que nos ajuda a analisar a formação de professores para a atuação no ensino secundário. Qual é a figura de pessoa que vem à sua mente quando você pensa em alguém que ensina Matemática?  Após essa reflexão, pergunte a dez amigos(as) essa mesma pergunta. Talvez, você terá algumas variações, mas em geral, a resposta tende a ser a mesma: um homem branco. Foi com a criação da Faculdade de Filosofia, Ciências e Letras da Universidade de São Paulo  FFCL/USP, em 1934, e da Faculdade Nacional de Filosofia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  integrante da Universidade do Brasil, no Rio de Janeiro, em 1939, que foram estabelecidos cursos específicos visando à formação de professores secundários. No caso deste livro, o foco central será na formação de quem ensina Matemática.</w:t>
      </w:r>
    </w:p>
    <w:p w14:paraId="49F29047" w14:textId="3C3821E5" w:rsidR="009168C0" w:rsidRPr="0075221B" w:rsidRDefault="009168C0" w:rsidP="009168C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Circe da Silva (2002) indica que a chegada de matemáticos estrangeiros para atuar no Rio de Janeiro foi resultado de longas negociações entre o Brasil e alguns países europeus. Em abril de 1939, o ministro da Educação, Gustavo Capanema, em correspondência com o então reitor da Universidade do Brasil, mostrava grande preocupação com a indicação e definição dos futuros professores que comporiam o quadro universitário. As negociações do ministro Gustavo Capanema, com a embaixada francesa resultaram na contratação de vários professores para as áreas de Linguísticas e de Ciências Humanas, mas isso não aconteceu com a área de Matemática. Os professores contratados para essa área foram todos italianos.</w:t>
      </w:r>
    </w:p>
    <w:p w14:paraId="7995CA68" w14:textId="5C307689" w:rsidR="009168C0" w:rsidRPr="0075221B" w:rsidRDefault="009168C0" w:rsidP="009168C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junho de 1939, no período do Estado Novo, o então presidente Getúlio Vargas autorizou, finalmente, a contratação de quinze professores estrangeiros para lecionarem na Faculdade Nacional de Filosofia. A chegada dos matemáticos italianos no Rio de Janeiro concretizou-se pelos canais oficiais, mais precisamente pelos contatos da embaixada brasileira diretamente com a embaixada italiana. Circe da Silva (2002) indica que o governo brasileiro deu total autonomia ao governo italiano na hora d</w:t>
      </w:r>
      <w:r w:rsidR="008C4E4D" w:rsidRPr="0075221B">
        <w:rPr>
          <w:rFonts w:ascii="Times New Roman" w:hAnsi="Times New Roman" w:cs="Times New Roman"/>
          <w:color w:val="000000"/>
        </w:rPr>
        <w:t>e</w:t>
      </w:r>
      <w:r w:rsidRPr="0075221B">
        <w:rPr>
          <w:rFonts w:ascii="Times New Roman" w:hAnsi="Times New Roman" w:cs="Times New Roman"/>
          <w:color w:val="000000"/>
        </w:rPr>
        <w:t xml:space="preserve"> escolher os docentes  e essa liberdade de escolha propiciou ao governo italiano dar preferência: ativistas fascistas. Mussolini estava interessado em difundir o fascismo no exterior, criou </w:t>
      </w:r>
      <w:r w:rsidRPr="0075221B">
        <w:rPr>
          <w:rFonts w:ascii="Times New Roman" w:hAnsi="Times New Roman" w:cs="Times New Roman"/>
          <w:color w:val="000000"/>
        </w:rPr>
        <w:lastRenderedPageBreak/>
        <w:t xml:space="preserve">40 novos consulados e, para os postos e embaixadas, foram designados fascistas que eram leais ao regime. É importante destacar que o então ministro da Educação, Gustavo Capanema, tinha como meta a </w:t>
      </w:r>
      <w:r w:rsidR="008554C1" w:rsidRPr="0075221B">
        <w:rPr>
          <w:rFonts w:ascii="Times New Roman" w:hAnsi="Times New Roman" w:cs="Times New Roman"/>
          <w:color w:val="000000"/>
        </w:rPr>
        <w:t>construção</w:t>
      </w:r>
      <w:r w:rsidRPr="0075221B">
        <w:rPr>
          <w:rFonts w:ascii="Times New Roman" w:hAnsi="Times New Roman" w:cs="Times New Roman"/>
          <w:color w:val="000000"/>
        </w:rPr>
        <w:t xml:space="preserve"> de um novo ideário brasileiro, mais branco, mais forte e que os brasileiros seriam dignos de seu brilhante futuro. Além dele, muitos outros  cientistas e intelectuais acreditavam nisso, como por exemplo, Edgar Roquette Pinto, diretor do Museus Nacional de Antropologia, o jurista Franscisco Oliveira Vianna, o professor da escola de Medicina Juvenil Rocha Va</w:t>
      </w:r>
      <w:r w:rsidR="008554C1" w:rsidRPr="0075221B">
        <w:rPr>
          <w:rFonts w:ascii="Times New Roman" w:hAnsi="Times New Roman" w:cs="Times New Roman"/>
          <w:color w:val="000000"/>
        </w:rPr>
        <w:t>z (Dávila, 2006).</w:t>
      </w:r>
      <w:r w:rsidRPr="0075221B">
        <w:rPr>
          <w:rFonts w:ascii="Times New Roman" w:hAnsi="Times New Roman" w:cs="Times New Roman"/>
          <w:color w:val="000000"/>
        </w:rPr>
        <w:t xml:space="preserve"> Assim, a vinda de matemáticos que faziam propagandas fascistas, não seria um grande estranhamento. </w:t>
      </w:r>
    </w:p>
    <w:p w14:paraId="44A53222" w14:textId="7E72CA89" w:rsidR="009168C0" w:rsidRPr="0075221B" w:rsidRDefault="009168C0" w:rsidP="009168C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que se refere à formação de professores de Matemática para atuarem no ensino secundário, o curso tinha menos valor para os docentes universitários. O bacharelado tinha muito mais prestígio. Inclusive, Circe da Silva (2002) apresenta diversos relatos de ex-alunos da licenciatura em diferentes anos: 1946, 1948, 1950, 1952.</w:t>
      </w:r>
      <w:r w:rsidR="009F4A7A" w:rsidRPr="0075221B">
        <w:rPr>
          <w:rFonts w:ascii="Times New Roman" w:hAnsi="Times New Roman" w:cs="Times New Roman"/>
          <w:color w:val="000000"/>
        </w:rPr>
        <w:t xml:space="preserve"> Tais relatos indicavam que era</w:t>
      </w:r>
      <w:r w:rsidR="00D30767" w:rsidRPr="0075221B">
        <w:rPr>
          <w:rFonts w:ascii="Times New Roman" w:hAnsi="Times New Roman" w:cs="Times New Roman"/>
          <w:color w:val="000000"/>
        </w:rPr>
        <w:t>m</w:t>
      </w:r>
      <w:r w:rsidR="009F4A7A" w:rsidRPr="0075221B">
        <w:rPr>
          <w:rFonts w:ascii="Times New Roman" w:hAnsi="Times New Roman" w:cs="Times New Roman"/>
          <w:color w:val="000000"/>
        </w:rPr>
        <w:t xml:space="preserve"> poucos licenciandos e que a formação pedagógica, não cumpria a sua função</w:t>
      </w:r>
      <w:r w:rsidR="00D30767" w:rsidRPr="0075221B">
        <w:rPr>
          <w:rFonts w:ascii="Times New Roman" w:hAnsi="Times New Roman" w:cs="Times New Roman"/>
          <w:color w:val="000000"/>
        </w:rPr>
        <w:t xml:space="preserve"> </w:t>
      </w:r>
      <w:r w:rsidR="003051D9" w:rsidRPr="0075221B">
        <w:rPr>
          <w:rFonts w:ascii="Times New Roman" w:hAnsi="Times New Roman" w:cs="Times New Roman"/>
          <w:color w:val="000000"/>
        </w:rPr>
        <w:t>(</w:t>
      </w:r>
      <w:r w:rsidR="009F4A7A" w:rsidRPr="0075221B">
        <w:rPr>
          <w:rFonts w:ascii="Times New Roman" w:hAnsi="Times New Roman" w:cs="Times New Roman"/>
          <w:color w:val="000000"/>
        </w:rPr>
        <w:t xml:space="preserve">p.113). Além de indicar algumas características dos </w:t>
      </w:r>
      <w:r w:rsidR="00EE36CD" w:rsidRPr="0075221B">
        <w:rPr>
          <w:rFonts w:ascii="Times New Roman" w:hAnsi="Times New Roman" w:cs="Times New Roman"/>
          <w:color w:val="000000"/>
        </w:rPr>
        <w:t>principais</w:t>
      </w:r>
      <w:r w:rsidR="009F4A7A" w:rsidRPr="0075221B">
        <w:rPr>
          <w:rFonts w:ascii="Times New Roman" w:hAnsi="Times New Roman" w:cs="Times New Roman"/>
          <w:color w:val="000000"/>
        </w:rPr>
        <w:t xml:space="preserve"> docentes que chegaram ao Brasil, a </w:t>
      </w:r>
      <w:r w:rsidR="00EE36CD" w:rsidRPr="0075221B">
        <w:rPr>
          <w:rFonts w:ascii="Times New Roman" w:hAnsi="Times New Roman" w:cs="Times New Roman"/>
          <w:color w:val="000000"/>
        </w:rPr>
        <w:t>partir</w:t>
      </w:r>
      <w:r w:rsidR="009F4A7A" w:rsidRPr="0075221B">
        <w:rPr>
          <w:rFonts w:ascii="Times New Roman" w:hAnsi="Times New Roman" w:cs="Times New Roman"/>
          <w:color w:val="000000"/>
        </w:rPr>
        <w:t xml:space="preserve"> do ponto de </w:t>
      </w:r>
      <w:r w:rsidR="00EE36CD" w:rsidRPr="0075221B">
        <w:rPr>
          <w:rFonts w:ascii="Times New Roman" w:hAnsi="Times New Roman" w:cs="Times New Roman"/>
          <w:color w:val="000000"/>
        </w:rPr>
        <w:t>vista</w:t>
      </w:r>
      <w:r w:rsidR="009F4A7A" w:rsidRPr="0075221B">
        <w:rPr>
          <w:rFonts w:ascii="Times New Roman" w:hAnsi="Times New Roman" w:cs="Times New Roman"/>
          <w:color w:val="000000"/>
        </w:rPr>
        <w:t xml:space="preserve"> dos licenciando</w:t>
      </w:r>
      <w:r w:rsidR="00EE36CD" w:rsidRPr="0075221B">
        <w:rPr>
          <w:rFonts w:ascii="Times New Roman" w:hAnsi="Times New Roman" w:cs="Times New Roman"/>
          <w:color w:val="000000"/>
        </w:rPr>
        <w:t>s:</w:t>
      </w:r>
    </w:p>
    <w:p w14:paraId="5E0E6643" w14:textId="7084554A" w:rsidR="005B750C" w:rsidRPr="0075221B" w:rsidRDefault="005B750C" w:rsidP="005B750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Durante o período em que esteve contratado na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 Gabrielle Mammana teve uma atuação destacada. Ele despertou nos jovens estudantes e docentes um vivo interesse pela pesquisa matemática, principalmente para a Análise Clássica.(...) Na avaliação de Jayme </w:t>
      </w:r>
      <w:proofErr w:type="spellStart"/>
      <w:r w:rsidRPr="0075221B">
        <w:rPr>
          <w:rFonts w:ascii="Times New Roman" w:hAnsi="Times New Roman" w:cs="Times New Roman"/>
          <w:color w:val="000000"/>
        </w:rPr>
        <w:t>Tiomno</w:t>
      </w:r>
      <w:proofErr w:type="spellEnd"/>
      <w:r w:rsidRPr="0075221B">
        <w:rPr>
          <w:rFonts w:ascii="Times New Roman" w:hAnsi="Times New Roman" w:cs="Times New Roman"/>
          <w:color w:val="000000"/>
        </w:rPr>
        <w:t xml:space="preserve">, Gabrielle Mammana era um fascista </w:t>
      </w:r>
      <w:proofErr w:type="gramStart"/>
      <w:r w:rsidRPr="0075221B">
        <w:rPr>
          <w:rFonts w:ascii="Times New Roman" w:hAnsi="Times New Roman" w:cs="Times New Roman"/>
          <w:b/>
          <w:bCs/>
          <w:color w:val="000000"/>
        </w:rPr>
        <w:t>empedernido</w:t>
      </w:r>
      <w:proofErr w:type="gramEnd"/>
      <w:r w:rsidRPr="0075221B">
        <w:rPr>
          <w:rFonts w:ascii="Times New Roman" w:hAnsi="Times New Roman" w:cs="Times New Roman"/>
          <w:b/>
          <w:bCs/>
          <w:color w:val="000000"/>
        </w:rPr>
        <w:t>,</w:t>
      </w:r>
      <w:r w:rsidRPr="0075221B">
        <w:rPr>
          <w:rFonts w:ascii="Times New Roman" w:hAnsi="Times New Roman" w:cs="Times New Roman"/>
          <w:color w:val="000000"/>
        </w:rPr>
        <w:t xml:space="preserve"> mas um dos melhores matemáticos da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.(p.114 – grifo nosso). </w:t>
      </w:r>
    </w:p>
    <w:p w14:paraId="730CDE6C" w14:textId="7BAD8969" w:rsidR="005B750C" w:rsidRPr="0075221B" w:rsidRDefault="005B750C" w:rsidP="006E790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Além da presença dos italianos, também tivemos a presença de norte-americanos e franceses para serem formadores de professores de matemática. </w:t>
      </w:r>
      <w:r w:rsidR="006E7908" w:rsidRPr="0075221B">
        <w:rPr>
          <w:rFonts w:ascii="Times New Roman" w:hAnsi="Times New Roman" w:cs="Times New Roman"/>
          <w:color w:val="000000"/>
        </w:rPr>
        <w:t xml:space="preserve">A Segunda Guerra Mundial trouxe consequências para o ensino da Matemática na </w:t>
      </w:r>
      <w:proofErr w:type="spellStart"/>
      <w:r w:rsidR="006E7908" w:rsidRPr="0075221B">
        <w:rPr>
          <w:rFonts w:ascii="Times New Roman" w:hAnsi="Times New Roman" w:cs="Times New Roman"/>
          <w:color w:val="000000"/>
        </w:rPr>
        <w:t>FNFi</w:t>
      </w:r>
      <w:proofErr w:type="spellEnd"/>
      <w:r w:rsidR="006E7908" w:rsidRPr="0075221B">
        <w:rPr>
          <w:rFonts w:ascii="Times New Roman" w:hAnsi="Times New Roman" w:cs="Times New Roman"/>
          <w:color w:val="000000"/>
        </w:rPr>
        <w:t xml:space="preserve">, a difícil situação no pós-guerra na Europa contribuiu para a vinda de matemáticos de outras nacionalidades para o Brasil. </w:t>
      </w:r>
      <w:r w:rsidRPr="0075221B">
        <w:rPr>
          <w:rFonts w:ascii="Times New Roman" w:hAnsi="Times New Roman" w:cs="Times New Roman"/>
          <w:color w:val="000000"/>
        </w:rPr>
        <w:t xml:space="preserve">A guerra findou, mas os problemas com o ensino superior da Matemática na </w:t>
      </w:r>
      <w:proofErr w:type="spellStart"/>
      <w:r w:rsidRPr="0075221B">
        <w:rPr>
          <w:rFonts w:ascii="Times New Roman" w:hAnsi="Times New Roman" w:cs="Times New Roman"/>
          <w:color w:val="000000"/>
        </w:rPr>
        <w:t>FNFi</w:t>
      </w:r>
      <w:proofErr w:type="spellEnd"/>
      <w:r w:rsidRPr="0075221B">
        <w:rPr>
          <w:rFonts w:ascii="Times New Roman" w:hAnsi="Times New Roman" w:cs="Times New Roman"/>
          <w:color w:val="000000"/>
        </w:rPr>
        <w:t xml:space="preserve"> estavam longe de ser solucionados. Havia carência de professores qualificados e conflito com os titulares e contratados para a regência de disciplinas nessa faculdade.</w:t>
      </w:r>
      <w:r w:rsidR="006E7908" w:rsidRPr="0075221B">
        <w:rPr>
          <w:rFonts w:ascii="Times New Roman" w:hAnsi="Times New Roman" w:cs="Times New Roman"/>
          <w:color w:val="000000"/>
        </w:rPr>
        <w:t xml:space="preserve"> Não foi um </w:t>
      </w:r>
      <w:proofErr w:type="spellStart"/>
      <w:r w:rsidR="006E7908" w:rsidRPr="0075221B">
        <w:rPr>
          <w:rFonts w:ascii="Times New Roman" w:hAnsi="Times New Roman" w:cs="Times New Roman"/>
          <w:color w:val="000000"/>
        </w:rPr>
        <w:t>perído</w:t>
      </w:r>
      <w:proofErr w:type="spellEnd"/>
      <w:r w:rsidR="006E7908" w:rsidRPr="0075221B">
        <w:rPr>
          <w:rFonts w:ascii="Times New Roman" w:hAnsi="Times New Roman" w:cs="Times New Roman"/>
          <w:color w:val="000000"/>
        </w:rPr>
        <w:t xml:space="preserve"> fácil, mas os poucos docentes de matemática que se formaram , passaram por esse modelo de formação.</w:t>
      </w:r>
    </w:p>
    <w:p w14:paraId="6BBC87D4" w14:textId="26FADA8C" w:rsidR="00EE36CD" w:rsidRPr="0075221B" w:rsidRDefault="006E7908" w:rsidP="005B750C">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w:t>
      </w:r>
      <w:r w:rsidR="005B750C" w:rsidRPr="0075221B">
        <w:rPr>
          <w:rFonts w:ascii="Times New Roman" w:hAnsi="Times New Roman" w:cs="Times New Roman"/>
          <w:color w:val="000000"/>
        </w:rPr>
        <w:t xml:space="preserve"> </w:t>
      </w:r>
      <w:proofErr w:type="spellStart"/>
      <w:r w:rsidR="005B750C" w:rsidRPr="0075221B">
        <w:rPr>
          <w:rFonts w:ascii="Times New Roman" w:hAnsi="Times New Roman" w:cs="Times New Roman"/>
          <w:color w:val="000000"/>
        </w:rPr>
        <w:t>FNFi</w:t>
      </w:r>
      <w:proofErr w:type="spellEnd"/>
      <w:r w:rsidR="005B750C" w:rsidRPr="0075221B">
        <w:rPr>
          <w:rFonts w:ascii="Times New Roman" w:hAnsi="Times New Roman" w:cs="Times New Roman"/>
          <w:color w:val="000000"/>
        </w:rPr>
        <w:t xml:space="preserve"> garantiu a formação de professores, que se tornaram os propagadores de uma Matemática eurocêntrica, tanto nas faculdades de Filosofia que começaram a surgir nos diferentes estados bem como nas escolas secundárias. A reflexão que proponho é que poucos estudantes conseguiam chegar ao ensino superior e os que chegavam, vinham de uma escola estruturada para escolher os melhores, a partir dos ideias eugenistas. E </w:t>
      </w:r>
      <w:r w:rsidR="005B750C" w:rsidRPr="0075221B">
        <w:rPr>
          <w:rFonts w:ascii="Times New Roman" w:hAnsi="Times New Roman" w:cs="Times New Roman"/>
          <w:color w:val="000000"/>
        </w:rPr>
        <w:lastRenderedPageBreak/>
        <w:t>aqueles(as) que ingressavam na licenciatura em matemática, encontravam poucas reflexões sobre como ensinar e, além de entreterem  o desdenho da formação de professores no que se refere à comparação com o bacharelado. Assim, quando atuavam em suas salas de aula do ensino secundário, como poderiam fazer diferente?</w:t>
      </w:r>
    </w:p>
    <w:p w14:paraId="1A83895A" w14:textId="131D5428"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ensino secundário, a lógica seletiva também se expressou pelo regime de exames. Valente (2008) relata que, apesar da criação do Colégio Pedro II (como modelo de ensino secundário), prevaleceu o regime de exames parcelados, também chamados de exames preparatórios, voltados à obtenção de certificados para ingresso no ensino superior </w:t>
      </w:r>
      <w:r w:rsidR="0015259F" w:rsidRPr="0075221B">
        <w:rPr>
          <w:rFonts w:ascii="Times New Roman" w:hAnsi="Times New Roman" w:cs="Times New Roman"/>
          <w:color w:val="000000"/>
        </w:rPr>
        <w:t>,</w:t>
      </w:r>
      <w:r w:rsidRPr="0075221B">
        <w:rPr>
          <w:rFonts w:ascii="Times New Roman" w:hAnsi="Times New Roman" w:cs="Times New Roman"/>
          <w:color w:val="000000"/>
        </w:rPr>
        <w:t>Direito, Medicina, Engenharia. Esse modelo era sustentado por ser um caminho mais curto: bastava estudar o que cairia no exame, sem necessariamente frequentar o secundário. Os exames também serviram de referência para a literatura escolar da época.</w:t>
      </w:r>
    </w:p>
    <w:p w14:paraId="4339117E"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Nesse período, o trabalho do professor de Matemática era preparar os alunos para provas orais e escritas. Bastava decorar pontos essenciais: cada faculdade selecionava conteúdos e, após cada exame, o aluno obtinha um certificado. Ao final do processo, ganhava direito de matrícula no ensino superior (Pinto, 2008). Os exames norteavam os conteúdos ministrados e compunham uma forma idealizada de controle e validação dos saberes escolares.</w:t>
      </w:r>
    </w:p>
    <w:p w14:paraId="7F60F9C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partir de 1922, esse modelo começa a ser questionado: a prova oral durava poucos minutos e a prova escrita versava sobre um ponto sorteado, o que tornava o processo frágil para formar juízo seguro. O professor Colombo, no 4º Congresso Brasileiro de Instrução Superior (1922), defendeu que colégios e institutos poderiam fornecer atestados de preparo e merecimento. A ideia não foi bem recebida porque a cultura escolar valorizava os exames e desconfiava das provas feitas pelos próprios professores. Como resume Valente (2008, p. 27), os exames eram vistos como confiáveis e imparciais, enquanto as provas estariam “imersas na subjetividade do professor”.</w:t>
      </w:r>
    </w:p>
    <w:p w14:paraId="465AE317" w14:textId="4D0F4845" w:rsidR="00D53167" w:rsidRPr="0075221B" w:rsidRDefault="00D53167" w:rsidP="00AB010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Justiça, rigor e impessoalidade eram os pilares dos exames: bancas formadas por professores estranhos ao cotidiano dos alunos aplicavam provas em diferentes etapas, da promoção interna ao ingresso no ensino superior. Todavia, o modelo torna-se insustentável com o crescimento do número de escolas e estudantes (Pinto, 2008). A Reforma Francisco Campos e o contexto de 1930 contribuíram para mudanças: as provas parciais feitas pelos professores ganham status de avaliação, mas carregam a mesma pressão por impessoalidade e rigor (Valente, 2008). Assim, a avaliação escolar em Matemática se prolong</w:t>
      </w:r>
      <w:r w:rsidR="003245E2" w:rsidRPr="0075221B">
        <w:rPr>
          <w:rFonts w:ascii="Times New Roman" w:hAnsi="Times New Roman" w:cs="Times New Roman"/>
          <w:color w:val="000000"/>
        </w:rPr>
        <w:t>ou</w:t>
      </w:r>
      <w:r w:rsidRPr="0075221B">
        <w:rPr>
          <w:rFonts w:ascii="Times New Roman" w:hAnsi="Times New Roman" w:cs="Times New Roman"/>
          <w:color w:val="000000"/>
        </w:rPr>
        <w:t xml:space="preserve"> como mecanismo de controle externo, valorizando produto final e desconsiderando processo, reforçando um papel disciplinador e coercitivo.</w:t>
      </w:r>
      <w:r w:rsidR="0080232F" w:rsidRPr="0075221B">
        <w:rPr>
          <w:rFonts w:ascii="Times New Roman" w:hAnsi="Times New Roman" w:cs="Times New Roman"/>
          <w:color w:val="000000"/>
        </w:rPr>
        <w:t xml:space="preserve"> </w:t>
      </w:r>
      <w:r w:rsidR="00F85BD8" w:rsidRPr="0075221B">
        <w:rPr>
          <w:rFonts w:ascii="Times New Roman" w:hAnsi="Times New Roman" w:cs="Times New Roman"/>
          <w:color w:val="000000"/>
        </w:rPr>
        <w:t>Q</w:t>
      </w:r>
      <w:r w:rsidR="0080232F" w:rsidRPr="0075221B">
        <w:rPr>
          <w:rFonts w:ascii="Times New Roman" w:hAnsi="Times New Roman" w:cs="Times New Roman"/>
          <w:color w:val="000000"/>
        </w:rPr>
        <w:t xml:space="preserve">uando </w:t>
      </w:r>
      <w:r w:rsidR="0080232F" w:rsidRPr="0075221B">
        <w:rPr>
          <w:rFonts w:ascii="Times New Roman" w:hAnsi="Times New Roman" w:cs="Times New Roman"/>
          <w:color w:val="000000"/>
        </w:rPr>
        <w:lastRenderedPageBreak/>
        <w:t>a avaliação se organiza pela lógica da “impessoalidade”, ela pode esconder</w:t>
      </w:r>
      <w:r w:rsidR="00F85BD8" w:rsidRPr="0075221B">
        <w:rPr>
          <w:rFonts w:ascii="Times New Roman" w:hAnsi="Times New Roman" w:cs="Times New Roman"/>
          <w:color w:val="000000"/>
        </w:rPr>
        <w:t xml:space="preserve">, </w:t>
      </w:r>
      <w:r w:rsidR="0080232F" w:rsidRPr="0075221B">
        <w:rPr>
          <w:rFonts w:ascii="Times New Roman" w:hAnsi="Times New Roman" w:cs="Times New Roman"/>
          <w:color w:val="000000"/>
        </w:rPr>
        <w:t>e reproduzir</w:t>
      </w:r>
      <w:r w:rsidR="00F85BD8" w:rsidRPr="0075221B">
        <w:rPr>
          <w:rFonts w:ascii="Times New Roman" w:hAnsi="Times New Roman" w:cs="Times New Roman"/>
          <w:color w:val="000000"/>
        </w:rPr>
        <w:t xml:space="preserve">, </w:t>
      </w:r>
      <w:r w:rsidR="0080232F" w:rsidRPr="0075221B">
        <w:rPr>
          <w:rFonts w:ascii="Times New Roman" w:hAnsi="Times New Roman" w:cs="Times New Roman"/>
          <w:color w:val="000000"/>
        </w:rPr>
        <w:t>desigualdades.</w:t>
      </w:r>
    </w:p>
    <w:p w14:paraId="2C5D1292" w14:textId="6C849C2A" w:rsidR="005E1E5D" w:rsidRPr="0075221B" w:rsidRDefault="005E1E5D" w:rsidP="005E1E5D">
      <w:pPr>
        <w:spacing w:line="360" w:lineRule="auto"/>
        <w:ind w:firstLine="709"/>
        <w:jc w:val="both"/>
        <w:rPr>
          <w:rFonts w:ascii="Times New Roman" w:hAnsi="Times New Roman" w:cs="Times New Roman"/>
          <w:b/>
          <w:bCs/>
          <w:color w:val="000000"/>
        </w:rPr>
      </w:pPr>
      <w:r w:rsidRPr="0075221B">
        <w:rPr>
          <w:rFonts w:ascii="Times New Roman" w:hAnsi="Times New Roman" w:cs="Times New Roman"/>
          <w:b/>
          <w:bCs/>
          <w:color w:val="000000"/>
        </w:rPr>
        <w:t>2.6 O “dom” matemático e o imaginário da superioridade: raça, seleção e autorização</w:t>
      </w:r>
    </w:p>
    <w:p w14:paraId="12507344" w14:textId="76F60DE3"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Diante de</w:t>
      </w:r>
      <w:r w:rsidR="00BA1C25" w:rsidRPr="0075221B">
        <w:rPr>
          <w:rFonts w:ascii="Times New Roman" w:hAnsi="Times New Roman" w:cs="Times New Roman"/>
          <w:color w:val="000000"/>
        </w:rPr>
        <w:t xml:space="preserve"> todo esse contexto</w:t>
      </w:r>
      <w:r w:rsidRPr="0075221B">
        <w:rPr>
          <w:rFonts w:ascii="Times New Roman" w:hAnsi="Times New Roman" w:cs="Times New Roman"/>
          <w:color w:val="000000"/>
        </w:rPr>
        <w:t>, como poderíamos ter docentes negros de Matemática nesse período? A escola atuava como forma de seleção, estruturada por referências eugenistas. Os poucos estudantes negros que chegavam a etapas mais avançadas encontravam barreiras ao longo de toda trajetória. Existia docente negro? Sim. Era uma realidade ampla da população negra? Não. Barbosa et al. (2023) afirmam que, em 1982, o ensino superior era uma prerrogativa quase que exclusivamente branca: menos de 2% dos negros em idade de cursá-lo estavam matriculados nessa modalidade.</w:t>
      </w:r>
    </w:p>
    <w:p w14:paraId="3362C422" w14:textId="1FCB428A"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Se, </w:t>
      </w:r>
      <w:r w:rsidR="00BA1C25" w:rsidRPr="0075221B">
        <w:rPr>
          <w:rFonts w:ascii="Times New Roman" w:hAnsi="Times New Roman" w:cs="Times New Roman"/>
          <w:color w:val="000000"/>
        </w:rPr>
        <w:t>na década de 80</w:t>
      </w:r>
      <w:r w:rsidRPr="0075221B">
        <w:rPr>
          <w:rFonts w:ascii="Times New Roman" w:hAnsi="Times New Roman" w:cs="Times New Roman"/>
          <w:color w:val="000000"/>
        </w:rPr>
        <w:t>, a realidade era o não acesso às séries iniciais da educação básica</w:t>
      </w:r>
      <w:r w:rsidR="00BA1C25" w:rsidRPr="0075221B">
        <w:rPr>
          <w:rFonts w:ascii="Times New Roman" w:hAnsi="Times New Roman" w:cs="Times New Roman"/>
          <w:color w:val="000000"/>
        </w:rPr>
        <w:t>,</w:t>
      </w:r>
      <w:r w:rsidRPr="0075221B">
        <w:rPr>
          <w:rFonts w:ascii="Times New Roman" w:hAnsi="Times New Roman" w:cs="Times New Roman"/>
          <w:color w:val="000000"/>
        </w:rPr>
        <w:t xml:space="preserve"> com impactos ainda mais intensos para meninos negros</w:t>
      </w:r>
      <w:r w:rsidR="00BA1C25" w:rsidRPr="0075221B">
        <w:rPr>
          <w:rFonts w:ascii="Times New Roman" w:hAnsi="Times New Roman" w:cs="Times New Roman"/>
          <w:color w:val="000000"/>
        </w:rPr>
        <w:t xml:space="preserve">, </w:t>
      </w:r>
      <w:r w:rsidRPr="0075221B">
        <w:rPr>
          <w:rFonts w:ascii="Times New Roman" w:hAnsi="Times New Roman" w:cs="Times New Roman"/>
          <w:color w:val="000000"/>
        </w:rPr>
        <w:t>antes o cenário era pior. Em 1946, segundo o IBGE, apenas 4% dos indivíduos de 24 anos haviam completado o secundário (Freitas, 1946). E aqueles que completavam vinham de uma escola estruturada para escolher “os melhores”, em grande parte sustentada por ideias eugenistas, como a seleção de crianças “bem-dotadas” em Matemática. Acreditava-se que seriam capazes de resolver problemas complexos, acessíveis apenas a adultos, e esse discurso reforçava a ideia de que a capacidade matemática seria marcador objetivo de superioridade intelectual e, portanto, de valor humano, conforme trecho do Boletim da Eugenia:</w:t>
      </w:r>
    </w:p>
    <w:p w14:paraId="6F0B0A51"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“Devemos estabelecer as relações que existem entre a precocidade e a superioridade. É observação corrente que a vida do gênio é caracterizada pela precocidade. Encontram-se crianças que podem resolver problemas somente acessíveis aos adultos. Esta precocidade é característica sobretudo nos gênios musicais e </w:t>
      </w:r>
      <w:r w:rsidRPr="0075221B">
        <w:rPr>
          <w:rFonts w:ascii="Times New Roman" w:hAnsi="Times New Roman" w:cs="Times New Roman"/>
          <w:b/>
          <w:bCs/>
          <w:color w:val="000000"/>
        </w:rPr>
        <w:t>matemáticos</w:t>
      </w:r>
      <w:r w:rsidRPr="0075221B">
        <w:rPr>
          <w:rFonts w:ascii="Times New Roman" w:hAnsi="Times New Roman" w:cs="Times New Roman"/>
          <w:color w:val="000000"/>
        </w:rPr>
        <w:t>” (Boletim da Eugenia, 1929 – grifo nosso).</w:t>
      </w:r>
    </w:p>
    <w:p w14:paraId="1597A796" w14:textId="436E6F3A" w:rsidR="00D53167" w:rsidRPr="0075221B" w:rsidRDefault="00D53167" w:rsidP="006D2C2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Não tenho a pretensão de esgotar a relação entre Matemática e raça. Todavia, a partir do que foi exposto, torna-se possível refletir sobre o imaginário social de quem estaria autorizado a “ser bom” em Matemática. Não foi uma epifania; foi um projeto de país. Por isso, defendo que nós, docentes que ensinamos Matemática, precisamos ampliar a consciência sobre nosso papel político, social e econômico em sala de aula. Qual modelo de país </w:t>
      </w:r>
      <w:r w:rsidR="00852806" w:rsidRPr="0075221B">
        <w:rPr>
          <w:rFonts w:ascii="Times New Roman" w:hAnsi="Times New Roman" w:cs="Times New Roman"/>
          <w:color w:val="000000"/>
        </w:rPr>
        <w:t xml:space="preserve">que </w:t>
      </w:r>
      <w:r w:rsidRPr="0075221B">
        <w:rPr>
          <w:rFonts w:ascii="Times New Roman" w:hAnsi="Times New Roman" w:cs="Times New Roman"/>
          <w:color w:val="000000"/>
        </w:rPr>
        <w:t>desejamos construir? Quais ideias desejamos desenvolver com nossos estudantes? Que sentidos queremos produzir ao ensinar Matemática: o de que apenas alguns, por “dom”, conseguem, ou o de que todos podem aprender?</w:t>
      </w:r>
      <w:r w:rsidR="00BA1C25" w:rsidRPr="0075221B">
        <w:rPr>
          <w:rFonts w:ascii="Times New Roman" w:hAnsi="Times New Roman" w:cs="Times New Roman"/>
          <w:color w:val="000000"/>
        </w:rPr>
        <w:t xml:space="preserve"> </w:t>
      </w:r>
      <w:r w:rsidR="00852806" w:rsidRPr="0075221B">
        <w:rPr>
          <w:rFonts w:ascii="Times New Roman" w:hAnsi="Times New Roman" w:cs="Times New Roman"/>
          <w:color w:val="000000"/>
        </w:rPr>
        <w:t>A</w:t>
      </w:r>
      <w:r w:rsidR="00BA1C25" w:rsidRPr="0075221B">
        <w:rPr>
          <w:rFonts w:ascii="Times New Roman" w:hAnsi="Times New Roman" w:cs="Times New Roman"/>
          <w:color w:val="000000"/>
        </w:rPr>
        <w:t xml:space="preserve"> ideia de talento </w:t>
      </w:r>
      <w:r w:rsidR="00BA1C25" w:rsidRPr="0075221B">
        <w:rPr>
          <w:rFonts w:ascii="Times New Roman" w:hAnsi="Times New Roman" w:cs="Times New Roman"/>
          <w:color w:val="000000"/>
        </w:rPr>
        <w:lastRenderedPageBreak/>
        <w:t xml:space="preserve">inato em Matemática não nasce do nada; ela se articula </w:t>
      </w:r>
      <w:r w:rsidR="005F41DB" w:rsidRPr="0075221B">
        <w:rPr>
          <w:rFonts w:ascii="Times New Roman" w:hAnsi="Times New Roman" w:cs="Times New Roman"/>
          <w:color w:val="000000"/>
        </w:rPr>
        <w:t>à</w:t>
      </w:r>
      <w:r w:rsidR="00BA1C25" w:rsidRPr="0075221B">
        <w:rPr>
          <w:rFonts w:ascii="Times New Roman" w:hAnsi="Times New Roman" w:cs="Times New Roman"/>
          <w:color w:val="000000"/>
        </w:rPr>
        <w:t xml:space="preserve"> projetos históricos de classificação e hierarquização.</w:t>
      </w:r>
    </w:p>
    <w:p w14:paraId="7604D704" w14:textId="77777777" w:rsidR="00D53167" w:rsidRPr="0075221B" w:rsidRDefault="00D53167"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letramento racial, junto dessa percepção ampliada, ajuda a pensar em ações que mobilizem estudantes e enfrentem desigualdades. Conforme indicam Barbosa et al. (2023, p. 274), “é necessário desenvolver pedagogias voltadas diretamente para alunos negros e para os desafios particulares enfrentados por eles, em especial o racismo de professores, colegas e até reproduzido por seus pais”. Não se trata de caça às bruxas, mas de compreender como chegamos até aqui e o que precisamos fazer para alterar esse cenário.</w:t>
      </w:r>
    </w:p>
    <w:p w14:paraId="32B9B721" w14:textId="76CA1EC1" w:rsidR="00D53167" w:rsidRPr="0075221B" w:rsidRDefault="006D2C28" w:rsidP="006C72EA">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Ao longo d</w:t>
      </w:r>
      <w:r w:rsidR="00D53167" w:rsidRPr="0075221B">
        <w:rPr>
          <w:rFonts w:ascii="Times New Roman" w:hAnsi="Times New Roman" w:cs="Times New Roman"/>
          <w:color w:val="000000"/>
        </w:rPr>
        <w:t xml:space="preserve">este capítulo, </w:t>
      </w:r>
      <w:r w:rsidRPr="0075221B">
        <w:rPr>
          <w:rFonts w:ascii="Times New Roman" w:hAnsi="Times New Roman" w:cs="Times New Roman"/>
          <w:color w:val="000000"/>
        </w:rPr>
        <w:t>busquei mostrar</w:t>
      </w:r>
      <w:r w:rsidR="00D53167" w:rsidRPr="0075221B">
        <w:rPr>
          <w:rFonts w:ascii="Times New Roman" w:hAnsi="Times New Roman" w:cs="Times New Roman"/>
          <w:color w:val="000000"/>
        </w:rPr>
        <w:t xml:space="preserve"> como a escola se estruturou historicamente com dispositivos de seleção (testes, currículos, formação docente e exames) que operaram sob uma aparência de neutralidade</w:t>
      </w:r>
      <w:r w:rsidRPr="0075221B">
        <w:rPr>
          <w:rFonts w:ascii="Times New Roman" w:hAnsi="Times New Roman" w:cs="Times New Roman"/>
          <w:color w:val="000000"/>
        </w:rPr>
        <w:t>. O</w:t>
      </w:r>
      <w:r w:rsidR="00D53167" w:rsidRPr="0075221B">
        <w:rPr>
          <w:rFonts w:ascii="Times New Roman" w:hAnsi="Times New Roman" w:cs="Times New Roman"/>
          <w:color w:val="000000"/>
        </w:rPr>
        <w:t xml:space="preserve"> passo seguinte é discutir quais princípios e práticas permitem romper com essa herança. É com esse horizonte que avançamos: não basta reconhecer a desigualdade; é preciso construir caminhos de superação. No capítulo seguinte, a discussão se desloca para a ideia de equidade e para a crítica à meritocracia como parâmetro orientador do “sucesso” em Matemática, abrindo espaço para pensar o que chamo de compromisso pedagógico com a equidade racial</w:t>
      </w:r>
      <w:r w:rsidRPr="0075221B">
        <w:rPr>
          <w:rFonts w:ascii="Times New Roman" w:hAnsi="Times New Roman" w:cs="Times New Roman"/>
          <w:color w:val="000000"/>
        </w:rPr>
        <w:t>.</w:t>
      </w:r>
    </w:p>
    <w:p w14:paraId="70A74282" w14:textId="77777777" w:rsidR="00F10098" w:rsidRPr="0075221B" w:rsidRDefault="00F10098" w:rsidP="00F10098">
      <w:pPr>
        <w:spacing w:line="360" w:lineRule="auto"/>
        <w:ind w:firstLine="709"/>
        <w:jc w:val="both"/>
        <w:rPr>
          <w:rFonts w:ascii="Times New Roman" w:hAnsi="Times New Roman" w:cs="Times New Roman"/>
          <w:b/>
          <w:bCs/>
        </w:rPr>
      </w:pPr>
      <w:r w:rsidRPr="0075221B">
        <w:rPr>
          <w:rFonts w:ascii="Times New Roman" w:hAnsi="Times New Roman" w:cs="Times New Roman"/>
          <w:b/>
          <w:bCs/>
        </w:rPr>
        <w:t>Capítulo 3 - Equidade racial: quando o ponto de partida importa</w:t>
      </w:r>
    </w:p>
    <w:p w14:paraId="1DD4A151"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meritocracia é frequentemente apresentada como uma explicação suficiente para o sucesso e o fracasso escolar. No entanto, quando aplicada à educação brasileira, essa narrativa tende a ocultar desigualdades estruturais profundas, atravessadas por raça, classe, território e gênero. Este capítulo sustenta uma tese central: justiça educacional não se alcança tratando todos do mesmo modo, mas enfrentando as desigualdades injustas que definem pontos de partida diferentes.</w:t>
      </w:r>
    </w:p>
    <w:p w14:paraId="013D6D02" w14:textId="15F44D6C" w:rsidR="00F10098" w:rsidRPr="0075221B" w:rsidRDefault="00F10098" w:rsidP="00923594">
      <w:pPr>
        <w:spacing w:line="360" w:lineRule="auto"/>
        <w:ind w:firstLine="709"/>
        <w:jc w:val="both"/>
        <w:rPr>
          <w:rFonts w:ascii="Times New Roman" w:hAnsi="Times New Roman" w:cs="Times New Roman"/>
          <w:b/>
          <w:bCs/>
        </w:rPr>
      </w:pPr>
      <w:r w:rsidRPr="0075221B">
        <w:rPr>
          <w:rFonts w:ascii="Times New Roman" w:hAnsi="Times New Roman" w:cs="Times New Roman"/>
          <w:b/>
          <w:bCs/>
        </w:rPr>
        <w:t>3.1 Meritocracia e o apagamento das condições de partida</w:t>
      </w:r>
      <w:r w:rsidR="00032A70">
        <w:rPr>
          <w:rFonts w:ascii="Times New Roman" w:hAnsi="Times New Roman" w:cs="Times New Roman"/>
          <w:b/>
          <w:bCs/>
        </w:rPr>
        <w:t xml:space="preserve"> </w:t>
      </w:r>
    </w:p>
    <w:p w14:paraId="006A899F" w14:textId="3AF29D51" w:rsidR="00F10098" w:rsidRPr="0075221B" w:rsidRDefault="00F10098" w:rsidP="007446CF">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Cida Bento</w:t>
      </w:r>
      <w:r w:rsidR="005642DF" w:rsidRPr="0075221B">
        <w:rPr>
          <w:rFonts w:ascii="Times New Roman" w:hAnsi="Times New Roman" w:cs="Times New Roman"/>
          <w:color w:val="000000"/>
        </w:rPr>
        <w:t xml:space="preserve"> (2022)</w:t>
      </w:r>
      <w:r w:rsidRPr="0075221B">
        <w:rPr>
          <w:rFonts w:ascii="Times New Roman" w:hAnsi="Times New Roman" w:cs="Times New Roman"/>
          <w:color w:val="000000"/>
        </w:rPr>
        <w:t xml:space="preserve"> define a meritocracia como uma narrativa que atribui o sucesso individual exclusivamente a habilidades intrínsecas e ao esforço pessoal, desconsiderando a história social dos grupos aos quais os indivíduos pertencem e os contextos estruturais nos quais estão inseridos. Essa perspectiva tem sido amplamente mobilizada nos debates públicos, especialmente quando se trata de educação. O mérito costuma ser associado à ideia de justiça: “se estudei e passei, foi porque mereci”; “se conquistei, foi porque fiz por onde”. Essas afirmações são recorrentes no senso comum e, inclusive, fazem parte de muitas trajetórias familiares. Não há, em si, qualquer demérito no reconhecimento do esforço individual; ao contrário, ele pode ser fonte legítima de alegria e valorização.</w:t>
      </w:r>
      <w:r w:rsidR="00F622A6" w:rsidRPr="0075221B">
        <w:rPr>
          <w:rFonts w:ascii="Times New Roman" w:hAnsi="Times New Roman" w:cs="Times New Roman"/>
          <w:color w:val="000000"/>
        </w:rPr>
        <w:t xml:space="preserve"> </w:t>
      </w:r>
      <w:r w:rsidR="00AE3E4B" w:rsidRPr="0075221B">
        <w:rPr>
          <w:rFonts w:ascii="Times New Roman" w:hAnsi="Times New Roman" w:cs="Times New Roman"/>
          <w:color w:val="000000"/>
        </w:rPr>
        <w:lastRenderedPageBreak/>
        <w:t>Re</w:t>
      </w:r>
      <w:r w:rsidR="00F622A6" w:rsidRPr="0075221B">
        <w:rPr>
          <w:rFonts w:ascii="Times New Roman" w:hAnsi="Times New Roman" w:cs="Times New Roman"/>
          <w:color w:val="000000"/>
        </w:rPr>
        <w:t xml:space="preserve">conhecer </w:t>
      </w:r>
      <w:r w:rsidR="00AE3E4B" w:rsidRPr="0075221B">
        <w:rPr>
          <w:rFonts w:ascii="Times New Roman" w:hAnsi="Times New Roman" w:cs="Times New Roman"/>
          <w:color w:val="000000"/>
        </w:rPr>
        <w:t xml:space="preserve">o </w:t>
      </w:r>
      <w:r w:rsidR="00F622A6" w:rsidRPr="0075221B">
        <w:rPr>
          <w:rFonts w:ascii="Times New Roman" w:hAnsi="Times New Roman" w:cs="Times New Roman"/>
          <w:color w:val="000000"/>
        </w:rPr>
        <w:t xml:space="preserve">esforço não é o problema; o problema é tomar </w:t>
      </w:r>
      <w:r w:rsidR="00AE3E4B" w:rsidRPr="0075221B">
        <w:rPr>
          <w:rFonts w:ascii="Times New Roman" w:hAnsi="Times New Roman" w:cs="Times New Roman"/>
          <w:color w:val="000000"/>
        </w:rPr>
        <w:t>a ausência do</w:t>
      </w:r>
      <w:r w:rsidR="00F622A6" w:rsidRPr="0075221B">
        <w:rPr>
          <w:rFonts w:ascii="Times New Roman" w:hAnsi="Times New Roman" w:cs="Times New Roman"/>
          <w:color w:val="000000"/>
        </w:rPr>
        <w:t xml:space="preserve"> esforço como única explicação para desigualdades estruturais.</w:t>
      </w:r>
    </w:p>
    <w:p w14:paraId="122E568B"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problema emerge quando a meritocracia é tomada como explicação suficiente para as desigualdades sociais e educacionais. Quando refletimos sobre mérito, consideramos efetivamente as condições desiguais de partida das pessoas? No Brasil, é comum que o sucesso escolar de uma pessoa negra seja tratado como exceção digna de admiração: “vejam, ele venceu”, “ela estudou e conseguiu”. Contudo, esse reconhecimento individual, quando isolado, frequentemente reforça a ideia de que o fracasso da maioria decorre de falta de esforço, apagando as desigualdades estruturais que atravessam toda uma população.</w:t>
      </w:r>
    </w:p>
    <w:p w14:paraId="56062CB6" w14:textId="63AE6EC3" w:rsidR="0097748A" w:rsidRPr="0075221B" w:rsidRDefault="0097748A" w:rsidP="0097748A">
      <w:pPr>
        <w:spacing w:line="360" w:lineRule="auto"/>
        <w:ind w:firstLine="709"/>
        <w:jc w:val="both"/>
        <w:rPr>
          <w:rFonts w:ascii="Times New Roman" w:hAnsi="Times New Roman" w:cs="Times New Roman"/>
          <w:b/>
          <w:bCs/>
        </w:rPr>
      </w:pPr>
      <w:r w:rsidRPr="0075221B">
        <w:rPr>
          <w:rFonts w:ascii="Times New Roman" w:hAnsi="Times New Roman" w:cs="Times New Roman"/>
          <w:b/>
          <w:bCs/>
        </w:rPr>
        <w:t>3.2 Desigualdade justa e desigualdade injusta: o que a escola compensa e o que ela reproduz</w:t>
      </w:r>
    </w:p>
    <w:p w14:paraId="1621B0D3" w14:textId="514A93ED" w:rsidR="00F10098" w:rsidRPr="0075221B" w:rsidRDefault="00F10098" w:rsidP="000D743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Michael França e Filipe Nascimento (2025) contribuem para esse debate ao distinguirem dois tipos de desigualdade: a justa e a injusta. A desigualdade justa estaria associada às diferenças decorrentes do esforço individual; a desigualdade injusta, por sua vez, resulta de circunstâncias alheias à vontade da pessoa, como origem familiar, cor da pele ou local de nascimento, devendo ser compensada por meio de políticas públicas. Essa concepção dialoga diretamente com as ideias de John </w:t>
      </w:r>
      <w:proofErr w:type="spellStart"/>
      <w:r w:rsidRPr="0075221B">
        <w:rPr>
          <w:rFonts w:ascii="Times New Roman" w:hAnsi="Times New Roman" w:cs="Times New Roman"/>
          <w:color w:val="000000"/>
        </w:rPr>
        <w:t>Roemer</w:t>
      </w:r>
      <w:proofErr w:type="spellEnd"/>
      <w:r w:rsidRPr="0075221B">
        <w:rPr>
          <w:rFonts w:ascii="Times New Roman" w:hAnsi="Times New Roman" w:cs="Times New Roman"/>
          <w:color w:val="000000"/>
        </w:rPr>
        <w:t>, em </w:t>
      </w:r>
      <w:proofErr w:type="spellStart"/>
      <w:r w:rsidRPr="0075221B">
        <w:rPr>
          <w:rFonts w:ascii="Times New Roman" w:hAnsi="Times New Roman" w:cs="Times New Roman"/>
          <w:color w:val="000000"/>
        </w:rPr>
        <w:t>Equality</w:t>
      </w:r>
      <w:proofErr w:type="spellEnd"/>
      <w:r w:rsidRPr="0075221B">
        <w:rPr>
          <w:rFonts w:ascii="Times New Roman" w:hAnsi="Times New Roman" w:cs="Times New Roman"/>
          <w:color w:val="000000"/>
        </w:rPr>
        <w:t xml:space="preserve"> of </w:t>
      </w:r>
      <w:proofErr w:type="spellStart"/>
      <w:r w:rsidRPr="0075221B">
        <w:rPr>
          <w:rFonts w:ascii="Times New Roman" w:hAnsi="Times New Roman" w:cs="Times New Roman"/>
          <w:color w:val="000000"/>
        </w:rPr>
        <w:t>Opportunity</w:t>
      </w:r>
      <w:proofErr w:type="spellEnd"/>
      <w:r w:rsidRPr="0075221B">
        <w:rPr>
          <w:rFonts w:ascii="Times New Roman" w:hAnsi="Times New Roman" w:cs="Times New Roman"/>
          <w:color w:val="000000"/>
        </w:rPr>
        <w:t> (1998), ao defender que a justiça social exige a neutralização das desvantagens impostas pelas circunstâncias.</w:t>
      </w:r>
      <w:r w:rsidR="000D7430" w:rsidRPr="0075221B">
        <w:rPr>
          <w:rFonts w:ascii="Times New Roman" w:hAnsi="Times New Roman" w:cs="Times New Roman"/>
          <w:color w:val="000000"/>
        </w:rPr>
        <w:t xml:space="preserve"> Ou seja, o ponto de partida importa porque a justiça exige neutralizar desvantagens impostas por circunstâncias, não por escolhas.</w:t>
      </w:r>
    </w:p>
    <w:p w14:paraId="258942F4" w14:textId="621C01FC"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Diante disso, é inevitável questionar: qual dessas desigualdades incide majoritariamente sobre a população negra no Brasil? </w:t>
      </w:r>
      <w:r w:rsidR="00414C7D" w:rsidRPr="0075221B">
        <w:rPr>
          <w:rFonts w:ascii="Times New Roman" w:hAnsi="Times New Roman" w:cs="Times New Roman"/>
          <w:color w:val="000000"/>
        </w:rPr>
        <w:t>Por exemplo: c</w:t>
      </w:r>
      <w:r w:rsidRPr="0075221B">
        <w:rPr>
          <w:rFonts w:ascii="Times New Roman" w:hAnsi="Times New Roman" w:cs="Times New Roman"/>
          <w:color w:val="000000"/>
        </w:rPr>
        <w:t>omo esperar que um jovem negro, nascido e criado em uma favela do Rio de Janeiro, tenha o mesmo desenvolvimento acadêmico de outro jovem oriundo de um bairro de classe média, com acesso a melhores escolas, condições de moradia e apoio familiar? O desafio central está em não associar o baixo rendimento escolar à baixa capacidade cognitiva do estudante negro, mas em compreender que esse desempenho é atravessado por desigualdades históricas, sociais e raciais que impactam diretamente sua trajetória educacional.</w:t>
      </w:r>
    </w:p>
    <w:p w14:paraId="78DC31D2" w14:textId="47B7D098" w:rsidR="006F204E" w:rsidRPr="0075221B" w:rsidRDefault="006F204E" w:rsidP="006F204E">
      <w:pPr>
        <w:spacing w:line="360" w:lineRule="auto"/>
        <w:ind w:firstLine="709"/>
        <w:jc w:val="both"/>
        <w:rPr>
          <w:rFonts w:ascii="Times New Roman" w:hAnsi="Times New Roman" w:cs="Times New Roman"/>
          <w:b/>
          <w:bCs/>
        </w:rPr>
      </w:pPr>
      <w:r w:rsidRPr="0075221B">
        <w:rPr>
          <w:rFonts w:ascii="Times New Roman" w:hAnsi="Times New Roman" w:cs="Times New Roman"/>
          <w:b/>
          <w:bCs/>
        </w:rPr>
        <w:t>3.3 Indicadores, padrões escolares e a urgência da equidade racial</w:t>
      </w:r>
    </w:p>
    <w:p w14:paraId="7EFFC079" w14:textId="5DA3ED9F"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Ao longo dos dois primeiros capítulos, </w:t>
      </w:r>
      <w:r w:rsidR="00C02EB7" w:rsidRPr="0075221B">
        <w:rPr>
          <w:rFonts w:ascii="Times New Roman" w:hAnsi="Times New Roman" w:cs="Times New Roman"/>
          <w:color w:val="000000"/>
        </w:rPr>
        <w:t>busquei evidenciar</w:t>
      </w:r>
      <w:r w:rsidRPr="0075221B">
        <w:rPr>
          <w:rFonts w:ascii="Times New Roman" w:hAnsi="Times New Roman" w:cs="Times New Roman"/>
          <w:color w:val="000000"/>
        </w:rPr>
        <w:t xml:space="preserve"> como a educação brasileira foi estruturada a partir de um modelo excludente, cujos efeitos permanecem visíveis nos indicadores atuais. Os piores resultados educacionais continuam sendo sistematicamente associados à população negra (F</w:t>
      </w:r>
      <w:r w:rsidR="00C02EB7" w:rsidRPr="0075221B">
        <w:rPr>
          <w:rFonts w:ascii="Times New Roman" w:hAnsi="Times New Roman" w:cs="Times New Roman"/>
          <w:color w:val="000000"/>
        </w:rPr>
        <w:t>rança</w:t>
      </w:r>
      <w:r w:rsidRPr="0075221B">
        <w:rPr>
          <w:rFonts w:ascii="Times New Roman" w:hAnsi="Times New Roman" w:cs="Times New Roman"/>
          <w:color w:val="000000"/>
        </w:rPr>
        <w:t>; P</w:t>
      </w:r>
      <w:r w:rsidR="00C02EB7" w:rsidRPr="0075221B">
        <w:rPr>
          <w:rFonts w:ascii="Times New Roman" w:hAnsi="Times New Roman" w:cs="Times New Roman"/>
          <w:color w:val="000000"/>
        </w:rPr>
        <w:t>ortella</w:t>
      </w:r>
      <w:r w:rsidRPr="0075221B">
        <w:rPr>
          <w:rFonts w:ascii="Times New Roman" w:hAnsi="Times New Roman" w:cs="Times New Roman"/>
          <w:color w:val="000000"/>
        </w:rPr>
        <w:t xml:space="preserve">, 2023; CEDRA, 2025; </w:t>
      </w:r>
      <w:r w:rsidRPr="0075221B">
        <w:rPr>
          <w:rFonts w:ascii="Times New Roman" w:hAnsi="Times New Roman" w:cs="Times New Roman"/>
          <w:color w:val="000000"/>
        </w:rPr>
        <w:lastRenderedPageBreak/>
        <w:t xml:space="preserve">TODOS PELA EDUCAÇÃO, 2025). </w:t>
      </w:r>
      <w:r w:rsidR="00C02EB7" w:rsidRPr="0075221B">
        <w:rPr>
          <w:rFonts w:ascii="Times New Roman" w:hAnsi="Times New Roman" w:cs="Times New Roman"/>
          <w:color w:val="000000"/>
        </w:rPr>
        <w:t xml:space="preserve">Quando os piores indicadores se repetem para os mesmos grupos, o problema não é individual: é estrutural. </w:t>
      </w:r>
      <w:r w:rsidRPr="0075221B">
        <w:rPr>
          <w:rFonts w:ascii="Times New Roman" w:hAnsi="Times New Roman" w:cs="Times New Roman"/>
          <w:color w:val="000000"/>
        </w:rPr>
        <w:t>Diante desse cenário, emergem questões fundamentais: como superar um modelo de escolarização que tem como referência implícita um aluno branco, de classe média e distante da realidade de grande parte da população brasileira? Como garantir acesso equitativo e educação de qualidade, especialmente para meninas negras e meninos negros, cujas trajetórias escolares são marcadas por maiores riscos de evasão e fracasso escolar (A</w:t>
      </w:r>
      <w:r w:rsidR="00FA085F" w:rsidRPr="0075221B">
        <w:rPr>
          <w:rFonts w:ascii="Times New Roman" w:hAnsi="Times New Roman" w:cs="Times New Roman"/>
          <w:color w:val="000000"/>
        </w:rPr>
        <w:t>rtes</w:t>
      </w:r>
      <w:r w:rsidR="0092270B" w:rsidRPr="0075221B">
        <w:rPr>
          <w:rFonts w:ascii="Times New Roman" w:hAnsi="Times New Roman" w:cs="Times New Roman"/>
          <w:color w:val="000000"/>
        </w:rPr>
        <w:t xml:space="preserve"> e </w:t>
      </w:r>
      <w:r w:rsidRPr="0075221B">
        <w:rPr>
          <w:rFonts w:ascii="Times New Roman" w:hAnsi="Times New Roman" w:cs="Times New Roman"/>
          <w:color w:val="000000"/>
        </w:rPr>
        <w:t>O</w:t>
      </w:r>
      <w:r w:rsidR="00FA085F" w:rsidRPr="0075221B">
        <w:rPr>
          <w:rFonts w:ascii="Times New Roman" w:hAnsi="Times New Roman" w:cs="Times New Roman"/>
          <w:color w:val="000000"/>
        </w:rPr>
        <w:t>liveira</w:t>
      </w:r>
      <w:r w:rsidRPr="0075221B">
        <w:rPr>
          <w:rFonts w:ascii="Times New Roman" w:hAnsi="Times New Roman" w:cs="Times New Roman"/>
          <w:color w:val="000000"/>
        </w:rPr>
        <w:t>, 2019)?</w:t>
      </w:r>
    </w:p>
    <w:p w14:paraId="3487D3B3"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objetivo deste capítulo não é atribuir culpa retrospectiva às estruturas que nos trouxeram até aqui, mas indicar caminhos possíveis para a superação das desigualdades, a partir de sua compreensão crítica. No Congresso Brasileiro de Pesquisadores Negros e Negras (COPENE), realizado em 2024, o professor e pesquisador Hélio Santos, uma das lideranças do Centro de Estudos e Dados sobre Desigualdades Raciais (CEDRA), apresentou dados que reforçam essa urgência. Em sua fala, destacou que o Brasil ocupa uma posição singular: está entre os países com maiores Produtos Internos Brutos (PIB) do mundo e, simultaneamente, entre aqueles com maiores desigualdades na distribuição de renda (EXAME, 2023; CNN, 2025; G1, 2025). Entre os países com grandes economias, o Brasil é o único cuja população é majoritariamente negra.</w:t>
      </w:r>
    </w:p>
    <w:p w14:paraId="59D14986" w14:textId="682C7F80"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 constatação evidencia como o racismo opera como engrenagem central da desigualdade social no país, com impactos diretos no desempenho escolar. A desigualdade, embora profunda, não é uma marca imutável da sociedade</w:t>
      </w:r>
      <w:r w:rsidR="00561889" w:rsidRPr="0075221B">
        <w:rPr>
          <w:rFonts w:ascii="Times New Roman" w:hAnsi="Times New Roman" w:cs="Times New Roman"/>
          <w:color w:val="000000"/>
        </w:rPr>
        <w:t>,</w:t>
      </w:r>
      <w:r w:rsidRPr="0075221B">
        <w:rPr>
          <w:rFonts w:ascii="Times New Roman" w:hAnsi="Times New Roman" w:cs="Times New Roman"/>
          <w:color w:val="000000"/>
        </w:rPr>
        <w:t xml:space="preserve"> mas enfrenta resistências históricas, institucionais e culturais que tornam sua superação um processo longo e disputado.</w:t>
      </w:r>
    </w:p>
    <w:p w14:paraId="4288C347" w14:textId="029B8CA0" w:rsidR="00472183" w:rsidRPr="0075221B" w:rsidRDefault="00472183" w:rsidP="00472183">
      <w:pPr>
        <w:spacing w:line="360" w:lineRule="auto"/>
        <w:ind w:firstLine="709"/>
        <w:jc w:val="both"/>
        <w:rPr>
          <w:rFonts w:ascii="Times New Roman" w:hAnsi="Times New Roman" w:cs="Times New Roman"/>
          <w:b/>
          <w:bCs/>
        </w:rPr>
      </w:pPr>
      <w:r w:rsidRPr="0075221B">
        <w:rPr>
          <w:rFonts w:ascii="Times New Roman" w:hAnsi="Times New Roman" w:cs="Times New Roman"/>
          <w:b/>
          <w:bCs/>
        </w:rPr>
        <w:t>3.4 Desigualdade e aprendizagem: o problema brasileiro da Finlândia</w:t>
      </w:r>
    </w:p>
    <w:p w14:paraId="61A012F4" w14:textId="0D2894D8" w:rsidR="00F10098" w:rsidRPr="0075221B" w:rsidRDefault="00F10098" w:rsidP="000961B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Experiências internacionais ajudam a ilustrar como a desigualdade afeta, inclusive, sistemas educacionais considerados bem-sucedidos. A Finlândia, frequentemente citada por seus bons resultados em Matemática no Programa Internacional de Avaliação de Alunos (PISA), apresentou </w:t>
      </w:r>
      <w:r w:rsidR="001B0E16" w:rsidRPr="0075221B">
        <w:rPr>
          <w:rFonts w:ascii="Times New Roman" w:hAnsi="Times New Roman" w:cs="Times New Roman"/>
          <w:color w:val="000000"/>
        </w:rPr>
        <w:t>,entre 2012 e 2022, uma queda de mais de 20 pontos</w:t>
      </w:r>
      <w:r w:rsidR="003F774D"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Segundo Anders </w:t>
      </w:r>
      <w:proofErr w:type="spellStart"/>
      <w:r w:rsidRPr="0075221B">
        <w:rPr>
          <w:rFonts w:ascii="Times New Roman" w:hAnsi="Times New Roman" w:cs="Times New Roman"/>
          <w:color w:val="000000"/>
        </w:rPr>
        <w:t>Adlercreutz</w:t>
      </w:r>
      <w:proofErr w:type="spellEnd"/>
      <w:r w:rsidRPr="0075221B">
        <w:rPr>
          <w:rFonts w:ascii="Times New Roman" w:hAnsi="Times New Roman" w:cs="Times New Roman"/>
          <w:color w:val="000000"/>
        </w:rPr>
        <w:t xml:space="preserve">, ministro da Educação do país, diversos fatores contribuíram para esse resultado, entre eles o aumento da desigualdade social, mudanças demográficas associadas à imigração, cortes orçamentários e transformações no trabalho docente. A antropóloga Anni </w:t>
      </w:r>
      <w:proofErr w:type="spellStart"/>
      <w:r w:rsidRPr="0075221B">
        <w:rPr>
          <w:rFonts w:ascii="Times New Roman" w:hAnsi="Times New Roman" w:cs="Times New Roman"/>
          <w:color w:val="000000"/>
        </w:rPr>
        <w:t>Kajanus</w:t>
      </w:r>
      <w:proofErr w:type="spellEnd"/>
      <w:r w:rsidRPr="0075221B">
        <w:rPr>
          <w:rFonts w:ascii="Times New Roman" w:hAnsi="Times New Roman" w:cs="Times New Roman"/>
          <w:color w:val="000000"/>
        </w:rPr>
        <w:t xml:space="preserve">, da Universidade de Helsinque, destaca que, antes do aumento das desigualdades, as crianças finlandesas apresentavam desempenho mais homogêneo. </w:t>
      </w:r>
      <w:proofErr w:type="spellStart"/>
      <w:r w:rsidRPr="0075221B">
        <w:rPr>
          <w:rFonts w:ascii="Times New Roman" w:hAnsi="Times New Roman" w:cs="Times New Roman"/>
          <w:color w:val="000000"/>
        </w:rPr>
        <w:t>Muench</w:t>
      </w:r>
      <w:proofErr w:type="spellEnd"/>
      <w:r w:rsidRPr="0075221B">
        <w:rPr>
          <w:rFonts w:ascii="Times New Roman" w:hAnsi="Times New Roman" w:cs="Times New Roman"/>
          <w:color w:val="000000"/>
        </w:rPr>
        <w:t xml:space="preserve">, da Universidade Zeppelin, na Alemanha, reforça que salas mais heterogêneas e contextos sociais mais desiguais </w:t>
      </w:r>
      <w:r w:rsidRPr="0075221B">
        <w:rPr>
          <w:rFonts w:ascii="Times New Roman" w:hAnsi="Times New Roman" w:cs="Times New Roman"/>
          <w:color w:val="000000"/>
        </w:rPr>
        <w:lastRenderedPageBreak/>
        <w:t>impõem novos desafios às escolas e aos professores, especialmente quando o apoio familiar aos estudos se torna limitado pelas condições de vida.</w:t>
      </w:r>
      <w:r w:rsidR="001B0E16" w:rsidRPr="0075221B">
        <w:rPr>
          <w:rFonts w:ascii="Times New Roman" w:hAnsi="Times New Roman" w:cs="Times New Roman"/>
          <w:color w:val="000000"/>
        </w:rPr>
        <w:t xml:space="preserve"> (G1, 2025</w:t>
      </w:r>
      <w:r w:rsidR="00B84BA7" w:rsidRPr="0075221B">
        <w:rPr>
          <w:rFonts w:ascii="Times New Roman" w:hAnsi="Times New Roman" w:cs="Times New Roman"/>
          <w:color w:val="000000"/>
        </w:rPr>
        <w:t>; OCDE, 2023</w:t>
      </w:r>
      <w:r w:rsidR="001B0E16" w:rsidRPr="0075221B">
        <w:rPr>
          <w:rFonts w:ascii="Times New Roman" w:hAnsi="Times New Roman" w:cs="Times New Roman"/>
          <w:color w:val="000000"/>
        </w:rPr>
        <w:t>)</w:t>
      </w:r>
      <w:r w:rsidR="00A94899" w:rsidRPr="0075221B">
        <w:rPr>
          <w:rFonts w:ascii="Times New Roman" w:hAnsi="Times New Roman" w:cs="Times New Roman"/>
          <w:color w:val="000000"/>
        </w:rPr>
        <w:t>.</w:t>
      </w:r>
    </w:p>
    <w:p w14:paraId="68E2E634" w14:textId="7525FE30" w:rsidR="00A94899" w:rsidRPr="0075221B" w:rsidRDefault="00F10098" w:rsidP="00A94899">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É importante ressaltar que a desigualdade social da Finlândia não se compara à brasileira. Em 2022, o índice de Gini finlandês era de 26,6, enquanto o do Brasil ultrapassava 52 pontos</w:t>
      </w:r>
      <w:r w:rsidR="009013ED" w:rsidRPr="0075221B">
        <w:rPr>
          <w:rFonts w:ascii="Times New Roman" w:hAnsi="Times New Roman" w:cs="Times New Roman"/>
          <w:color w:val="000000"/>
        </w:rPr>
        <w:t xml:space="preserve">, </w:t>
      </w:r>
      <w:r w:rsidR="005C68C3" w:rsidRPr="0075221B">
        <w:rPr>
          <w:rFonts w:ascii="Times New Roman" w:hAnsi="Times New Roman" w:cs="Times New Roman"/>
          <w:color w:val="000000"/>
        </w:rPr>
        <w:t>quanto</w:t>
      </w:r>
      <w:r w:rsidRPr="0075221B">
        <w:rPr>
          <w:rFonts w:ascii="Times New Roman" w:hAnsi="Times New Roman" w:cs="Times New Roman"/>
          <w:color w:val="000000"/>
        </w:rPr>
        <w:t xml:space="preserve"> maior o índice, maior a concentração de renda</w:t>
      </w:r>
      <w:r w:rsidR="009013ED" w:rsidRPr="0075221B">
        <w:rPr>
          <w:rFonts w:ascii="Times New Roman" w:hAnsi="Times New Roman" w:cs="Times New Roman"/>
          <w:color w:val="000000"/>
        </w:rPr>
        <w:t xml:space="preserve"> (G1, 2025)</w:t>
      </w:r>
      <w:r w:rsidRPr="0075221B">
        <w:rPr>
          <w:rFonts w:ascii="Times New Roman" w:hAnsi="Times New Roman" w:cs="Times New Roman"/>
          <w:color w:val="000000"/>
        </w:rPr>
        <w:t xml:space="preserve"> </w:t>
      </w:r>
      <w:r w:rsidR="009013ED" w:rsidRPr="0075221B">
        <w:rPr>
          <w:rFonts w:ascii="Times New Roman" w:hAnsi="Times New Roman" w:cs="Times New Roman"/>
          <w:color w:val="000000"/>
        </w:rPr>
        <w:t>.</w:t>
      </w:r>
      <w:r w:rsidRPr="0075221B">
        <w:rPr>
          <w:rFonts w:ascii="Times New Roman" w:hAnsi="Times New Roman" w:cs="Times New Roman"/>
          <w:color w:val="000000"/>
        </w:rPr>
        <w:t xml:space="preserve">A intenção aqui não é comparar sistemas educacionais, mas destacar que a desigualdade impacta negativamente o desempenho escolar mesmo em contextos considerados exemplares. </w:t>
      </w:r>
      <w:r w:rsidR="00A94899" w:rsidRPr="0075221B">
        <w:rPr>
          <w:rFonts w:ascii="Times New Roman" w:hAnsi="Times New Roman" w:cs="Times New Roman"/>
          <w:color w:val="000000"/>
        </w:rPr>
        <w:t xml:space="preserve">Quando a desigualdade cresce, até sistemas educacionais reconhecidos sofrem queda de desempenho, porque desigualdade reorganiza o ensino. </w:t>
      </w:r>
      <w:r w:rsidRPr="0075221B">
        <w:rPr>
          <w:rFonts w:ascii="Times New Roman" w:hAnsi="Times New Roman" w:cs="Times New Roman"/>
          <w:color w:val="000000"/>
        </w:rPr>
        <w:t>Lidar com desigualdades educacionais</w:t>
      </w:r>
      <w:r w:rsidR="005C68C3"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 especialmente aquelas atravessadas pelo racismo</w:t>
      </w:r>
      <w:r w:rsidR="005C68C3" w:rsidRPr="0075221B">
        <w:rPr>
          <w:rFonts w:ascii="Times New Roman" w:hAnsi="Times New Roman" w:cs="Times New Roman"/>
          <w:color w:val="000000"/>
        </w:rPr>
        <w:t xml:space="preserve">, </w:t>
      </w:r>
      <w:r w:rsidRPr="0075221B">
        <w:rPr>
          <w:rFonts w:ascii="Times New Roman" w:hAnsi="Times New Roman" w:cs="Times New Roman"/>
          <w:color w:val="000000"/>
        </w:rPr>
        <w:t>não é tarefa simples: exige planejamento, pesquisa, ação articulada, paciência histórica, visão política e esperança coletiva.</w:t>
      </w:r>
      <w:r w:rsidR="000961B8" w:rsidRPr="0075221B">
        <w:rPr>
          <w:rFonts w:ascii="Times New Roman" w:hAnsi="Times New Roman" w:cs="Times New Roman"/>
          <w:color w:val="000000"/>
        </w:rPr>
        <w:t xml:space="preserve"> </w:t>
      </w:r>
    </w:p>
    <w:p w14:paraId="7B279D70" w14:textId="1DD049FF" w:rsidR="0060157A" w:rsidRPr="0075221B" w:rsidRDefault="0060157A" w:rsidP="0060157A">
      <w:pPr>
        <w:spacing w:line="360" w:lineRule="auto"/>
        <w:ind w:firstLine="709"/>
        <w:jc w:val="both"/>
        <w:rPr>
          <w:rFonts w:ascii="Times New Roman" w:hAnsi="Times New Roman" w:cs="Times New Roman"/>
          <w:b/>
          <w:bCs/>
        </w:rPr>
      </w:pPr>
      <w:r w:rsidRPr="0075221B">
        <w:rPr>
          <w:rFonts w:ascii="Times New Roman" w:hAnsi="Times New Roman" w:cs="Times New Roman"/>
          <w:b/>
          <w:bCs/>
        </w:rPr>
        <w:t>3.5 Igualdade, equidade e justiça: por que tratar “igual” pode manter a desigualdade</w:t>
      </w:r>
    </w:p>
    <w:p w14:paraId="578A593A" w14:textId="53C7F116" w:rsidR="00F10098" w:rsidRPr="0075221B" w:rsidRDefault="00F10098" w:rsidP="00323BA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Uma vez ouvi a seguinte frase: “somos todos iguais, mas alguns são mais iguais do que outros”. A princípio, ela pode soar desconexa; no entanto, quando a deslocamos para o campo educacional brasileiro, seu sentido se torna evidente. A presunção de que todos os estudantes partem do mesmo ponto de partida, com as mesmas condições, repertórios e oportunidades, é um senso comum persistente. A realidade, porém, impõe-se: nem todos aprendem no mesmo ritmo, nem todos aprendem da mesma forma, nem todos tiveram acesso aos conteúdos anteriores que são essenciais para a aprendizagem dos novos.</w:t>
      </w:r>
      <w:r w:rsidR="00323BA2" w:rsidRPr="0075221B">
        <w:rPr>
          <w:rFonts w:ascii="Times New Roman" w:hAnsi="Times New Roman" w:cs="Times New Roman"/>
          <w:color w:val="000000"/>
        </w:rPr>
        <w:t xml:space="preserve"> A igualdade formal não garante justiça quando os pontos de partida são desiguais.</w:t>
      </w:r>
    </w:p>
    <w:p w14:paraId="718DF2F0" w14:textId="79D8B553"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Quando todos são tratados igualmente em um sistema estruturalmente desigual, a desigualdade tende a se perpetuar. Se prevalece um “direito igual” que desconsidera as condições concretas de vida, os sujeitos que, por contingências sociais, culturais e econômicas, tiveram menos oportunidades de acesso à escola e à aquisição de conhecimento seguem recebendo, na prática, menos capital cultural e menos possibilidades reais de aprendizagem. Como consequência, suas trajetórias escolares tornam-se mais vulneráveis e a escola, em vez de reduzir distâncias, pode ampliar diferenças. Por isso, sustento que a escola precisa tratar de forma </w:t>
      </w:r>
      <w:r w:rsidR="000321AC" w:rsidRPr="0075221B">
        <w:rPr>
          <w:rFonts w:ascii="Times New Roman" w:hAnsi="Times New Roman" w:cs="Times New Roman"/>
          <w:color w:val="000000"/>
        </w:rPr>
        <w:t>desiguais</w:t>
      </w:r>
      <w:r w:rsidRPr="0075221B">
        <w:rPr>
          <w:rFonts w:ascii="Times New Roman" w:hAnsi="Times New Roman" w:cs="Times New Roman"/>
          <w:color w:val="000000"/>
        </w:rPr>
        <w:t xml:space="preserve"> os desiguais, para que o status quo de desigualdade e iniquidade seja efetivamente colocado em questão.</w:t>
      </w:r>
    </w:p>
    <w:p w14:paraId="0B5507FF" w14:textId="03D24B35" w:rsidR="0060157A" w:rsidRPr="0075221B" w:rsidRDefault="0060157A" w:rsidP="0060157A">
      <w:pPr>
        <w:spacing w:line="360" w:lineRule="auto"/>
        <w:ind w:firstLine="709"/>
        <w:jc w:val="both"/>
        <w:rPr>
          <w:rFonts w:ascii="Times New Roman" w:hAnsi="Times New Roman" w:cs="Times New Roman"/>
          <w:b/>
          <w:bCs/>
        </w:rPr>
      </w:pPr>
      <w:r w:rsidRPr="0075221B">
        <w:rPr>
          <w:rFonts w:ascii="Times New Roman" w:hAnsi="Times New Roman" w:cs="Times New Roman"/>
          <w:b/>
          <w:bCs/>
        </w:rPr>
        <w:t>3.6 O obstáculo meritocrático e duas concepções de igualdade</w:t>
      </w:r>
    </w:p>
    <w:p w14:paraId="03769C4F" w14:textId="77777777" w:rsidR="003B70B6" w:rsidRPr="0075221B" w:rsidRDefault="00F10098" w:rsidP="00915BF5">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Essa mudança, contudo, esbarra em um obstáculo central: a ideia de meritocracia como baliza do sucesso escolar. A tradição marxista formulou duas concepções de igualdade: “de cada qual segundo sua capacidade, a cada qual segundo o trabalho realizado” e “de cada qual segundo sua capacidade, a cada qual segundo suas necessidades” (</w:t>
      </w:r>
      <w:proofErr w:type="spellStart"/>
      <w:r w:rsidRPr="0075221B">
        <w:rPr>
          <w:rFonts w:ascii="Times New Roman" w:hAnsi="Times New Roman" w:cs="Times New Roman"/>
          <w:color w:val="000000"/>
        </w:rPr>
        <w:t>F</w:t>
      </w:r>
      <w:r w:rsidR="00C23FA6" w:rsidRPr="0075221B">
        <w:rPr>
          <w:rFonts w:ascii="Times New Roman" w:hAnsi="Times New Roman" w:cs="Times New Roman"/>
          <w:color w:val="000000"/>
        </w:rPr>
        <w:t>etscher</w:t>
      </w:r>
      <w:proofErr w:type="spellEnd"/>
      <w:r w:rsidRPr="0075221B">
        <w:rPr>
          <w:rFonts w:ascii="Times New Roman" w:hAnsi="Times New Roman" w:cs="Times New Roman"/>
          <w:color w:val="000000"/>
        </w:rPr>
        <w:t>, 1988, p. 187). A primeira concepção tende a reforçar uma racionalidade meritocrática; a segunda desloca o foco para a necessidade e para as condições concretas de vida. É importante reconhecer o valor do esforço individual e do mérito, mas a meritocracia não pode ser o parâmetro que orienta o ensino de Matemática, porque, para além do esforço, o contexto importa</w:t>
      </w:r>
      <w:r w:rsidR="00915BF5" w:rsidRPr="0075221B">
        <w:rPr>
          <w:rFonts w:ascii="Times New Roman" w:hAnsi="Times New Roman" w:cs="Times New Roman"/>
          <w:color w:val="000000"/>
        </w:rPr>
        <w:t xml:space="preserve">, </w:t>
      </w:r>
      <w:r w:rsidRPr="0075221B">
        <w:rPr>
          <w:rFonts w:ascii="Times New Roman" w:hAnsi="Times New Roman" w:cs="Times New Roman"/>
          <w:color w:val="000000"/>
        </w:rPr>
        <w:t>e importa decisivamente. Ignorar as circunstâncias é transformar desigualdade injusta em fracasso individual “merecido”.</w:t>
      </w:r>
      <w:r w:rsidR="00C23FA6" w:rsidRPr="0075221B">
        <w:rPr>
          <w:rFonts w:ascii="Times New Roman" w:hAnsi="Times New Roman" w:cs="Times New Roman"/>
          <w:color w:val="000000"/>
        </w:rPr>
        <w:t xml:space="preserve"> A equidade exige deslocar o foco do “merecimento” para as condições e necessidades que tornam o aprender possível.</w:t>
      </w:r>
      <w:r w:rsidR="00915BF5" w:rsidRPr="0075221B">
        <w:rPr>
          <w:rFonts w:ascii="Times New Roman" w:hAnsi="Times New Roman" w:cs="Times New Roman"/>
          <w:color w:val="000000"/>
        </w:rPr>
        <w:t xml:space="preserve"> </w:t>
      </w:r>
    </w:p>
    <w:p w14:paraId="0D41670F" w14:textId="319D60C4" w:rsidR="000343E2" w:rsidRPr="0075221B" w:rsidRDefault="000343E2" w:rsidP="000343E2">
      <w:pPr>
        <w:spacing w:line="360" w:lineRule="auto"/>
        <w:ind w:firstLine="709"/>
        <w:jc w:val="both"/>
        <w:rPr>
          <w:rFonts w:ascii="Times New Roman" w:hAnsi="Times New Roman" w:cs="Times New Roman"/>
          <w:b/>
          <w:bCs/>
        </w:rPr>
      </w:pPr>
      <w:r w:rsidRPr="0075221B">
        <w:rPr>
          <w:rFonts w:ascii="Times New Roman" w:hAnsi="Times New Roman" w:cs="Times New Roman"/>
          <w:b/>
          <w:bCs/>
        </w:rPr>
        <w:t>3.7 Equidade como construção histórica e ética: Pascal, Bourdieu e Aristóteles</w:t>
      </w:r>
    </w:p>
    <w:p w14:paraId="10C47184" w14:textId="7CF53F83" w:rsidR="00F10098" w:rsidRPr="0075221B" w:rsidRDefault="00915BF5" w:rsidP="00361A5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w:t>
      </w:r>
      <w:r w:rsidR="00F10098" w:rsidRPr="0075221B">
        <w:rPr>
          <w:rFonts w:ascii="Times New Roman" w:hAnsi="Times New Roman" w:cs="Times New Roman"/>
          <w:color w:val="000000"/>
        </w:rPr>
        <w:t xml:space="preserve"> equidade não é natural; ela é produzida por escolhas sociais, políticas e pedagógicas.</w:t>
      </w:r>
      <w:r w:rsidR="003B70B6" w:rsidRPr="0075221B">
        <w:rPr>
          <w:rFonts w:ascii="Times New Roman" w:hAnsi="Times New Roman" w:cs="Times New Roman"/>
          <w:color w:val="000000"/>
        </w:rPr>
        <w:t xml:space="preserve"> </w:t>
      </w:r>
      <w:r w:rsidR="00F10098" w:rsidRPr="0075221B">
        <w:rPr>
          <w:rFonts w:ascii="Times New Roman" w:hAnsi="Times New Roman" w:cs="Times New Roman"/>
          <w:color w:val="000000"/>
        </w:rPr>
        <w:t>Bourdieu, ao recuperar uma formulação de Pascal, ajuda a compreender o caráter histórico e social da equidade: “o costume faz o molde da equidade, pela simples razão de que ela é recebida (herdada)” (</w:t>
      </w:r>
      <w:proofErr w:type="spellStart"/>
      <w:r w:rsidR="00F10098" w:rsidRPr="0075221B">
        <w:rPr>
          <w:rFonts w:ascii="Times New Roman" w:hAnsi="Times New Roman" w:cs="Times New Roman"/>
          <w:color w:val="000000"/>
        </w:rPr>
        <w:t>P</w:t>
      </w:r>
      <w:r w:rsidR="003B70B6" w:rsidRPr="0075221B">
        <w:rPr>
          <w:rFonts w:ascii="Times New Roman" w:hAnsi="Times New Roman" w:cs="Times New Roman"/>
          <w:color w:val="000000"/>
        </w:rPr>
        <w:t>asca</w:t>
      </w:r>
      <w:r w:rsidR="00F10098" w:rsidRPr="0075221B">
        <w:rPr>
          <w:rFonts w:ascii="Times New Roman" w:hAnsi="Times New Roman" w:cs="Times New Roman"/>
          <w:color w:val="000000"/>
        </w:rPr>
        <w:t>L</w:t>
      </w:r>
      <w:proofErr w:type="spellEnd"/>
      <w:r w:rsidR="00F10098" w:rsidRPr="0075221B">
        <w:rPr>
          <w:rFonts w:ascii="Times New Roman" w:hAnsi="Times New Roman" w:cs="Times New Roman"/>
          <w:color w:val="000000"/>
        </w:rPr>
        <w:t xml:space="preserve"> apud B</w:t>
      </w:r>
      <w:r w:rsidR="003B70B6" w:rsidRPr="0075221B">
        <w:rPr>
          <w:rFonts w:ascii="Times New Roman" w:hAnsi="Times New Roman" w:cs="Times New Roman"/>
          <w:color w:val="000000"/>
        </w:rPr>
        <w:t>ourdieu</w:t>
      </w:r>
      <w:r w:rsidR="00F10098" w:rsidRPr="0075221B">
        <w:rPr>
          <w:rFonts w:ascii="Times New Roman" w:hAnsi="Times New Roman" w:cs="Times New Roman"/>
          <w:color w:val="000000"/>
        </w:rPr>
        <w:t xml:space="preserve">, 1997, p. 114). A equidade não é um dado natural: ela precisa ser gestada, construída e sustentada por práticas e políticas. Em Ética a </w:t>
      </w:r>
      <w:proofErr w:type="spellStart"/>
      <w:r w:rsidR="00F10098" w:rsidRPr="0075221B">
        <w:rPr>
          <w:rFonts w:ascii="Times New Roman" w:hAnsi="Times New Roman" w:cs="Times New Roman"/>
          <w:color w:val="000000"/>
        </w:rPr>
        <w:t>Nicômaco</w:t>
      </w:r>
      <w:proofErr w:type="spellEnd"/>
      <w:r w:rsidR="00F10098" w:rsidRPr="0075221B">
        <w:rPr>
          <w:rFonts w:ascii="Times New Roman" w:hAnsi="Times New Roman" w:cs="Times New Roman"/>
          <w:color w:val="000000"/>
        </w:rPr>
        <w:t>, Aristóteles afirma que, “se o injusto é iníquo, o justo é equitativo”. Ao discutir a justiça como virtude, o filósofo emprega o termo </w:t>
      </w:r>
      <w:proofErr w:type="spellStart"/>
      <w:r w:rsidR="00F10098" w:rsidRPr="0075221B">
        <w:rPr>
          <w:rFonts w:ascii="Times New Roman" w:hAnsi="Times New Roman" w:cs="Times New Roman"/>
          <w:color w:val="000000"/>
        </w:rPr>
        <w:t>epieikeia</w:t>
      </w:r>
      <w:proofErr w:type="spellEnd"/>
      <w:r w:rsidR="00F10098" w:rsidRPr="0075221B">
        <w:rPr>
          <w:rFonts w:ascii="Times New Roman" w:hAnsi="Times New Roman" w:cs="Times New Roman"/>
          <w:color w:val="000000"/>
        </w:rPr>
        <w:t>, traduzido como equidade, e que em inglês aparece como </w:t>
      </w:r>
      <w:proofErr w:type="spellStart"/>
      <w:r w:rsidR="00F10098" w:rsidRPr="0075221B">
        <w:rPr>
          <w:rFonts w:ascii="Times New Roman" w:hAnsi="Times New Roman" w:cs="Times New Roman"/>
          <w:color w:val="000000"/>
        </w:rPr>
        <w:t>equity</w:t>
      </w:r>
      <w:proofErr w:type="spellEnd"/>
      <w:r w:rsidR="00F10098" w:rsidRPr="0075221B">
        <w:rPr>
          <w:rFonts w:ascii="Times New Roman" w:hAnsi="Times New Roman" w:cs="Times New Roman"/>
          <w:color w:val="000000"/>
        </w:rPr>
        <w:t> ou </w:t>
      </w:r>
      <w:proofErr w:type="spellStart"/>
      <w:r w:rsidR="00F10098" w:rsidRPr="0075221B">
        <w:rPr>
          <w:rFonts w:ascii="Times New Roman" w:hAnsi="Times New Roman" w:cs="Times New Roman"/>
          <w:color w:val="000000"/>
        </w:rPr>
        <w:t>fairness</w:t>
      </w:r>
      <w:proofErr w:type="spellEnd"/>
      <w:r w:rsidR="00F10098" w:rsidRPr="0075221B">
        <w:rPr>
          <w:rFonts w:ascii="Times New Roman" w:hAnsi="Times New Roman" w:cs="Times New Roman"/>
          <w:color w:val="000000"/>
        </w:rPr>
        <w:t>. Conforme analisa Azevedo (2013, p. 131), </w:t>
      </w:r>
      <w:proofErr w:type="spellStart"/>
      <w:r w:rsidR="00F10098" w:rsidRPr="0075221B">
        <w:rPr>
          <w:rFonts w:ascii="Times New Roman" w:hAnsi="Times New Roman" w:cs="Times New Roman"/>
          <w:color w:val="000000"/>
        </w:rPr>
        <w:t>equity</w:t>
      </w:r>
      <w:proofErr w:type="spellEnd"/>
      <w:r w:rsidR="00F10098" w:rsidRPr="0075221B">
        <w:rPr>
          <w:rFonts w:ascii="Times New Roman" w:hAnsi="Times New Roman" w:cs="Times New Roman"/>
          <w:color w:val="000000"/>
        </w:rPr>
        <w:t> se traduz diretamente como equidade, enquanto </w:t>
      </w:r>
      <w:proofErr w:type="spellStart"/>
      <w:r w:rsidR="00F10098" w:rsidRPr="0075221B">
        <w:rPr>
          <w:rFonts w:ascii="Times New Roman" w:hAnsi="Times New Roman" w:cs="Times New Roman"/>
          <w:color w:val="000000"/>
        </w:rPr>
        <w:t>fairness</w:t>
      </w:r>
      <w:proofErr w:type="spellEnd"/>
      <w:r w:rsidR="00F10098" w:rsidRPr="0075221B">
        <w:rPr>
          <w:rFonts w:ascii="Times New Roman" w:hAnsi="Times New Roman" w:cs="Times New Roman"/>
          <w:color w:val="000000"/>
        </w:rPr>
        <w:t> pode abarcar justiça, retidão e equidade. Esse debate não é apenas semântico: ele revela que sociedades que se pretendem justas precisam conciliar universalidade de direitos com correção de desigualdades reais.</w:t>
      </w:r>
      <w:r w:rsidR="00361A54" w:rsidRPr="0075221B">
        <w:rPr>
          <w:rFonts w:ascii="Times New Roman" w:hAnsi="Times New Roman" w:cs="Times New Roman"/>
          <w:color w:val="000000"/>
        </w:rPr>
        <w:t xml:space="preserve"> Portanto, somente falar sobre a </w:t>
      </w:r>
      <w:r w:rsidR="00F10098" w:rsidRPr="0075221B">
        <w:rPr>
          <w:rFonts w:ascii="Times New Roman" w:hAnsi="Times New Roman" w:cs="Times New Roman"/>
          <w:color w:val="000000"/>
        </w:rPr>
        <w:t xml:space="preserve"> equidade não basta; é preciso transformar experiências escolares concretas de sujeitos historicamente marginalizados.</w:t>
      </w:r>
    </w:p>
    <w:p w14:paraId="6AF66196" w14:textId="51A03979" w:rsidR="005401B4" w:rsidRPr="0075221B" w:rsidRDefault="005401B4" w:rsidP="005401B4">
      <w:pPr>
        <w:spacing w:line="360" w:lineRule="auto"/>
        <w:ind w:firstLine="709"/>
        <w:jc w:val="both"/>
        <w:rPr>
          <w:rFonts w:ascii="Times New Roman" w:hAnsi="Times New Roman" w:cs="Times New Roman"/>
          <w:b/>
          <w:bCs/>
        </w:rPr>
      </w:pPr>
      <w:r w:rsidRPr="0075221B">
        <w:rPr>
          <w:rFonts w:ascii="Times New Roman" w:hAnsi="Times New Roman" w:cs="Times New Roman"/>
          <w:b/>
          <w:bCs/>
        </w:rPr>
        <w:t>3.8 Equidade transformadora: para além de mudanças superficiais</w:t>
      </w:r>
    </w:p>
    <w:p w14:paraId="5B43A25A" w14:textId="49371966" w:rsidR="00F10098" w:rsidRPr="0075221B" w:rsidRDefault="008179D9"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Mário </w:t>
      </w:r>
      <w:r w:rsidR="00F10098" w:rsidRPr="0075221B">
        <w:rPr>
          <w:rFonts w:ascii="Times New Roman" w:hAnsi="Times New Roman" w:cs="Times New Roman"/>
          <w:color w:val="000000"/>
        </w:rPr>
        <w:t>Azevedo (2013) afirma que igualdade e equidade, com suas sutis diferenças de entendimento, são princípios fundamentais na construção de sociedades orientadas por valores humanistas. Ao mesmo tempo, os fatores geradores de seus contrários</w:t>
      </w:r>
      <w:r w:rsidR="00361A54" w:rsidRPr="0075221B">
        <w:rPr>
          <w:rFonts w:ascii="Times New Roman" w:hAnsi="Times New Roman" w:cs="Times New Roman"/>
          <w:color w:val="000000"/>
        </w:rPr>
        <w:t xml:space="preserve">, </w:t>
      </w:r>
      <w:r w:rsidR="00F10098" w:rsidRPr="0075221B">
        <w:rPr>
          <w:rFonts w:ascii="Times New Roman" w:hAnsi="Times New Roman" w:cs="Times New Roman"/>
          <w:color w:val="000000"/>
        </w:rPr>
        <w:t>desigualdade e iniquidade</w:t>
      </w:r>
      <w:r w:rsidR="00361A54" w:rsidRPr="0075221B">
        <w:rPr>
          <w:rFonts w:ascii="Times New Roman" w:hAnsi="Times New Roman" w:cs="Times New Roman"/>
          <w:color w:val="000000"/>
        </w:rPr>
        <w:t xml:space="preserve">, </w:t>
      </w:r>
      <w:r w:rsidR="00F10098" w:rsidRPr="0075221B">
        <w:rPr>
          <w:rFonts w:ascii="Times New Roman" w:hAnsi="Times New Roman" w:cs="Times New Roman"/>
          <w:color w:val="000000"/>
        </w:rPr>
        <w:t xml:space="preserve">devem ser enfrentados por meio de procedimentos e políticas de correção, contenção e supressão, para que a justiça social possa ser promovida. </w:t>
      </w:r>
      <w:proofErr w:type="spellStart"/>
      <w:r w:rsidR="00F10098" w:rsidRPr="0075221B">
        <w:rPr>
          <w:rFonts w:ascii="Times New Roman" w:hAnsi="Times New Roman" w:cs="Times New Roman"/>
          <w:color w:val="000000"/>
        </w:rPr>
        <w:t>Tenti</w:t>
      </w:r>
      <w:proofErr w:type="spellEnd"/>
      <w:r w:rsidR="00F10098" w:rsidRPr="0075221B">
        <w:rPr>
          <w:rFonts w:ascii="Times New Roman" w:hAnsi="Times New Roman" w:cs="Times New Roman"/>
          <w:color w:val="000000"/>
        </w:rPr>
        <w:t xml:space="preserve"> </w:t>
      </w:r>
      <w:proofErr w:type="spellStart"/>
      <w:r w:rsidR="00F10098" w:rsidRPr="0075221B">
        <w:rPr>
          <w:rFonts w:ascii="Times New Roman" w:hAnsi="Times New Roman" w:cs="Times New Roman"/>
          <w:color w:val="000000"/>
        </w:rPr>
        <w:lastRenderedPageBreak/>
        <w:t>Fanfani</w:t>
      </w:r>
      <w:proofErr w:type="spellEnd"/>
      <w:r w:rsidR="00F10098" w:rsidRPr="0075221B">
        <w:rPr>
          <w:rFonts w:ascii="Times New Roman" w:hAnsi="Times New Roman" w:cs="Times New Roman"/>
          <w:color w:val="000000"/>
        </w:rPr>
        <w:t xml:space="preserve"> (2008, p. 21) reforça essa perspectiva ao alertar para dois erros opostos: (1) conceber a educação como simples “adaptação” às características sociais dos alunos, produzindo “escolas pobres para os pobres” e “escolas ricas para os ricos”; e (2) insistir em receitas homogêneas que geram êxito para poucos e fracasso para muitos. Entre a adaptação conformista e a homogeneização excludente, a equidade aponta para um terceiro caminho: transformar as condições de aprendizagem sem naturalizar desigualdades.</w:t>
      </w:r>
    </w:p>
    <w:p w14:paraId="70E33BE7" w14:textId="0754F40C" w:rsidR="00F10098" w:rsidRPr="0075221B" w:rsidRDefault="00F10098" w:rsidP="00E517CF">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igualdade, baseada na universalidade, pressupõe que todos devem ser regidos pelas mesmas regras e ter os mesmos direitos e deveres. A equidade, por sua vez, reconhece que não somos iguais em condições e oportunidades e que, portanto, é necessário corrigir desequilíbrios. No entanto, é preciso cautela: implementar “equidade” apenas como discurso pode gerar mudanças superficiais. </w:t>
      </w:r>
      <w:r w:rsidR="00E517CF" w:rsidRPr="0075221B">
        <w:rPr>
          <w:rFonts w:ascii="Times New Roman" w:hAnsi="Times New Roman" w:cs="Times New Roman"/>
          <w:color w:val="000000"/>
        </w:rPr>
        <w:t xml:space="preserve">Danny </w:t>
      </w:r>
      <w:r w:rsidRPr="0075221B">
        <w:rPr>
          <w:rFonts w:ascii="Times New Roman" w:hAnsi="Times New Roman" w:cs="Times New Roman"/>
          <w:color w:val="000000"/>
        </w:rPr>
        <w:t xml:space="preserve">Martin (2019) alerta para a preocupação recorrente de que a maior atenção à equidade no campo da Educação Matemática nem sempre se traduz em alterações substantivas no status e nas experiências matemáticas escolares dos sujeitos historicamente marginalizados. Por isso, além de superar o paradigma meritocrático, é necessário que a equidade seja efetivamente transformadora, produzindo mudanças estruturais e mensuráveis nas desigualdades educacionais, como sugerem </w:t>
      </w:r>
      <w:proofErr w:type="spellStart"/>
      <w:r w:rsidRPr="0075221B">
        <w:rPr>
          <w:rFonts w:ascii="Times New Roman" w:hAnsi="Times New Roman" w:cs="Times New Roman"/>
          <w:color w:val="000000"/>
        </w:rPr>
        <w:t>Rubel</w:t>
      </w:r>
      <w:proofErr w:type="spellEnd"/>
      <w:r w:rsidRPr="0075221B">
        <w:rPr>
          <w:rFonts w:ascii="Times New Roman" w:hAnsi="Times New Roman" w:cs="Times New Roman"/>
          <w:color w:val="000000"/>
        </w:rPr>
        <w:t xml:space="preserve"> (2017) e Wilson et al. (2019).</w:t>
      </w:r>
      <w:r w:rsidR="00E517CF" w:rsidRPr="0075221B">
        <w:rPr>
          <w:rFonts w:ascii="Times New Roman" w:hAnsi="Times New Roman" w:cs="Times New Roman"/>
          <w:color w:val="000000"/>
        </w:rPr>
        <w:t xml:space="preserve"> Ou seja, a</w:t>
      </w:r>
      <w:r w:rsidRPr="0075221B">
        <w:rPr>
          <w:rFonts w:ascii="Times New Roman" w:hAnsi="Times New Roman" w:cs="Times New Roman"/>
          <w:color w:val="000000"/>
        </w:rPr>
        <w:t> equidade se operacionaliza quando respondemos, na prática, quem recebe recursos, quem é legitimado e quem decide.</w:t>
      </w:r>
    </w:p>
    <w:p w14:paraId="6240B7E5" w14:textId="50EBDA6F" w:rsidR="00723C02" w:rsidRPr="0075221B" w:rsidRDefault="00723C02" w:rsidP="00723C02">
      <w:pPr>
        <w:spacing w:line="360" w:lineRule="auto"/>
        <w:ind w:firstLine="709"/>
        <w:jc w:val="both"/>
        <w:rPr>
          <w:rFonts w:ascii="Times New Roman" w:hAnsi="Times New Roman" w:cs="Times New Roman"/>
          <w:b/>
          <w:bCs/>
        </w:rPr>
      </w:pPr>
      <w:r w:rsidRPr="0075221B">
        <w:rPr>
          <w:rFonts w:ascii="Times New Roman" w:hAnsi="Times New Roman" w:cs="Times New Roman"/>
          <w:b/>
          <w:bCs/>
        </w:rPr>
        <w:t>3.9 Redistribuição, reconhecimento e representação: três critérios práticos de justiça</w:t>
      </w:r>
    </w:p>
    <w:p w14:paraId="587E082D" w14:textId="06C2EE4B"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Nessa direção, </w:t>
      </w:r>
      <w:r w:rsidR="00AE3332" w:rsidRPr="0075221B">
        <w:rPr>
          <w:rFonts w:ascii="Times New Roman" w:hAnsi="Times New Roman" w:cs="Times New Roman"/>
          <w:color w:val="000000"/>
        </w:rPr>
        <w:t xml:space="preserve">Nancy </w:t>
      </w:r>
      <w:r w:rsidRPr="0075221B">
        <w:rPr>
          <w:rFonts w:ascii="Times New Roman" w:hAnsi="Times New Roman" w:cs="Times New Roman"/>
          <w:color w:val="000000"/>
        </w:rPr>
        <w:t>Fraser (1995, 2005, 2009) oferece uma síntese útil ao propor três dimensões articuladas para a construção da justiça e, consequentemente, da equidade: redistribuição, reconhecimento e representação. A redistribuição refere-se à distribuição de bens e recursos como resposta a injustiças socioeconômicas; o reconhecimento diz respeito a identidades e grupos historicamente subvalorizados, como resposta a injustiças simbólicas e culturais, dominação cultural, desrespeito e falta de reconhecimento; e a representação envolve procedimentos e participação nos processos públicos de deliberação, enfrentando injustiças políticas como exclusão de grupos minoritários e manutenção de hierarquias que privilegiam grupos dominantes. Em termos educacionais, essas dimensões se traduzem em perguntas práticas: quem tem acesso a recursos e oportunidades? quais histórias, identidades e saberes são legitimados pela escola? quem participa das decisões sobre currículo, avaliação e políticas educacionais?</w:t>
      </w:r>
    </w:p>
    <w:p w14:paraId="582D3107" w14:textId="32B68687" w:rsidR="00E8187F" w:rsidRPr="0075221B" w:rsidRDefault="00E8187F" w:rsidP="00E8187F">
      <w:pPr>
        <w:spacing w:line="360" w:lineRule="auto"/>
        <w:ind w:firstLine="709"/>
        <w:jc w:val="both"/>
        <w:rPr>
          <w:rFonts w:ascii="Times New Roman" w:hAnsi="Times New Roman" w:cs="Times New Roman"/>
          <w:b/>
          <w:bCs/>
        </w:rPr>
      </w:pPr>
      <w:r w:rsidRPr="0075221B">
        <w:rPr>
          <w:rFonts w:ascii="Times New Roman" w:hAnsi="Times New Roman" w:cs="Times New Roman"/>
          <w:b/>
          <w:bCs/>
        </w:rPr>
        <w:lastRenderedPageBreak/>
        <w:t>3.10 Do paradigma à prática: estratégias didáticas para discutir equidade no ensino de Matemática</w:t>
      </w:r>
    </w:p>
    <w:p w14:paraId="262CCBC3" w14:textId="4736F5DC" w:rsidR="00750980" w:rsidRPr="0075221B" w:rsidRDefault="00F10098" w:rsidP="00750980">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 base nessas contribuições, proponho o que chamo de paradigma da equidade: diferenciar igualdade e equidade; compreender o papel da equidade no combate à desigualdade; propor ações equitativas que promovam mudanças estruturais; e articular redistribuição, reconhecimento e representação como critérios orientadores da prática docente e das políticas escolares. A atividade da “corrida dos privilégios” pode ser uma estratégia inicial para problematizar os diferentes pontos de partida dos estudantes no aprendizado da Matemática. Quando mediada com cuidado, ela torna visíveis desigualdades que frequentemente permanecem naturalizadas no cotidiano escolar. Ainda assim, é importante que ela não seja a única abordagem: o trabalho com equidade exige múltiplas estratégias pedagógicas, capazes de atingir diferentes perfis de estudantes e contextos escolares.</w:t>
      </w:r>
      <w:r w:rsidR="00750980" w:rsidRPr="0075221B">
        <w:rPr>
          <w:rFonts w:ascii="Times New Roman" w:hAnsi="Times New Roman" w:cs="Times New Roman"/>
          <w:color w:val="000000"/>
        </w:rPr>
        <w:t xml:space="preserve"> As atividades sobre equidade precisam tornar desigualdades visíveis sem expor estudantes e, sobretudo, precisam produzir reflexão coletiva.</w:t>
      </w:r>
    </w:p>
    <w:p w14:paraId="640A71B6" w14:textId="1F91C53E" w:rsidR="00F10098" w:rsidRPr="0075221B" w:rsidRDefault="00F10098" w:rsidP="00F10098">
      <w:pPr>
        <w:spacing w:line="360" w:lineRule="auto"/>
        <w:ind w:firstLine="709"/>
        <w:jc w:val="both"/>
        <w:rPr>
          <w:rFonts w:ascii="Times New Roman" w:hAnsi="Times New Roman" w:cs="Times New Roman"/>
          <w:color w:val="000000"/>
        </w:rPr>
      </w:pPr>
    </w:p>
    <w:p w14:paraId="7FB947DA" w14:textId="4FAB3DB4" w:rsidR="00F10098" w:rsidRPr="0075221B" w:rsidRDefault="00F10098" w:rsidP="00F10098">
      <w:pPr>
        <w:spacing w:before="100" w:beforeAutospacing="1" w:after="100" w:afterAutospacing="1"/>
        <w:outlineLvl w:val="3"/>
        <w:rPr>
          <w:rFonts w:ascii="Times New Roman" w:hAnsi="Times New Roman" w:cs="Times New Roman"/>
          <w:b/>
          <w:bCs/>
          <w:color w:val="000000"/>
        </w:rPr>
      </w:pPr>
      <w:r w:rsidRPr="0075221B">
        <w:rPr>
          <w:rFonts w:ascii="Times New Roman" w:hAnsi="Times New Roman" w:cs="Times New Roman"/>
          <w:b/>
          <w:bCs/>
          <w:color w:val="000000"/>
        </w:rPr>
        <w:t xml:space="preserve">Sugestão </w:t>
      </w:r>
      <w:r w:rsidR="00383EBA" w:rsidRPr="0075221B">
        <w:rPr>
          <w:rFonts w:ascii="Times New Roman" w:hAnsi="Times New Roman" w:cs="Times New Roman"/>
          <w:b/>
          <w:bCs/>
          <w:color w:val="000000"/>
        </w:rPr>
        <w:t xml:space="preserve">1 </w:t>
      </w:r>
      <w:r w:rsidR="00CD5779" w:rsidRPr="0075221B">
        <w:rPr>
          <w:rFonts w:ascii="Times New Roman" w:hAnsi="Times New Roman" w:cs="Times New Roman"/>
          <w:b/>
          <w:bCs/>
          <w:color w:val="000000"/>
        </w:rPr>
        <w:t xml:space="preserve">para docentes que ensinam Matemática </w:t>
      </w:r>
      <w:r w:rsidRPr="0075221B">
        <w:rPr>
          <w:rFonts w:ascii="Times New Roman" w:hAnsi="Times New Roman" w:cs="Times New Roman"/>
          <w:b/>
          <w:bCs/>
          <w:color w:val="000000"/>
        </w:rPr>
        <w:t xml:space="preserve"> – Corrida dos privilégios (versão vivencial, centrada na relação com a Matemática)</w:t>
      </w:r>
    </w:p>
    <w:p w14:paraId="02067640" w14:textId="77777777" w:rsidR="00F10098" w:rsidRPr="0075221B" w:rsidRDefault="00F10098" w:rsidP="00F10098">
      <w:pPr>
        <w:spacing w:before="100" w:beforeAutospacing="1" w:after="100" w:afterAutospacing="1"/>
        <w:rPr>
          <w:rFonts w:ascii="Times New Roman" w:hAnsi="Times New Roman" w:cs="Times New Roman"/>
          <w:color w:val="000000"/>
        </w:rPr>
      </w:pPr>
      <w:r w:rsidRPr="0075221B">
        <w:rPr>
          <w:rFonts w:ascii="Times New Roman" w:hAnsi="Times New Roman" w:cs="Times New Roman"/>
          <w:color w:val="000000"/>
        </w:rPr>
        <w:t>Peça que os estudantes deem um passo à frente ao responder “sim”. Reforce que ninguém é obrigado a se mover.</w:t>
      </w:r>
    </w:p>
    <w:p w14:paraId="4CF3390F"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Na sua casa, sempre houve um adulto que podia te ajudar quando você tinha dúvidas em Matemática?</w:t>
      </w:r>
    </w:p>
    <w:p w14:paraId="29E0DD0E"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teve acesso a materiais de apoio (internet, livros, vídeos, cursinho) quando precisou estudar Matemática?</w:t>
      </w:r>
    </w:p>
    <w:p w14:paraId="328D1C15"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se sentiu confortável para errar nas aulas de Matemática e aprender com o erro?</w:t>
      </w:r>
    </w:p>
    <w:p w14:paraId="6A7B1BBB"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Os exemplos usados nas aulas de Matemática costumavam se relacionar com situações do seu cotidiano?</w:t>
      </w:r>
    </w:p>
    <w:p w14:paraId="0FE3C76D"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já se sentiu incentivado(a) a seguir estudando Matemática, mesmo quando teve dificuldades?</w:t>
      </w:r>
    </w:p>
    <w:p w14:paraId="3066690E"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Em algum momento da sua trajetória escolar, alguém disse que você “levava jeito” para Matemática?</w:t>
      </w:r>
    </w:p>
    <w:p w14:paraId="63D90A5C"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já se sentiu representado(a) positivamente por colegas ou professores nas aulas de Matemática?</w:t>
      </w:r>
    </w:p>
    <w:p w14:paraId="186F682E"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costumava fazer perguntas em sala sem medo de julgamentos?</w:t>
      </w:r>
    </w:p>
    <w:p w14:paraId="04FC70C0"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 escola ofereceu apoio quando você teve dificuldades em Matemática?</w:t>
      </w:r>
    </w:p>
    <w:p w14:paraId="637E2687" w14:textId="77777777" w:rsidR="00F10098" w:rsidRPr="0075221B" w:rsidRDefault="00F10098" w:rsidP="00587498">
      <w:pPr>
        <w:numPr>
          <w:ilvl w:val="0"/>
          <w:numId w:val="3"/>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acredita que a escola esperava que você aprendesse Matemática?</w:t>
      </w:r>
    </w:p>
    <w:p w14:paraId="7998EC65" w14:textId="0F461835" w:rsidR="00F10098" w:rsidRPr="0075221B" w:rsidRDefault="00F10098" w:rsidP="00F10098">
      <w:pPr>
        <w:spacing w:before="100" w:beforeAutospacing="1" w:after="100" w:afterAutospacing="1"/>
        <w:outlineLvl w:val="3"/>
        <w:rPr>
          <w:rFonts w:ascii="Times New Roman" w:hAnsi="Times New Roman" w:cs="Times New Roman"/>
          <w:b/>
          <w:bCs/>
          <w:color w:val="000000"/>
        </w:rPr>
      </w:pPr>
      <w:r w:rsidRPr="0075221B">
        <w:rPr>
          <w:rFonts w:ascii="Times New Roman" w:hAnsi="Times New Roman" w:cs="Times New Roman"/>
          <w:b/>
          <w:bCs/>
          <w:color w:val="000000"/>
        </w:rPr>
        <w:t xml:space="preserve">Sugestão 2 </w:t>
      </w:r>
      <w:r w:rsidR="00383EBA" w:rsidRPr="0075221B">
        <w:rPr>
          <w:rFonts w:ascii="Times New Roman" w:hAnsi="Times New Roman" w:cs="Times New Roman"/>
          <w:b/>
          <w:bCs/>
          <w:color w:val="000000"/>
        </w:rPr>
        <w:t xml:space="preserve">para docentes que ensinam Matemática  </w:t>
      </w:r>
      <w:r w:rsidRPr="0075221B">
        <w:rPr>
          <w:rFonts w:ascii="Times New Roman" w:hAnsi="Times New Roman" w:cs="Times New Roman"/>
          <w:b/>
          <w:bCs/>
          <w:color w:val="000000"/>
        </w:rPr>
        <w:t>– Corrida dos privilégios (versão crítica, centrada em práticas escolares e cultura matemática)</w:t>
      </w:r>
    </w:p>
    <w:p w14:paraId="7AB1D959" w14:textId="77777777" w:rsidR="00F10098" w:rsidRPr="0075221B" w:rsidRDefault="00F10098" w:rsidP="00F10098">
      <w:pPr>
        <w:spacing w:before="100" w:beforeAutospacing="1" w:after="100" w:afterAutospacing="1"/>
        <w:rPr>
          <w:rFonts w:ascii="Times New Roman" w:hAnsi="Times New Roman" w:cs="Times New Roman"/>
          <w:color w:val="000000"/>
        </w:rPr>
      </w:pPr>
      <w:r w:rsidRPr="0075221B">
        <w:rPr>
          <w:rFonts w:ascii="Times New Roman" w:hAnsi="Times New Roman" w:cs="Times New Roman"/>
          <w:color w:val="000000"/>
        </w:rPr>
        <w:lastRenderedPageBreak/>
        <w:t>Peça que os estudantes deem um passo à frente ao responder “sim”. Reforce que ninguém é obrigado a se mover.</w:t>
      </w:r>
    </w:p>
    <w:p w14:paraId="13EC1283"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aprendeu Matemática em um ambiente onde errar fazia parte do processo de aprendizagem?</w:t>
      </w:r>
    </w:p>
    <w:p w14:paraId="628EE3B6"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As avaliações de Matemática consideravam diferentes formas de pensar e resolver problemas?</w:t>
      </w:r>
    </w:p>
    <w:p w14:paraId="1EC298D5"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teve professores que valorizavam seu raciocínio, mesmo quando o resultado final estava incorreto?</w:t>
      </w:r>
    </w:p>
    <w:p w14:paraId="2A6DE372"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 Matemática ensinada dialogava com questões sociais, culturais ou do cotidiano dos estudantes?</w:t>
      </w:r>
    </w:p>
    <w:p w14:paraId="54BB4B81"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percebeu diferenças no tratamento dado a estudantes considerados “bons” e “fracos” em Matemática?</w:t>
      </w:r>
    </w:p>
    <w:p w14:paraId="304C6B75"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Estudantes negros eram frequentemente associados ao sucesso acadêmico em Matemática?</w:t>
      </w:r>
    </w:p>
    <w:p w14:paraId="7EC327F0"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A escola oferecia condições materiais semelhantes para todos aprenderem Matemática?</w:t>
      </w:r>
    </w:p>
    <w:p w14:paraId="1FE02A7C"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O currículo de Matemática reconhecia diferentes trajetórias e pontos de partida?</w:t>
      </w:r>
    </w:p>
    <w:p w14:paraId="75CA9A1B"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já refletiu sobre como raça e classe atravessam o desempenho em Matemática?</w:t>
      </w:r>
    </w:p>
    <w:p w14:paraId="7886ED73" w14:textId="77777777" w:rsidR="00F10098" w:rsidRPr="0075221B" w:rsidRDefault="00F10098" w:rsidP="00587498">
      <w:pPr>
        <w:numPr>
          <w:ilvl w:val="0"/>
          <w:numId w:val="4"/>
        </w:numPr>
        <w:spacing w:before="100" w:beforeAutospacing="1" w:after="100" w:afterAutospacing="1"/>
        <w:jc w:val="both"/>
        <w:rPr>
          <w:rFonts w:ascii="Times New Roman" w:hAnsi="Times New Roman" w:cs="Times New Roman"/>
          <w:color w:val="000000"/>
        </w:rPr>
      </w:pPr>
      <w:r w:rsidRPr="0075221B">
        <w:rPr>
          <w:rFonts w:ascii="Times New Roman" w:hAnsi="Times New Roman" w:cs="Times New Roman"/>
          <w:color w:val="000000"/>
        </w:rPr>
        <w:t>Você acredita que a Matemática pode ser ensinada como instrumento de justiça social?</w:t>
      </w:r>
    </w:p>
    <w:p w14:paraId="6B504757" w14:textId="3E170EFD" w:rsidR="00F10098" w:rsidRPr="0075221B" w:rsidRDefault="005E2C3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Orientação ao docente que ensina Matemática: </w:t>
      </w:r>
      <w:r w:rsidR="00F10098" w:rsidRPr="0075221B">
        <w:rPr>
          <w:rFonts w:ascii="Times New Roman" w:hAnsi="Times New Roman" w:cs="Times New Roman"/>
          <w:color w:val="000000"/>
        </w:rPr>
        <w:t>Mediação necessária: estabeleça combinados de respeito; evite constrangimentos; deixe claro que a atividade não classifica indivíduos, mas evidencia desigualdades estruturais. Após a dinâmica, conduza uma roda de conversa: O que chamou atenção? Por que alguns avançaram mais? Essas diferenças aparecem no cotidiano? O que a escola faz (ou não faz) diante disso?</w:t>
      </w:r>
    </w:p>
    <w:p w14:paraId="01CDCA79" w14:textId="0F1B5AB6" w:rsidR="00F10098" w:rsidRPr="0075221B" w:rsidRDefault="00F10098" w:rsidP="00F10098">
      <w:pPr>
        <w:spacing w:before="100" w:beforeAutospacing="1" w:after="100" w:afterAutospacing="1"/>
        <w:outlineLvl w:val="3"/>
        <w:rPr>
          <w:rFonts w:ascii="Times New Roman" w:hAnsi="Times New Roman" w:cs="Times New Roman"/>
          <w:b/>
          <w:bCs/>
          <w:color w:val="000000"/>
        </w:rPr>
      </w:pPr>
      <w:r w:rsidRPr="0075221B">
        <w:rPr>
          <w:rFonts w:ascii="Times New Roman" w:hAnsi="Times New Roman" w:cs="Times New Roman"/>
          <w:b/>
          <w:bCs/>
          <w:color w:val="000000"/>
        </w:rPr>
        <w:t xml:space="preserve">Sugestão 3 </w:t>
      </w:r>
      <w:r w:rsidR="00383EBA" w:rsidRPr="0075221B">
        <w:rPr>
          <w:rFonts w:ascii="Times New Roman" w:hAnsi="Times New Roman" w:cs="Times New Roman"/>
          <w:b/>
          <w:bCs/>
          <w:color w:val="000000"/>
        </w:rPr>
        <w:t xml:space="preserve">para docentes que ensinam Matemática  </w:t>
      </w:r>
      <w:r w:rsidRPr="0075221B">
        <w:rPr>
          <w:rFonts w:ascii="Times New Roman" w:hAnsi="Times New Roman" w:cs="Times New Roman"/>
          <w:b/>
          <w:bCs/>
          <w:color w:val="000000"/>
        </w:rPr>
        <w:t xml:space="preserve">– Análise de trajetórias </w:t>
      </w:r>
      <w:r w:rsidR="000D5AE6" w:rsidRPr="0075221B">
        <w:rPr>
          <w:rFonts w:ascii="Times New Roman" w:hAnsi="Times New Roman" w:cs="Times New Roman"/>
          <w:b/>
          <w:bCs/>
          <w:color w:val="000000"/>
        </w:rPr>
        <w:t>(as)</w:t>
      </w:r>
      <w:r w:rsidRPr="0075221B">
        <w:rPr>
          <w:rFonts w:ascii="Times New Roman" w:hAnsi="Times New Roman" w:cs="Times New Roman"/>
          <w:b/>
          <w:bCs/>
          <w:color w:val="000000"/>
        </w:rPr>
        <w:t>(sem exposição direta da turma)</w:t>
      </w:r>
    </w:p>
    <w:p w14:paraId="4EDD2CCB"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Como alternativa ou complemento, o(a) docente pode propor a análise de trajetórias fictícias ou reais (com anonimato), descrevendo percursos em Matemática com variáveis como acesso a materiais, apoio familiar, histórico de reprovações, relação com avaliações, expectativas docentes e condições de vida.</w:t>
      </w:r>
    </w:p>
    <w:p w14:paraId="160C415E" w14:textId="77777777"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Exemplos de perfis:</w:t>
      </w:r>
    </w:p>
    <w:p w14:paraId="6F34608D" w14:textId="77777777"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b/>
          <w:bCs/>
          <w:color w:val="000000"/>
        </w:rPr>
        <w:t>Estudante A:</w:t>
      </w:r>
      <w:r w:rsidRPr="0075221B">
        <w:rPr>
          <w:rFonts w:ascii="Times New Roman" w:hAnsi="Times New Roman" w:cs="Times New Roman"/>
          <w:color w:val="000000"/>
        </w:rPr>
        <w:t> escola pública desde os anos iniciais, nunca teve professor particular, começou a trabalhar cedo e apresenta dificuldades persistentes em Matemática.</w:t>
      </w:r>
    </w:p>
    <w:p w14:paraId="47690446" w14:textId="77777777"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b/>
          <w:bCs/>
          <w:color w:val="000000"/>
        </w:rPr>
        <w:t>Estudante B:</w:t>
      </w:r>
      <w:r w:rsidRPr="0075221B">
        <w:rPr>
          <w:rFonts w:ascii="Times New Roman" w:hAnsi="Times New Roman" w:cs="Times New Roman"/>
          <w:color w:val="000000"/>
        </w:rPr>
        <w:t> escola privada, apoio familiar constante, acesso a cursos extracurriculares e bom desempenho nas avaliações.</w:t>
      </w:r>
    </w:p>
    <w:p w14:paraId="22D5BF6F" w14:textId="02CE2CD8" w:rsidR="00F10098" w:rsidRPr="0075221B" w:rsidRDefault="00F10098" w:rsidP="000D5AE6">
      <w:pPr>
        <w:spacing w:line="360" w:lineRule="auto"/>
        <w:ind w:firstLine="709"/>
        <w:jc w:val="both"/>
        <w:rPr>
          <w:rFonts w:ascii="Times New Roman" w:hAnsi="Times New Roman" w:cs="Times New Roman"/>
          <w:color w:val="000000"/>
        </w:rPr>
      </w:pPr>
      <w:r w:rsidRPr="0075221B">
        <w:rPr>
          <w:rFonts w:ascii="Times New Roman" w:hAnsi="Times New Roman" w:cs="Times New Roman"/>
          <w:b/>
          <w:bCs/>
          <w:color w:val="000000"/>
        </w:rPr>
        <w:lastRenderedPageBreak/>
        <w:t>Estudante C</w:t>
      </w:r>
      <w:r w:rsidRPr="0075221B">
        <w:rPr>
          <w:rFonts w:ascii="Times New Roman" w:hAnsi="Times New Roman" w:cs="Times New Roman"/>
          <w:color w:val="000000"/>
        </w:rPr>
        <w:t xml:space="preserve">: estudante negro, bom </w:t>
      </w:r>
      <w:r w:rsidR="00F714BD" w:rsidRPr="0075221B">
        <w:rPr>
          <w:rFonts w:ascii="Times New Roman" w:hAnsi="Times New Roman" w:cs="Times New Roman"/>
          <w:color w:val="000000"/>
        </w:rPr>
        <w:t>pensamento</w:t>
      </w:r>
      <w:r w:rsidRPr="0075221B">
        <w:rPr>
          <w:rFonts w:ascii="Times New Roman" w:hAnsi="Times New Roman" w:cs="Times New Roman"/>
          <w:color w:val="000000"/>
        </w:rPr>
        <w:t xml:space="preserve"> matemático, mas com histórico de baixa autoestima escolar devido a experiências recorrentes de desvalorização em sala de aula.</w:t>
      </w:r>
    </w:p>
    <w:p w14:paraId="7D1DBC2B" w14:textId="77777777" w:rsidR="00F10098" w:rsidRPr="0075221B" w:rsidRDefault="00F10098" w:rsidP="00F10098">
      <w:pPr>
        <w:spacing w:before="100" w:beforeAutospacing="1" w:after="100" w:afterAutospacing="1"/>
        <w:rPr>
          <w:rFonts w:ascii="Times New Roman" w:hAnsi="Times New Roman" w:cs="Times New Roman"/>
          <w:i/>
          <w:iCs/>
          <w:color w:val="000000"/>
        </w:rPr>
      </w:pPr>
      <w:r w:rsidRPr="0075221B">
        <w:rPr>
          <w:rFonts w:ascii="Times New Roman" w:hAnsi="Times New Roman" w:cs="Times New Roman"/>
          <w:color w:val="000000"/>
        </w:rPr>
        <w:t>Perguntas orientadoras</w:t>
      </w:r>
      <w:r w:rsidRPr="0075221B">
        <w:rPr>
          <w:rFonts w:ascii="Times New Roman" w:hAnsi="Times New Roman" w:cs="Times New Roman"/>
          <w:i/>
          <w:iCs/>
          <w:color w:val="000000"/>
        </w:rPr>
        <w:t>: Tiveram as mesmas oportunidades? O desempenho reflete apenas esforço? Que ações a escola poderia ter adotado? Onde raça, classe e gênero atravessam a história, mesmo quando não são nomeados?</w:t>
      </w:r>
    </w:p>
    <w:p w14:paraId="78C8BC52" w14:textId="77777777" w:rsidR="00F10098" w:rsidRPr="0075221B" w:rsidRDefault="00F10098" w:rsidP="00C44DFD">
      <w:pPr>
        <w:spacing w:line="360" w:lineRule="auto"/>
        <w:ind w:firstLine="709"/>
        <w:jc w:val="both"/>
        <w:rPr>
          <w:rFonts w:ascii="Times New Roman" w:hAnsi="Times New Roman" w:cs="Times New Roman"/>
          <w:b/>
          <w:bCs/>
        </w:rPr>
      </w:pPr>
      <w:r w:rsidRPr="0075221B">
        <w:rPr>
          <w:rFonts w:ascii="Times New Roman" w:hAnsi="Times New Roman" w:cs="Times New Roman"/>
          <w:b/>
          <w:bCs/>
        </w:rPr>
        <w:t>3.11 Formação continuada: equidade sem exposição individual e com foco institucional</w:t>
      </w:r>
    </w:p>
    <w:p w14:paraId="0185F8AE" w14:textId="6ED6287A" w:rsidR="00F10098" w:rsidRPr="0075221B" w:rsidRDefault="00F10098" w:rsidP="0056739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Na formação continuada de professores, o debate sobre equidade racial no ensino de Matemática exige estratégias que promovam reflexão crítica sem recorrer à exposição individual dos participantes. Nesse espaço, é possível explicitar de maneira mais direta as dimensões estruturais do racismo, da meritocracia e das desigualdades educacionais, deslocando o foco da figura do estudante para as práticas docentes, o currículo e a organização escolar.</w:t>
      </w:r>
      <w:r w:rsidR="0056739E" w:rsidRPr="0075221B">
        <w:rPr>
          <w:rFonts w:ascii="Times New Roman" w:hAnsi="Times New Roman" w:cs="Times New Roman"/>
          <w:color w:val="000000"/>
        </w:rPr>
        <w:t xml:space="preserve"> Na formação continuada, o debate pode ser mais explícito, deslocando o foco do aluno para práticas, currículo e organização escolar.</w:t>
      </w:r>
    </w:p>
    <w:p w14:paraId="0BA1CE6E"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“corrida dos privilégios” pode ser adaptada para um exercício reflexivo escrito e simbólico, evitando deslocamentos físicos. Cada participante marca, em silêncio, afirmações relacionadas à sua trajetória escolar e acadêmica — especialmente em Matemática — e, ao final, soma suas marcações sem necessidade de compartilhamento público. Exemplos:</w:t>
      </w:r>
    </w:p>
    <w:p w14:paraId="597913AC"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Durante minha escolarização, professores acreditavam que eu tinha facilidade para Matemática.</w:t>
      </w:r>
    </w:p>
    <w:p w14:paraId="14F49E4B"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Tive acesso a apoio extra (aulas particulares, cursinhos, materiais) quando enfrentei dificuldades.</w:t>
      </w:r>
    </w:p>
    <w:p w14:paraId="0769553A"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Senti-me representado(a) positivamente por professores ou colegas nas aulas de Matemática.</w:t>
      </w:r>
    </w:p>
    <w:p w14:paraId="6EF74B76"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As avaliações de Matemática consideravam processos, e não apenas resultados finais.</w:t>
      </w:r>
    </w:p>
    <w:p w14:paraId="2016F351" w14:textId="77777777" w:rsidR="00F10098" w:rsidRPr="0075221B" w:rsidRDefault="00F10098" w:rsidP="003840D9">
      <w:pPr>
        <w:pStyle w:val="PargrafodaLista"/>
        <w:numPr>
          <w:ilvl w:val="0"/>
          <w:numId w:val="7"/>
        </w:numPr>
        <w:spacing w:line="360" w:lineRule="auto"/>
        <w:jc w:val="both"/>
        <w:rPr>
          <w:rFonts w:ascii="Times New Roman" w:hAnsi="Times New Roman" w:cs="Times New Roman"/>
          <w:color w:val="000000"/>
        </w:rPr>
      </w:pPr>
      <w:r w:rsidRPr="0075221B">
        <w:rPr>
          <w:rFonts w:ascii="Times New Roman" w:hAnsi="Times New Roman" w:cs="Times New Roman"/>
          <w:color w:val="000000"/>
        </w:rPr>
        <w:t>Nunca duvidei de que poderia aprender Matemática.</w:t>
      </w:r>
    </w:p>
    <w:p w14:paraId="2B81313C"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mediação deve orientar: Que trajetórias foram favorecidas pelo sistema? Que privilégios foram naturalizados? Como isso molda expectativas docentes? Como essas experiências impactam práticas avaliativas e decisões pedagógicas? O objetivo não é </w:t>
      </w:r>
      <w:r w:rsidRPr="0075221B">
        <w:rPr>
          <w:rFonts w:ascii="Times New Roman" w:hAnsi="Times New Roman" w:cs="Times New Roman"/>
          <w:color w:val="000000"/>
        </w:rPr>
        <w:lastRenderedPageBreak/>
        <w:t>produzir culpa, mas evidenciar que professores também são produtos de um sistema desigual — e que isso repercute na sala de aula.</w:t>
      </w:r>
    </w:p>
    <w:p w14:paraId="49771A23" w14:textId="77777777" w:rsidR="003840D9"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Como complemento, a análise de estudos de caso (trajetórias fictícias ou anonimizadas) pode focalizar respostas institucionais: </w:t>
      </w:r>
    </w:p>
    <w:p w14:paraId="51364E13"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 xml:space="preserve">Que expectativas docentes estão implícitas? </w:t>
      </w:r>
    </w:p>
    <w:p w14:paraId="51851291"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 xml:space="preserve">Como currículo e avaliação contribuíram para sucesso/fracasso? </w:t>
      </w:r>
    </w:p>
    <w:p w14:paraId="45BE2784"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 xml:space="preserve">Que ações equitativas poderiam ter sido implementadas? </w:t>
      </w:r>
    </w:p>
    <w:p w14:paraId="0962B7AF" w14:textId="77777777" w:rsidR="003840D9" w:rsidRPr="0075221B" w:rsidRDefault="00F10098" w:rsidP="003840D9">
      <w:pPr>
        <w:pStyle w:val="PargrafodaLista"/>
        <w:numPr>
          <w:ilvl w:val="0"/>
          <w:numId w:val="8"/>
        </w:numPr>
        <w:spacing w:line="360" w:lineRule="auto"/>
        <w:jc w:val="both"/>
        <w:rPr>
          <w:rFonts w:ascii="Times New Roman" w:hAnsi="Times New Roman" w:cs="Times New Roman"/>
          <w:color w:val="000000"/>
        </w:rPr>
      </w:pPr>
      <w:r w:rsidRPr="0075221B">
        <w:rPr>
          <w:rFonts w:ascii="Times New Roman" w:hAnsi="Times New Roman" w:cs="Times New Roman"/>
          <w:color w:val="000000"/>
        </w:rPr>
        <w:t>Onde raça, classe e gênero atravessam o caso? </w:t>
      </w:r>
    </w:p>
    <w:p w14:paraId="08B5841F" w14:textId="77777777" w:rsidR="003840D9" w:rsidRPr="0075221B" w:rsidRDefault="003840D9" w:rsidP="003840D9">
      <w:pPr>
        <w:pStyle w:val="PargrafodaLista"/>
        <w:spacing w:line="360" w:lineRule="auto"/>
        <w:ind w:left="1429"/>
        <w:jc w:val="both"/>
        <w:rPr>
          <w:rFonts w:ascii="Times New Roman" w:hAnsi="Times New Roman" w:cs="Times New Roman"/>
          <w:color w:val="000000"/>
        </w:rPr>
      </w:pPr>
    </w:p>
    <w:p w14:paraId="164A973A" w14:textId="2B2D6CD9" w:rsidR="00F10098" w:rsidRPr="0075221B" w:rsidRDefault="00F10098" w:rsidP="003840D9">
      <w:pPr>
        <w:spacing w:line="360" w:lineRule="auto"/>
        <w:jc w:val="both"/>
        <w:rPr>
          <w:rFonts w:ascii="Times New Roman" w:hAnsi="Times New Roman" w:cs="Times New Roman"/>
          <w:color w:val="000000"/>
        </w:rPr>
      </w:pPr>
      <w:r w:rsidRPr="0075221B">
        <w:rPr>
          <w:rFonts w:ascii="Times New Roman" w:hAnsi="Times New Roman" w:cs="Times New Roman"/>
          <w:color w:val="000000"/>
        </w:rPr>
        <w:t>Ao final, recomenda-se uma síntese conectando as discussões às dimensões de redistribuição, reconhecimento e representação, conforme Fraser.</w:t>
      </w:r>
    </w:p>
    <w:p w14:paraId="1E3EB67E" w14:textId="74159E8A" w:rsidR="00F10098" w:rsidRPr="0075221B" w:rsidRDefault="00F10098"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Essas atividades formativas reforçam um ponto central: equidade não é sinônimo de benevolência, compensação pontual ou adaptação superficial. Trata-se de uma escolha política, ética e pedagógica que exige revisão das expectativas docentes, das práticas avaliativas, do currículo e das formas de reconhecimento presentes na escola. Superar o paradigma da meritocracia implica reconhecer que ensinar Matemática de forma justa requer ações intencionais diante de desigualdades historicamente construídas.</w:t>
      </w:r>
      <w:r w:rsidR="00262CDC" w:rsidRPr="0075221B">
        <w:rPr>
          <w:rFonts w:ascii="Times New Roman" w:hAnsi="Times New Roman" w:cs="Times New Roman"/>
          <w:color w:val="000000"/>
        </w:rPr>
        <w:t xml:space="preserve"> A equidade muda expectativas, avaliação, currículo e a forma como a escola assume responsabilidade pela aprendizagem.</w:t>
      </w:r>
    </w:p>
    <w:p w14:paraId="66EBB5B8" w14:textId="77777777" w:rsidR="00F10098" w:rsidRPr="0075221B" w:rsidRDefault="00F10098" w:rsidP="00F1009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partir dessa compreensão, emerge uma pergunta inevitável: como traduzir o compromisso com a equidade racial em práticas concretas no ensino da Matemática? É esse o movimento que orienta o próximo capítulo. Nele, discutirei o que compreendo por Matemática Antirracista, articulando equidade racial, currículo, avaliação, gestão escolar e prática docente, com o objetivo de transformar a sala de aula em um espaço efetivo de justiça.</w:t>
      </w:r>
    </w:p>
    <w:p w14:paraId="0CB4CC3D" w14:textId="77777777" w:rsidR="00AF0467" w:rsidRPr="0075221B" w:rsidRDefault="00AF0467" w:rsidP="00AF0467">
      <w:pPr>
        <w:spacing w:line="360" w:lineRule="auto"/>
        <w:ind w:firstLine="709"/>
        <w:jc w:val="both"/>
        <w:rPr>
          <w:rFonts w:ascii="Times New Roman" w:hAnsi="Times New Roman" w:cs="Times New Roman"/>
        </w:rPr>
      </w:pPr>
      <w:r w:rsidRPr="0075221B">
        <w:rPr>
          <w:rFonts w:ascii="Times New Roman" w:hAnsi="Times New Roman" w:cs="Times New Roman"/>
        </w:rPr>
        <w:t>A seguir um quadro resumo das principais ideias que conversamos:</w:t>
      </w:r>
    </w:p>
    <w:p w14:paraId="593DDDFF" w14:textId="77777777" w:rsidR="00AF0467" w:rsidRPr="0075221B" w:rsidRDefault="00AF0467" w:rsidP="00BE3834">
      <w:pPr>
        <w:spacing w:line="360" w:lineRule="auto"/>
        <w:jc w:val="both"/>
        <w:rPr>
          <w:rFonts w:ascii="Times New Roman" w:hAnsi="Times New Roman" w:cs="Times New Roman"/>
        </w:rPr>
      </w:pPr>
    </w:p>
    <w:p w14:paraId="0B64FDA2" w14:textId="77777777" w:rsidR="001F5B5D" w:rsidRPr="0075221B" w:rsidRDefault="001F5B5D" w:rsidP="00BE3834">
      <w:pPr>
        <w:spacing w:line="360" w:lineRule="auto"/>
        <w:jc w:val="both"/>
        <w:rPr>
          <w:rFonts w:ascii="Times New Roman" w:hAnsi="Times New Roman" w:cs="Times New Roman"/>
        </w:rPr>
      </w:pPr>
    </w:p>
    <w:p w14:paraId="385063D8" w14:textId="77777777" w:rsidR="001F5B5D" w:rsidRPr="0075221B" w:rsidRDefault="001F5B5D" w:rsidP="00BE3834">
      <w:pPr>
        <w:spacing w:line="360" w:lineRule="auto"/>
        <w:jc w:val="both"/>
        <w:rPr>
          <w:rFonts w:ascii="Times New Roman" w:hAnsi="Times New Roman" w:cs="Times New Roman"/>
        </w:rPr>
      </w:pPr>
    </w:p>
    <w:p w14:paraId="1D3604F2" w14:textId="77777777" w:rsidR="001F5B5D" w:rsidRPr="0075221B" w:rsidRDefault="001F5B5D" w:rsidP="00BE3834">
      <w:pPr>
        <w:spacing w:line="360" w:lineRule="auto"/>
        <w:jc w:val="both"/>
        <w:rPr>
          <w:rFonts w:ascii="Times New Roman" w:hAnsi="Times New Roman" w:cs="Times New Roman"/>
        </w:rPr>
      </w:pPr>
    </w:p>
    <w:p w14:paraId="0C90B124" w14:textId="77777777" w:rsidR="001F5B5D" w:rsidRPr="0075221B" w:rsidRDefault="001F5B5D" w:rsidP="00BE3834">
      <w:pPr>
        <w:spacing w:line="360" w:lineRule="auto"/>
        <w:jc w:val="both"/>
        <w:rPr>
          <w:rFonts w:ascii="Times New Roman" w:hAnsi="Times New Roman" w:cs="Times New Roman"/>
        </w:rPr>
      </w:pPr>
    </w:p>
    <w:p w14:paraId="61FF6E10" w14:textId="77777777" w:rsidR="001F5B5D" w:rsidRPr="0075221B" w:rsidRDefault="001F5B5D" w:rsidP="00BE3834">
      <w:pPr>
        <w:spacing w:line="360" w:lineRule="auto"/>
        <w:jc w:val="both"/>
        <w:rPr>
          <w:rFonts w:ascii="Times New Roman" w:hAnsi="Times New Roman" w:cs="Times New Roman"/>
        </w:rPr>
      </w:pPr>
    </w:p>
    <w:p w14:paraId="4E147393" w14:textId="77777777" w:rsidR="001F5B5D" w:rsidRPr="0075221B" w:rsidRDefault="001F5B5D" w:rsidP="00BE3834">
      <w:pPr>
        <w:spacing w:line="360" w:lineRule="auto"/>
        <w:jc w:val="both"/>
        <w:rPr>
          <w:rFonts w:ascii="Times New Roman" w:hAnsi="Times New Roman" w:cs="Times New Roman"/>
        </w:rPr>
      </w:pPr>
    </w:p>
    <w:p w14:paraId="5BAF3B11" w14:textId="77777777" w:rsidR="001F5B5D" w:rsidRPr="0075221B" w:rsidRDefault="001F5B5D" w:rsidP="00BE3834">
      <w:pPr>
        <w:spacing w:line="360" w:lineRule="auto"/>
        <w:jc w:val="both"/>
        <w:rPr>
          <w:rFonts w:ascii="Times New Roman" w:hAnsi="Times New Roman" w:cs="Times New Roman"/>
        </w:rPr>
      </w:pPr>
    </w:p>
    <w:p w14:paraId="1DB0A0C2" w14:textId="77777777" w:rsidR="001F5B5D" w:rsidRPr="0075221B" w:rsidRDefault="001F5B5D" w:rsidP="00BE3834">
      <w:pPr>
        <w:spacing w:line="360" w:lineRule="auto"/>
        <w:jc w:val="both"/>
        <w:rPr>
          <w:rFonts w:ascii="Times New Roman" w:hAnsi="Times New Roman" w:cs="Times New Roman"/>
        </w:rPr>
      </w:pPr>
    </w:p>
    <w:p w14:paraId="12BC5264" w14:textId="77777777" w:rsidR="001F5B5D" w:rsidRPr="0075221B" w:rsidRDefault="001F5B5D" w:rsidP="00BE3834">
      <w:pPr>
        <w:spacing w:line="360" w:lineRule="auto"/>
        <w:jc w:val="both"/>
        <w:rPr>
          <w:rFonts w:ascii="Times New Roman" w:hAnsi="Times New Roman" w:cs="Times New Roman"/>
        </w:rPr>
      </w:pPr>
    </w:p>
    <w:p w14:paraId="7E46F23C" w14:textId="77777777" w:rsidR="001F5B5D" w:rsidRPr="0075221B" w:rsidRDefault="001F5B5D" w:rsidP="00BE3834">
      <w:pPr>
        <w:spacing w:line="360" w:lineRule="auto"/>
        <w:jc w:val="both"/>
        <w:rPr>
          <w:rFonts w:ascii="Times New Roman" w:hAnsi="Times New Roman" w:cs="Times New Roman"/>
        </w:rPr>
      </w:pPr>
    </w:p>
    <w:p w14:paraId="4A023AD6" w14:textId="77777777" w:rsidR="001F5B5D" w:rsidRPr="0075221B" w:rsidRDefault="001F5B5D" w:rsidP="00BE3834">
      <w:pPr>
        <w:spacing w:line="360" w:lineRule="auto"/>
        <w:jc w:val="both"/>
        <w:rPr>
          <w:rFonts w:ascii="Times New Roman" w:hAnsi="Times New Roman" w:cs="Times New Roman"/>
        </w:rPr>
      </w:pPr>
    </w:p>
    <w:p w14:paraId="2BA608C8" w14:textId="77777777" w:rsidR="001F5B5D" w:rsidRPr="0075221B" w:rsidRDefault="001F5B5D" w:rsidP="00BE3834">
      <w:pPr>
        <w:spacing w:line="360" w:lineRule="auto"/>
        <w:jc w:val="both"/>
        <w:rPr>
          <w:rFonts w:ascii="Times New Roman" w:hAnsi="Times New Roman" w:cs="Times New Roman"/>
        </w:rPr>
      </w:pPr>
    </w:p>
    <w:p w14:paraId="357A6A30" w14:textId="77777777" w:rsidR="00AF0467" w:rsidRPr="0075221B" w:rsidRDefault="00AF0467" w:rsidP="00AF0467">
      <w:pPr>
        <w:spacing w:line="360" w:lineRule="auto"/>
        <w:ind w:firstLine="709"/>
        <w:jc w:val="center"/>
        <w:rPr>
          <w:rFonts w:ascii="Times New Roman" w:hAnsi="Times New Roman" w:cs="Times New Roman"/>
          <w:b/>
          <w:bCs/>
        </w:rPr>
      </w:pPr>
      <w:r w:rsidRPr="0075221B">
        <w:rPr>
          <w:rFonts w:ascii="Times New Roman" w:hAnsi="Times New Roman" w:cs="Times New Roman"/>
          <w:b/>
          <w:bCs/>
        </w:rPr>
        <w:t>Da desigualdade à prática pedagógica: fundamentos para uma Matemática Antirracista</w:t>
      </w:r>
    </w:p>
    <w:tbl>
      <w:tblPr>
        <w:tblStyle w:val="SimplesTabela3"/>
        <w:tblW w:w="0" w:type="auto"/>
        <w:tblLook w:val="04A0" w:firstRow="1" w:lastRow="0" w:firstColumn="1" w:lastColumn="0" w:noHBand="0" w:noVBand="1"/>
      </w:tblPr>
      <w:tblGrid>
        <w:gridCol w:w="3308"/>
        <w:gridCol w:w="2560"/>
        <w:gridCol w:w="2636"/>
      </w:tblGrid>
      <w:tr w:rsidR="00AF0467" w:rsidRPr="0075221B" w14:paraId="65D22711" w14:textId="77777777" w:rsidTr="001C35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3"/>
            </w:tblGrid>
            <w:tr w:rsidR="00AF0467" w:rsidRPr="0075221B" w14:paraId="5A501D48" w14:textId="77777777" w:rsidTr="001C3583">
              <w:trPr>
                <w:tblCellSpacing w:w="15" w:type="dxa"/>
              </w:trPr>
              <w:tc>
                <w:tcPr>
                  <w:tcW w:w="0" w:type="auto"/>
                  <w:vAlign w:val="center"/>
                  <w:hideMark/>
                </w:tcPr>
                <w:p w14:paraId="34487227" w14:textId="4E271B52" w:rsidR="00AF0467" w:rsidRPr="0075221B" w:rsidRDefault="001F5B5D"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w:t>
                  </w:r>
                  <w:r w:rsidR="00AF0467" w:rsidRPr="0075221B">
                    <w:rPr>
                      <w:rFonts w:ascii="Times New Roman" w:hAnsi="Times New Roman" w:cs="Times New Roman"/>
                      <w:color w:val="000000"/>
                    </w:rPr>
                    <w:t>imensão</w:t>
                  </w:r>
                </w:p>
              </w:tc>
            </w:tr>
          </w:tbl>
          <w:p w14:paraId="4E802833" w14:textId="77777777" w:rsidR="00AF0467" w:rsidRPr="0075221B" w:rsidRDefault="00AF0467" w:rsidP="00BE3834">
            <w:pPr>
              <w:spacing w:line="360" w:lineRule="auto"/>
              <w:ind w:firstLine="709"/>
              <w:jc w:val="both"/>
              <w:rPr>
                <w:rFonts w:ascii="Times New Roman" w:hAnsi="Times New Roman" w:cs="Times New Roman"/>
                <w:b w:val="0"/>
                <w:bCs w:val="0"/>
                <w:caps w:val="0"/>
                <w:color w:val="000000"/>
              </w:rPr>
            </w:pPr>
          </w:p>
        </w:tc>
        <w:tc>
          <w:tcPr>
            <w:tcW w:w="2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9"/>
            </w:tblGrid>
            <w:tr w:rsidR="00AF0467" w:rsidRPr="0075221B" w14:paraId="1556AB17" w14:textId="77777777" w:rsidTr="001C3583">
              <w:trPr>
                <w:tblCellSpacing w:w="15" w:type="dxa"/>
              </w:trPr>
              <w:tc>
                <w:tcPr>
                  <w:tcW w:w="0" w:type="auto"/>
                  <w:vAlign w:val="center"/>
                  <w:hideMark/>
                </w:tcPr>
                <w:p w14:paraId="25930C96"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Questão central</w:t>
                  </w:r>
                </w:p>
              </w:tc>
            </w:tr>
          </w:tbl>
          <w:p w14:paraId="38EE479B" w14:textId="77777777" w:rsidR="00AF0467" w:rsidRPr="0075221B" w:rsidRDefault="00AF0467" w:rsidP="00BE3834">
            <w:pPr>
              <w:spacing w:line="36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000000"/>
              </w:rPr>
            </w:pPr>
          </w:p>
        </w:tc>
        <w:tc>
          <w:tcPr>
            <w:tcW w:w="2832" w:type="dxa"/>
          </w:tcPr>
          <w:p w14:paraId="283DCC44" w14:textId="77777777" w:rsidR="00AF0467" w:rsidRPr="0075221B" w:rsidRDefault="00AF0467" w:rsidP="00BE3834">
            <w:pPr>
              <w:spacing w:line="360"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000000"/>
              </w:rPr>
            </w:pPr>
            <w:r w:rsidRPr="0075221B">
              <w:rPr>
                <w:rFonts w:ascii="Times New Roman" w:hAnsi="Times New Roman" w:cs="Times New Roman"/>
                <w:b w:val="0"/>
                <w:bCs w:val="0"/>
                <w:caps w:val="0"/>
                <w:color w:val="000000"/>
              </w:rPr>
              <w:t>Implicações para o ensino de Matemática</w:t>
            </w:r>
          </w:p>
        </w:tc>
      </w:tr>
      <w:tr w:rsidR="00AF0467" w:rsidRPr="0075221B" w14:paraId="1BAD96D7"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A319343"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Desigualdade históricA</w:t>
            </w:r>
          </w:p>
        </w:tc>
        <w:tc>
          <w:tcPr>
            <w:tcW w:w="2831" w:type="dxa"/>
          </w:tcPr>
          <w:p w14:paraId="6AEB543E"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Quem foi historicamente excluído da escola e do saber matemático?</w:t>
            </w:r>
          </w:p>
        </w:tc>
        <w:tc>
          <w:tcPr>
            <w:tcW w:w="2832" w:type="dxa"/>
          </w:tcPr>
          <w:p w14:paraId="610BC5BC"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Reconhecer que o fracasso escolar não é  apenas individual, mas estrutural</w:t>
            </w:r>
          </w:p>
        </w:tc>
      </w:tr>
      <w:tr w:rsidR="00AF0467" w:rsidRPr="0075221B" w14:paraId="343B49BE" w14:textId="77777777" w:rsidTr="001C3583">
        <w:tc>
          <w:tcPr>
            <w:cnfStyle w:val="001000000000" w:firstRow="0" w:lastRow="0" w:firstColumn="1" w:lastColumn="0" w:oddVBand="0" w:evenVBand="0" w:oddHBand="0" w:evenHBand="0" w:firstRowFirstColumn="0" w:firstRowLastColumn="0" w:lastRowFirstColumn="0" w:lastRowLastColumn="0"/>
            <w:tcW w:w="2831" w:type="dxa"/>
          </w:tcPr>
          <w:p w14:paraId="6D806BE7"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Meritocracia</w:t>
            </w:r>
          </w:p>
        </w:tc>
        <w:tc>
          <w:tcPr>
            <w:tcW w:w="2831" w:type="dxa"/>
          </w:tcPr>
          <w:p w14:paraId="72B866CA"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O esforço individual explica o desempenho escolar?</w:t>
            </w:r>
          </w:p>
        </w:tc>
        <w:tc>
          <w:tcPr>
            <w:tcW w:w="2832" w:type="dxa"/>
          </w:tcPr>
          <w:p w14:paraId="274C468D"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Questionar narrativas de “dom”, “talento” e “aptidão natural”</w:t>
            </w:r>
          </w:p>
        </w:tc>
      </w:tr>
      <w:tr w:rsidR="00AF0467" w:rsidRPr="0075221B" w14:paraId="037ADC86"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188D28A"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Equidade racial</w:t>
            </w:r>
          </w:p>
        </w:tc>
        <w:tc>
          <w:tcPr>
            <w:tcW w:w="2831" w:type="dxa"/>
          </w:tcPr>
          <w:p w14:paraId="5901F423"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Como tratar desigualmente os desiguais para promover justiça?</w:t>
            </w:r>
          </w:p>
        </w:tc>
        <w:tc>
          <w:tcPr>
            <w:tcW w:w="2832" w:type="dxa"/>
          </w:tcPr>
          <w:p w14:paraId="3AFFD428"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Planejar intervenções pedagógicas intencionais</w:t>
            </w:r>
          </w:p>
        </w:tc>
      </w:tr>
      <w:tr w:rsidR="00AF0467" w:rsidRPr="0075221B" w14:paraId="16EE1FFF" w14:textId="77777777" w:rsidTr="001C3583">
        <w:tc>
          <w:tcPr>
            <w:cnfStyle w:val="001000000000" w:firstRow="0" w:lastRow="0" w:firstColumn="1" w:lastColumn="0" w:oddVBand="0" w:evenVBand="0" w:oddHBand="0" w:evenHBand="0" w:firstRowFirstColumn="0" w:firstRowLastColumn="0" w:lastRowFirstColumn="0" w:lastRowLastColumn="0"/>
            <w:tcW w:w="2831" w:type="dxa"/>
          </w:tcPr>
          <w:p w14:paraId="1B6AB9ED"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Redistribuição (Fraser)</w:t>
            </w:r>
          </w:p>
        </w:tc>
        <w:tc>
          <w:tcPr>
            <w:tcW w:w="2831" w:type="dxa"/>
          </w:tcPr>
          <w:p w14:paraId="686B8A3E"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Quem tem acesso a tempo, apoio e recursos para aprender Matemática?</w:t>
            </w:r>
          </w:p>
        </w:tc>
        <w:tc>
          <w:tcPr>
            <w:tcW w:w="2832" w:type="dxa"/>
          </w:tcPr>
          <w:p w14:paraId="00A361DE"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Garantir condições materiais e pedagógicas diferenciadas</w:t>
            </w:r>
          </w:p>
        </w:tc>
      </w:tr>
      <w:tr w:rsidR="00AF0467" w:rsidRPr="0075221B" w14:paraId="363A3DEB"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84E42C5"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Reconhecimento (Fraser)</w:t>
            </w:r>
          </w:p>
        </w:tc>
        <w:tc>
          <w:tcPr>
            <w:tcW w:w="2831" w:type="dxa"/>
          </w:tcPr>
          <w:p w14:paraId="7D644954" w14:textId="77777777" w:rsidR="00AF0467" w:rsidRPr="0075221B" w:rsidRDefault="00AF0467" w:rsidP="00BE3834">
            <w:pPr>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Quais identidades e saberes são legitimados?</w:t>
            </w:r>
          </w:p>
        </w:tc>
        <w:tc>
          <w:tcPr>
            <w:tcW w:w="2832" w:type="dxa"/>
          </w:tcPr>
          <w:p w14:paraId="0B5E283C" w14:textId="77777777" w:rsidR="00AF0467" w:rsidRPr="0075221B" w:rsidRDefault="00AF0467" w:rsidP="00BE3834">
            <w:pPr>
              <w:tabs>
                <w:tab w:val="left" w:pos="1929"/>
              </w:tabs>
              <w:spacing w:line="360" w:lineRule="auto"/>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Valorizar trajetórias, linguagens e repertórios diversos</w:t>
            </w:r>
          </w:p>
        </w:tc>
      </w:tr>
      <w:tr w:rsidR="00AF0467" w:rsidRPr="0075221B" w14:paraId="499F4398" w14:textId="77777777" w:rsidTr="001C3583">
        <w:tc>
          <w:tcPr>
            <w:cnfStyle w:val="001000000000" w:firstRow="0" w:lastRow="0" w:firstColumn="1" w:lastColumn="0" w:oddVBand="0" w:evenVBand="0" w:oddHBand="0" w:evenHBand="0" w:firstRowFirstColumn="0" w:firstRowLastColumn="0" w:lastRowFirstColumn="0" w:lastRowLastColumn="0"/>
            <w:tcW w:w="2831" w:type="dxa"/>
          </w:tcPr>
          <w:p w14:paraId="73663C15" w14:textId="77777777" w:rsidR="00AF0467" w:rsidRPr="0075221B" w:rsidRDefault="00AF0467" w:rsidP="00BE383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Representação (Fraser)</w:t>
            </w:r>
          </w:p>
        </w:tc>
        <w:tc>
          <w:tcPr>
            <w:tcW w:w="2831" w:type="dxa"/>
          </w:tcPr>
          <w:p w14:paraId="341BD80F" w14:textId="77777777" w:rsidR="00AF0467" w:rsidRPr="0075221B" w:rsidRDefault="00AF0467" w:rsidP="00BE3834">
            <w:pPr>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Quem decide o que é Matemática e como ensiná-la?</w:t>
            </w:r>
          </w:p>
        </w:tc>
        <w:tc>
          <w:tcPr>
            <w:tcW w:w="2832" w:type="dxa"/>
          </w:tcPr>
          <w:p w14:paraId="2B3C769E" w14:textId="77777777" w:rsidR="00AF0467" w:rsidRPr="0075221B" w:rsidRDefault="00AF0467" w:rsidP="00BE3834">
            <w:pPr>
              <w:tabs>
                <w:tab w:val="left" w:pos="1929"/>
              </w:tabs>
              <w:spacing w:line="360"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75221B">
              <w:rPr>
                <w:rFonts w:ascii="Times New Roman" w:hAnsi="Times New Roman" w:cs="Times New Roman"/>
                <w:color w:val="000000"/>
              </w:rPr>
              <w:t>Ampliar vozes, referências e participação discente</w:t>
            </w:r>
          </w:p>
        </w:tc>
      </w:tr>
      <w:tr w:rsidR="00AF0467" w:rsidRPr="0075221B" w14:paraId="3B37C3D2" w14:textId="77777777" w:rsidTr="001C35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DF100E5" w14:textId="77777777" w:rsidR="00AF0467" w:rsidRPr="0075221B" w:rsidRDefault="00AF0467" w:rsidP="001C3583">
            <w:pPr>
              <w:tabs>
                <w:tab w:val="left" w:pos="1826"/>
              </w:tabs>
              <w:rPr>
                <w:rFonts w:ascii="Times New Roman" w:hAnsi="Times New Roman" w:cs="Times New Roman"/>
                <w:color w:val="000000"/>
              </w:rPr>
            </w:pPr>
          </w:p>
        </w:tc>
        <w:tc>
          <w:tcPr>
            <w:tcW w:w="2831" w:type="dxa"/>
          </w:tcPr>
          <w:p w14:paraId="21BC59DD" w14:textId="77777777" w:rsidR="00AF0467" w:rsidRPr="0075221B" w:rsidRDefault="00AF0467" w:rsidP="001C358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2832" w:type="dxa"/>
          </w:tcPr>
          <w:p w14:paraId="51D032C0" w14:textId="77777777" w:rsidR="00AF0467" w:rsidRPr="0075221B" w:rsidRDefault="00AF0467" w:rsidP="001C3583">
            <w:pPr>
              <w:tabs>
                <w:tab w:val="left" w:pos="1929"/>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6560217C" w14:textId="77777777" w:rsidR="00AF0467" w:rsidRPr="0075221B" w:rsidRDefault="00AF0467" w:rsidP="00AF0467">
      <w:pPr>
        <w:spacing w:line="360" w:lineRule="auto"/>
        <w:ind w:firstLine="709"/>
        <w:rPr>
          <w:rFonts w:ascii="Times New Roman" w:hAnsi="Times New Roman" w:cs="Times New Roman"/>
        </w:rPr>
      </w:pPr>
      <w:r w:rsidRPr="0075221B">
        <w:rPr>
          <w:rFonts w:ascii="Times New Roman" w:hAnsi="Times New Roman" w:cs="Times New Roman"/>
        </w:rPr>
        <w:t>Fonte: Autor (2026)</w:t>
      </w:r>
    </w:p>
    <w:p w14:paraId="03FB0365" w14:textId="77777777" w:rsidR="00F81974" w:rsidRPr="0075221B" w:rsidRDefault="00F81974" w:rsidP="00BE3834">
      <w:pPr>
        <w:spacing w:line="360" w:lineRule="auto"/>
        <w:ind w:firstLine="709"/>
        <w:jc w:val="both"/>
        <w:rPr>
          <w:rFonts w:ascii="Times New Roman" w:hAnsi="Times New Roman" w:cs="Times New Roman"/>
          <w:b/>
          <w:bCs/>
        </w:rPr>
      </w:pPr>
      <w:r w:rsidRPr="0075221B">
        <w:rPr>
          <w:rFonts w:ascii="Times New Roman" w:hAnsi="Times New Roman" w:cs="Times New Roman"/>
          <w:b/>
          <w:bCs/>
        </w:rPr>
        <w:t>Capítulo 4 — Por uma Matemática Antirracista: proposições e reflexões</w:t>
      </w:r>
    </w:p>
    <w:p w14:paraId="4FBDF7E2" w14:textId="77777777" w:rsidR="00F81974" w:rsidRPr="0075221B" w:rsidRDefault="00F81974" w:rsidP="0080588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lastRenderedPageBreak/>
        <w:t>Ao longo dos capítulos anteriores, argumentei que a escola brasileira foi historicamente estruturada a partir de princípios que naturalizaram desigualdades raciais, sociais e epistemológicas. Vimos como a escravidão, a eugenia, a profissionalização docente e a consolidação de práticas avaliativas supostamente neutras produziram um sistema educacional seletivo, no qual a Matemática desempenhou papel central como instrumento de classificação e exclusão. No capítulo anterior, discutimos como a meritocracia, ao ignorar desigualdades de partida, reforça injustiças educacionais e por que a equidade racial se apresenta como um horizonte ético e político indispensável.</w:t>
      </w:r>
    </w:p>
    <w:p w14:paraId="45DB69CD" w14:textId="6EA83D31" w:rsidR="00F81974" w:rsidRPr="0075221B" w:rsidRDefault="00F81974" w:rsidP="0080588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Diante desse percurso, </w:t>
      </w:r>
      <w:r w:rsidR="00480321" w:rsidRPr="0075221B">
        <w:rPr>
          <w:rFonts w:ascii="Times New Roman" w:hAnsi="Times New Roman" w:cs="Times New Roman"/>
          <w:color w:val="000000"/>
        </w:rPr>
        <w:t>você pode estar se perguntando</w:t>
      </w:r>
      <w:r w:rsidRPr="0075221B">
        <w:rPr>
          <w:rFonts w:ascii="Times New Roman" w:hAnsi="Times New Roman" w:cs="Times New Roman"/>
          <w:color w:val="000000"/>
        </w:rPr>
        <w:t>: o que significa, na prática, ensinar Matemática de forma antirracista? Assumir a equidade racial como princípio não se limita a reconhecer desigualdades ou a adotar discursos inclusivos. Trata-se de intervir intencionalmente nas estruturas que produzem exclusão: o currículo, a avaliação, as expectativas docentes, as formas de participação em sala de aula e os saberes que são legitimados como matematicamente válidos.</w:t>
      </w:r>
    </w:p>
    <w:p w14:paraId="0D76A901" w14:textId="77777777" w:rsidR="00F81974" w:rsidRPr="0075221B" w:rsidRDefault="00F81974" w:rsidP="00805882">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Matemática Antirracista, tal como proponho neste capítulo, não é um método fechado, tampouco um conjunto de atividades pontuais. Ela se configura como uma postura pedagógica e política que compreende a Matemática como um conhecimento socialmente situado e historicamente atravessado por relações de poder. Ensinar Matemática de forma antirracista implica deslocar o foco da seleção para a aprendizagem, da homogeneização para o reconhecimento das diferenças e da neutralidade para a responsabilidade social do ato de ensinar.</w:t>
      </w:r>
    </w:p>
    <w:p w14:paraId="1C3E4270" w14:textId="767E7AFB" w:rsidR="00F81974" w:rsidRPr="0075221B" w:rsidRDefault="00F81974" w:rsidP="007D7FB3">
      <w:pPr>
        <w:spacing w:line="360" w:lineRule="auto"/>
        <w:ind w:firstLine="709"/>
        <w:jc w:val="both"/>
        <w:rPr>
          <w:rFonts w:ascii="Times New Roman" w:hAnsi="Times New Roman" w:cs="Times New Roman"/>
          <w:b/>
          <w:bCs/>
        </w:rPr>
      </w:pPr>
      <w:r w:rsidRPr="0075221B">
        <w:rPr>
          <w:rFonts w:ascii="Times New Roman" w:hAnsi="Times New Roman" w:cs="Times New Roman"/>
          <w:b/>
          <w:bCs/>
        </w:rPr>
        <w:t xml:space="preserve">4.1 Por que falar em Matemática Antirracista se </w:t>
      </w:r>
      <w:r w:rsidR="00045A6A" w:rsidRPr="0075221B">
        <w:rPr>
          <w:rFonts w:ascii="Times New Roman" w:hAnsi="Times New Roman" w:cs="Times New Roman"/>
          <w:b/>
          <w:bCs/>
        </w:rPr>
        <w:t>o ensino de</w:t>
      </w:r>
      <w:r w:rsidRPr="0075221B">
        <w:rPr>
          <w:rFonts w:ascii="Times New Roman" w:hAnsi="Times New Roman" w:cs="Times New Roman"/>
          <w:b/>
          <w:bCs/>
        </w:rPr>
        <w:t xml:space="preserve"> Matemática é “neutr</w:t>
      </w:r>
      <w:r w:rsidR="00045A6A" w:rsidRPr="0075221B">
        <w:rPr>
          <w:rFonts w:ascii="Times New Roman" w:hAnsi="Times New Roman" w:cs="Times New Roman"/>
          <w:b/>
          <w:bCs/>
        </w:rPr>
        <w:t>o</w:t>
      </w:r>
      <w:r w:rsidRPr="0075221B">
        <w:rPr>
          <w:rFonts w:ascii="Times New Roman" w:hAnsi="Times New Roman" w:cs="Times New Roman"/>
          <w:b/>
          <w:bCs/>
        </w:rPr>
        <w:t>”?</w:t>
      </w:r>
      <w:r w:rsidR="004040BC">
        <w:rPr>
          <w:rFonts w:ascii="Times New Roman" w:hAnsi="Times New Roman" w:cs="Times New Roman"/>
          <w:b/>
          <w:bCs/>
        </w:rPr>
        <w:t xml:space="preserve"> </w:t>
      </w:r>
    </w:p>
    <w:p w14:paraId="78D65AEA" w14:textId="41D9209B" w:rsidR="00774CA3" w:rsidRPr="0075221B" w:rsidRDefault="007D7FB3" w:rsidP="00774CA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Q</w:t>
      </w:r>
      <w:r w:rsidR="00F81974" w:rsidRPr="0075221B">
        <w:rPr>
          <w:rFonts w:ascii="Times New Roman" w:hAnsi="Times New Roman" w:cs="Times New Roman"/>
          <w:color w:val="000000"/>
        </w:rPr>
        <w:t>uestionar a neutralidade não é negar o rigor; é reconhecer que o ensino e os usos da Matemática são atravessados por escolhas sociais e éticas.</w:t>
      </w:r>
      <w:r w:rsidR="00774CA3" w:rsidRPr="0075221B">
        <w:rPr>
          <w:rFonts w:ascii="Times New Roman" w:hAnsi="Times New Roman" w:cs="Times New Roman"/>
          <w:color w:val="000000"/>
        </w:rPr>
        <w:t xml:space="preserve"> </w:t>
      </w:r>
      <w:r w:rsidR="00F81974" w:rsidRPr="0075221B">
        <w:rPr>
          <w:rFonts w:ascii="Times New Roman" w:hAnsi="Times New Roman" w:cs="Times New Roman"/>
          <w:color w:val="000000"/>
        </w:rPr>
        <w:t>A partir do paradigma da equidade, busco desenvolver a ideia do ensino da Matemática de forma antirracista. Mas você pode estar se perguntando: por que Matemática Antirracista, se a Matemática é neutra?</w:t>
      </w:r>
    </w:p>
    <w:p w14:paraId="5D109A0D" w14:textId="22CDF5C1" w:rsidR="00774CA3" w:rsidRPr="0075221B" w:rsidRDefault="00F81974" w:rsidP="00774CA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primeiro lugar, compreendo que é preciso pensar sobre a tese da neutralidade. A tese da neutralidade é um dos pilares que sustentam o distanciamento d</w:t>
      </w:r>
      <w:r w:rsidR="005064E8" w:rsidRPr="0075221B">
        <w:rPr>
          <w:rFonts w:ascii="Times New Roman" w:hAnsi="Times New Roman" w:cs="Times New Roman"/>
          <w:color w:val="000000"/>
        </w:rPr>
        <w:t>o ensino da</w:t>
      </w:r>
      <w:r w:rsidRPr="0075221B">
        <w:rPr>
          <w:rFonts w:ascii="Times New Roman" w:hAnsi="Times New Roman" w:cs="Times New Roman"/>
          <w:color w:val="000000"/>
        </w:rPr>
        <w:t xml:space="preserve"> Matemática de discussões como raça, equidade, gênero e justiça social, isto é, de qualquer situação que nos leve a refletir sobre os valores sociais que estruturam a nossa sociedade. Marcos Oliveira (2008) apresenta três domínios das práticas científicas nos quais os valores sociais podem estar presentes. O primeiro refere-se à seleção dos fenômenos a </w:t>
      </w:r>
      <w:r w:rsidRPr="0075221B">
        <w:rPr>
          <w:rFonts w:ascii="Times New Roman" w:hAnsi="Times New Roman" w:cs="Times New Roman"/>
          <w:color w:val="000000"/>
        </w:rPr>
        <w:lastRenderedPageBreak/>
        <w:t>serem investigados ou dos problemas a serem tratados, o que direciona a pesquisa e, consequentemente, o próprio avanço da ciência. O segundo diz respeito à escolha entre as teorias propostas para explicar os fenômenos ou resolver os problemas, sendo o conjunto de normas que orienta essa escolha identificado com a metodologia científica. O terceiro domínio refere-se ao conteúdo das proposições científicas.</w:t>
      </w:r>
      <w:r w:rsidR="00774CA3" w:rsidRPr="0075221B">
        <w:rPr>
          <w:rFonts w:ascii="Times New Roman" w:hAnsi="Times New Roman" w:cs="Times New Roman"/>
          <w:color w:val="000000"/>
        </w:rPr>
        <w:t xml:space="preserve"> A neutralidade é um argumento poderoso porque desloca a Matemática do campo das disputas sociais e, assim, torna invisíveis seus efeitos escolares.</w:t>
      </w:r>
    </w:p>
    <w:p w14:paraId="05D5259D" w14:textId="77777777" w:rsidR="00774CA3" w:rsidRPr="0075221B" w:rsidRDefault="00774CA3" w:rsidP="00774CA3">
      <w:pPr>
        <w:spacing w:line="360" w:lineRule="auto"/>
        <w:ind w:firstLine="709"/>
        <w:jc w:val="both"/>
        <w:rPr>
          <w:rFonts w:ascii="Times New Roman" w:hAnsi="Times New Roman" w:cs="Times New Roman"/>
          <w:color w:val="000000"/>
        </w:rPr>
      </w:pPr>
    </w:p>
    <w:p w14:paraId="0E8CF9A9" w14:textId="62EE9FB9" w:rsidR="00F81974" w:rsidRPr="0075221B" w:rsidRDefault="00F81974" w:rsidP="00273367">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cada um desses domínios corresponde uma </w:t>
      </w:r>
      <w:proofErr w:type="spellStart"/>
      <w:r w:rsidR="0097032A" w:rsidRPr="0075221B">
        <w:rPr>
          <w:rFonts w:ascii="Times New Roman" w:hAnsi="Times New Roman" w:cs="Times New Roman"/>
          <w:color w:val="000000"/>
        </w:rPr>
        <w:t>subtese</w:t>
      </w:r>
      <w:proofErr w:type="spellEnd"/>
      <w:r w:rsidRPr="0075221B">
        <w:rPr>
          <w:rFonts w:ascii="Times New Roman" w:hAnsi="Times New Roman" w:cs="Times New Roman"/>
          <w:color w:val="000000"/>
        </w:rPr>
        <w:t xml:space="preserve"> da tese da neutralidade, que nega a presença de valores no respectivo domínio: (1) a tese da neutralidade temática, segundo a qual a ciência seria neutra porque a escolha dos temas e problemas responderia apenas ao interesse no desenvolvimento do conhecimento como um fim em si mesmo; (2) a tese da neutralidade metodológica, que sustenta que a escolha racional entre teorias não envolve valores sociais, por seguir estritamente o método científico; e (3) a tese da neutralidade factual, que afirma que a ciência apenas descreve a realidade, sem emitir juízos de valor ou prescrições normativas.</w:t>
      </w:r>
    </w:p>
    <w:p w14:paraId="515292A6" w14:textId="0F25B9A0" w:rsidR="00F81974" w:rsidRPr="0075221B" w:rsidRDefault="00F81974" w:rsidP="00273367">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Esses domínios podem operar de forma articulada ou isolada, dependendo do contexto histórico e das práticas científicas em questão. As relações que podemos construir a partir dessas </w:t>
      </w:r>
      <w:proofErr w:type="spellStart"/>
      <w:r w:rsidRPr="0075221B">
        <w:rPr>
          <w:rFonts w:ascii="Times New Roman" w:hAnsi="Times New Roman" w:cs="Times New Roman"/>
          <w:color w:val="000000"/>
        </w:rPr>
        <w:t>subteses</w:t>
      </w:r>
      <w:proofErr w:type="spellEnd"/>
      <w:r w:rsidRPr="0075221B">
        <w:rPr>
          <w:rFonts w:ascii="Times New Roman" w:hAnsi="Times New Roman" w:cs="Times New Roman"/>
          <w:color w:val="000000"/>
        </w:rPr>
        <w:t xml:space="preserve"> nos ajudam a problematizar a suposta neutralidade d</w:t>
      </w:r>
      <w:r w:rsidR="004876B2" w:rsidRPr="0075221B">
        <w:rPr>
          <w:rFonts w:ascii="Times New Roman" w:hAnsi="Times New Roman" w:cs="Times New Roman"/>
          <w:color w:val="000000"/>
        </w:rPr>
        <w:t>o ensino de</w:t>
      </w:r>
      <w:r w:rsidRPr="0075221B">
        <w:rPr>
          <w:rFonts w:ascii="Times New Roman" w:hAnsi="Times New Roman" w:cs="Times New Roman"/>
          <w:color w:val="000000"/>
        </w:rPr>
        <w:t xml:space="preserve"> Matemática. A primeira está associada à ideia de que o domínio abstrato do conhecimento matemático seria suficiente para o seu ensino, como se não houvesse necessidade de articular a Matemática a problemas sociais concretos. A segunda aparece quando se assume que os métodos matemáticos, por serem rigorosos e formais, estariam imunes a influências sociais, ocultando o fato de que a escolha do que se ensina, como se ensina e como se avalia também envolve valores. Já a terceira sustenta a crença de que a Matemática apenas descreve estruturas da realidade, sem prescrever modos de agir ou organizar o mundo, ignorando que seus usos sociais</w:t>
      </w:r>
      <w:r w:rsidR="00236D49" w:rsidRPr="0075221B">
        <w:rPr>
          <w:rFonts w:ascii="Times New Roman" w:hAnsi="Times New Roman" w:cs="Times New Roman"/>
          <w:color w:val="000000"/>
        </w:rPr>
        <w:t>,</w:t>
      </w:r>
      <w:r w:rsidRPr="0075221B">
        <w:rPr>
          <w:rFonts w:ascii="Times New Roman" w:hAnsi="Times New Roman" w:cs="Times New Roman"/>
          <w:color w:val="000000"/>
        </w:rPr>
        <w:t xml:space="preserve"> especialmente na escola</w:t>
      </w:r>
      <w:r w:rsidR="00236D49" w:rsidRPr="0075221B">
        <w:rPr>
          <w:rFonts w:ascii="Times New Roman" w:hAnsi="Times New Roman" w:cs="Times New Roman"/>
          <w:color w:val="000000"/>
        </w:rPr>
        <w:t>,</w:t>
      </w:r>
      <w:r w:rsidRPr="0075221B">
        <w:rPr>
          <w:rFonts w:ascii="Times New Roman" w:hAnsi="Times New Roman" w:cs="Times New Roman"/>
          <w:color w:val="000000"/>
        </w:rPr>
        <w:t xml:space="preserve"> produzem classificações, hierarquias e exclusões.</w:t>
      </w:r>
    </w:p>
    <w:p w14:paraId="67D0C45E" w14:textId="72EBC5BC" w:rsidR="00F81974" w:rsidRPr="0075221B" w:rsidRDefault="00F81974" w:rsidP="00273367">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Ao naturalizar essas três </w:t>
      </w:r>
      <w:proofErr w:type="spellStart"/>
      <w:r w:rsidRPr="0075221B">
        <w:rPr>
          <w:rFonts w:ascii="Times New Roman" w:hAnsi="Times New Roman" w:cs="Times New Roman"/>
          <w:color w:val="000000"/>
        </w:rPr>
        <w:t>subteses</w:t>
      </w:r>
      <w:proofErr w:type="spellEnd"/>
      <w:r w:rsidRPr="0075221B">
        <w:rPr>
          <w:rFonts w:ascii="Times New Roman" w:hAnsi="Times New Roman" w:cs="Times New Roman"/>
          <w:color w:val="000000"/>
        </w:rPr>
        <w:t xml:space="preserve">, constrói-se a ideia de que </w:t>
      </w:r>
      <w:r w:rsidR="0071626C" w:rsidRPr="0075221B">
        <w:rPr>
          <w:rFonts w:ascii="Times New Roman" w:hAnsi="Times New Roman" w:cs="Times New Roman"/>
          <w:color w:val="000000"/>
        </w:rPr>
        <w:t>o ensino de</w:t>
      </w:r>
      <w:r w:rsidRPr="0075221B">
        <w:rPr>
          <w:rFonts w:ascii="Times New Roman" w:hAnsi="Times New Roman" w:cs="Times New Roman"/>
          <w:color w:val="000000"/>
        </w:rPr>
        <w:t xml:space="preserve"> Matemática estaria fora do campo das disputas sociais quando, na realidade, ela tem sido historicamente mobilizada como instrumento de seleção, legitimação de desigualdades e manutenção de privilégios. Questionar a tese da neutralidade, portanto, não é negar o rigor da Matemática, mas reconhecer que seu ensino e seus usos são atravessados por </w:t>
      </w:r>
      <w:r w:rsidRPr="0075221B">
        <w:rPr>
          <w:rFonts w:ascii="Times New Roman" w:hAnsi="Times New Roman" w:cs="Times New Roman"/>
          <w:color w:val="000000"/>
        </w:rPr>
        <w:lastRenderedPageBreak/>
        <w:t>escolhas políticas, sociais e éticas — condição indispensável para pensar uma Matemática comprometida com a equidade racial e a justiça social.</w:t>
      </w:r>
    </w:p>
    <w:p w14:paraId="4F0A30BA" w14:textId="0D6A441C" w:rsidR="00F81974" w:rsidRPr="0075221B" w:rsidRDefault="00F81974" w:rsidP="00996E23">
      <w:pPr>
        <w:spacing w:line="360" w:lineRule="auto"/>
        <w:ind w:firstLine="709"/>
        <w:jc w:val="both"/>
        <w:rPr>
          <w:rFonts w:ascii="Times New Roman" w:hAnsi="Times New Roman" w:cs="Times New Roman"/>
          <w:b/>
          <w:bCs/>
        </w:rPr>
      </w:pPr>
      <w:r w:rsidRPr="0075221B">
        <w:rPr>
          <w:rFonts w:ascii="Times New Roman" w:hAnsi="Times New Roman" w:cs="Times New Roman"/>
          <w:b/>
          <w:bCs/>
        </w:rPr>
        <w:t>4.</w:t>
      </w:r>
      <w:r w:rsidR="00AF7CAA" w:rsidRPr="0075221B">
        <w:rPr>
          <w:rFonts w:ascii="Times New Roman" w:hAnsi="Times New Roman" w:cs="Times New Roman"/>
          <w:b/>
          <w:bCs/>
        </w:rPr>
        <w:t>2</w:t>
      </w:r>
      <w:r w:rsidRPr="0075221B">
        <w:rPr>
          <w:rFonts w:ascii="Times New Roman" w:hAnsi="Times New Roman" w:cs="Times New Roman"/>
          <w:b/>
          <w:bCs/>
        </w:rPr>
        <w:t xml:space="preserve"> Concepções docentes sobre a Matemática e seus efeitos</w:t>
      </w:r>
    </w:p>
    <w:p w14:paraId="66E1E8EE" w14:textId="5D2DB26E" w:rsidR="00F81974" w:rsidRPr="0075221B" w:rsidRDefault="00565E5B"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 forma como o(a) professor(a) “vê” a Matemática molda o que ele(a) considera ensinar, avaliar e reconhecer como aprendizagem. </w:t>
      </w:r>
      <w:r w:rsidR="00F81974" w:rsidRPr="0075221B">
        <w:rPr>
          <w:rFonts w:ascii="Times New Roman" w:hAnsi="Times New Roman" w:cs="Times New Roman"/>
          <w:color w:val="000000"/>
        </w:rPr>
        <w:t>João Ponte (1992) afirma que o interesse pelo estudo das concepções dos professores baseia-se no pressuposto de que existe um substrato conceitual com papel determinante no pensamento e na ação. Esse substrato é definido como “de uma natureza diferente dos conceitos específicos — não diz respeito a objetos ou ações bem determinadas, mas antes constitui uma forma de os organizar, de ver o mundo, de pensar. Não se reduz aos aspectos mais imediatamente observáveis do comportamento e não se revela com facilidade — nem aos outros nem a nós mesmos” (P</w:t>
      </w:r>
      <w:r w:rsidR="00AC2434" w:rsidRPr="0075221B">
        <w:rPr>
          <w:rFonts w:ascii="Times New Roman" w:hAnsi="Times New Roman" w:cs="Times New Roman"/>
          <w:color w:val="000000"/>
        </w:rPr>
        <w:t>onte</w:t>
      </w:r>
      <w:r w:rsidR="00F81974" w:rsidRPr="0075221B">
        <w:rPr>
          <w:rFonts w:ascii="Times New Roman" w:hAnsi="Times New Roman" w:cs="Times New Roman"/>
          <w:color w:val="000000"/>
        </w:rPr>
        <w:t>, 1992, p. 1).</w:t>
      </w:r>
    </w:p>
    <w:p w14:paraId="03B1DA04" w14:textId="77777777"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Assim, a relação que os professores de Matemática estabelecem com a própria Matemática influencia seu processo de ensino. A Matemática não é uma ciência simples: sua história se relaciona com avanços tecnológicos, com outras ciências e com disputas políticas, econômicas e sociais, perfazendo um entrelaçamento com a própria </w:t>
      </w:r>
      <w:proofErr w:type="gramStart"/>
      <w:r w:rsidRPr="0075221B">
        <w:rPr>
          <w:rFonts w:ascii="Times New Roman" w:hAnsi="Times New Roman" w:cs="Times New Roman"/>
          <w:color w:val="000000"/>
        </w:rPr>
        <w:t>história da humanidade</w:t>
      </w:r>
      <w:proofErr w:type="gramEnd"/>
      <w:r w:rsidRPr="0075221B">
        <w:rPr>
          <w:rFonts w:ascii="Times New Roman" w:hAnsi="Times New Roman" w:cs="Times New Roman"/>
          <w:color w:val="000000"/>
        </w:rPr>
        <w:t>.</w:t>
      </w:r>
    </w:p>
    <w:p w14:paraId="59057FFA" w14:textId="2476F774" w:rsidR="00F81974" w:rsidRPr="0075221B" w:rsidRDefault="00D7533B"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Tatiana </w:t>
      </w:r>
      <w:r w:rsidR="00F81974" w:rsidRPr="0075221B">
        <w:rPr>
          <w:rFonts w:ascii="Times New Roman" w:hAnsi="Times New Roman" w:cs="Times New Roman"/>
          <w:color w:val="000000"/>
        </w:rPr>
        <w:t xml:space="preserve">Roque e </w:t>
      </w:r>
      <w:r w:rsidRPr="0075221B">
        <w:rPr>
          <w:rFonts w:ascii="Times New Roman" w:hAnsi="Times New Roman" w:cs="Times New Roman"/>
          <w:color w:val="000000"/>
        </w:rPr>
        <w:t xml:space="preserve">Victor </w:t>
      </w:r>
      <w:r w:rsidR="00F81974" w:rsidRPr="0075221B">
        <w:rPr>
          <w:rFonts w:ascii="Times New Roman" w:hAnsi="Times New Roman" w:cs="Times New Roman"/>
          <w:color w:val="000000"/>
        </w:rPr>
        <w:t>Giraldo (2014) relatam que “o fato de a Matemática ser (ou parecer) abstrata é uma das questões que mais aparecem tanto na experiência cotidiana de ensinar matemática quanto nas discussões relativas à dificuldade do ensino e do aprendizado” (p. 21). Assim, para muitos estudantes, a Matemática acaba se tornando um espaço de não pertencimento, pois, em geral, é considerada difícil e constituída apenas de procedimentos para a execução de cálculos. Muitas vezes, os alunos herdam essa postura dos próprios professores, responsáveis pela organização da experiência escolar com a disciplina. Por isso, compreender as concepções docentes sobre a Matemática é essencial.</w:t>
      </w:r>
    </w:p>
    <w:p w14:paraId="430B8053" w14:textId="77777777"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Alba Thompson (1992) argumenta que as concepções dos professores de Matemática sobre sua natureza podem se manifestar de maneira consciente ou inconsciente, refletindo-se nas práticas. A autora apresenta três concepções: dinâmica, estática e instrumental. A dinâmica baseia-se na solução de problemas e compreende a Matemática como campo de produção humana, em expansão contínua, criativo e inovador, no qual padrões são gerados e disseminados. A concepção estática, por sua vez, apresenta a Matemática como um corpo de conhecimento sólido e unificado, com verdades interconectadas pela lógica e pelo significado, como algo descoberto e não </w:t>
      </w:r>
      <w:r w:rsidRPr="0075221B">
        <w:rPr>
          <w:rFonts w:ascii="Times New Roman" w:hAnsi="Times New Roman" w:cs="Times New Roman"/>
          <w:color w:val="000000"/>
        </w:rPr>
        <w:lastRenderedPageBreak/>
        <w:t>criado. Já a concepção instrumental trata a Matemática como uma “caixa de ferramentas”, construída por uma acumulação de fatos, regras e habilidades que não estão necessariamente relacionados entre si.</w:t>
      </w:r>
    </w:p>
    <w:p w14:paraId="2B46B636" w14:textId="77777777"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 docente que ensina Matemática pode mobilizar uma ou mais dessas concepções, o que implicará diretamente sua prática em sala de aula. Considerando o modelo de formação que temos até o ano de 2026, é plausível supor que concepções estáticas e instrumentais apareçam com maior frequência, especialmente quando a docência é organizada por aulas expositivas, exercícios de fixação e avaliação centrada no produto final. O desafio, contudo, não é “eliminar” concepções, mas torná-las visíveis para compreender seus efeitos sobre quem aprende, como aprende e quem é legitimado como “bom” em Matemática.</w:t>
      </w:r>
    </w:p>
    <w:p w14:paraId="2EE11F98" w14:textId="77777777" w:rsidR="00155FDB"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Victor Giraldo e Tatiana Roque (2021, p. 5-6) argumentam que “os currículos de muitos cursos de formação inicial de professores de matemática têm seguido modelos que têm a matemática acadêmica como único saber de referência, o que desqualifica a docência na educação básica como uma atividade profissional, com saberes e práticas próprios”. Os autores também destacam a necessidade de repensar o ensino com atenção à articulação de sentidos com as experiências dos estudantes. Alertam, contudo, para a busca desenfreada por “qualquer contexto”, o que pode tornar o ensino superficial.</w:t>
      </w:r>
    </w:p>
    <w:p w14:paraId="52C90916" w14:textId="17D704D5" w:rsidR="00F81974" w:rsidRPr="0075221B" w:rsidRDefault="00F81974" w:rsidP="00D476F4">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Outro ponto relevante é a vinculação entre afinidade com a natureza “abstrata” da Matemática e a suposta dotação inata para certas habilidades de pensamento, o que pode conduzir à ideia de que a Matemática é acessível a poucos. Nessa lógica, o trabalho do professor seria identificar os “talentosos” e separá-los dos “fracos”. Para a maioria dos estudantes, que não seriam dotados desse suposto “talento matemático”, caberia “facilitar” o ensino, abdicando da natureza “abstrata” e reduzindo a disciplina a uma dimensão pragmática e instrumental, associada a posições sociais e ocupações específicas. Isso fortalece a visão de que a Matemática é produzida pela “inspiração isolada de gênios inatos” e que seu entendimento seria acessível apenas a pessoas com “talento inato”, isto é, “aqueles que não nascem com talento matemático jamais serão bons em matemática” (G</w:t>
      </w:r>
      <w:r w:rsidR="00155FDB" w:rsidRPr="0075221B">
        <w:rPr>
          <w:rFonts w:ascii="Times New Roman" w:hAnsi="Times New Roman" w:cs="Times New Roman"/>
          <w:color w:val="000000"/>
        </w:rPr>
        <w:t xml:space="preserve">iraldo, </w:t>
      </w:r>
      <w:r w:rsidRPr="0075221B">
        <w:rPr>
          <w:rFonts w:ascii="Times New Roman" w:hAnsi="Times New Roman" w:cs="Times New Roman"/>
          <w:color w:val="000000"/>
        </w:rPr>
        <w:t>2018).</w:t>
      </w:r>
    </w:p>
    <w:p w14:paraId="056E782C" w14:textId="2C34D81B" w:rsidR="00F81974" w:rsidRPr="0075221B" w:rsidRDefault="00F81974" w:rsidP="00F81974">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AF7CAA" w:rsidRPr="0075221B">
        <w:rPr>
          <w:rFonts w:ascii="Times New Roman" w:hAnsi="Times New Roman" w:cs="Times New Roman"/>
          <w:b/>
          <w:bCs/>
        </w:rPr>
        <w:t>3</w:t>
      </w:r>
      <w:r w:rsidRPr="0075221B">
        <w:rPr>
          <w:rFonts w:ascii="Times New Roman" w:hAnsi="Times New Roman" w:cs="Times New Roman"/>
          <w:b/>
          <w:bCs/>
        </w:rPr>
        <w:t xml:space="preserve"> Uma cena de sala de aula: quando aprender vira direito concreto</w:t>
      </w:r>
    </w:p>
    <w:p w14:paraId="29464FA7" w14:textId="77777777" w:rsidR="00F81974" w:rsidRPr="0075221B" w:rsidRDefault="00F81974" w:rsidP="006F0675">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Ao escrever este livro, recordo-me de uma cena: no ano de 2023, eu estava ministrando uma aula de Matemática no pré-vestibular social em que atuo. De repente, ouvi um choro. Isso me assustou, confesso, pois não esperava. Ao olhar para a turma, para </w:t>
      </w:r>
      <w:r w:rsidRPr="0075221B">
        <w:rPr>
          <w:rFonts w:ascii="Times New Roman" w:hAnsi="Times New Roman" w:cs="Times New Roman"/>
          <w:color w:val="000000"/>
        </w:rPr>
        <w:lastRenderedPageBreak/>
        <w:t>compreender o que estava acontecendo, deparei-me com uma aluna negra em prantos. Disse que ela poderia sair para tratar da situação; imaginei que fosse uma questão familiar. Porém, ela se recusou e me explicou o motivo do choro: “</w:t>
      </w:r>
      <w:proofErr w:type="spellStart"/>
      <w:r w:rsidRPr="0075221B">
        <w:rPr>
          <w:rFonts w:ascii="Times New Roman" w:hAnsi="Times New Roman" w:cs="Times New Roman"/>
          <w:color w:val="000000"/>
        </w:rPr>
        <w:t>Prof</w:t>
      </w:r>
      <w:proofErr w:type="spellEnd"/>
      <w:r w:rsidRPr="0075221B">
        <w:rPr>
          <w:rFonts w:ascii="Times New Roman" w:hAnsi="Times New Roman" w:cs="Times New Roman"/>
          <w:color w:val="000000"/>
        </w:rPr>
        <w:t>, eu finalmente estou entendendo o conteúdo!”. Era uma jovem que já havia terminado sua trajetória escolar e estava se preparando para o ENEM. E somente naquele momento os conteúdos de Matemática estavam fazendo sentido para ela.</w:t>
      </w:r>
    </w:p>
    <w:p w14:paraId="096A7DEE" w14:textId="68A01A3D" w:rsidR="00F81974" w:rsidRPr="0075221B" w:rsidRDefault="00F81974" w:rsidP="006F0675">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Era uma aula diferente? Não. Mas era uma aula preparada com cuidado, zelo e atenção às diferentes realidades que se manifestam. Essa cena, para mim, condensa um princípio decisivo: o problema não é “quem aprende” e “quem não aprende”, mas as condições que criamos </w:t>
      </w:r>
      <w:r w:rsidR="009B3A4F" w:rsidRPr="0075221B">
        <w:rPr>
          <w:rFonts w:ascii="Times New Roman" w:hAnsi="Times New Roman" w:cs="Times New Roman"/>
          <w:color w:val="000000"/>
        </w:rPr>
        <w:t>,</w:t>
      </w:r>
      <w:r w:rsidRPr="0075221B">
        <w:rPr>
          <w:rFonts w:ascii="Times New Roman" w:hAnsi="Times New Roman" w:cs="Times New Roman"/>
          <w:color w:val="000000"/>
        </w:rPr>
        <w:t>ou negamos</w:t>
      </w:r>
      <w:r w:rsidR="009B3A4F" w:rsidRPr="0075221B">
        <w:rPr>
          <w:rFonts w:ascii="Times New Roman" w:hAnsi="Times New Roman" w:cs="Times New Roman"/>
          <w:color w:val="000000"/>
        </w:rPr>
        <w:t>,</w:t>
      </w:r>
      <w:r w:rsidRPr="0075221B">
        <w:rPr>
          <w:rFonts w:ascii="Times New Roman" w:hAnsi="Times New Roman" w:cs="Times New Roman"/>
          <w:color w:val="000000"/>
        </w:rPr>
        <w:t xml:space="preserve"> para que a aprendizagem aconteça. É nesse ponto que a Matemática Antirracista se torna um compromisso: não com a seleção, mas com o direito de aprender.</w:t>
      </w:r>
      <w:r w:rsidR="00AB23C7" w:rsidRPr="0075221B">
        <w:rPr>
          <w:rFonts w:ascii="Times New Roman" w:hAnsi="Times New Roman" w:cs="Times New Roman"/>
          <w:color w:val="000000"/>
        </w:rPr>
        <w:t xml:space="preserve"> O aprender não deveria ser exceção, e quando é, ele revela o quanto a escola pode negar o direito de aprender.</w:t>
      </w:r>
    </w:p>
    <w:p w14:paraId="556DD925" w14:textId="1360F10E" w:rsidR="00F81974" w:rsidRPr="0075221B" w:rsidRDefault="00F81974" w:rsidP="00F81974">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D839E9" w:rsidRPr="0075221B">
        <w:rPr>
          <w:rFonts w:ascii="Times New Roman" w:hAnsi="Times New Roman" w:cs="Times New Roman"/>
          <w:b/>
          <w:bCs/>
        </w:rPr>
        <w:t>4</w:t>
      </w:r>
      <w:r w:rsidR="00FE6ADE" w:rsidRPr="0075221B">
        <w:rPr>
          <w:rFonts w:ascii="Times New Roman" w:hAnsi="Times New Roman" w:cs="Times New Roman"/>
          <w:b/>
          <w:bCs/>
        </w:rPr>
        <w:t xml:space="preserve"> </w:t>
      </w:r>
      <w:r w:rsidRPr="0075221B">
        <w:rPr>
          <w:rFonts w:ascii="Times New Roman" w:hAnsi="Times New Roman" w:cs="Times New Roman"/>
          <w:b/>
          <w:bCs/>
        </w:rPr>
        <w:t xml:space="preserve">Matemática Antirracista em três níveis: macro, </w:t>
      </w:r>
      <w:proofErr w:type="spellStart"/>
      <w:r w:rsidRPr="0075221B">
        <w:rPr>
          <w:rFonts w:ascii="Times New Roman" w:hAnsi="Times New Roman" w:cs="Times New Roman"/>
          <w:b/>
          <w:bCs/>
        </w:rPr>
        <w:t>meso</w:t>
      </w:r>
      <w:proofErr w:type="spellEnd"/>
      <w:r w:rsidRPr="0075221B">
        <w:rPr>
          <w:rFonts w:ascii="Times New Roman" w:hAnsi="Times New Roman" w:cs="Times New Roman"/>
          <w:b/>
          <w:bCs/>
        </w:rPr>
        <w:t xml:space="preserve"> e micro</w:t>
      </w:r>
    </w:p>
    <w:p w14:paraId="3ECB72BE" w14:textId="06931BDD" w:rsidR="00F81974" w:rsidRPr="0075221B" w:rsidRDefault="00F81974" w:rsidP="000717B9">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Compreendo a Matemática Antirracista como uma abordagem que promove inclusão social, desconstruindo a ideia de que a Matemática é um saber restrito a poucos e defendendo seu acesso universal. Essa perspectiva busca superar o eurocentrismo na formação de professores de Matemática e propor um ensino que reconheça o papel político, social e econômico da disciplina. Ela se realiza em diferentes níveis: macro, </w:t>
      </w:r>
      <w:proofErr w:type="spellStart"/>
      <w:r w:rsidRPr="0075221B">
        <w:rPr>
          <w:rFonts w:ascii="Times New Roman" w:hAnsi="Times New Roman" w:cs="Times New Roman"/>
          <w:color w:val="000000"/>
        </w:rPr>
        <w:t>meso</w:t>
      </w:r>
      <w:proofErr w:type="spellEnd"/>
      <w:r w:rsidRPr="0075221B">
        <w:rPr>
          <w:rFonts w:ascii="Times New Roman" w:hAnsi="Times New Roman" w:cs="Times New Roman"/>
          <w:color w:val="000000"/>
        </w:rPr>
        <w:t> e micro.</w:t>
      </w:r>
      <w:r w:rsidR="00DB4713" w:rsidRPr="0075221B">
        <w:rPr>
          <w:rFonts w:ascii="Times New Roman" w:hAnsi="Times New Roman" w:cs="Times New Roman"/>
          <w:color w:val="000000"/>
        </w:rPr>
        <w:t xml:space="preserve"> a equidade racial no ensino de Matemática não depende apenas do docente: ela exige política pública, gestão escolar e prática pedagógica articuladas.</w:t>
      </w:r>
    </w:p>
    <w:p w14:paraId="1DFDBF90" w14:textId="12141081" w:rsidR="00F81974" w:rsidRPr="0075221B" w:rsidRDefault="00F81974" w:rsidP="00EA0F50">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FE6ADE" w:rsidRPr="0075221B">
        <w:rPr>
          <w:rFonts w:ascii="Times New Roman" w:hAnsi="Times New Roman" w:cs="Times New Roman"/>
          <w:b/>
          <w:bCs/>
        </w:rPr>
        <w:t>4</w:t>
      </w:r>
      <w:r w:rsidRPr="0075221B">
        <w:rPr>
          <w:rFonts w:ascii="Times New Roman" w:hAnsi="Times New Roman" w:cs="Times New Roman"/>
          <w:b/>
          <w:bCs/>
        </w:rPr>
        <w:t>.1 Nível macro: políticas públicas e marcos normativos</w:t>
      </w:r>
    </w:p>
    <w:p w14:paraId="2AAAB74E" w14:textId="77777777" w:rsidR="00F81974" w:rsidRPr="0075221B" w:rsidRDefault="00F81974" w:rsidP="00DB471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nível macro — referente ao campo das políticas públicas — há avanços alcançados por meio de disputa política e articulação nos espaços de decisão. Por exemplo, a Política Nacional de Equidade, Educação para as Relações Étnico-Raciais e Educação Escolar Quilombola (PNEERQ) tem o objetivo de implementar ações e programas educacionais voltados à superação das desigualdades étnico-raciais e do racismo nos ambientes de ensino, bem como à promoção da política educacional para a população quilombola (BRASIL, 2024). Entre suas metas, destacam-se: estruturar um sistema de metas e monitoramento e assegurar a implementação do art. 26-A da Lei nº 9.394/1996; formar profissionais da educação para gestão e docência no âmbito da ERER </w:t>
      </w:r>
      <w:r w:rsidRPr="0075221B">
        <w:rPr>
          <w:rFonts w:ascii="Times New Roman" w:hAnsi="Times New Roman" w:cs="Times New Roman"/>
          <w:color w:val="000000"/>
        </w:rPr>
        <w:lastRenderedPageBreak/>
        <w:t>e da Educação Escolar Quilombola (EEQ); induzir a construção de capacidades institucionais nos entes federados; reconhecer avanços institucionais de práticas educacionais antirracistas; contribuir para a superação das desigualdades étnico-raciais; consolidar a modalidade Educação Escolar Quilombola; e implementar protocolos de prevenção e resposta ao racismo nas escolas e nas instituições de educação superior (públicas e privadas).</w:t>
      </w:r>
    </w:p>
    <w:p w14:paraId="7246E374" w14:textId="77777777" w:rsidR="00F81974" w:rsidRPr="0075221B" w:rsidRDefault="00F81974" w:rsidP="00DB4713">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Além disso, há o Compromisso Nacional Toda Matemática, instituído em outubro de 2025, que assume como compromisso a equidade educacional na aprendizagem e no desenvolvimento da Matemática, considerados aspectos regionais, socioeconômicos, étnico-raciais e de gênero, bem como o enfrentamento dessas desigualdades como diretriz (BRASIL, 2025). Somam-se a isso as Diretrizes Curriculares Nacionais para a Educação das Relações Étnico-Raciais e para o Ensino de História e Cultura Afro-Brasileira e Africana (DCNERER), que contribuem para que a formação inicial de professores tenha acesso a esse debate (BRASIL, 2004). Portanto, há marcos importantes para a promoção da equidade racial, especialmente quando se articulam Compromisso Nacional, PNEERQ e DCNERER.</w:t>
      </w:r>
    </w:p>
    <w:p w14:paraId="2490DB38" w14:textId="30731DD1" w:rsidR="00F81974" w:rsidRPr="0075221B" w:rsidRDefault="00F81974" w:rsidP="00390A2C">
      <w:pPr>
        <w:spacing w:before="100" w:beforeAutospacing="1" w:after="100" w:afterAutospacing="1"/>
        <w:outlineLvl w:val="2"/>
        <w:rPr>
          <w:rFonts w:ascii="Times New Roman" w:hAnsi="Times New Roman" w:cs="Times New Roman"/>
          <w:b/>
          <w:bCs/>
        </w:rPr>
      </w:pPr>
      <w:r w:rsidRPr="0075221B">
        <w:rPr>
          <w:rFonts w:ascii="Times New Roman" w:hAnsi="Times New Roman" w:cs="Times New Roman"/>
          <w:b/>
          <w:bCs/>
        </w:rPr>
        <w:t>4.</w:t>
      </w:r>
      <w:r w:rsidR="004F1D27" w:rsidRPr="0075221B">
        <w:rPr>
          <w:rFonts w:ascii="Times New Roman" w:hAnsi="Times New Roman" w:cs="Times New Roman"/>
          <w:b/>
          <w:bCs/>
        </w:rPr>
        <w:t>4</w:t>
      </w:r>
      <w:r w:rsidRPr="0075221B">
        <w:rPr>
          <w:rFonts w:ascii="Times New Roman" w:hAnsi="Times New Roman" w:cs="Times New Roman"/>
          <w:b/>
          <w:bCs/>
        </w:rPr>
        <w:t xml:space="preserve">.2 Nível </w:t>
      </w:r>
      <w:proofErr w:type="spellStart"/>
      <w:r w:rsidRPr="0075221B">
        <w:rPr>
          <w:rFonts w:ascii="Times New Roman" w:hAnsi="Times New Roman" w:cs="Times New Roman"/>
          <w:b/>
          <w:bCs/>
        </w:rPr>
        <w:t>meso</w:t>
      </w:r>
      <w:proofErr w:type="spellEnd"/>
      <w:r w:rsidRPr="0075221B">
        <w:rPr>
          <w:rFonts w:ascii="Times New Roman" w:hAnsi="Times New Roman" w:cs="Times New Roman"/>
          <w:b/>
          <w:bCs/>
        </w:rPr>
        <w:t>: gestão escolar, liderança e justiça institucional</w:t>
      </w:r>
    </w:p>
    <w:p w14:paraId="6F220D60" w14:textId="77777777" w:rsidR="00264C88"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nível </w:t>
      </w:r>
      <w:proofErr w:type="spellStart"/>
      <w:r w:rsidRPr="0075221B">
        <w:rPr>
          <w:rFonts w:ascii="Times New Roman" w:hAnsi="Times New Roman" w:cs="Times New Roman"/>
          <w:color w:val="000000"/>
        </w:rPr>
        <w:t>meso</w:t>
      </w:r>
      <w:proofErr w:type="spellEnd"/>
      <w:r w:rsidR="00390A2C" w:rsidRPr="0075221B">
        <w:rPr>
          <w:rFonts w:ascii="Times New Roman" w:hAnsi="Times New Roman" w:cs="Times New Roman"/>
          <w:color w:val="000000"/>
        </w:rPr>
        <w:t xml:space="preserve">, </w:t>
      </w:r>
      <w:r w:rsidRPr="0075221B">
        <w:rPr>
          <w:rFonts w:ascii="Times New Roman" w:hAnsi="Times New Roman" w:cs="Times New Roman"/>
          <w:color w:val="000000"/>
        </w:rPr>
        <w:t>referente à gestão escolar</w:t>
      </w:r>
      <w:r w:rsidR="00390A2C" w:rsidRPr="0075221B">
        <w:rPr>
          <w:rFonts w:ascii="Times New Roman" w:hAnsi="Times New Roman" w:cs="Times New Roman"/>
          <w:color w:val="000000"/>
        </w:rPr>
        <w:t xml:space="preserve">, </w:t>
      </w:r>
      <w:r w:rsidRPr="0075221B">
        <w:rPr>
          <w:rFonts w:ascii="Times New Roman" w:hAnsi="Times New Roman" w:cs="Times New Roman"/>
          <w:color w:val="000000"/>
        </w:rPr>
        <w:t>o apoio da equipe gestora é essencial. É nesse plano institucional que a equidade deixa de ser apenas uma intenção pedagógica e passa a orientar decisões concretas: como se distribuem tempos, pessoas, recursos, expectativas e oportunidades de aprendizagem. Por isso, considero que três elementos</w:t>
      </w:r>
      <w:r w:rsidR="00192827" w:rsidRPr="0075221B">
        <w:rPr>
          <w:rFonts w:ascii="Times New Roman" w:hAnsi="Times New Roman" w:cs="Times New Roman"/>
          <w:color w:val="000000"/>
        </w:rPr>
        <w:t xml:space="preserve">, </w:t>
      </w:r>
      <w:r w:rsidRPr="0075221B">
        <w:rPr>
          <w:rFonts w:ascii="Times New Roman" w:hAnsi="Times New Roman" w:cs="Times New Roman"/>
          <w:color w:val="000000"/>
        </w:rPr>
        <w:t>redistribuição, reconhecimento e representação</w:t>
      </w:r>
      <w:r w:rsidR="00192827"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constituem chaves de mudança. Alocar os melhores docentes para os estudantes que mais precisam, por exemplo, é um desafio que precisa ser enfrentado. Estudos recentes indicam a importância da diversidade docente e mostram que ela deve ser reconhecida como elemento central na equação da qualidade do ensino: </w:t>
      </w:r>
      <w:r w:rsidR="00120E4C" w:rsidRPr="0075221B">
        <w:rPr>
          <w:rFonts w:ascii="Times New Roman" w:hAnsi="Times New Roman" w:cs="Times New Roman"/>
          <w:color w:val="000000"/>
        </w:rPr>
        <w:t xml:space="preserve">aumento da representação racial entre professores como um caminho potencial para reduzir as disparidades raciais tanto no desempenho educacional quanto níveis de renda </w:t>
      </w:r>
      <w:r w:rsidRPr="0075221B">
        <w:rPr>
          <w:rFonts w:ascii="Times New Roman" w:hAnsi="Times New Roman" w:cs="Times New Roman"/>
          <w:color w:val="000000"/>
        </w:rPr>
        <w:t>(</w:t>
      </w:r>
      <w:proofErr w:type="spellStart"/>
      <w:r w:rsidR="00B63D29" w:rsidRPr="0075221B">
        <w:rPr>
          <w:rFonts w:ascii="Times New Roman" w:hAnsi="Times New Roman" w:cs="Times New Roman"/>
          <w:color w:val="000000"/>
        </w:rPr>
        <w:t>Elacqua</w:t>
      </w:r>
      <w:proofErr w:type="spellEnd"/>
      <w:r w:rsidR="00B63D29" w:rsidRPr="0075221B">
        <w:rPr>
          <w:rFonts w:ascii="Times New Roman" w:hAnsi="Times New Roman" w:cs="Times New Roman"/>
          <w:color w:val="000000"/>
        </w:rPr>
        <w:t xml:space="preserve">, </w:t>
      </w:r>
      <w:r w:rsidRPr="0075221B">
        <w:rPr>
          <w:rFonts w:ascii="Times New Roman" w:hAnsi="Times New Roman" w:cs="Times New Roman"/>
          <w:color w:val="000000"/>
        </w:rPr>
        <w:t>et al., 2024).</w:t>
      </w:r>
    </w:p>
    <w:p w14:paraId="3F3015A6" w14:textId="18A920DF" w:rsidR="00264C88"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explicitar esses três elementos</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redistribuição, reconhecimento e representação</w:t>
      </w:r>
      <w:r w:rsidR="00264C88" w:rsidRPr="0075221B">
        <w:rPr>
          <w:rFonts w:ascii="Times New Roman" w:hAnsi="Times New Roman" w:cs="Times New Roman"/>
          <w:color w:val="000000"/>
        </w:rPr>
        <w:t xml:space="preserve">, </w:t>
      </w:r>
      <w:r w:rsidRPr="0075221B">
        <w:rPr>
          <w:rFonts w:ascii="Times New Roman" w:hAnsi="Times New Roman" w:cs="Times New Roman"/>
          <w:color w:val="000000"/>
        </w:rPr>
        <w:t xml:space="preserve">recorro ao arcabouço de Nancy Fraser (1995, 2005, 2009), que contribui para transformar a equidade em critérios de ação e não apenas em um princípio abstrato. Esses eixos ajudam a traduzir a pergunta “como promover equidade racial no ensino de </w:t>
      </w:r>
      <w:r w:rsidRPr="0075221B">
        <w:rPr>
          <w:rFonts w:ascii="Times New Roman" w:hAnsi="Times New Roman" w:cs="Times New Roman"/>
          <w:color w:val="000000"/>
        </w:rPr>
        <w:lastRenderedPageBreak/>
        <w:t>Matemática?” em decisões que atravessam a escola: a alocação de recursos, a cultura pedagógica e os processos decisórios.</w:t>
      </w:r>
    </w:p>
    <w:p w14:paraId="17AB7E44" w14:textId="77777777" w:rsidR="00264C88"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redistribuição diz respeito à dimensão socioeconômica da justiça e, no campo educacional, exige enfrentar desigualdades materiais que atravessam a aprendizagem em Matemática: tempo de estudo disponível, acesso a recursos didáticos, condições de permanência, infraestrutura escolar, oferta de reforço, monitorias e acompanhamento pedagógico. Uma escola comprometida com a Matemática Antirracista não pode tratar tais condições como “externas” ao ensino. Redistribuir, nesse contexto, significa priorizar recursos para quem mais precisa: reorganizar tempos e espaços escolares, direcionar apoio pedagógico qualificado para turmas e estudantes historicamente negligenciados, garantir acesso a materiais e tecnologias e assegurar condições de trabalho docente para intervenções consistentes.</w:t>
      </w:r>
    </w:p>
    <w:p w14:paraId="7EBD2FC3" w14:textId="581B876E" w:rsidR="00F81974" w:rsidRPr="0075221B" w:rsidRDefault="00F81974" w:rsidP="00264C88">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O reconhecimento refere-se à dimensão cultural e simbólica da justiça e enfrenta a desvalorização sistemática de identidades, histórias e saberes de grupos subalternizados. No ensino de Matemática, o não reconhecimento opera quando a disciplina é apresentada como se fosse produzida por um único sujeito histórico</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geralmente europeu, masculino e branco</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e quando as formas de linguagem, argumentação e participação valorizadas em sala de aula são definidas por um padrão cultural dominante. Reconhecer, portanto, não é apenas “incluir conteúdos” ou “citar contribuições” de povos africanos e indígenas, mas revisar a própria cultura matemática escolar: o que conta como explicação válida, que experiências podem ser tomadas como ponto de partida e como o professor interpreta erros, dúvidas e silêncios.</w:t>
      </w:r>
    </w:p>
    <w:p w14:paraId="3ADE5423" w14:textId="6EA9A674"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A representação corresponde à dimensão política da justiça: quem participa das decisões, quem define prioridades, quem tem voz e poder de influência na organização escolar e curricular. Em termos de Matemática Antirracista, representação implica ampliar e qualificar a participação de estudantes e famílias</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especialmente negras</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nas decisões pedagógicas, nos critérios de avaliação e nas formas de acompanhamento. Implica também refletir sobre representatividade nos espaços de poder da escola e sobre como a formação continuada e a escolha de materiais didáticos incorporam</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ou silenciam</w:t>
      </w:r>
      <w:r w:rsidR="00264C88" w:rsidRPr="0075221B">
        <w:rPr>
          <w:rFonts w:ascii="Times New Roman" w:hAnsi="Times New Roman" w:cs="Times New Roman"/>
          <w:color w:val="000000"/>
        </w:rPr>
        <w:t>,</w:t>
      </w:r>
      <w:r w:rsidRPr="0075221B">
        <w:rPr>
          <w:rFonts w:ascii="Times New Roman" w:hAnsi="Times New Roman" w:cs="Times New Roman"/>
          <w:color w:val="000000"/>
        </w:rPr>
        <w:t xml:space="preserve"> perspectivas antirracistas. Em síntese, redistribuir garante condições; reconhecer devolve legitimidade; representar assegura poder de decisão.</w:t>
      </w:r>
    </w:p>
    <w:p w14:paraId="7E4E85C6" w14:textId="18222428"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Dito isso, a literatura sobre liderança educacional reforça que mudanças pedagógicas sustentáveis dependem da atuação intencional das equipes gestoras, especialmente diretores e coordenadores pedagógicos. Estudos nacionais e internacionais </w:t>
      </w:r>
      <w:r w:rsidRPr="0075221B">
        <w:rPr>
          <w:rFonts w:ascii="Times New Roman" w:hAnsi="Times New Roman" w:cs="Times New Roman"/>
          <w:color w:val="000000"/>
        </w:rPr>
        <w:lastRenderedPageBreak/>
        <w:t>apontam que a liderança pedagógica exerce influência significativa sobre a qualidade das práticas docentes, sobre o desenvolvimento profissional dos professores e, de forma indireta, porém consistente, sobre a aprendizagem dos estudantes (</w:t>
      </w:r>
      <w:proofErr w:type="spellStart"/>
      <w:r w:rsidRPr="0075221B">
        <w:rPr>
          <w:rFonts w:ascii="Times New Roman" w:hAnsi="Times New Roman" w:cs="Times New Roman"/>
          <w:color w:val="000000"/>
        </w:rPr>
        <w:t>L</w:t>
      </w:r>
      <w:r w:rsidR="005557A3" w:rsidRPr="0075221B">
        <w:rPr>
          <w:rFonts w:ascii="Times New Roman" w:hAnsi="Times New Roman" w:cs="Times New Roman"/>
          <w:color w:val="000000"/>
        </w:rPr>
        <w:t>eithwood</w:t>
      </w:r>
      <w:proofErr w:type="spellEnd"/>
      <w:r w:rsidRPr="0075221B">
        <w:rPr>
          <w:rFonts w:ascii="Times New Roman" w:hAnsi="Times New Roman" w:cs="Times New Roman"/>
          <w:color w:val="000000"/>
        </w:rPr>
        <w:t xml:space="preserve"> et al., 2008; B</w:t>
      </w:r>
      <w:r w:rsidR="005557A3" w:rsidRPr="0075221B">
        <w:rPr>
          <w:rFonts w:ascii="Times New Roman" w:hAnsi="Times New Roman" w:cs="Times New Roman"/>
          <w:color w:val="000000"/>
        </w:rPr>
        <w:t>olívar</w:t>
      </w:r>
      <w:r w:rsidRPr="0075221B">
        <w:rPr>
          <w:rFonts w:ascii="Times New Roman" w:hAnsi="Times New Roman" w:cs="Times New Roman"/>
          <w:color w:val="000000"/>
        </w:rPr>
        <w:t>, 2010; UNESCO, 2016). Pesquisas também indicam que gestores que acompanham o currículo, promovem espaços de reflexão coletiva, incentivam práticas colaborativas e apoiam o trabalho docente conseguem reduzir os efeitos das desigualdades de contexto sobre os resultados educacionais (</w:t>
      </w:r>
      <w:proofErr w:type="spellStart"/>
      <w:r w:rsidRPr="0075221B">
        <w:rPr>
          <w:rFonts w:ascii="Times New Roman" w:hAnsi="Times New Roman" w:cs="Times New Roman"/>
          <w:color w:val="000000"/>
        </w:rPr>
        <w:t>L</w:t>
      </w:r>
      <w:r w:rsidR="00A854B8" w:rsidRPr="0075221B">
        <w:rPr>
          <w:rFonts w:ascii="Times New Roman" w:hAnsi="Times New Roman" w:cs="Times New Roman"/>
          <w:color w:val="000000"/>
        </w:rPr>
        <w:t>eithwoo</w:t>
      </w:r>
      <w:proofErr w:type="spellEnd"/>
      <w:r w:rsidR="00A854B8" w:rsidRPr="0075221B">
        <w:rPr>
          <w:rFonts w:ascii="Times New Roman" w:hAnsi="Times New Roman" w:cs="Times New Roman"/>
          <w:color w:val="000000"/>
        </w:rPr>
        <w:t xml:space="preserve"> e </w:t>
      </w:r>
      <w:proofErr w:type="spellStart"/>
      <w:r w:rsidRPr="0075221B">
        <w:rPr>
          <w:rFonts w:ascii="Times New Roman" w:hAnsi="Times New Roman" w:cs="Times New Roman"/>
          <w:color w:val="000000"/>
        </w:rPr>
        <w:t>JA</w:t>
      </w:r>
      <w:r w:rsidR="00A854B8" w:rsidRPr="0075221B">
        <w:rPr>
          <w:rFonts w:ascii="Times New Roman" w:hAnsi="Times New Roman" w:cs="Times New Roman"/>
          <w:color w:val="000000"/>
        </w:rPr>
        <w:t>ntzi</w:t>
      </w:r>
      <w:proofErr w:type="spellEnd"/>
      <w:r w:rsidRPr="0075221B">
        <w:rPr>
          <w:rFonts w:ascii="Times New Roman" w:hAnsi="Times New Roman" w:cs="Times New Roman"/>
          <w:color w:val="000000"/>
        </w:rPr>
        <w:t>, 2006; B</w:t>
      </w:r>
      <w:r w:rsidR="00A854B8" w:rsidRPr="0075221B">
        <w:rPr>
          <w:rFonts w:ascii="Times New Roman" w:hAnsi="Times New Roman" w:cs="Times New Roman"/>
          <w:color w:val="000000"/>
        </w:rPr>
        <w:t>olívar</w:t>
      </w:r>
      <w:r w:rsidRPr="0075221B">
        <w:rPr>
          <w:rFonts w:ascii="Times New Roman" w:hAnsi="Times New Roman" w:cs="Times New Roman"/>
          <w:color w:val="000000"/>
        </w:rPr>
        <w:t>, 201</w:t>
      </w:r>
      <w:r w:rsidR="00A854B8" w:rsidRPr="0075221B">
        <w:rPr>
          <w:rFonts w:ascii="Times New Roman" w:hAnsi="Times New Roman" w:cs="Times New Roman"/>
          <w:color w:val="000000"/>
        </w:rPr>
        <w:t>9</w:t>
      </w:r>
      <w:r w:rsidRPr="0075221B">
        <w:rPr>
          <w:rFonts w:ascii="Times New Roman" w:hAnsi="Times New Roman" w:cs="Times New Roman"/>
          <w:color w:val="000000"/>
        </w:rPr>
        <w:t>). No contexto brasileiro, estudos sobre gestão escolar e liderança educacional evidenciam que escolas que conseguem superar barreiras impostas pelo contexto socioeconômico não o fazem por meio de soluções pontuais ou individuais, mas a partir de uma liderança que articula altas expectativas pedagógicas, acompanhamento sistemático do trabalho docente e atenção às condições concretas de vida dos estudantes (INSTITUTO UNIBANCO, 2017; S</w:t>
      </w:r>
      <w:r w:rsidR="00A854B8" w:rsidRPr="0075221B">
        <w:rPr>
          <w:rFonts w:ascii="Times New Roman" w:hAnsi="Times New Roman" w:cs="Times New Roman"/>
          <w:color w:val="000000"/>
        </w:rPr>
        <w:t>oares e</w:t>
      </w:r>
      <w:r w:rsidRPr="0075221B">
        <w:rPr>
          <w:rFonts w:ascii="Times New Roman" w:hAnsi="Times New Roman" w:cs="Times New Roman"/>
          <w:color w:val="000000"/>
        </w:rPr>
        <w:t xml:space="preserve"> A</w:t>
      </w:r>
      <w:r w:rsidR="00A854B8" w:rsidRPr="0075221B">
        <w:rPr>
          <w:rFonts w:ascii="Times New Roman" w:hAnsi="Times New Roman" w:cs="Times New Roman"/>
          <w:color w:val="000000"/>
        </w:rPr>
        <w:t>lves</w:t>
      </w:r>
      <w:r w:rsidRPr="0075221B">
        <w:rPr>
          <w:rFonts w:ascii="Times New Roman" w:hAnsi="Times New Roman" w:cs="Times New Roman"/>
          <w:color w:val="000000"/>
        </w:rPr>
        <w:t>, 20</w:t>
      </w:r>
      <w:r w:rsidR="005E7241" w:rsidRPr="0075221B">
        <w:rPr>
          <w:rFonts w:ascii="Times New Roman" w:hAnsi="Times New Roman" w:cs="Times New Roman"/>
          <w:color w:val="000000"/>
        </w:rPr>
        <w:t>0</w:t>
      </w:r>
      <w:r w:rsidRPr="0075221B">
        <w:rPr>
          <w:rFonts w:ascii="Times New Roman" w:hAnsi="Times New Roman" w:cs="Times New Roman"/>
          <w:color w:val="000000"/>
        </w:rPr>
        <w:t>3). Essa perspectiva dialoga diretamente com a proposta de uma Matemática Antirracista, pois desloca o foco da responsabilização do aluno</w:t>
      </w:r>
      <w:r w:rsidR="00A854B8" w:rsidRPr="0075221B">
        <w:rPr>
          <w:rFonts w:ascii="Times New Roman" w:hAnsi="Times New Roman" w:cs="Times New Roman"/>
          <w:color w:val="000000"/>
        </w:rPr>
        <w:t>,</w:t>
      </w:r>
      <w:r w:rsidRPr="0075221B">
        <w:rPr>
          <w:rFonts w:ascii="Times New Roman" w:hAnsi="Times New Roman" w:cs="Times New Roman"/>
          <w:color w:val="000000"/>
        </w:rPr>
        <w:t xml:space="preserve"> frequentemente atravessada por marcadores de raça e classe</w:t>
      </w:r>
      <w:r w:rsidR="00A854B8" w:rsidRPr="0075221B">
        <w:rPr>
          <w:rFonts w:ascii="Times New Roman" w:hAnsi="Times New Roman" w:cs="Times New Roman"/>
          <w:color w:val="000000"/>
        </w:rPr>
        <w:t>,</w:t>
      </w:r>
      <w:r w:rsidRPr="0075221B">
        <w:rPr>
          <w:rFonts w:ascii="Times New Roman" w:hAnsi="Times New Roman" w:cs="Times New Roman"/>
          <w:color w:val="000000"/>
        </w:rPr>
        <w:t xml:space="preserve"> para a responsabilidade institucional da escola.</w:t>
      </w:r>
    </w:p>
    <w:p w14:paraId="256EEC93" w14:textId="77777777"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Dessa forma, assumir a equidade racial como princípio orientador do ensino de Matemática exige que a gestão escolar incorpore esse compromisso como parte estruturante do seu projeto político-pedagógico, criando condições institucionais para que práticas antirracistas sejam possíveis, legitimadas e sustentáveis no cotidiano escolar e, consequentemente, no trabalho do docente que ensina Matemática.</w:t>
      </w:r>
    </w:p>
    <w:p w14:paraId="2B768F9B" w14:textId="496701FF" w:rsidR="00F81974" w:rsidRPr="0075221B" w:rsidRDefault="00F81974" w:rsidP="00F81974">
      <w:pPr>
        <w:spacing w:before="100" w:beforeAutospacing="1" w:after="100" w:afterAutospacing="1"/>
        <w:outlineLvl w:val="3"/>
        <w:rPr>
          <w:rFonts w:ascii="Times New Roman" w:eastAsia="Times New Roman" w:hAnsi="Times New Roman" w:cs="Times New Roman"/>
          <w:b/>
          <w:bCs/>
          <w:color w:val="000000"/>
          <w:kern w:val="0"/>
          <w:lang w:eastAsia="pt-BR"/>
          <w14:ligatures w14:val="none"/>
        </w:rPr>
      </w:pPr>
      <w:r w:rsidRPr="0075221B">
        <w:rPr>
          <w:rFonts w:ascii="Times New Roman" w:eastAsia="Times New Roman" w:hAnsi="Times New Roman" w:cs="Times New Roman"/>
          <w:b/>
          <w:bCs/>
          <w:color w:val="000000"/>
          <w:kern w:val="0"/>
          <w:lang w:eastAsia="pt-BR"/>
          <w14:ligatures w14:val="none"/>
        </w:rPr>
        <w:t>4.</w:t>
      </w:r>
      <w:r w:rsidR="008B4E7C" w:rsidRPr="0075221B">
        <w:rPr>
          <w:rFonts w:ascii="Times New Roman" w:eastAsia="Times New Roman" w:hAnsi="Times New Roman" w:cs="Times New Roman"/>
          <w:b/>
          <w:bCs/>
          <w:color w:val="000000"/>
          <w:kern w:val="0"/>
          <w:lang w:eastAsia="pt-BR"/>
          <w14:ligatures w14:val="none"/>
        </w:rPr>
        <w:t>4</w:t>
      </w:r>
      <w:r w:rsidRPr="0075221B">
        <w:rPr>
          <w:rFonts w:ascii="Times New Roman" w:eastAsia="Times New Roman" w:hAnsi="Times New Roman" w:cs="Times New Roman"/>
          <w:b/>
          <w:bCs/>
          <w:color w:val="000000"/>
          <w:kern w:val="0"/>
          <w:lang w:eastAsia="pt-BR"/>
          <w14:ligatures w14:val="none"/>
        </w:rPr>
        <w:t>.3 Nível micro: o trabalho docente e o direito de aprender</w:t>
      </w:r>
    </w:p>
    <w:p w14:paraId="7E6FFCBB" w14:textId="20022AB7"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No nível micro</w:t>
      </w:r>
      <w:r w:rsidR="003C5368" w:rsidRPr="0075221B">
        <w:rPr>
          <w:rFonts w:ascii="Times New Roman" w:hAnsi="Times New Roman" w:cs="Times New Roman"/>
          <w:color w:val="000000"/>
        </w:rPr>
        <w:t>,</w:t>
      </w:r>
      <w:r w:rsidRPr="0075221B">
        <w:rPr>
          <w:rFonts w:ascii="Times New Roman" w:hAnsi="Times New Roman" w:cs="Times New Roman"/>
          <w:color w:val="000000"/>
        </w:rPr>
        <w:t xml:space="preserve"> isto é, da pessoa que ensina Matemática</w:t>
      </w:r>
      <w:r w:rsidR="003C5368" w:rsidRPr="0075221B">
        <w:rPr>
          <w:rFonts w:ascii="Times New Roman" w:hAnsi="Times New Roman" w:cs="Times New Roman"/>
          <w:color w:val="000000"/>
        </w:rPr>
        <w:t>,</w:t>
      </w:r>
      <w:r w:rsidRPr="0075221B">
        <w:rPr>
          <w:rFonts w:ascii="Times New Roman" w:hAnsi="Times New Roman" w:cs="Times New Roman"/>
          <w:color w:val="000000"/>
        </w:rPr>
        <w:t xml:space="preserve"> a mudança precisa acontecer, a priori, na forma como ela pensa sobre o que ensina e sobre quem pode aprender. A mentalidade precisa estar pautada na convicção de que todo mundo pode aprender Matemática. Aprender é difícil, requer esforço, mas isso não significa que seja “para poucos”. As concepções docentes sobre a Matemática não podem afastar estudantes dessa área do conhecimento.</w:t>
      </w:r>
    </w:p>
    <w:p w14:paraId="293F8074" w14:textId="55E94E04"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Quando defendo o papel político, econômico e social do ensino da Matemática, penso nos seguintes pontos. O papel político se alicerça na compreensão de que aprender Matemática é um direito. Como Bob Moses declarou, </w:t>
      </w:r>
      <w:r w:rsidR="00181034" w:rsidRPr="0075221B">
        <w:rPr>
          <w:rFonts w:ascii="Times New Roman" w:hAnsi="Times New Roman" w:cs="Times New Roman"/>
          <w:color w:val="000000"/>
        </w:rPr>
        <w:t>no final da década de 60</w:t>
      </w:r>
      <w:r w:rsidRPr="0075221B">
        <w:rPr>
          <w:rFonts w:ascii="Times New Roman" w:hAnsi="Times New Roman" w:cs="Times New Roman"/>
          <w:color w:val="000000"/>
        </w:rPr>
        <w:t xml:space="preserve">, a Matemática seria o novo direito civil do século XXI; em um mundo em constante transformação, dominar Matemática e compreender suas implicações é um direito. Essa </w:t>
      </w:r>
      <w:r w:rsidRPr="0075221B">
        <w:rPr>
          <w:rFonts w:ascii="Times New Roman" w:hAnsi="Times New Roman" w:cs="Times New Roman"/>
          <w:color w:val="000000"/>
        </w:rPr>
        <w:lastRenderedPageBreak/>
        <w:t>perspectiva nos mobiliza a pensar no papel econômico, especialmente quando se considera empregabilidade, salários e acesso ao ensino superior. Trabalhos que envolvem Matemática oferecem salários, em média, 119% maiores do que a média dos demais trabalhadores (ITAÚ, 2024). No que se refere ao ENEM, as maiores discrepâncias entre as notas de brancos e negros ocorrem em redação e em Matemática (</w:t>
      </w:r>
      <w:r w:rsidR="004C43E2" w:rsidRPr="0075221B">
        <w:rPr>
          <w:rFonts w:ascii="Times New Roman" w:hAnsi="Times New Roman" w:cs="Times New Roman"/>
          <w:color w:val="000000"/>
        </w:rPr>
        <w:t xml:space="preserve">Barbosa et </w:t>
      </w:r>
      <w:r w:rsidRPr="0075221B">
        <w:rPr>
          <w:rFonts w:ascii="Times New Roman" w:hAnsi="Times New Roman" w:cs="Times New Roman"/>
          <w:color w:val="000000"/>
        </w:rPr>
        <w:t>al., 2023). Esse dado nos ajuda a refletir sobre como saber Matemática pode ser determinante na escolha do curso superior</w:t>
      </w:r>
      <w:r w:rsidR="00A56D1B" w:rsidRPr="0075221B">
        <w:rPr>
          <w:rFonts w:ascii="Times New Roman" w:hAnsi="Times New Roman" w:cs="Times New Roman"/>
          <w:color w:val="000000"/>
        </w:rPr>
        <w:t xml:space="preserve"> </w:t>
      </w:r>
      <w:r w:rsidRPr="0075221B">
        <w:rPr>
          <w:rFonts w:ascii="Times New Roman" w:hAnsi="Times New Roman" w:cs="Times New Roman"/>
          <w:color w:val="000000"/>
        </w:rPr>
        <w:t>e, portanto, na ampliação ou restrição de horizontes de vida.</w:t>
      </w:r>
    </w:p>
    <w:p w14:paraId="042FB8FD" w14:textId="6A2517F6"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Isso nos leva ao papel social da Matemática: para além do ingresso na faculdade, saber Matemática nos ajuda a olhar o mundo, analisar informações, discernir argumentos e refletir. Não se trata de “ver Matemática em tudo”, mas de tornar-se um sujeito mais amplo e mais profundo</w:t>
      </w:r>
      <w:r w:rsidR="00A56D1B" w:rsidRPr="0075221B">
        <w:rPr>
          <w:rFonts w:ascii="Times New Roman" w:hAnsi="Times New Roman" w:cs="Times New Roman"/>
          <w:color w:val="000000"/>
        </w:rPr>
        <w:t>.</w:t>
      </w:r>
      <w:r w:rsidRPr="0075221B">
        <w:rPr>
          <w:rFonts w:ascii="Times New Roman" w:hAnsi="Times New Roman" w:cs="Times New Roman"/>
          <w:color w:val="000000"/>
        </w:rPr>
        <w:t xml:space="preserve"> </w:t>
      </w:r>
      <w:r w:rsidR="00A56D1B" w:rsidRPr="0075221B">
        <w:rPr>
          <w:rFonts w:ascii="Times New Roman" w:hAnsi="Times New Roman" w:cs="Times New Roman"/>
          <w:color w:val="000000"/>
        </w:rPr>
        <w:t>Q</w:t>
      </w:r>
      <w:r w:rsidRPr="0075221B">
        <w:rPr>
          <w:rFonts w:ascii="Times New Roman" w:hAnsi="Times New Roman" w:cs="Times New Roman"/>
          <w:color w:val="000000"/>
        </w:rPr>
        <w:t>ue questiona, critica, propõe e tensiona, buscando transformar a realidade.</w:t>
      </w:r>
    </w:p>
    <w:p w14:paraId="35D86308" w14:textId="2A0493FF" w:rsidR="00F81974" w:rsidRPr="0075221B" w:rsidRDefault="00F81974" w:rsidP="000E02CE">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Uma Matemática Antirracista inspira-se em uma educação antirracista: não nega a existência do racismo estrutural, reflete sobre suas manifestações e valoriza a diferença, condição fundamental para superar barreiras impostas à população negra (C</w:t>
      </w:r>
      <w:r w:rsidR="00A56D1B" w:rsidRPr="0075221B">
        <w:rPr>
          <w:rFonts w:ascii="Times New Roman" w:hAnsi="Times New Roman" w:cs="Times New Roman"/>
          <w:color w:val="000000"/>
        </w:rPr>
        <w:t>avalleiro</w:t>
      </w:r>
      <w:r w:rsidRPr="0075221B">
        <w:rPr>
          <w:rFonts w:ascii="Times New Roman" w:hAnsi="Times New Roman" w:cs="Times New Roman"/>
          <w:color w:val="000000"/>
        </w:rPr>
        <w:t>, 2001). Ela busca promover equidade e excelência no ensino de Matemática; reconhece a importância de saberes ancestrais, fundamentando-se em ancestralidade e etnicidade (D’</w:t>
      </w:r>
      <w:proofErr w:type="spellStart"/>
      <w:r w:rsidR="00D8535E" w:rsidRPr="0075221B">
        <w:rPr>
          <w:rFonts w:ascii="Times New Roman" w:hAnsi="Times New Roman" w:cs="Times New Roman"/>
          <w:color w:val="000000"/>
        </w:rPr>
        <w:t>ambrosio</w:t>
      </w:r>
      <w:proofErr w:type="spellEnd"/>
      <w:r w:rsidRPr="0075221B">
        <w:rPr>
          <w:rFonts w:ascii="Times New Roman" w:hAnsi="Times New Roman" w:cs="Times New Roman"/>
          <w:color w:val="000000"/>
        </w:rPr>
        <w:t>, 2008; C</w:t>
      </w:r>
      <w:r w:rsidR="00D8535E" w:rsidRPr="0075221B">
        <w:rPr>
          <w:rFonts w:ascii="Times New Roman" w:hAnsi="Times New Roman" w:cs="Times New Roman"/>
          <w:color w:val="000000"/>
        </w:rPr>
        <w:t>unha</w:t>
      </w:r>
      <w:r w:rsidRPr="0075221B">
        <w:rPr>
          <w:rFonts w:ascii="Times New Roman" w:hAnsi="Times New Roman" w:cs="Times New Roman"/>
          <w:color w:val="000000"/>
        </w:rPr>
        <w:t xml:space="preserve"> J</w:t>
      </w:r>
      <w:r w:rsidR="00D8535E" w:rsidRPr="0075221B">
        <w:rPr>
          <w:rFonts w:ascii="Times New Roman" w:hAnsi="Times New Roman" w:cs="Times New Roman"/>
          <w:color w:val="000000"/>
        </w:rPr>
        <w:t>únior</w:t>
      </w:r>
      <w:r w:rsidRPr="0075221B">
        <w:rPr>
          <w:rFonts w:ascii="Times New Roman" w:hAnsi="Times New Roman" w:cs="Times New Roman"/>
          <w:color w:val="000000"/>
        </w:rPr>
        <w:t>, 2016, 2017); problematiza seu ensino e sua prática (G</w:t>
      </w:r>
      <w:r w:rsidR="00D8535E" w:rsidRPr="0075221B">
        <w:rPr>
          <w:rFonts w:ascii="Times New Roman" w:hAnsi="Times New Roman" w:cs="Times New Roman"/>
          <w:color w:val="000000"/>
        </w:rPr>
        <w:t xml:space="preserve">iraldo e </w:t>
      </w:r>
      <w:r w:rsidRPr="0075221B">
        <w:rPr>
          <w:rFonts w:ascii="Times New Roman" w:hAnsi="Times New Roman" w:cs="Times New Roman"/>
          <w:color w:val="000000"/>
        </w:rPr>
        <w:t>R</w:t>
      </w:r>
      <w:r w:rsidR="00D8535E" w:rsidRPr="0075221B">
        <w:rPr>
          <w:rFonts w:ascii="Times New Roman" w:hAnsi="Times New Roman" w:cs="Times New Roman"/>
          <w:color w:val="000000"/>
        </w:rPr>
        <w:t>oque</w:t>
      </w:r>
      <w:r w:rsidRPr="0075221B">
        <w:rPr>
          <w:rFonts w:ascii="Times New Roman" w:hAnsi="Times New Roman" w:cs="Times New Roman"/>
          <w:color w:val="000000"/>
        </w:rPr>
        <w:t>, 2021; S</w:t>
      </w:r>
      <w:r w:rsidR="00D8535E" w:rsidRPr="0075221B">
        <w:rPr>
          <w:rFonts w:ascii="Times New Roman" w:hAnsi="Times New Roman" w:cs="Times New Roman"/>
          <w:color w:val="000000"/>
        </w:rPr>
        <w:t>kovsmose</w:t>
      </w:r>
      <w:r w:rsidRPr="0075221B">
        <w:rPr>
          <w:rFonts w:ascii="Times New Roman" w:hAnsi="Times New Roman" w:cs="Times New Roman"/>
          <w:color w:val="000000"/>
        </w:rPr>
        <w:t>, 2009). E, por fim, ela é brasileira: nasce da necessidade de pensar um ensino de Matemática que recupere valores afro-brasileiros e indígenas e que possibilite que estudantes negros e periféricos aprendam e escolham seus caminhos. Ela é uma resposta ao epistemicídio proposto desde 1500 e ao qual resistimos, enfrentando a escravização, as leis contra o nosso povo e as teorias eugenistas que atravessaram a educação brasileira.</w:t>
      </w:r>
    </w:p>
    <w:p w14:paraId="36EB36A2" w14:textId="01CA486F" w:rsidR="00D53167" w:rsidRPr="0075221B" w:rsidRDefault="00F81974" w:rsidP="00641E0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Em síntese, uma Matemática Antirracista</w:t>
      </w:r>
      <w:r w:rsidR="00BC531D" w:rsidRPr="0075221B">
        <w:rPr>
          <w:rFonts w:ascii="Times New Roman" w:hAnsi="Times New Roman" w:cs="Times New Roman"/>
          <w:color w:val="000000"/>
        </w:rPr>
        <w:t xml:space="preserve"> se sustenta quando vira compromisso institucional, prática docente e política pública,</w:t>
      </w:r>
      <w:r w:rsidR="009852B7" w:rsidRPr="0075221B">
        <w:rPr>
          <w:rFonts w:ascii="Times New Roman" w:hAnsi="Times New Roman" w:cs="Times New Roman"/>
          <w:color w:val="000000"/>
        </w:rPr>
        <w:t xml:space="preserve"> </w:t>
      </w:r>
      <w:r w:rsidR="00BC531D" w:rsidRPr="0075221B">
        <w:rPr>
          <w:rFonts w:ascii="Times New Roman" w:hAnsi="Times New Roman" w:cs="Times New Roman"/>
          <w:color w:val="000000"/>
        </w:rPr>
        <w:t>ao mesmo tempo.</w:t>
      </w:r>
      <w:r w:rsidRPr="0075221B">
        <w:rPr>
          <w:rFonts w:ascii="Times New Roman" w:hAnsi="Times New Roman" w:cs="Times New Roman"/>
          <w:color w:val="000000"/>
        </w:rPr>
        <w:t xml:space="preserve"> </w:t>
      </w:r>
      <w:r w:rsidR="00BC531D" w:rsidRPr="0075221B">
        <w:rPr>
          <w:rFonts w:ascii="Times New Roman" w:hAnsi="Times New Roman" w:cs="Times New Roman"/>
          <w:color w:val="000000"/>
        </w:rPr>
        <w:t xml:space="preserve">Além de </w:t>
      </w:r>
      <w:r w:rsidRPr="0075221B">
        <w:rPr>
          <w:rFonts w:ascii="Times New Roman" w:hAnsi="Times New Roman" w:cs="Times New Roman"/>
          <w:color w:val="000000"/>
        </w:rPr>
        <w:t>recusar a ideia de que desigualdades de desempenho em Matemática decorrem apenas de “talento”, “esforço” ou “mérito”, e afirmar que aprender Matemática é um direito atravessado por condições concretas de vida, por expectativas escolares e por escolhas curriculares e avaliativas. Por isso, o compromisso com a equidade racial não pode ser reduzido a ações isoladas do(a) professor(a), nem a atividades pontuais: ele precisa se expressar em políticas públicas que orientem e financiem a justiça educacional (macro), em gestões escolares que redistribuam recursos, reconheçam identidades e garantam participação (</w:t>
      </w:r>
      <w:proofErr w:type="spellStart"/>
      <w:r w:rsidRPr="0075221B">
        <w:rPr>
          <w:rFonts w:ascii="Times New Roman" w:hAnsi="Times New Roman" w:cs="Times New Roman"/>
          <w:color w:val="000000"/>
        </w:rPr>
        <w:t>meso</w:t>
      </w:r>
      <w:proofErr w:type="spellEnd"/>
      <w:r w:rsidRPr="0075221B">
        <w:rPr>
          <w:rFonts w:ascii="Times New Roman" w:hAnsi="Times New Roman" w:cs="Times New Roman"/>
          <w:color w:val="000000"/>
        </w:rPr>
        <w:t xml:space="preserve">) e em práticas pedagógicas que sustentem altas expectativas para todos e </w:t>
      </w:r>
      <w:r w:rsidRPr="0075221B">
        <w:rPr>
          <w:rFonts w:ascii="Times New Roman" w:hAnsi="Times New Roman" w:cs="Times New Roman"/>
          <w:color w:val="000000"/>
        </w:rPr>
        <w:lastRenderedPageBreak/>
        <w:t>transformem a sala de aula em espaço de pertencimento e aprendizagem real (micro). Quando esses níveis se articulam, a Matemática deixa de funcionar como filtro e passa a operar como linguagem de leitura do mundo, de ampliação de horizontes e de justiça social.</w:t>
      </w:r>
    </w:p>
    <w:p w14:paraId="159CA77F" w14:textId="65451D40" w:rsidR="006E63AE" w:rsidRPr="0075221B" w:rsidRDefault="006E63AE" w:rsidP="00B21299">
      <w:pPr>
        <w:spacing w:before="100" w:beforeAutospacing="1" w:after="100" w:afterAutospacing="1"/>
        <w:outlineLvl w:val="3"/>
        <w:rPr>
          <w:rFonts w:ascii="Times New Roman" w:eastAsia="Times New Roman" w:hAnsi="Times New Roman" w:cs="Times New Roman"/>
          <w:b/>
          <w:bCs/>
          <w:color w:val="000000"/>
          <w:kern w:val="0"/>
          <w:lang w:eastAsia="pt-BR"/>
          <w14:ligatures w14:val="none"/>
        </w:rPr>
      </w:pPr>
      <w:r w:rsidRPr="0075221B">
        <w:rPr>
          <w:rFonts w:ascii="Times New Roman" w:eastAsia="Times New Roman" w:hAnsi="Times New Roman" w:cs="Times New Roman"/>
          <w:b/>
          <w:bCs/>
          <w:color w:val="000000"/>
          <w:kern w:val="0"/>
          <w:lang w:eastAsia="pt-BR"/>
          <w14:ligatures w14:val="none"/>
        </w:rPr>
        <w:t>Considerações finais — elevar expectativas, reorganizar a escola, ampliar futuros</w:t>
      </w:r>
    </w:p>
    <w:p w14:paraId="13A81199" w14:textId="13D806FE" w:rsidR="006E63AE" w:rsidRPr="0075221B" w:rsidRDefault="006E63AE" w:rsidP="005E3BFD">
      <w:pPr>
        <w:spacing w:line="360" w:lineRule="auto"/>
        <w:ind w:firstLine="709"/>
        <w:jc w:val="both"/>
        <w:rPr>
          <w:rFonts w:ascii="Times New Roman" w:hAnsi="Times New Roman" w:cs="Times New Roman"/>
        </w:rPr>
      </w:pPr>
      <w:r w:rsidRPr="0075221B">
        <w:rPr>
          <w:rFonts w:ascii="Times New Roman" w:hAnsi="Times New Roman" w:cs="Times New Roman"/>
        </w:rPr>
        <w:t>Ao longo deste livro, busquei sustentar que a Matemática escolar, no Brasil, não pode ser lida apenas como um conjunto de conteúdos “neutros”. Ela foi historicamente mobilizada como linguagem de prestígio, filtro de seleção e tecnologia de classificação</w:t>
      </w:r>
      <w:r w:rsidR="00B21299" w:rsidRPr="0075221B">
        <w:rPr>
          <w:rFonts w:ascii="Times New Roman" w:hAnsi="Times New Roman" w:cs="Times New Roman"/>
        </w:rPr>
        <w:t>,</w:t>
      </w:r>
      <w:r w:rsidRPr="0075221B">
        <w:rPr>
          <w:rFonts w:ascii="Times New Roman" w:hAnsi="Times New Roman" w:cs="Times New Roman"/>
        </w:rPr>
        <w:t xml:space="preserve"> atravessada por escolhas políticas, raciais e epistemológicas. Por isso, propor uma Matemática Antirracista não é “acrescentar um tema” ao currículo: é reposicionar o sentido do ensinar e do aprender, deslocando o centro da prática da triagem para o direito de aprender e da homogeneização para a equidade.</w:t>
      </w:r>
    </w:p>
    <w:p w14:paraId="31B7D481" w14:textId="3CD04F1A"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rPr>
        <w:t>A parte final de </w:t>
      </w:r>
      <w:proofErr w:type="spellStart"/>
      <w:r w:rsidRPr="0075221B">
        <w:rPr>
          <w:rFonts w:ascii="Times New Roman" w:hAnsi="Times New Roman" w:cs="Times New Roman"/>
          <w:i/>
          <w:iCs/>
        </w:rPr>
        <w:t>Multiplication</w:t>
      </w:r>
      <w:proofErr w:type="spellEnd"/>
      <w:r w:rsidRPr="0075221B">
        <w:rPr>
          <w:rFonts w:ascii="Times New Roman" w:hAnsi="Times New Roman" w:cs="Times New Roman"/>
          <w:i/>
          <w:iCs/>
        </w:rPr>
        <w:t xml:space="preserve"> </w:t>
      </w:r>
      <w:proofErr w:type="spellStart"/>
      <w:r w:rsidRPr="0075221B">
        <w:rPr>
          <w:rFonts w:ascii="Times New Roman" w:hAnsi="Times New Roman" w:cs="Times New Roman"/>
          <w:i/>
          <w:iCs/>
        </w:rPr>
        <w:t>Is</w:t>
      </w:r>
      <w:proofErr w:type="spellEnd"/>
      <w:r w:rsidRPr="0075221B">
        <w:rPr>
          <w:rFonts w:ascii="Times New Roman" w:hAnsi="Times New Roman" w:cs="Times New Roman"/>
          <w:i/>
          <w:iCs/>
        </w:rPr>
        <w:t xml:space="preserve"> for White People</w:t>
      </w:r>
      <w:r w:rsidRPr="0075221B">
        <w:rPr>
          <w:rFonts w:ascii="Times New Roman" w:hAnsi="Times New Roman" w:cs="Times New Roman"/>
        </w:rPr>
        <w:t xml:space="preserve"> oferece uma provocação decisiva para esse fechamento: não há “receita simples”, porque o trabalho pedagógico exige enfrentar crenças, expectativas e modos de interpretar </w:t>
      </w:r>
      <w:r w:rsidRPr="0075221B">
        <w:rPr>
          <w:rFonts w:ascii="Times New Roman" w:hAnsi="Times New Roman" w:cs="Times New Roman"/>
          <w:color w:val="000000"/>
        </w:rPr>
        <w:t>as crianças, suas famílias e seus territórios</w:t>
      </w:r>
      <w:r w:rsidR="000E7F6A" w:rsidRPr="0075221B">
        <w:rPr>
          <w:rFonts w:ascii="Times New Roman" w:hAnsi="Times New Roman" w:cs="Times New Roman"/>
          <w:color w:val="000000"/>
        </w:rPr>
        <w:t xml:space="preserve"> </w:t>
      </w:r>
      <w:r w:rsidRPr="0075221B">
        <w:rPr>
          <w:rFonts w:ascii="Times New Roman" w:hAnsi="Times New Roman" w:cs="Times New Roman"/>
          <w:color w:val="000000"/>
        </w:rPr>
        <w:t>. Elevar expectativas não pode ser slogan; é compromisso que se traduz em linguagem, acompanhamento, feedback e decisões concretas, guiado por uma pergunta ética que atravessa toda a prática:</w:t>
      </w:r>
      <w:r w:rsidRPr="0075221B">
        <w:rPr>
          <w:rFonts w:ascii="Times New Roman" w:hAnsi="Times New Roman" w:cs="Times New Roman"/>
        </w:rPr>
        <w:t> </w:t>
      </w:r>
      <w:r w:rsidRPr="0075221B">
        <w:rPr>
          <w:rFonts w:ascii="Times New Roman" w:hAnsi="Times New Roman" w:cs="Times New Roman"/>
          <w:b/>
          <w:bCs/>
        </w:rPr>
        <w:t>o que eu sei (de fato) sobre meus estudantes e sobre como eles aprendem?</w:t>
      </w:r>
      <w:r w:rsidRPr="0075221B">
        <w:rPr>
          <w:rFonts w:ascii="Times New Roman" w:hAnsi="Times New Roman" w:cs="Times New Roman"/>
        </w:rPr>
        <w:t> </w:t>
      </w:r>
      <w:r w:rsidRPr="0075221B">
        <w:rPr>
          <w:rFonts w:ascii="Times New Roman" w:hAnsi="Times New Roman" w:cs="Times New Roman"/>
          <w:color w:val="000000"/>
        </w:rPr>
        <w:t>(</w:t>
      </w:r>
      <w:proofErr w:type="spellStart"/>
      <w:r w:rsidR="005336D9" w:rsidRPr="0075221B">
        <w:rPr>
          <w:rFonts w:ascii="Times New Roman" w:hAnsi="Times New Roman" w:cs="Times New Roman"/>
          <w:color w:val="000000"/>
        </w:rPr>
        <w:t>De</w:t>
      </w:r>
      <w:r w:rsidR="00613B18" w:rsidRPr="0075221B">
        <w:rPr>
          <w:rFonts w:ascii="Times New Roman" w:hAnsi="Times New Roman" w:cs="Times New Roman"/>
          <w:color w:val="000000"/>
        </w:rPr>
        <w:t>lpit</w:t>
      </w:r>
      <w:proofErr w:type="spellEnd"/>
      <w:r w:rsidR="00613B18" w:rsidRPr="0075221B">
        <w:rPr>
          <w:rFonts w:ascii="Times New Roman" w:hAnsi="Times New Roman" w:cs="Times New Roman"/>
          <w:color w:val="000000"/>
        </w:rPr>
        <w:t>,</w:t>
      </w:r>
      <w:r w:rsidRPr="0075221B">
        <w:rPr>
          <w:rFonts w:ascii="Times New Roman" w:hAnsi="Times New Roman" w:cs="Times New Roman"/>
          <w:color w:val="000000"/>
        </w:rPr>
        <w:t xml:space="preserve"> 2012). Quando essa pergunta é respondida de modo superficial, a escola retorna ao conhecido: explicações deficitárias para o fracasso e uma distribuição desigual de oportunidades de aprendizagem.</w:t>
      </w:r>
    </w:p>
    <w:p w14:paraId="74601BFF" w14:textId="037617F3"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 xml:space="preserve">No mesmo movimento, as contribuições de Danny Bernard Martin fortalecem a tese central do livro: aprender Matemática “enquanto negro” não é apenas uma experiência cognitiva; é uma experiência </w:t>
      </w:r>
      <w:proofErr w:type="spellStart"/>
      <w:r w:rsidRPr="0075221B">
        <w:rPr>
          <w:rFonts w:ascii="Times New Roman" w:hAnsi="Times New Roman" w:cs="Times New Roman"/>
          <w:color w:val="000000"/>
        </w:rPr>
        <w:t>racializada</w:t>
      </w:r>
      <w:proofErr w:type="spellEnd"/>
      <w:r w:rsidRPr="0075221B">
        <w:rPr>
          <w:rFonts w:ascii="Times New Roman" w:hAnsi="Times New Roman" w:cs="Times New Roman"/>
          <w:color w:val="000000"/>
        </w:rPr>
        <w:t>, atravessada por estereótipos, discursos de capacidade, estrutura de oportunidades e interações escolares que produzem resultados (M</w:t>
      </w:r>
      <w:r w:rsidR="00005D9B" w:rsidRPr="0075221B">
        <w:rPr>
          <w:rFonts w:ascii="Times New Roman" w:hAnsi="Times New Roman" w:cs="Times New Roman"/>
          <w:color w:val="000000"/>
        </w:rPr>
        <w:t>artin</w:t>
      </w:r>
      <w:r w:rsidRPr="0075221B">
        <w:rPr>
          <w:rFonts w:ascii="Times New Roman" w:hAnsi="Times New Roman" w:cs="Times New Roman"/>
          <w:color w:val="000000"/>
        </w:rPr>
        <w:t>, 2012). Por isso, equidade não combina com ingenuidade: mudanças incrementais podem se converter em ilusão confortável se não enfrentarem o que é estrutural. Em síntese, equidade não pode ser apenas discurso, nem um conjunto de ações pontuais; precisa virar</w:t>
      </w:r>
      <w:r w:rsidRPr="0075221B">
        <w:rPr>
          <w:rFonts w:ascii="Times New Roman" w:hAnsi="Times New Roman" w:cs="Times New Roman"/>
        </w:rPr>
        <w:t> </w:t>
      </w:r>
      <w:r w:rsidRPr="0075221B">
        <w:rPr>
          <w:rFonts w:ascii="Times New Roman" w:hAnsi="Times New Roman" w:cs="Times New Roman"/>
          <w:b/>
          <w:bCs/>
        </w:rPr>
        <w:t>critério de decisão</w:t>
      </w:r>
      <w:r w:rsidRPr="0075221B">
        <w:rPr>
          <w:rFonts w:ascii="Times New Roman" w:hAnsi="Times New Roman" w:cs="Times New Roman"/>
          <w:color w:val="000000"/>
        </w:rPr>
        <w:t>,</w:t>
      </w:r>
      <w:r w:rsidRPr="0075221B">
        <w:rPr>
          <w:rFonts w:ascii="Times New Roman" w:hAnsi="Times New Roman" w:cs="Times New Roman"/>
        </w:rPr>
        <w:t> </w:t>
      </w:r>
      <w:r w:rsidRPr="0075221B">
        <w:rPr>
          <w:rFonts w:ascii="Times New Roman" w:hAnsi="Times New Roman" w:cs="Times New Roman"/>
          <w:b/>
          <w:bCs/>
        </w:rPr>
        <w:t>rotina institucional</w:t>
      </w:r>
      <w:r w:rsidRPr="0075221B">
        <w:rPr>
          <w:rFonts w:ascii="Times New Roman" w:hAnsi="Times New Roman" w:cs="Times New Roman"/>
        </w:rPr>
        <w:t> </w:t>
      </w:r>
      <w:r w:rsidRPr="0075221B">
        <w:rPr>
          <w:rFonts w:ascii="Times New Roman" w:hAnsi="Times New Roman" w:cs="Times New Roman"/>
          <w:color w:val="000000"/>
        </w:rPr>
        <w:t>e</w:t>
      </w:r>
      <w:r w:rsidRPr="0075221B">
        <w:rPr>
          <w:rFonts w:ascii="Times New Roman" w:hAnsi="Times New Roman" w:cs="Times New Roman"/>
        </w:rPr>
        <w:t> </w:t>
      </w:r>
      <w:r w:rsidRPr="0075221B">
        <w:rPr>
          <w:rFonts w:ascii="Times New Roman" w:hAnsi="Times New Roman" w:cs="Times New Roman"/>
          <w:b/>
          <w:bCs/>
        </w:rPr>
        <w:t>pacto de responsabilidades</w:t>
      </w:r>
      <w:r w:rsidRPr="0075221B">
        <w:rPr>
          <w:rFonts w:ascii="Times New Roman" w:hAnsi="Times New Roman" w:cs="Times New Roman"/>
        </w:rPr>
        <w:t> </w:t>
      </w:r>
      <w:r w:rsidRPr="0075221B">
        <w:rPr>
          <w:rFonts w:ascii="Times New Roman" w:hAnsi="Times New Roman" w:cs="Times New Roman"/>
          <w:color w:val="000000"/>
        </w:rPr>
        <w:t>— com redistribuição, reconhecimento e representação como eixos orientadores (F</w:t>
      </w:r>
      <w:r w:rsidR="00005D9B" w:rsidRPr="0075221B">
        <w:rPr>
          <w:rFonts w:ascii="Times New Roman" w:hAnsi="Times New Roman" w:cs="Times New Roman"/>
          <w:color w:val="000000"/>
        </w:rPr>
        <w:t>raser</w:t>
      </w:r>
      <w:r w:rsidRPr="0075221B">
        <w:rPr>
          <w:rFonts w:ascii="Times New Roman" w:hAnsi="Times New Roman" w:cs="Times New Roman"/>
          <w:color w:val="000000"/>
        </w:rPr>
        <w:t xml:space="preserve">, </w:t>
      </w:r>
      <w:r w:rsidR="00B95099" w:rsidRPr="0075221B">
        <w:rPr>
          <w:rFonts w:ascii="Times New Roman" w:hAnsi="Times New Roman" w:cs="Times New Roman"/>
          <w:color w:val="000000"/>
        </w:rPr>
        <w:t>1995, 2005, 2009)</w:t>
      </w:r>
    </w:p>
    <w:p w14:paraId="261EFC40" w14:textId="240CB017"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Esse pacto também precisa olhar para um ponto frequentemente invisibilizado:</w:t>
      </w:r>
      <w:r w:rsidRPr="0075221B">
        <w:rPr>
          <w:rFonts w:ascii="Times New Roman" w:hAnsi="Times New Roman" w:cs="Times New Roman"/>
        </w:rPr>
        <w:t> </w:t>
      </w:r>
      <w:r w:rsidRPr="0075221B">
        <w:rPr>
          <w:rFonts w:ascii="Times New Roman" w:hAnsi="Times New Roman" w:cs="Times New Roman"/>
          <w:b/>
          <w:bCs/>
        </w:rPr>
        <w:t>quem ensina</w:t>
      </w:r>
      <w:r w:rsidRPr="0075221B">
        <w:rPr>
          <w:rFonts w:ascii="Times New Roman" w:hAnsi="Times New Roman" w:cs="Times New Roman"/>
        </w:rPr>
        <w:t> </w:t>
      </w:r>
      <w:r w:rsidRPr="0075221B">
        <w:rPr>
          <w:rFonts w:ascii="Times New Roman" w:hAnsi="Times New Roman" w:cs="Times New Roman"/>
          <w:color w:val="000000"/>
        </w:rPr>
        <w:t>e</w:t>
      </w:r>
      <w:r w:rsidRPr="0075221B">
        <w:rPr>
          <w:rFonts w:ascii="Times New Roman" w:hAnsi="Times New Roman" w:cs="Times New Roman"/>
        </w:rPr>
        <w:t> </w:t>
      </w:r>
      <w:r w:rsidRPr="0075221B">
        <w:rPr>
          <w:rFonts w:ascii="Times New Roman" w:hAnsi="Times New Roman" w:cs="Times New Roman"/>
          <w:b/>
          <w:bCs/>
        </w:rPr>
        <w:t>em que condições ensina</w:t>
      </w:r>
      <w:r w:rsidRPr="0075221B">
        <w:rPr>
          <w:rFonts w:ascii="Times New Roman" w:hAnsi="Times New Roman" w:cs="Times New Roman"/>
          <w:color w:val="000000"/>
        </w:rPr>
        <w:t xml:space="preserve">. Evidências recentes no </w:t>
      </w:r>
      <w:r w:rsidRPr="0075221B">
        <w:rPr>
          <w:rFonts w:ascii="Times New Roman" w:hAnsi="Times New Roman" w:cs="Times New Roman"/>
          <w:color w:val="000000"/>
        </w:rPr>
        <w:lastRenderedPageBreak/>
        <w:t>contexto brasileiro indicam efeitos relevantes da presença de professores negros sobre trajetórias educacionais e resultados de longo prazo para estudantes negros, inclusive em conclusão do ensino médio, entrada e conclusão no ensino superior e rendimentos no mercado formal, sem efeitos para colegas brancos (L</w:t>
      </w:r>
      <w:r w:rsidR="000433CC" w:rsidRPr="0075221B">
        <w:rPr>
          <w:rFonts w:ascii="Times New Roman" w:hAnsi="Times New Roman" w:cs="Times New Roman"/>
          <w:color w:val="000000"/>
        </w:rPr>
        <w:t>opes</w:t>
      </w:r>
      <w:r w:rsidRPr="0075221B">
        <w:rPr>
          <w:rFonts w:ascii="Times New Roman" w:hAnsi="Times New Roman" w:cs="Times New Roman"/>
          <w:color w:val="000000"/>
        </w:rPr>
        <w:t>, 2025). Isso recoloca, de forma concreta, a dimensão da</w:t>
      </w:r>
      <w:r w:rsidRPr="0075221B">
        <w:rPr>
          <w:rFonts w:ascii="Times New Roman" w:hAnsi="Times New Roman" w:cs="Times New Roman"/>
        </w:rPr>
        <w:t> </w:t>
      </w:r>
      <w:r w:rsidRPr="0075221B">
        <w:rPr>
          <w:rFonts w:ascii="Times New Roman" w:hAnsi="Times New Roman" w:cs="Times New Roman"/>
          <w:b/>
          <w:bCs/>
        </w:rPr>
        <w:t>representação</w:t>
      </w:r>
      <w:r w:rsidRPr="0075221B">
        <w:rPr>
          <w:rFonts w:ascii="Times New Roman" w:hAnsi="Times New Roman" w:cs="Times New Roman"/>
        </w:rPr>
        <w:t> </w:t>
      </w:r>
      <w:r w:rsidRPr="0075221B">
        <w:rPr>
          <w:rFonts w:ascii="Times New Roman" w:hAnsi="Times New Roman" w:cs="Times New Roman"/>
          <w:color w:val="000000"/>
        </w:rPr>
        <w:t>como política educacional: ampliar diversidade docente não é adorno; é reorganização estrutural de oportunidades, expectativas e pertencimento.</w:t>
      </w:r>
    </w:p>
    <w:p w14:paraId="0DBFEB69" w14:textId="77777777"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Por isso, proponho encerrar o livro como um chamado prático (e não apenas declaratório), organizado em três compromissos que articulam tudo o que discutimos:</w:t>
      </w:r>
    </w:p>
    <w:p w14:paraId="16B6CB8D" w14:textId="48AECE5E"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1) Elevar expectativas com sustentação pedagógica</w:t>
      </w:r>
      <w:r w:rsidRPr="0075221B">
        <w:rPr>
          <w:rFonts w:ascii="Times New Roman" w:hAnsi="Times New Roman" w:cs="Times New Roman"/>
          <w:color w:val="000000"/>
        </w:rPr>
        <w:br/>
        <w:t xml:space="preserve">Elevar expectativas não é “endurecer”; é ensinar com intencionalidade, oferecendo tempo, feedback, múltiplas estratégias e acompanhamento sistemático. É abandonar a leitura do erro como “prova de incapacidade” e tratá-lo como dado de percurso; é revisar as perguntas que fazemos, os exemplos que escolhemos e o tipo de participação que legitimamos. Aqui, a pergunta de </w:t>
      </w:r>
      <w:proofErr w:type="spellStart"/>
      <w:r w:rsidRPr="0075221B">
        <w:rPr>
          <w:rFonts w:ascii="Times New Roman" w:hAnsi="Times New Roman" w:cs="Times New Roman"/>
          <w:color w:val="000000"/>
        </w:rPr>
        <w:t>Delpit</w:t>
      </w:r>
      <w:proofErr w:type="spellEnd"/>
      <w:r w:rsidRPr="0075221B">
        <w:rPr>
          <w:rFonts w:ascii="Times New Roman" w:hAnsi="Times New Roman" w:cs="Times New Roman"/>
          <w:color w:val="000000"/>
        </w:rPr>
        <w:t xml:space="preserve"> opera como bússola ética e pedagógica: o que eu sei sobre est</w:t>
      </w:r>
      <w:r w:rsidR="000433CC" w:rsidRPr="0075221B">
        <w:rPr>
          <w:rFonts w:ascii="Times New Roman" w:hAnsi="Times New Roman" w:cs="Times New Roman"/>
          <w:color w:val="000000"/>
        </w:rPr>
        <w:t>e</w:t>
      </w:r>
      <w:r w:rsidRPr="0075221B">
        <w:rPr>
          <w:rFonts w:ascii="Times New Roman" w:hAnsi="Times New Roman" w:cs="Times New Roman"/>
          <w:color w:val="000000"/>
        </w:rPr>
        <w:t xml:space="preserve"> </w:t>
      </w:r>
      <w:r w:rsidR="000433CC" w:rsidRPr="0075221B">
        <w:rPr>
          <w:rFonts w:ascii="Times New Roman" w:hAnsi="Times New Roman" w:cs="Times New Roman"/>
          <w:color w:val="000000"/>
        </w:rPr>
        <w:t>estudante</w:t>
      </w:r>
      <w:r w:rsidRPr="0075221B">
        <w:rPr>
          <w:rFonts w:ascii="Times New Roman" w:hAnsi="Times New Roman" w:cs="Times New Roman"/>
          <w:color w:val="000000"/>
        </w:rPr>
        <w:t>, sobre sua história escolar e sobre como el</w:t>
      </w:r>
      <w:r w:rsidR="000433CC" w:rsidRPr="0075221B">
        <w:rPr>
          <w:rFonts w:ascii="Times New Roman" w:hAnsi="Times New Roman" w:cs="Times New Roman"/>
          <w:color w:val="000000"/>
        </w:rPr>
        <w:t>e</w:t>
      </w:r>
      <w:r w:rsidRPr="0075221B">
        <w:rPr>
          <w:rFonts w:ascii="Times New Roman" w:hAnsi="Times New Roman" w:cs="Times New Roman"/>
          <w:color w:val="000000"/>
        </w:rPr>
        <w:t xml:space="preserve"> aprende? (</w:t>
      </w:r>
      <w:proofErr w:type="spellStart"/>
      <w:r w:rsidRPr="0075221B">
        <w:rPr>
          <w:rFonts w:ascii="Times New Roman" w:hAnsi="Times New Roman" w:cs="Times New Roman"/>
          <w:color w:val="000000"/>
        </w:rPr>
        <w:t>D</w:t>
      </w:r>
      <w:r w:rsidR="000433CC" w:rsidRPr="0075221B">
        <w:rPr>
          <w:rFonts w:ascii="Times New Roman" w:hAnsi="Times New Roman" w:cs="Times New Roman"/>
          <w:color w:val="000000"/>
        </w:rPr>
        <w:t>elpit</w:t>
      </w:r>
      <w:proofErr w:type="spellEnd"/>
      <w:r w:rsidRPr="0075221B">
        <w:rPr>
          <w:rFonts w:ascii="Times New Roman" w:hAnsi="Times New Roman" w:cs="Times New Roman"/>
          <w:color w:val="000000"/>
        </w:rPr>
        <w:t>, 2012).</w:t>
      </w:r>
    </w:p>
    <w:p w14:paraId="7DABA0BC" w14:textId="2E989F01"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2) Transformar condições, e não “consertar” estudantes</w:t>
      </w:r>
      <w:r w:rsidRPr="0075221B">
        <w:rPr>
          <w:rFonts w:ascii="Times New Roman" w:hAnsi="Times New Roman" w:cs="Times New Roman"/>
          <w:color w:val="000000"/>
        </w:rPr>
        <w:br/>
        <w:t xml:space="preserve">Se a experiência matemática é </w:t>
      </w:r>
      <w:proofErr w:type="spellStart"/>
      <w:r w:rsidRPr="0075221B">
        <w:rPr>
          <w:rFonts w:ascii="Times New Roman" w:hAnsi="Times New Roman" w:cs="Times New Roman"/>
          <w:color w:val="000000"/>
        </w:rPr>
        <w:t>racializada</w:t>
      </w:r>
      <w:proofErr w:type="spellEnd"/>
      <w:r w:rsidRPr="0075221B">
        <w:rPr>
          <w:rFonts w:ascii="Times New Roman" w:hAnsi="Times New Roman" w:cs="Times New Roman"/>
          <w:color w:val="000000"/>
        </w:rPr>
        <w:t xml:space="preserve"> (M</w:t>
      </w:r>
      <w:r w:rsidR="00093416" w:rsidRPr="0075221B">
        <w:rPr>
          <w:rFonts w:ascii="Times New Roman" w:hAnsi="Times New Roman" w:cs="Times New Roman"/>
          <w:color w:val="000000"/>
        </w:rPr>
        <w:t>artin</w:t>
      </w:r>
      <w:r w:rsidRPr="0075221B">
        <w:rPr>
          <w:rFonts w:ascii="Times New Roman" w:hAnsi="Times New Roman" w:cs="Times New Roman"/>
          <w:color w:val="000000"/>
        </w:rPr>
        <w:t>, 2012), então “reforço” não resolve sozinho. É a escola que precisa mudar: reorganizar tempos, recursos, apoios, critérios de avaliação e cultura pedagógica. Nesse ponto, redistribuição, reconhecimento e representação deixam de ser conceitos e viram agenda:</w:t>
      </w:r>
      <w:r w:rsidRPr="0075221B">
        <w:rPr>
          <w:rFonts w:ascii="Times New Roman" w:hAnsi="Times New Roman" w:cs="Times New Roman"/>
        </w:rPr>
        <w:t> </w:t>
      </w:r>
      <w:r w:rsidRPr="0075221B">
        <w:rPr>
          <w:rFonts w:ascii="Times New Roman" w:hAnsi="Times New Roman" w:cs="Times New Roman"/>
          <w:b/>
          <w:bCs/>
        </w:rPr>
        <w:t>quem recebe mais apoio qualificado? quais saberes contam? quem decide?</w:t>
      </w:r>
      <w:r w:rsidRPr="0075221B">
        <w:rPr>
          <w:rFonts w:ascii="Times New Roman" w:hAnsi="Times New Roman" w:cs="Times New Roman"/>
        </w:rPr>
        <w:t> </w:t>
      </w:r>
      <w:r w:rsidRPr="0075221B">
        <w:rPr>
          <w:rFonts w:ascii="Times New Roman" w:hAnsi="Times New Roman" w:cs="Times New Roman"/>
          <w:color w:val="000000"/>
        </w:rPr>
        <w:t>(F</w:t>
      </w:r>
      <w:r w:rsidR="00093416" w:rsidRPr="0075221B">
        <w:rPr>
          <w:rFonts w:ascii="Times New Roman" w:hAnsi="Times New Roman" w:cs="Times New Roman"/>
          <w:color w:val="000000"/>
        </w:rPr>
        <w:t>raser</w:t>
      </w:r>
      <w:r w:rsidRPr="0075221B">
        <w:rPr>
          <w:rFonts w:ascii="Times New Roman" w:hAnsi="Times New Roman" w:cs="Times New Roman"/>
          <w:color w:val="000000"/>
        </w:rPr>
        <w:t>, 1995; 2009). A equidade antirracista exige que a instituição assuma que desigualdade injusta não se neutraliza com igualdade formal.</w:t>
      </w:r>
    </w:p>
    <w:p w14:paraId="3C423532" w14:textId="40087EF2"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3) Ampliar pertencimento e futuro — do chão da escola aos espaços de prestígio</w:t>
      </w:r>
      <w:r w:rsidRPr="0075221B">
        <w:rPr>
          <w:rFonts w:ascii="Times New Roman" w:hAnsi="Times New Roman" w:cs="Times New Roman"/>
          <w:color w:val="000000"/>
        </w:rPr>
        <w:br/>
        <w:t xml:space="preserve">Se trajetórias escolares podem ser atravessadas por microagressões, silêncios e expectativas rebaixadas, a escola precisa atuar como espaço de pertencimento: onde estudantes negros não sejam exceção elogiada, mas sujeitos de direito; onde a excelência não seja “território branco”; onde a Matemática não funcione como senha de exclusão, e sim como linguagem para ler o mundo, disputar narrativas e escolher caminhos. A presença de docentes negros e políticas de valorização da diversidade docente dialogam </w:t>
      </w:r>
      <w:r w:rsidRPr="0075221B">
        <w:rPr>
          <w:rFonts w:ascii="Times New Roman" w:hAnsi="Times New Roman" w:cs="Times New Roman"/>
          <w:color w:val="000000"/>
        </w:rPr>
        <w:lastRenderedPageBreak/>
        <w:t>diretamente com esse compromisso, ao reconfigurar expectativas e resultados de forma mensurável (L</w:t>
      </w:r>
      <w:r w:rsidR="00093416" w:rsidRPr="0075221B">
        <w:rPr>
          <w:rFonts w:ascii="Times New Roman" w:hAnsi="Times New Roman" w:cs="Times New Roman"/>
          <w:color w:val="000000"/>
        </w:rPr>
        <w:t>opes</w:t>
      </w:r>
      <w:r w:rsidRPr="0075221B">
        <w:rPr>
          <w:rFonts w:ascii="Times New Roman" w:hAnsi="Times New Roman" w:cs="Times New Roman"/>
          <w:color w:val="000000"/>
        </w:rPr>
        <w:t>, 2025).</w:t>
      </w:r>
    </w:p>
    <w:p w14:paraId="5B7669EB" w14:textId="77777777" w:rsidR="00093416"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Para encerrar, deixo três perguntas</w:t>
      </w:r>
      <w:r w:rsidR="00093416" w:rsidRPr="0075221B">
        <w:rPr>
          <w:rFonts w:ascii="Times New Roman" w:hAnsi="Times New Roman" w:cs="Times New Roman"/>
          <w:color w:val="000000"/>
        </w:rPr>
        <w:t>,</w:t>
      </w:r>
      <w:r w:rsidRPr="0075221B">
        <w:rPr>
          <w:rFonts w:ascii="Times New Roman" w:hAnsi="Times New Roman" w:cs="Times New Roman"/>
          <w:color w:val="000000"/>
        </w:rPr>
        <w:t xml:space="preserve"> uma para cada leitor que este livro deseja alcançar:</w:t>
      </w:r>
      <w:r w:rsidR="00093416" w:rsidRPr="0075221B">
        <w:rPr>
          <w:rFonts w:ascii="Times New Roman" w:hAnsi="Times New Roman" w:cs="Times New Roman"/>
          <w:color w:val="000000"/>
        </w:rPr>
        <w:t xml:space="preserve"> </w:t>
      </w:r>
    </w:p>
    <w:p w14:paraId="6FF5783D" w14:textId="77777777" w:rsidR="00093416"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Docente:</w:t>
      </w:r>
      <w:r w:rsidRPr="0075221B">
        <w:rPr>
          <w:rFonts w:ascii="Times New Roman" w:hAnsi="Times New Roman" w:cs="Times New Roman"/>
        </w:rPr>
        <w:t> </w:t>
      </w:r>
      <w:r w:rsidRPr="0075221B">
        <w:rPr>
          <w:rFonts w:ascii="Times New Roman" w:hAnsi="Times New Roman" w:cs="Times New Roman"/>
          <w:color w:val="000000"/>
        </w:rPr>
        <w:t>que práticas minhas elevam expectativas com suporte  e quais apenas repetem seleção com outra embalagem?</w:t>
      </w:r>
    </w:p>
    <w:p w14:paraId="1C1A7DDF" w14:textId="77777777" w:rsidR="00093416"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Gestor(a):</w:t>
      </w:r>
      <w:r w:rsidRPr="0075221B">
        <w:rPr>
          <w:rFonts w:ascii="Times New Roman" w:hAnsi="Times New Roman" w:cs="Times New Roman"/>
        </w:rPr>
        <w:t> </w:t>
      </w:r>
      <w:r w:rsidRPr="0075221B">
        <w:rPr>
          <w:rFonts w:ascii="Times New Roman" w:hAnsi="Times New Roman" w:cs="Times New Roman"/>
          <w:color w:val="000000"/>
        </w:rPr>
        <w:t>que decisões da escola (turmas, horários, alocação de pessoas, critérios de avaliação) produzem desigualdade — e quais a enfrentam?</w:t>
      </w:r>
    </w:p>
    <w:p w14:paraId="52FFA464" w14:textId="61D74FBA"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b/>
          <w:bCs/>
        </w:rPr>
        <w:t>Quem não é da Matemática:</w:t>
      </w:r>
      <w:r w:rsidRPr="0075221B">
        <w:rPr>
          <w:rFonts w:ascii="Times New Roman" w:hAnsi="Times New Roman" w:cs="Times New Roman"/>
        </w:rPr>
        <w:t> </w:t>
      </w:r>
      <w:r w:rsidRPr="0075221B">
        <w:rPr>
          <w:rFonts w:ascii="Times New Roman" w:hAnsi="Times New Roman" w:cs="Times New Roman"/>
          <w:color w:val="000000"/>
        </w:rPr>
        <w:t>em que momentos você aprendeu a acreditar que “Matemática é para poucos” — e quem pagou o custo dessa crença?</w:t>
      </w:r>
    </w:p>
    <w:p w14:paraId="34527961" w14:textId="77777777" w:rsidR="006E63AE" w:rsidRPr="0075221B" w:rsidRDefault="006E63AE" w:rsidP="005E3BFD">
      <w:pPr>
        <w:spacing w:line="360" w:lineRule="auto"/>
        <w:ind w:firstLine="709"/>
        <w:jc w:val="both"/>
        <w:rPr>
          <w:rFonts w:ascii="Times New Roman" w:hAnsi="Times New Roman" w:cs="Times New Roman"/>
          <w:color w:val="000000"/>
        </w:rPr>
      </w:pPr>
      <w:r w:rsidRPr="0075221B">
        <w:rPr>
          <w:rFonts w:ascii="Times New Roman" w:hAnsi="Times New Roman" w:cs="Times New Roman"/>
          <w:color w:val="000000"/>
        </w:rPr>
        <w:t>Se este livro tiver cumprido uma função, que seja esta: ajudar a transformar a Matemática de um símbolo de destino (para alguns) em um instrumento de futuro (para todos).</w:t>
      </w:r>
    </w:p>
    <w:p w14:paraId="6E5C58BE" w14:textId="77777777" w:rsidR="004E1FBE" w:rsidRPr="0075221B" w:rsidRDefault="004E1FBE" w:rsidP="004E1FBE">
      <w:pPr>
        <w:jc w:val="center"/>
        <w:rPr>
          <w:rFonts w:ascii="Times New Roman" w:hAnsi="Times New Roman" w:cs="Times New Roman"/>
        </w:rPr>
      </w:pPr>
      <w:r w:rsidRPr="0075221B">
        <w:rPr>
          <w:rFonts w:ascii="Times New Roman" w:hAnsi="Times New Roman" w:cs="Times New Roman"/>
          <w:b/>
        </w:rPr>
        <w:t>REFERÊNCIAS</w:t>
      </w:r>
    </w:p>
    <w:p w14:paraId="67C5550D" w14:textId="77777777" w:rsidR="004E1FBE" w:rsidRPr="0075221B" w:rsidRDefault="004E1FBE" w:rsidP="004E1FBE">
      <w:pPr>
        <w:rPr>
          <w:rFonts w:ascii="Times New Roman" w:hAnsi="Times New Roman" w:cs="Times New Roman"/>
        </w:rPr>
      </w:pPr>
    </w:p>
    <w:p w14:paraId="185CC07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ARTES, Amélia; OLIVEIRA, Danielle. O QUE MUDOU PARA A POPULAÇÃO NEGRA NO ACESSO À EDUCAÇÃO BRASILEIRA? QUAIS OS (NOVOS) DESAFIOS? Revista da ABPN, v. 11, Ed. Especial - Caderno Temático: Raça Negra e Educação 30 anos depois: e agora, do que mais precisamos falar? • abril de 2019, p.32-64 DOI 10.31418/2177-2770.2019.v11.c.1.p32-64.</w:t>
      </w:r>
    </w:p>
    <w:p w14:paraId="394F9E6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Azevedo. A formação do professora e a reforma, 1934, p.494.</w:t>
      </w:r>
    </w:p>
    <w:p w14:paraId="3E7C5F6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AZEVEDO, Mário Luiz Neves de (2013) IGUALDADE E EQUIDADE: QUAL É A MEDIDA DA JUSTIÇA </w:t>
      </w:r>
      <w:proofErr w:type="gramStart"/>
      <w:r w:rsidRPr="0075221B">
        <w:rPr>
          <w:rFonts w:ascii="Times New Roman" w:hAnsi="Times New Roman" w:cs="Times New Roman"/>
        </w:rPr>
        <w:t>SOCIAL?.</w:t>
      </w:r>
      <w:proofErr w:type="gramEnd"/>
      <w:r w:rsidRPr="0075221B">
        <w:rPr>
          <w:rFonts w:ascii="Times New Roman" w:hAnsi="Times New Roman" w:cs="Times New Roman"/>
        </w:rPr>
        <w:t xml:space="preserve"> Avaliação: Revista da Avaliação da Educação Superior, Campinas; Sorocaba, SP, v. 18, n. 1, 2013. Disponível em: https://periodicos.uniso.br/avaliacao/article/view/1574. Acesso em: 21 jan. 2026.</w:t>
      </w:r>
    </w:p>
    <w:p w14:paraId="4464128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BARBOSA, G., Ferreira, D., Nunes, E., Portella, A., &amp; França, M. (2023). Desigualdades raciais na educação no Brasil. In M. França &amp; A. Portella (Eds.), Números da discriminação racial: desenvolvimento humano, equidade e políticas públicas (pp. 253–276). São Paulo: Editora.</w:t>
      </w:r>
    </w:p>
    <w:p w14:paraId="4E26F23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BENTO, Cida. O pacto da branquitude. São Paulo: Cia. das Letras, 2022.</w:t>
      </w:r>
    </w:p>
    <w:p w14:paraId="47283FB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BOLETIM DE </w:t>
      </w:r>
      <w:proofErr w:type="gramStart"/>
      <w:r w:rsidRPr="0075221B">
        <w:rPr>
          <w:rFonts w:ascii="Times New Roman" w:hAnsi="Times New Roman" w:cs="Times New Roman"/>
        </w:rPr>
        <w:t>EUGENIA..</w:t>
      </w:r>
      <w:proofErr w:type="gramEnd"/>
      <w:r w:rsidRPr="0075221B">
        <w:rPr>
          <w:rFonts w:ascii="Times New Roman" w:hAnsi="Times New Roman" w:cs="Times New Roman"/>
        </w:rPr>
        <w:t xml:space="preserve"> 1929-1932. Disponível em: Disponível em: https://bndigital.bn.gov.br/hemeroteca-digital/. Acesso em: 1 fev. 2026.</w:t>
      </w:r>
    </w:p>
    <w:p w14:paraId="6E22223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BOLÍVAR, A. (2010). El </w:t>
      </w:r>
      <w:proofErr w:type="spellStart"/>
      <w:r w:rsidRPr="0075221B">
        <w:rPr>
          <w:rFonts w:ascii="Times New Roman" w:hAnsi="Times New Roman" w:cs="Times New Roman"/>
        </w:rPr>
        <w:t>liderazgo</w:t>
      </w:r>
      <w:proofErr w:type="spellEnd"/>
      <w:r w:rsidRPr="0075221B">
        <w:rPr>
          <w:rFonts w:ascii="Times New Roman" w:hAnsi="Times New Roman" w:cs="Times New Roman"/>
        </w:rPr>
        <w:t xml:space="preserve"> educativo y </w:t>
      </w:r>
      <w:proofErr w:type="spellStart"/>
      <w:r w:rsidRPr="0075221B">
        <w:rPr>
          <w:rFonts w:ascii="Times New Roman" w:hAnsi="Times New Roman" w:cs="Times New Roman"/>
        </w:rPr>
        <w:t>su</w:t>
      </w:r>
      <w:proofErr w:type="spellEnd"/>
      <w:r w:rsidRPr="0075221B">
        <w:rPr>
          <w:rFonts w:ascii="Times New Roman" w:hAnsi="Times New Roman" w:cs="Times New Roman"/>
        </w:rPr>
        <w:t xml:space="preserve"> papel </w:t>
      </w:r>
      <w:proofErr w:type="spellStart"/>
      <w:r w:rsidRPr="0075221B">
        <w:rPr>
          <w:rFonts w:ascii="Times New Roman" w:hAnsi="Times New Roman" w:cs="Times New Roman"/>
        </w:rPr>
        <w:t>en</w:t>
      </w:r>
      <w:proofErr w:type="spellEnd"/>
      <w:r w:rsidRPr="0075221B">
        <w:rPr>
          <w:rFonts w:ascii="Times New Roman" w:hAnsi="Times New Roman" w:cs="Times New Roman"/>
        </w:rPr>
        <w:t xml:space="preserve"> la </w:t>
      </w:r>
      <w:proofErr w:type="spellStart"/>
      <w:r w:rsidRPr="0075221B">
        <w:rPr>
          <w:rFonts w:ascii="Times New Roman" w:hAnsi="Times New Roman" w:cs="Times New Roman"/>
        </w:rPr>
        <w:t>mejora</w:t>
      </w:r>
      <w:proofErr w:type="spellEnd"/>
      <w:r w:rsidRPr="0075221B">
        <w:rPr>
          <w:rFonts w:ascii="Times New Roman" w:hAnsi="Times New Roman" w:cs="Times New Roman"/>
        </w:rPr>
        <w:t xml:space="preserve">: Una </w:t>
      </w:r>
      <w:proofErr w:type="spellStart"/>
      <w:r w:rsidRPr="0075221B">
        <w:rPr>
          <w:rFonts w:ascii="Times New Roman" w:hAnsi="Times New Roman" w:cs="Times New Roman"/>
        </w:rPr>
        <w:t>revisión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actual</w:t>
      </w:r>
      <w:proofErr w:type="spellEnd"/>
      <w:r w:rsidRPr="0075221B">
        <w:rPr>
          <w:rFonts w:ascii="Times New Roman" w:hAnsi="Times New Roman" w:cs="Times New Roman"/>
        </w:rPr>
        <w:t xml:space="preserve"> de sus </w:t>
      </w:r>
      <w:proofErr w:type="spellStart"/>
      <w:r w:rsidRPr="0075221B">
        <w:rPr>
          <w:rFonts w:ascii="Times New Roman" w:hAnsi="Times New Roman" w:cs="Times New Roman"/>
        </w:rPr>
        <w:t>posibilidades</w:t>
      </w:r>
      <w:proofErr w:type="spellEnd"/>
      <w:r w:rsidRPr="0075221B">
        <w:rPr>
          <w:rFonts w:ascii="Times New Roman" w:hAnsi="Times New Roman" w:cs="Times New Roman"/>
        </w:rPr>
        <w:t xml:space="preserve"> y </w:t>
      </w:r>
      <w:proofErr w:type="spellStart"/>
      <w:r w:rsidRPr="0075221B">
        <w:rPr>
          <w:rFonts w:ascii="Times New Roman" w:hAnsi="Times New Roman" w:cs="Times New Roman"/>
        </w:rPr>
        <w:t>limitaciones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Psicoperspectivas</w:t>
      </w:r>
      <w:proofErr w:type="spellEnd"/>
      <w:r w:rsidRPr="0075221B">
        <w:rPr>
          <w:rFonts w:ascii="Times New Roman" w:hAnsi="Times New Roman" w:cs="Times New Roman"/>
        </w:rPr>
        <w:t>, 9 (2), 9-33.</w:t>
      </w:r>
    </w:p>
    <w:p w14:paraId="2E8812D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BOLÍVAR, A. Una </w:t>
      </w:r>
      <w:proofErr w:type="spellStart"/>
      <w:r w:rsidRPr="0075221B">
        <w:rPr>
          <w:rFonts w:ascii="Times New Roman" w:hAnsi="Times New Roman" w:cs="Times New Roman"/>
        </w:rPr>
        <w:t>dirección</w:t>
      </w:r>
      <w:proofErr w:type="spellEnd"/>
      <w:r w:rsidRPr="0075221B">
        <w:rPr>
          <w:rFonts w:ascii="Times New Roman" w:hAnsi="Times New Roman" w:cs="Times New Roman"/>
        </w:rPr>
        <w:t xml:space="preserve"> escolar </w:t>
      </w:r>
      <w:proofErr w:type="spellStart"/>
      <w:r w:rsidRPr="0075221B">
        <w:rPr>
          <w:rFonts w:ascii="Times New Roman" w:hAnsi="Times New Roman" w:cs="Times New Roman"/>
        </w:rPr>
        <w:t>con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capacidad</w:t>
      </w:r>
      <w:proofErr w:type="spellEnd"/>
      <w:r w:rsidRPr="0075221B">
        <w:rPr>
          <w:rFonts w:ascii="Times New Roman" w:hAnsi="Times New Roman" w:cs="Times New Roman"/>
        </w:rPr>
        <w:t xml:space="preserve"> de </w:t>
      </w:r>
      <w:proofErr w:type="spellStart"/>
      <w:r w:rsidRPr="0075221B">
        <w:rPr>
          <w:rFonts w:ascii="Times New Roman" w:hAnsi="Times New Roman" w:cs="Times New Roman"/>
        </w:rPr>
        <w:t>liderazgo</w:t>
      </w:r>
      <w:proofErr w:type="spellEnd"/>
      <w:r w:rsidRPr="0075221B">
        <w:rPr>
          <w:rFonts w:ascii="Times New Roman" w:hAnsi="Times New Roman" w:cs="Times New Roman"/>
        </w:rPr>
        <w:t xml:space="preserve"> pedagógico. Madrid: Arco, 2019.</w:t>
      </w:r>
    </w:p>
    <w:p w14:paraId="3547A10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BOURDIEU, Pierre. </w:t>
      </w:r>
      <w:proofErr w:type="spellStart"/>
      <w:r w:rsidRPr="0075221B">
        <w:rPr>
          <w:rFonts w:ascii="Times New Roman" w:hAnsi="Times New Roman" w:cs="Times New Roman"/>
        </w:rPr>
        <w:t>Méditations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pascaliennes</w:t>
      </w:r>
      <w:proofErr w:type="spellEnd"/>
      <w:r w:rsidRPr="0075221B">
        <w:rPr>
          <w:rFonts w:ascii="Times New Roman" w:hAnsi="Times New Roman" w:cs="Times New Roman"/>
        </w:rPr>
        <w:t>. Paris: Seuil, 1997.</w:t>
      </w:r>
    </w:p>
    <w:p w14:paraId="17F9DBC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BRASIL. Decreto nº 847, de 11 de outubro de 1890. Promulga o Código Penal. Disponível em: http://www2.camara.leg.br/legin/fed/ decret/1824-1899/decreto-</w:t>
      </w:r>
      <w:r w:rsidRPr="0075221B">
        <w:rPr>
          <w:rFonts w:ascii="Times New Roman" w:hAnsi="Times New Roman" w:cs="Times New Roman"/>
        </w:rPr>
        <w:lastRenderedPageBreak/>
        <w:t>847-11-outubro-1890-503086-publicacaooriginal-1-pe.html. Acesso em: 1 fev. 2026.</w:t>
      </w:r>
    </w:p>
    <w:p w14:paraId="6771C87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BRASIL. Decreto-Lei nº 580 de 30 de julho de 1938. Dispõe sobre a organização do Instituto Nacional de Estudos Pedagógicos. Diário Oficial da União, Rio de Janeiro, 30 jul. 1938. Seção 1, p. 15169.</w:t>
      </w:r>
    </w:p>
    <w:p w14:paraId="1323A51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CARNEIRO, Aparecida Sueli. A construção do outro como não-ser como fundamento do ser. 2005. 339 f. (Doutorado em Filosofia da Educação) – FE/USP, São Paulo, 2005.</w:t>
      </w:r>
    </w:p>
    <w:p w14:paraId="5982325C"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CAVALLEIRO, Eliane. Racismo e </w:t>
      </w:r>
      <w:proofErr w:type="spellStart"/>
      <w:proofErr w:type="gramStart"/>
      <w:r w:rsidRPr="0075221B">
        <w:rPr>
          <w:rFonts w:ascii="Times New Roman" w:hAnsi="Times New Roman" w:cs="Times New Roman"/>
        </w:rPr>
        <w:t>anti-racismo</w:t>
      </w:r>
      <w:proofErr w:type="spellEnd"/>
      <w:proofErr w:type="gramEnd"/>
      <w:r w:rsidRPr="0075221B">
        <w:rPr>
          <w:rFonts w:ascii="Times New Roman" w:hAnsi="Times New Roman" w:cs="Times New Roman"/>
        </w:rPr>
        <w:t xml:space="preserve"> na educação: repensando nossa escola. São Paulo: Selo Negro, 2001.</w:t>
      </w:r>
    </w:p>
    <w:p w14:paraId="72D2D1A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CEDRA. Centro de Estudos e Dados sobre Desigualdades raciais, 2025, Disponível em: Disponível em: https://cedra.org.br/. Acesso em: 1 fev. 2026.</w:t>
      </w:r>
    </w:p>
    <w:p w14:paraId="1CC2ED6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CNN, 2025, G1, </w:t>
      </w:r>
      <w:proofErr w:type="gramStart"/>
      <w:r w:rsidRPr="0075221B">
        <w:rPr>
          <w:rFonts w:ascii="Times New Roman" w:hAnsi="Times New Roman" w:cs="Times New Roman"/>
        </w:rPr>
        <w:t>Finlândia,.</w:t>
      </w:r>
      <w:proofErr w:type="gramEnd"/>
      <w:r w:rsidRPr="0075221B">
        <w:rPr>
          <w:rFonts w:ascii="Times New Roman" w:hAnsi="Times New Roman" w:cs="Times New Roman"/>
        </w:rPr>
        <w:t xml:space="preserve"> Disponível em: https://www.cnnbrasil.com.br/economia/macroeconomia/pib-brasil-deixa-lista-das-10-maiores-economias-do-mundo-e-cai-para-11o/. Acesso em: 1 fev. 2026.</w:t>
      </w:r>
    </w:p>
    <w:p w14:paraId="7D19951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CUNHA JUNIOR, Henrique. Matemática Inexistente nos Territórios de Maioria Afrodescendente. IN: OLIVEIRA et Alli. (Org.). Educação e Africanidade: Propostas para a Formação de Professores sobre a Lei 10.639/2003.Curitiba: Editora CRV. 2016.</w:t>
      </w:r>
    </w:p>
    <w:p w14:paraId="5979F1B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CUNHA JUNIOR, Henrique. Afroetnomatemática: da filosofia africana ao ensino de matemática pela arte. Associação Brasileira de Pesquisadores/as Negros/as (ABPN), 9(22), 107-122. 2017.</w:t>
      </w:r>
    </w:p>
    <w:p w14:paraId="363BE40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D'AMBROSIO, Ubiratan O programa Etnomatemática: Uma síntese. Acta </w:t>
      </w:r>
      <w:proofErr w:type="spellStart"/>
      <w:r w:rsidRPr="0075221B">
        <w:rPr>
          <w:rFonts w:ascii="Times New Roman" w:hAnsi="Times New Roman" w:cs="Times New Roman"/>
        </w:rPr>
        <w:t>Scientía</w:t>
      </w:r>
      <w:proofErr w:type="spellEnd"/>
      <w:r w:rsidRPr="0075221B">
        <w:rPr>
          <w:rFonts w:ascii="Times New Roman" w:hAnsi="Times New Roman" w:cs="Times New Roman"/>
        </w:rPr>
        <w:t>, 10(1). 2008.</w:t>
      </w:r>
    </w:p>
    <w:p w14:paraId="32A8EBB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DÁVILA, Jerry. Diploma de brancura: política social e racial no Brasil – 1917-1945. Trad. Claudia Sant'Ana Martins. São Paulo: </w:t>
      </w:r>
      <w:proofErr w:type="spellStart"/>
      <w:r w:rsidRPr="0075221B">
        <w:rPr>
          <w:rFonts w:ascii="Times New Roman" w:hAnsi="Times New Roman" w:cs="Times New Roman"/>
        </w:rPr>
        <w:t>EdUnesp</w:t>
      </w:r>
      <w:proofErr w:type="spellEnd"/>
      <w:r w:rsidRPr="0075221B">
        <w:rPr>
          <w:rFonts w:ascii="Times New Roman" w:hAnsi="Times New Roman" w:cs="Times New Roman"/>
        </w:rPr>
        <w:t>, 2006.</w:t>
      </w:r>
    </w:p>
    <w:p w14:paraId="1567A44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DELPIT, Lisa. </w:t>
      </w:r>
      <w:proofErr w:type="spellStart"/>
      <w:r w:rsidRPr="0075221B">
        <w:rPr>
          <w:rFonts w:ascii="Times New Roman" w:hAnsi="Times New Roman" w:cs="Times New Roman"/>
        </w:rPr>
        <w:t>Multiplication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is</w:t>
      </w:r>
      <w:proofErr w:type="spellEnd"/>
      <w:r w:rsidRPr="0075221B">
        <w:rPr>
          <w:rFonts w:ascii="Times New Roman" w:hAnsi="Times New Roman" w:cs="Times New Roman"/>
        </w:rPr>
        <w:t xml:space="preserve"> for White People: </w:t>
      </w:r>
      <w:proofErr w:type="spellStart"/>
      <w:r w:rsidRPr="0075221B">
        <w:rPr>
          <w:rFonts w:ascii="Times New Roman" w:hAnsi="Times New Roman" w:cs="Times New Roman"/>
        </w:rPr>
        <w:t>Raising</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Expectations</w:t>
      </w:r>
      <w:proofErr w:type="spellEnd"/>
      <w:r w:rsidRPr="0075221B">
        <w:rPr>
          <w:rFonts w:ascii="Times New Roman" w:hAnsi="Times New Roman" w:cs="Times New Roman"/>
        </w:rPr>
        <w:t xml:space="preserve"> for Other </w:t>
      </w:r>
      <w:proofErr w:type="spellStart"/>
      <w:r w:rsidRPr="0075221B">
        <w:rPr>
          <w:rFonts w:ascii="Times New Roman" w:hAnsi="Times New Roman" w:cs="Times New Roman"/>
        </w:rPr>
        <w:t>People's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Children</w:t>
      </w:r>
      <w:proofErr w:type="spellEnd"/>
      <w:r w:rsidRPr="0075221B">
        <w:rPr>
          <w:rFonts w:ascii="Times New Roman" w:hAnsi="Times New Roman" w:cs="Times New Roman"/>
        </w:rPr>
        <w:t>. New York: The New Press, 2012.</w:t>
      </w:r>
    </w:p>
    <w:p w14:paraId="4415CE4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ELACQUA, G. Pérez-Núñez, E. Abarca, and L. Etcheverry. </w:t>
      </w:r>
      <w:proofErr w:type="spellStart"/>
      <w:r w:rsidRPr="0075221B">
        <w:rPr>
          <w:rFonts w:ascii="Times New Roman" w:hAnsi="Times New Roman" w:cs="Times New Roman"/>
        </w:rPr>
        <w:t>Diversity</w:t>
      </w:r>
      <w:proofErr w:type="spellEnd"/>
      <w:r w:rsidRPr="0075221B">
        <w:rPr>
          <w:rFonts w:ascii="Times New Roman" w:hAnsi="Times New Roman" w:cs="Times New Roman"/>
        </w:rPr>
        <w:t xml:space="preserve"> and </w:t>
      </w:r>
      <w:proofErr w:type="spellStart"/>
      <w:r w:rsidRPr="0075221B">
        <w:rPr>
          <w:rFonts w:ascii="Times New Roman" w:hAnsi="Times New Roman" w:cs="Times New Roman"/>
        </w:rPr>
        <w:t>Representation</w:t>
      </w:r>
      <w:proofErr w:type="spellEnd"/>
      <w:r w:rsidRPr="0075221B">
        <w:rPr>
          <w:rFonts w:ascii="Times New Roman" w:hAnsi="Times New Roman" w:cs="Times New Roman"/>
        </w:rPr>
        <w:t xml:space="preserve"> Gaps in </w:t>
      </w:r>
      <w:proofErr w:type="spellStart"/>
      <w:r w:rsidRPr="0075221B">
        <w:rPr>
          <w:rFonts w:ascii="Times New Roman" w:hAnsi="Times New Roman" w:cs="Times New Roman"/>
        </w:rPr>
        <w:t>the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Latin</w:t>
      </w:r>
      <w:proofErr w:type="spellEnd"/>
      <w:r w:rsidRPr="0075221B">
        <w:rPr>
          <w:rFonts w:ascii="Times New Roman" w:hAnsi="Times New Roman" w:cs="Times New Roman"/>
        </w:rPr>
        <w:t xml:space="preserve"> American and </w:t>
      </w:r>
      <w:proofErr w:type="spellStart"/>
      <w:r w:rsidRPr="0075221B">
        <w:rPr>
          <w:rFonts w:ascii="Times New Roman" w:hAnsi="Times New Roman" w:cs="Times New Roman"/>
        </w:rPr>
        <w:t>Caribbean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Workforce</w:t>
      </w:r>
      <w:proofErr w:type="spellEnd"/>
      <w:r w:rsidRPr="0075221B">
        <w:rPr>
          <w:rFonts w:ascii="Times New Roman" w:hAnsi="Times New Roman" w:cs="Times New Roman"/>
        </w:rPr>
        <w:t>, 2024. URL 0013225. Disponível em: https://doi.org/10.18235/. Acesso em: 1 fev. 2026.</w:t>
      </w:r>
    </w:p>
    <w:p w14:paraId="139719C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EXAME, 2023, G1, </w:t>
      </w:r>
      <w:proofErr w:type="gramStart"/>
      <w:r w:rsidRPr="0075221B">
        <w:rPr>
          <w:rFonts w:ascii="Times New Roman" w:hAnsi="Times New Roman" w:cs="Times New Roman"/>
        </w:rPr>
        <w:t>2025,.</w:t>
      </w:r>
      <w:proofErr w:type="gramEnd"/>
      <w:r w:rsidRPr="0075221B">
        <w:rPr>
          <w:rFonts w:ascii="Times New Roman" w:hAnsi="Times New Roman" w:cs="Times New Roman"/>
        </w:rPr>
        <w:t xml:space="preserve"> Disponível em: https://exame.com/mundo/quais-sao-os-paises-com-maior-desigualdade-social-do-mundo-veja-a-posicao-do-brasil-no-ranking/. Acesso em: 1 fev. 2026.</w:t>
      </w:r>
    </w:p>
    <w:p w14:paraId="26C5235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FERNANDES, D. Avaliar para aprender: fundamentos, práticas e políticas. 1a ed. São Paulo: UNESP, 2009.</w:t>
      </w:r>
    </w:p>
    <w:p w14:paraId="73EA7D7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FETSCHER, </w:t>
      </w:r>
      <w:proofErr w:type="spellStart"/>
      <w:r w:rsidRPr="0075221B">
        <w:rPr>
          <w:rFonts w:ascii="Times New Roman" w:hAnsi="Times New Roman" w:cs="Times New Roman"/>
        </w:rPr>
        <w:t>Iring</w:t>
      </w:r>
      <w:proofErr w:type="spellEnd"/>
      <w:r w:rsidRPr="0075221B">
        <w:rPr>
          <w:rFonts w:ascii="Times New Roman" w:hAnsi="Times New Roman" w:cs="Times New Roman"/>
        </w:rPr>
        <w:t>. Igualdade. In: BOTTOMORE, Tom. Dicionário do pensamento Marxista. Rio de Janeiro: Zahar, 1988.</w:t>
      </w:r>
    </w:p>
    <w:p w14:paraId="05DC913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FRASER, Nancy. (2005). </w:t>
      </w:r>
      <w:proofErr w:type="spellStart"/>
      <w:r w:rsidRPr="0075221B">
        <w:rPr>
          <w:rFonts w:ascii="Times New Roman" w:hAnsi="Times New Roman" w:cs="Times New Roman"/>
        </w:rPr>
        <w:t>Reframing</w:t>
      </w:r>
      <w:proofErr w:type="spellEnd"/>
      <w:r w:rsidRPr="0075221B">
        <w:rPr>
          <w:rFonts w:ascii="Times New Roman" w:hAnsi="Times New Roman" w:cs="Times New Roman"/>
        </w:rPr>
        <w:t xml:space="preserve"> justice in a </w:t>
      </w:r>
      <w:proofErr w:type="spellStart"/>
      <w:r w:rsidRPr="0075221B">
        <w:rPr>
          <w:rFonts w:ascii="Times New Roman" w:hAnsi="Times New Roman" w:cs="Times New Roman"/>
        </w:rPr>
        <w:t>globalizing</w:t>
      </w:r>
      <w:proofErr w:type="spellEnd"/>
      <w:r w:rsidRPr="0075221B">
        <w:rPr>
          <w:rFonts w:ascii="Times New Roman" w:hAnsi="Times New Roman" w:cs="Times New Roman"/>
        </w:rPr>
        <w:t xml:space="preserve"> world. New </w:t>
      </w:r>
      <w:proofErr w:type="spellStart"/>
      <w:r w:rsidRPr="0075221B">
        <w:rPr>
          <w:rFonts w:ascii="Times New Roman" w:hAnsi="Times New Roman" w:cs="Times New Roman"/>
        </w:rPr>
        <w:t>Left</w:t>
      </w:r>
      <w:proofErr w:type="spellEnd"/>
      <w:r w:rsidRPr="0075221B">
        <w:rPr>
          <w:rFonts w:ascii="Times New Roman" w:hAnsi="Times New Roman" w:cs="Times New Roman"/>
        </w:rPr>
        <w:t xml:space="preserve"> Review, 36, 69– 88.</w:t>
      </w:r>
    </w:p>
    <w:p w14:paraId="79BC4B1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FRASER, Nancy. (2009). </w:t>
      </w:r>
      <w:proofErr w:type="spellStart"/>
      <w:r w:rsidRPr="0075221B">
        <w:rPr>
          <w:rFonts w:ascii="Times New Roman" w:hAnsi="Times New Roman" w:cs="Times New Roman"/>
        </w:rPr>
        <w:t>Scales</w:t>
      </w:r>
      <w:proofErr w:type="spellEnd"/>
      <w:r w:rsidRPr="0075221B">
        <w:rPr>
          <w:rFonts w:ascii="Times New Roman" w:hAnsi="Times New Roman" w:cs="Times New Roman"/>
        </w:rPr>
        <w:t xml:space="preserve"> of justice: </w:t>
      </w:r>
      <w:proofErr w:type="spellStart"/>
      <w:r w:rsidRPr="0075221B">
        <w:rPr>
          <w:rFonts w:ascii="Times New Roman" w:hAnsi="Times New Roman" w:cs="Times New Roman"/>
        </w:rPr>
        <w:t>Reimagining</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political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space</w:t>
      </w:r>
      <w:proofErr w:type="spellEnd"/>
      <w:r w:rsidRPr="0075221B">
        <w:rPr>
          <w:rFonts w:ascii="Times New Roman" w:hAnsi="Times New Roman" w:cs="Times New Roman"/>
        </w:rPr>
        <w:t xml:space="preserve"> in a </w:t>
      </w:r>
      <w:proofErr w:type="spellStart"/>
      <w:r w:rsidRPr="0075221B">
        <w:rPr>
          <w:rFonts w:ascii="Times New Roman" w:hAnsi="Times New Roman" w:cs="Times New Roman"/>
        </w:rPr>
        <w:t>globalizing</w:t>
      </w:r>
      <w:proofErr w:type="spellEnd"/>
      <w:r w:rsidRPr="0075221B">
        <w:rPr>
          <w:rFonts w:ascii="Times New Roman" w:hAnsi="Times New Roman" w:cs="Times New Roman"/>
        </w:rPr>
        <w:t xml:space="preserve"> world (Vol. 31). Columbia </w:t>
      </w:r>
      <w:proofErr w:type="spellStart"/>
      <w:r w:rsidRPr="0075221B">
        <w:rPr>
          <w:rFonts w:ascii="Times New Roman" w:hAnsi="Times New Roman" w:cs="Times New Roman"/>
        </w:rPr>
        <w:t>university</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press</w:t>
      </w:r>
      <w:proofErr w:type="spellEnd"/>
      <w:r w:rsidRPr="0075221B">
        <w:rPr>
          <w:rFonts w:ascii="Times New Roman" w:hAnsi="Times New Roman" w:cs="Times New Roman"/>
        </w:rPr>
        <w:t>.</w:t>
      </w:r>
    </w:p>
    <w:p w14:paraId="4799963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lastRenderedPageBreak/>
        <w:t xml:space="preserve">FRASER, Nancy (1995). </w:t>
      </w:r>
      <w:proofErr w:type="spellStart"/>
      <w:r w:rsidRPr="0075221B">
        <w:rPr>
          <w:rFonts w:ascii="Times New Roman" w:hAnsi="Times New Roman" w:cs="Times New Roman"/>
        </w:rPr>
        <w:t>From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redistribution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to</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recognition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Dilemmas</w:t>
      </w:r>
      <w:proofErr w:type="spellEnd"/>
      <w:r w:rsidRPr="0075221B">
        <w:rPr>
          <w:rFonts w:ascii="Times New Roman" w:hAnsi="Times New Roman" w:cs="Times New Roman"/>
        </w:rPr>
        <w:t xml:space="preserve"> of justice in a ‘</w:t>
      </w:r>
      <w:proofErr w:type="spellStart"/>
      <w:r w:rsidRPr="0075221B">
        <w:rPr>
          <w:rFonts w:ascii="Times New Roman" w:hAnsi="Times New Roman" w:cs="Times New Roman"/>
        </w:rPr>
        <w:t>postsocialist</w:t>
      </w:r>
      <w:proofErr w:type="spellEnd"/>
      <w:r w:rsidRPr="0075221B">
        <w:rPr>
          <w:rFonts w:ascii="Times New Roman" w:hAnsi="Times New Roman" w:cs="Times New Roman"/>
        </w:rPr>
        <w:t xml:space="preserve">' age. Nottingham, </w:t>
      </w:r>
      <w:proofErr w:type="spellStart"/>
      <w:r w:rsidRPr="0075221B">
        <w:rPr>
          <w:rFonts w:ascii="Times New Roman" w:hAnsi="Times New Roman" w:cs="Times New Roman"/>
        </w:rPr>
        <w:t>England</w:t>
      </w:r>
      <w:proofErr w:type="spellEnd"/>
      <w:r w:rsidRPr="0075221B">
        <w:rPr>
          <w:rFonts w:ascii="Times New Roman" w:hAnsi="Times New Roman" w:cs="Times New Roman"/>
        </w:rPr>
        <w:t xml:space="preserve">: New </w:t>
      </w:r>
      <w:proofErr w:type="spellStart"/>
      <w:r w:rsidRPr="0075221B">
        <w:rPr>
          <w:rFonts w:ascii="Times New Roman" w:hAnsi="Times New Roman" w:cs="Times New Roman"/>
        </w:rPr>
        <w:t>left</w:t>
      </w:r>
      <w:proofErr w:type="spellEnd"/>
      <w:r w:rsidRPr="0075221B">
        <w:rPr>
          <w:rFonts w:ascii="Times New Roman" w:hAnsi="Times New Roman" w:cs="Times New Roman"/>
        </w:rPr>
        <w:t xml:space="preserve"> review.</w:t>
      </w:r>
    </w:p>
    <w:p w14:paraId="6A245BD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GIRALDO, Victor. Formação de Professores de Matemática: para uma Abordagem Problematizada. Ciência &amp; Cultura, v. 70, p. OLIVEIRA, Marcos Barbosa. Neutralidade da ciência, desencantamento do mundo e controle da natureza. </w:t>
      </w:r>
      <w:proofErr w:type="spellStart"/>
      <w:r w:rsidRPr="0075221B">
        <w:rPr>
          <w:rFonts w:ascii="Times New Roman" w:hAnsi="Times New Roman" w:cs="Times New Roman"/>
        </w:rPr>
        <w:t>Scientiae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Studia</w:t>
      </w:r>
      <w:proofErr w:type="spellEnd"/>
      <w:r w:rsidRPr="0075221B">
        <w:rPr>
          <w:rFonts w:ascii="Times New Roman" w:hAnsi="Times New Roman" w:cs="Times New Roman"/>
        </w:rPr>
        <w:t>, São Paulo, v.6, n. 1, p. 97 - 116, 2008.37-42, 2018.</w:t>
      </w:r>
    </w:p>
    <w:p w14:paraId="0FE38F10"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GIRALDO, Victor; ROQUE, Tatiana. Por uma Matemática Problematizada: as Ordens de (Re)Invenção. Perspectivas da Educação Matemática, [S. l.], v. 14, n. 35, p. 1–21, 2021. DOI: 10.46312/pem.v14i35.13409. Disponível em: https://periodicos.ufms.br/index.php/pedmat/article/view/13409. Acesso em: 25 jan. 2026.</w:t>
      </w:r>
    </w:p>
    <w:p w14:paraId="27F4116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GONZALEZ, Lélia; HASENBALG, Carlos. Lugar de negro. Rio de Janeiro: Editora Zahar 2022, 1ª edição, 137 p.</w:t>
      </w:r>
    </w:p>
    <w:p w14:paraId="594BBBC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GUBA, E. G.; LINCOLN, Y. S. Avaliação de quarta geração. Campinas, SP: Editora da Unicamp, 2011.</w:t>
      </w:r>
    </w:p>
    <w:p w14:paraId="496EF58A"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GUIMARÃES, A. S. A. Como trabalhar com "raça" em sociologia. Educação e Pesquisa, v. 29, n. 1, p. 93-107, 2003.</w:t>
      </w:r>
    </w:p>
    <w:p w14:paraId="40CE96D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INSTITUTO UNIBANCO. LIDERANÇA ESCOLAR PARA A MELHORIA DA EDUCAÇÃO, 38 páginas, nº 1, 2021.</w:t>
      </w:r>
    </w:p>
    <w:p w14:paraId="507D5234"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ITAÚ. Contribuição dos trabalhos intensivos em Matemática para a economia brasileira, 2024, 47 páginas.</w:t>
      </w:r>
    </w:p>
    <w:p w14:paraId="72C7732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LEITHWOOD, K.; JANTZI, D. </w:t>
      </w:r>
      <w:proofErr w:type="spellStart"/>
      <w:r w:rsidRPr="0075221B">
        <w:rPr>
          <w:rFonts w:ascii="Times New Roman" w:hAnsi="Times New Roman" w:cs="Times New Roman"/>
        </w:rPr>
        <w:t>Transformational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leadership</w:t>
      </w:r>
      <w:proofErr w:type="spellEnd"/>
      <w:r w:rsidRPr="0075221B">
        <w:rPr>
          <w:rFonts w:ascii="Times New Roman" w:hAnsi="Times New Roman" w:cs="Times New Roman"/>
        </w:rPr>
        <w:t xml:space="preserve"> for </w:t>
      </w:r>
      <w:proofErr w:type="spellStart"/>
      <w:r w:rsidRPr="0075221B">
        <w:rPr>
          <w:rFonts w:ascii="Times New Roman" w:hAnsi="Times New Roman" w:cs="Times New Roman"/>
        </w:rPr>
        <w:t>large-scale</w:t>
      </w:r>
      <w:proofErr w:type="spellEnd"/>
      <w:r w:rsidRPr="0075221B">
        <w:rPr>
          <w:rFonts w:ascii="Times New Roman" w:hAnsi="Times New Roman" w:cs="Times New Roman"/>
        </w:rPr>
        <w:t xml:space="preserve"> reform: </w:t>
      </w:r>
      <w:proofErr w:type="spellStart"/>
      <w:r w:rsidRPr="0075221B">
        <w:rPr>
          <w:rFonts w:ascii="Times New Roman" w:hAnsi="Times New Roman" w:cs="Times New Roman"/>
        </w:rPr>
        <w:t>effects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students</w:t>
      </w:r>
      <w:proofErr w:type="spellEnd"/>
      <w:r w:rsidRPr="0075221B">
        <w:rPr>
          <w:rFonts w:ascii="Times New Roman" w:hAnsi="Times New Roman" w:cs="Times New Roman"/>
        </w:rPr>
        <w:t xml:space="preserve">, teachers, and </w:t>
      </w:r>
      <w:proofErr w:type="spellStart"/>
      <w:r w:rsidRPr="0075221B">
        <w:rPr>
          <w:rFonts w:ascii="Times New Roman" w:hAnsi="Times New Roman" w:cs="Times New Roman"/>
        </w:rPr>
        <w:t>their</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classroom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practices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Effectiveness</w:t>
      </w:r>
      <w:proofErr w:type="spellEnd"/>
      <w:r w:rsidRPr="0075221B">
        <w:rPr>
          <w:rFonts w:ascii="Times New Roman" w:hAnsi="Times New Roman" w:cs="Times New Roman"/>
        </w:rPr>
        <w:t xml:space="preserve"> And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Improvement</w:t>
      </w:r>
      <w:proofErr w:type="spellEnd"/>
      <w:r w:rsidRPr="0075221B">
        <w:rPr>
          <w:rFonts w:ascii="Times New Roman" w:hAnsi="Times New Roman" w:cs="Times New Roman"/>
        </w:rPr>
        <w:t xml:space="preserve">, [S.L.], v. 17, n. 2, p. 201-227, jun. 2006. Disponível em: https://citeseerx.ist.psu.edu/viewdoc/download </w:t>
      </w:r>
      <w:proofErr w:type="spellStart"/>
      <w:r w:rsidRPr="0075221B">
        <w:rPr>
          <w:rFonts w:ascii="Times New Roman" w:hAnsi="Times New Roman" w:cs="Times New Roman"/>
        </w:rPr>
        <w:t>doi</w:t>
      </w:r>
      <w:proofErr w:type="spellEnd"/>
      <w:r w:rsidRPr="0075221B">
        <w:rPr>
          <w:rFonts w:ascii="Times New Roman" w:hAnsi="Times New Roman" w:cs="Times New Roman"/>
        </w:rPr>
        <w:t>=10.1.1.475.86&amp;rep=rep1&amp;type=</w:t>
      </w:r>
      <w:proofErr w:type="spellStart"/>
      <w:r w:rsidRPr="0075221B">
        <w:rPr>
          <w:rFonts w:ascii="Times New Roman" w:hAnsi="Times New Roman" w:cs="Times New Roman"/>
        </w:rPr>
        <w:t>pdf</w:t>
      </w:r>
      <w:proofErr w:type="spellEnd"/>
      <w:r w:rsidRPr="0075221B">
        <w:rPr>
          <w:rFonts w:ascii="Times New Roman" w:hAnsi="Times New Roman" w:cs="Times New Roman"/>
        </w:rPr>
        <w:t>. Acesso em: 18 fev. 2021.</w:t>
      </w:r>
    </w:p>
    <w:p w14:paraId="689965F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LEITHWOOD, K.; HARRIS, A.; HOPKINS, D. </w:t>
      </w:r>
      <w:proofErr w:type="spellStart"/>
      <w:r w:rsidRPr="0075221B">
        <w:rPr>
          <w:rFonts w:ascii="Times New Roman" w:hAnsi="Times New Roman" w:cs="Times New Roman"/>
        </w:rPr>
        <w:t>Seven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strong</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claims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about</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successful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leadership</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School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Leadership</w:t>
      </w:r>
      <w:proofErr w:type="spellEnd"/>
      <w:r w:rsidRPr="0075221B">
        <w:rPr>
          <w:rFonts w:ascii="Times New Roman" w:hAnsi="Times New Roman" w:cs="Times New Roman"/>
        </w:rPr>
        <w:t xml:space="preserve"> &amp; Management, v. 28, n. 1, p. 27-42, 2008.</w:t>
      </w:r>
    </w:p>
    <w:p w14:paraId="5FE9F45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LIMA, Nísia Trindade., e HOCHMAN, Gilberto. Condenado pela raça, absolvido pela medicina: o Brasil descoberto pelo movimento sanitarista da primeira república. In: MAIO, M.C., and SANTOS, R.V., </w:t>
      </w:r>
      <w:proofErr w:type="spellStart"/>
      <w:r w:rsidRPr="0075221B">
        <w:rPr>
          <w:rFonts w:ascii="Times New Roman" w:hAnsi="Times New Roman" w:cs="Times New Roman"/>
        </w:rPr>
        <w:t>orgs</w:t>
      </w:r>
      <w:proofErr w:type="spellEnd"/>
      <w:r w:rsidRPr="0075221B">
        <w:rPr>
          <w:rFonts w:ascii="Times New Roman" w:hAnsi="Times New Roman" w:cs="Times New Roman"/>
        </w:rPr>
        <w:t xml:space="preserve">. Raça, ciência e sociedade [online]. Rio de Janeiro: Editora FIOCRUZ; CCBB, 1996, pp. 23-40. ISBN: 978- 85-7541-517-7. </w:t>
      </w:r>
      <w:proofErr w:type="spellStart"/>
      <w:r w:rsidRPr="0075221B">
        <w:rPr>
          <w:rFonts w:ascii="Times New Roman" w:hAnsi="Times New Roman" w:cs="Times New Roman"/>
        </w:rPr>
        <w:t>Available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from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doi</w:t>
      </w:r>
      <w:proofErr w:type="spellEnd"/>
      <w:r w:rsidRPr="0075221B">
        <w:rPr>
          <w:rFonts w:ascii="Times New Roman" w:hAnsi="Times New Roman" w:cs="Times New Roman"/>
        </w:rPr>
        <w:t xml:space="preserve">: 10.7476/9788575415177. </w:t>
      </w:r>
      <w:proofErr w:type="spellStart"/>
      <w:r w:rsidRPr="0075221B">
        <w:rPr>
          <w:rFonts w:ascii="Times New Roman" w:hAnsi="Times New Roman" w:cs="Times New Roman"/>
        </w:rPr>
        <w:t>Also</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available</w:t>
      </w:r>
      <w:proofErr w:type="spellEnd"/>
      <w:r w:rsidRPr="0075221B">
        <w:rPr>
          <w:rFonts w:ascii="Times New Roman" w:hAnsi="Times New Roman" w:cs="Times New Roman"/>
        </w:rPr>
        <w:t xml:space="preserve"> in </w:t>
      </w:r>
      <w:proofErr w:type="spellStart"/>
      <w:r w:rsidRPr="0075221B">
        <w:rPr>
          <w:rFonts w:ascii="Times New Roman" w:hAnsi="Times New Roman" w:cs="Times New Roman"/>
        </w:rPr>
        <w:t>ePUB</w:t>
      </w:r>
      <w:proofErr w:type="spellEnd"/>
      <w:r w:rsidRPr="0075221B">
        <w:rPr>
          <w:rFonts w:ascii="Times New Roman" w:hAnsi="Times New Roman" w:cs="Times New Roman"/>
        </w:rPr>
        <w:t xml:space="preserve"> </w:t>
      </w:r>
      <w:proofErr w:type="spellStart"/>
      <w:proofErr w:type="gramStart"/>
      <w:r w:rsidRPr="0075221B">
        <w:rPr>
          <w:rFonts w:ascii="Times New Roman" w:hAnsi="Times New Roman" w:cs="Times New Roman"/>
        </w:rPr>
        <w:t>from</w:t>
      </w:r>
      <w:proofErr w:type="spellEnd"/>
      <w:r w:rsidRPr="0075221B">
        <w:rPr>
          <w:rFonts w:ascii="Times New Roman" w:hAnsi="Times New Roman" w:cs="Times New Roman"/>
        </w:rPr>
        <w:t>:.</w:t>
      </w:r>
      <w:proofErr w:type="gramEnd"/>
      <w:r w:rsidRPr="0075221B">
        <w:rPr>
          <w:rFonts w:ascii="Times New Roman" w:hAnsi="Times New Roman" w:cs="Times New Roman"/>
        </w:rPr>
        <w:t xml:space="preserve"> Disponível em: http://books.scielo.org/id/djnty/epub/maio-9788575415177.epub. Acesso em: 1 fev. 2026.</w:t>
      </w:r>
    </w:p>
    <w:p w14:paraId="2D4ED91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LOPES, Pedro, The Short- and </w:t>
      </w:r>
      <w:proofErr w:type="spellStart"/>
      <w:r w:rsidRPr="0075221B">
        <w:rPr>
          <w:rFonts w:ascii="Times New Roman" w:hAnsi="Times New Roman" w:cs="Times New Roman"/>
        </w:rPr>
        <w:t>Long-Run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Impacts</w:t>
      </w:r>
      <w:proofErr w:type="spellEnd"/>
      <w:r w:rsidRPr="0075221B">
        <w:rPr>
          <w:rFonts w:ascii="Times New Roman" w:hAnsi="Times New Roman" w:cs="Times New Roman"/>
        </w:rPr>
        <w:t xml:space="preserve"> of Black Teachers: </w:t>
      </w:r>
      <w:proofErr w:type="spellStart"/>
      <w:r w:rsidRPr="0075221B">
        <w:rPr>
          <w:rFonts w:ascii="Times New Roman" w:hAnsi="Times New Roman" w:cs="Times New Roman"/>
        </w:rPr>
        <w:t>Evidence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from</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Brazil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November</w:t>
      </w:r>
      <w:proofErr w:type="spellEnd"/>
      <w:r w:rsidRPr="0075221B">
        <w:rPr>
          <w:rFonts w:ascii="Times New Roman" w:hAnsi="Times New Roman" w:cs="Times New Roman"/>
        </w:rPr>
        <w:t xml:space="preserve"> 12, 2025). </w:t>
      </w:r>
      <w:proofErr w:type="spellStart"/>
      <w:r w:rsidRPr="0075221B">
        <w:rPr>
          <w:rFonts w:ascii="Times New Roman" w:hAnsi="Times New Roman" w:cs="Times New Roman"/>
        </w:rPr>
        <w:t>Available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at</w:t>
      </w:r>
      <w:proofErr w:type="spellEnd"/>
      <w:r w:rsidRPr="0075221B">
        <w:rPr>
          <w:rFonts w:ascii="Times New Roman" w:hAnsi="Times New Roman" w:cs="Times New Roman"/>
        </w:rPr>
        <w:t xml:space="preserve"> SSRN: or. Disponível em: https://ssrn.com/abstract=5738464. Acesso em: 1 fev. 2026.</w:t>
      </w:r>
    </w:p>
    <w:p w14:paraId="44EAFF0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Lourenço Filho. A escola de professores do Instituto de Educação. Arquivos do Instituto de Educação 1, nº1, p.15- 16, 1934.</w:t>
      </w:r>
    </w:p>
    <w:p w14:paraId="064687D0"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MARTIN, D. B. (2012). Learning mathematics </w:t>
      </w:r>
      <w:proofErr w:type="spellStart"/>
      <w:r w:rsidRPr="0075221B">
        <w:rPr>
          <w:rFonts w:ascii="Times New Roman" w:hAnsi="Times New Roman" w:cs="Times New Roman"/>
        </w:rPr>
        <w:t>while</w:t>
      </w:r>
      <w:proofErr w:type="spellEnd"/>
      <w:r w:rsidRPr="0075221B">
        <w:rPr>
          <w:rFonts w:ascii="Times New Roman" w:hAnsi="Times New Roman" w:cs="Times New Roman"/>
        </w:rPr>
        <w:t xml:space="preserve"> Black. The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of Educational </w:t>
      </w:r>
      <w:proofErr w:type="spellStart"/>
      <w:r w:rsidRPr="0075221B">
        <w:rPr>
          <w:rFonts w:ascii="Times New Roman" w:hAnsi="Times New Roman" w:cs="Times New Roman"/>
        </w:rPr>
        <w:t>Foundations</w:t>
      </w:r>
      <w:proofErr w:type="spellEnd"/>
      <w:r w:rsidRPr="0075221B">
        <w:rPr>
          <w:rFonts w:ascii="Times New Roman" w:hAnsi="Times New Roman" w:cs="Times New Roman"/>
        </w:rPr>
        <w:t>, 26(1&amp;2), 47–66.</w:t>
      </w:r>
    </w:p>
    <w:p w14:paraId="5AD4E8F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MARTIN, Danny Bernard (2019). </w:t>
      </w:r>
      <w:proofErr w:type="spellStart"/>
      <w:r w:rsidRPr="0075221B">
        <w:rPr>
          <w:rFonts w:ascii="Times New Roman" w:hAnsi="Times New Roman" w:cs="Times New Roman"/>
        </w:rPr>
        <w:t>Equity</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inclusion</w:t>
      </w:r>
      <w:proofErr w:type="spellEnd"/>
      <w:r w:rsidRPr="0075221B">
        <w:rPr>
          <w:rFonts w:ascii="Times New Roman" w:hAnsi="Times New Roman" w:cs="Times New Roman"/>
        </w:rPr>
        <w:t xml:space="preserve">, and </w:t>
      </w:r>
      <w:proofErr w:type="spellStart"/>
      <w:r w:rsidRPr="0075221B">
        <w:rPr>
          <w:rFonts w:ascii="Times New Roman" w:hAnsi="Times New Roman" w:cs="Times New Roman"/>
        </w:rPr>
        <w:t>antiblackness</w:t>
      </w:r>
      <w:proofErr w:type="spellEnd"/>
      <w:r w:rsidRPr="0075221B">
        <w:rPr>
          <w:rFonts w:ascii="Times New Roman" w:hAnsi="Times New Roman" w:cs="Times New Roman"/>
        </w:rPr>
        <w:t xml:space="preserve"> in mathematics </w:t>
      </w:r>
      <w:proofErr w:type="spellStart"/>
      <w:r w:rsidRPr="0075221B">
        <w:rPr>
          <w:rFonts w:ascii="Times New Roman" w:hAnsi="Times New Roman" w:cs="Times New Roman"/>
        </w:rPr>
        <w:t>education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Race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Ethnicity</w:t>
      </w:r>
      <w:proofErr w:type="spellEnd"/>
      <w:r w:rsidRPr="0075221B">
        <w:rPr>
          <w:rFonts w:ascii="Times New Roman" w:hAnsi="Times New Roman" w:cs="Times New Roman"/>
        </w:rPr>
        <w:t xml:space="preserve"> and Education, 22(4), 459–478.</w:t>
      </w:r>
    </w:p>
    <w:p w14:paraId="34FB151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lastRenderedPageBreak/>
        <w:t>NASCIMENTO ABDIAS DO, 1914 – 2011. O Genocídio do negro brasileiro – 3ª edição – São Paulo: Perspectivas, 2016.</w:t>
      </w:r>
    </w:p>
    <w:p w14:paraId="1F65E64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OCDE. Organização para a Cooperação e Desenvolvimento Econômico, "GPS de Educação, OCDE, 31/01/</w:t>
      </w:r>
      <w:proofErr w:type="gramStart"/>
      <w:r w:rsidRPr="0075221B">
        <w:rPr>
          <w:rFonts w:ascii="Times New Roman" w:hAnsi="Times New Roman" w:cs="Times New Roman"/>
        </w:rPr>
        <w:t>2026,.</w:t>
      </w:r>
      <w:proofErr w:type="gramEnd"/>
    </w:p>
    <w:p w14:paraId="233F3AF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OLIVEIRA, Marcos Barbosa. Neutralidade da ciência, desencantamento do mundo e controle da natureza. </w:t>
      </w:r>
      <w:proofErr w:type="spellStart"/>
      <w:r w:rsidRPr="0075221B">
        <w:rPr>
          <w:rFonts w:ascii="Times New Roman" w:hAnsi="Times New Roman" w:cs="Times New Roman"/>
        </w:rPr>
        <w:t>Scientiae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Studia</w:t>
      </w:r>
      <w:proofErr w:type="spellEnd"/>
      <w:r w:rsidRPr="0075221B">
        <w:rPr>
          <w:rFonts w:ascii="Times New Roman" w:hAnsi="Times New Roman" w:cs="Times New Roman"/>
        </w:rPr>
        <w:t>, São Paulo, v.6, n. 1, p. 97 - 116, 2008.</w:t>
      </w:r>
    </w:p>
    <w:p w14:paraId="4BC59FB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PATTO, M.H.S. A produção do fracasso escolar: histórias de submissão e rebeldia. 4. ed. São Paulo: Casa do Psicólogo, 2015.</w:t>
      </w:r>
    </w:p>
    <w:p w14:paraId="778C4F9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PATTO, M.H.S. Ciência e política na Primeira República: origens da psicologia escolar. </w:t>
      </w:r>
      <w:proofErr w:type="spellStart"/>
      <w:r w:rsidRPr="0075221B">
        <w:rPr>
          <w:rFonts w:ascii="Times New Roman" w:hAnsi="Times New Roman" w:cs="Times New Roman"/>
        </w:rPr>
        <w:t>Mnemosine</w:t>
      </w:r>
      <w:proofErr w:type="spellEnd"/>
      <w:r w:rsidRPr="0075221B">
        <w:rPr>
          <w:rFonts w:ascii="Times New Roman" w:hAnsi="Times New Roman" w:cs="Times New Roman"/>
        </w:rPr>
        <w:t>, v. 1, n. especial, p. 203-225, 2004.</w:t>
      </w:r>
    </w:p>
    <w:p w14:paraId="5CD5810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PATTO, M.H.S. Estado, ciência e política na Primeira República: a desqualificação dos pobres. Estudos Avançados, v. 13, n. 35, p. 167-198, 1999.</w:t>
      </w:r>
    </w:p>
    <w:p w14:paraId="05C5016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PINTO, N. B. Cultura escolar e práticas avaliativas: uma análise das provas de Matemática do exame de admissão ao ginásio. In: VALENTE, W. R. (Ed.). Avaliação em Matemática: história e perspectivas atuais. Campinas, SP: Papirus, 2008.</w:t>
      </w:r>
    </w:p>
    <w:p w14:paraId="71D2B36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PONTE, João Pedro da. Concepções dos Professores de Matemática e Processos de Formação. Educação matemática: Temas de investigação, p. 1–40, 1992.</w:t>
      </w:r>
    </w:p>
    <w:p w14:paraId="3B39C6CB"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RAMOS, A. A família e a escola (Conselhos de higiene mental aos pais), </w:t>
      </w:r>
      <w:proofErr w:type="spellStart"/>
      <w:r w:rsidRPr="0075221B">
        <w:rPr>
          <w:rFonts w:ascii="Times New Roman" w:hAnsi="Times New Roman" w:cs="Times New Roman"/>
        </w:rPr>
        <w:t>Sérei</w:t>
      </w:r>
      <w:proofErr w:type="spellEnd"/>
      <w:r w:rsidRPr="0075221B">
        <w:rPr>
          <w:rFonts w:ascii="Times New Roman" w:hAnsi="Times New Roman" w:cs="Times New Roman"/>
        </w:rPr>
        <w:t xml:space="preserve"> D – Vulgarização. Rio de Janeiro: Oficina Gráfica do Departamento de Educação, 1934, p.7.</w:t>
      </w:r>
    </w:p>
    <w:p w14:paraId="328C392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RIBEIRO, </w:t>
      </w:r>
      <w:proofErr w:type="spellStart"/>
      <w:r w:rsidRPr="0075221B">
        <w:rPr>
          <w:rFonts w:ascii="Times New Roman" w:hAnsi="Times New Roman" w:cs="Times New Roman"/>
        </w:rPr>
        <w:t>Djamila</w:t>
      </w:r>
      <w:proofErr w:type="spellEnd"/>
      <w:r w:rsidRPr="0075221B">
        <w:rPr>
          <w:rFonts w:ascii="Times New Roman" w:hAnsi="Times New Roman" w:cs="Times New Roman"/>
        </w:rPr>
        <w:t>. Pequeno Manual Antirracista. 1. ed. São Paulo: Companhia das Letras, 2019.</w:t>
      </w:r>
    </w:p>
    <w:p w14:paraId="4878899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RIBEIRO, Maria Alice Rosa; PENTEADO, Maria Aparecida Alvim Camargo. Escravos hipotecados, Campinas, 1865-1874. Revista de História, São Paulo, n. 179, p. 01–39, 2020. DOI: 10.11606/issn.2316-9141.rh.2020.152744. Disponível em: https://revistas.usp.br/revhistoria/article/view/152744. Acesso em: 5 jan. 2026.</w:t>
      </w:r>
    </w:p>
    <w:p w14:paraId="5343678E"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ROMEIRO, N. Medicina e educação. Revista de Educação Pública 1, nº 3, p. 359, 1943.</w:t>
      </w:r>
    </w:p>
    <w:p w14:paraId="5BE89C8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ROQUE, Tatiana; GIRALDO, Victor História e Tecnologia na Construção de um ambiente Problemático para o Ensino de Matemática. In: ROQUE, T.; GIRALDO, V. (Ed.). O saber do Professor de Matemática: Ultrapassando a Dicotomia entre Didática e Conteúdo. Rio de Janeiro: Editora Ciência Moderna Ltda, 2014.</w:t>
      </w:r>
    </w:p>
    <w:p w14:paraId="05CA077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RUBEL, Laurie (2017). </w:t>
      </w:r>
      <w:proofErr w:type="spellStart"/>
      <w:r w:rsidRPr="0075221B">
        <w:rPr>
          <w:rFonts w:ascii="Times New Roman" w:hAnsi="Times New Roman" w:cs="Times New Roman"/>
        </w:rPr>
        <w:t>Equity-directed</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instructional</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practices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Beyond</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the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dominant</w:t>
      </w:r>
      <w:proofErr w:type="spellEnd"/>
      <w:r w:rsidRPr="0075221B">
        <w:rPr>
          <w:rFonts w:ascii="Times New Roman" w:hAnsi="Times New Roman" w:cs="Times New Roman"/>
        </w:rPr>
        <w:t xml:space="preserve"> perspective.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of </w:t>
      </w:r>
      <w:proofErr w:type="spellStart"/>
      <w:r w:rsidRPr="0075221B">
        <w:rPr>
          <w:rFonts w:ascii="Times New Roman" w:hAnsi="Times New Roman" w:cs="Times New Roman"/>
        </w:rPr>
        <w:t>Urban</w:t>
      </w:r>
      <w:proofErr w:type="spellEnd"/>
      <w:r w:rsidRPr="0075221B">
        <w:rPr>
          <w:rFonts w:ascii="Times New Roman" w:hAnsi="Times New Roman" w:cs="Times New Roman"/>
        </w:rPr>
        <w:t xml:space="preserve"> Mathematics Education, 10(2).</w:t>
      </w:r>
    </w:p>
    <w:p w14:paraId="328D35F3"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RUTHERFORD, Adam, Raça é uma construção social? O que a genética nos ensina sobre </w:t>
      </w:r>
      <w:proofErr w:type="spellStart"/>
      <w:r w:rsidRPr="0075221B">
        <w:rPr>
          <w:rFonts w:ascii="Times New Roman" w:hAnsi="Times New Roman" w:cs="Times New Roman"/>
        </w:rPr>
        <w:t>isso.Disponível</w:t>
      </w:r>
      <w:proofErr w:type="spellEnd"/>
      <w:r w:rsidRPr="0075221B">
        <w:rPr>
          <w:rFonts w:ascii="Times New Roman" w:hAnsi="Times New Roman" w:cs="Times New Roman"/>
        </w:rPr>
        <w:t xml:space="preserve"> em: https://epocanegocios.globo.com/ciencia-e-saude/noticia/2025/04/raca-e-uma-construcao-social-o-que-a-genetica-nos-ensina-sobre-isso.ghtml. Acesso em: 1 fev. 2026.</w:t>
      </w:r>
    </w:p>
    <w:p w14:paraId="6E5B7D52"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SANTOS, D. J. da S.; PALOMARES, N. B.; NORMANDO, D.; QUINTÃO, C. C. A. Raça versus etnia: diferenciar para melhor aplicar. Dental Press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of </w:t>
      </w:r>
      <w:proofErr w:type="spellStart"/>
      <w:r w:rsidRPr="0075221B">
        <w:rPr>
          <w:rFonts w:ascii="Times New Roman" w:hAnsi="Times New Roman" w:cs="Times New Roman"/>
        </w:rPr>
        <w:t>Orthodontics</w:t>
      </w:r>
      <w:proofErr w:type="spellEnd"/>
      <w:r w:rsidRPr="0075221B">
        <w:rPr>
          <w:rFonts w:ascii="Times New Roman" w:hAnsi="Times New Roman" w:cs="Times New Roman"/>
        </w:rPr>
        <w:t>, v. 15, n. 3, p. 121-124, 2010.</w:t>
      </w:r>
    </w:p>
    <w:p w14:paraId="46E3AF0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lastRenderedPageBreak/>
        <w:t xml:space="preserve">SCHWARCZ, Lilia </w:t>
      </w:r>
      <w:proofErr w:type="spellStart"/>
      <w:r w:rsidRPr="0075221B">
        <w:rPr>
          <w:rFonts w:ascii="Times New Roman" w:hAnsi="Times New Roman" w:cs="Times New Roman"/>
        </w:rPr>
        <w:t>Mortiz</w:t>
      </w:r>
      <w:proofErr w:type="spellEnd"/>
      <w:r w:rsidRPr="0075221B">
        <w:rPr>
          <w:rFonts w:ascii="Times New Roman" w:hAnsi="Times New Roman" w:cs="Times New Roman"/>
        </w:rPr>
        <w:t>. Nem preto nem branco, muito pelo con­trário: cor e raça na sociabilidade brasileira. Companhia das Letras, São Paulo, l ª· edição, 2012.</w:t>
      </w:r>
    </w:p>
    <w:p w14:paraId="27BE32C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SCHWARCZ, Lilian </w:t>
      </w:r>
      <w:proofErr w:type="spellStart"/>
      <w:r w:rsidRPr="0075221B">
        <w:rPr>
          <w:rFonts w:ascii="Times New Roman" w:hAnsi="Times New Roman" w:cs="Times New Roman"/>
        </w:rPr>
        <w:t>Mortiz</w:t>
      </w:r>
      <w:proofErr w:type="spellEnd"/>
      <w:r w:rsidRPr="0075221B">
        <w:rPr>
          <w:rFonts w:ascii="Times New Roman" w:hAnsi="Times New Roman" w:cs="Times New Roman"/>
        </w:rPr>
        <w:t xml:space="preserve">. Eugenia. In. </w:t>
      </w:r>
      <w:proofErr w:type="spellStart"/>
      <w:r w:rsidRPr="0075221B">
        <w:rPr>
          <w:rFonts w:ascii="Times New Roman" w:hAnsi="Times New Roman" w:cs="Times New Roman"/>
        </w:rPr>
        <w:t>RIOs</w:t>
      </w:r>
      <w:proofErr w:type="spellEnd"/>
      <w:r w:rsidRPr="0075221B">
        <w:rPr>
          <w:rFonts w:ascii="Times New Roman" w:hAnsi="Times New Roman" w:cs="Times New Roman"/>
        </w:rPr>
        <w:t xml:space="preserve">, Flávia; Santos, André dos; RATTS, Alex. </w:t>
      </w:r>
      <w:proofErr w:type="spellStart"/>
      <w:r w:rsidRPr="0075221B">
        <w:rPr>
          <w:rFonts w:ascii="Times New Roman" w:hAnsi="Times New Roman" w:cs="Times New Roman"/>
        </w:rPr>
        <w:t>Orgs</w:t>
      </w:r>
      <w:proofErr w:type="spellEnd"/>
      <w:r w:rsidRPr="0075221B">
        <w:rPr>
          <w:rFonts w:ascii="Times New Roman" w:hAnsi="Times New Roman" w:cs="Times New Roman"/>
        </w:rPr>
        <w:t xml:space="preserve">. Dicionário das relações étnico-raciais contemporâneas. 1ª Edição – São Paulo, </w:t>
      </w:r>
      <w:proofErr w:type="spellStart"/>
      <w:r w:rsidRPr="0075221B">
        <w:rPr>
          <w:rFonts w:ascii="Times New Roman" w:hAnsi="Times New Roman" w:cs="Times New Roman"/>
        </w:rPr>
        <w:t>Perspetiva</w:t>
      </w:r>
      <w:proofErr w:type="spellEnd"/>
      <w:r w:rsidRPr="0075221B">
        <w:rPr>
          <w:rFonts w:ascii="Times New Roman" w:hAnsi="Times New Roman" w:cs="Times New Roman"/>
        </w:rPr>
        <w:t>, 2023, pp. 143-148.</w:t>
      </w:r>
    </w:p>
    <w:p w14:paraId="46AFB019"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SILVA, Carmem Jesus da; SANTOS, José Francisco dos. Discurso eugênico racial na educação brasileira (1929-1933). </w:t>
      </w:r>
      <w:proofErr w:type="spellStart"/>
      <w:r w:rsidRPr="0075221B">
        <w:rPr>
          <w:rFonts w:ascii="Times New Roman" w:hAnsi="Times New Roman" w:cs="Times New Roman"/>
        </w:rPr>
        <w:t>R_e_v_i_s_t_a</w:t>
      </w:r>
      <w:proofErr w:type="spellEnd"/>
      <w:r w:rsidRPr="0075221B">
        <w:rPr>
          <w:rFonts w:ascii="Times New Roman" w:hAnsi="Times New Roman" w:cs="Times New Roman"/>
        </w:rPr>
        <w:t>_ _</w:t>
      </w:r>
      <w:proofErr w:type="spellStart"/>
      <w:r w:rsidRPr="0075221B">
        <w:rPr>
          <w:rFonts w:ascii="Times New Roman" w:hAnsi="Times New Roman" w:cs="Times New Roman"/>
        </w:rPr>
        <w:t>E_s_t_u_d_o_s</w:t>
      </w:r>
      <w:proofErr w:type="spellEnd"/>
      <w:r w:rsidRPr="0075221B">
        <w:rPr>
          <w:rFonts w:ascii="Times New Roman" w:hAnsi="Times New Roman" w:cs="Times New Roman"/>
        </w:rPr>
        <w:t>_ _</w:t>
      </w:r>
      <w:proofErr w:type="spellStart"/>
      <w:r w:rsidRPr="0075221B">
        <w:rPr>
          <w:rFonts w:ascii="Times New Roman" w:hAnsi="Times New Roman" w:cs="Times New Roman"/>
        </w:rPr>
        <w:t>A_p_l_i_c_a_d_o_s</w:t>
      </w:r>
      <w:proofErr w:type="spellEnd"/>
      <w:r w:rsidRPr="0075221B">
        <w:rPr>
          <w:rFonts w:ascii="Times New Roman" w:hAnsi="Times New Roman" w:cs="Times New Roman"/>
        </w:rPr>
        <w:t>_ _</w:t>
      </w:r>
      <w:proofErr w:type="spellStart"/>
      <w:r w:rsidRPr="0075221B">
        <w:rPr>
          <w:rFonts w:ascii="Times New Roman" w:hAnsi="Times New Roman" w:cs="Times New Roman"/>
        </w:rPr>
        <w:t>e_m</w:t>
      </w:r>
      <w:proofErr w:type="spellEnd"/>
      <w:r w:rsidRPr="0075221B">
        <w:rPr>
          <w:rFonts w:ascii="Times New Roman" w:hAnsi="Times New Roman" w:cs="Times New Roman"/>
        </w:rPr>
        <w:t>_ _</w:t>
      </w:r>
      <w:proofErr w:type="spellStart"/>
      <w:r w:rsidRPr="0075221B">
        <w:rPr>
          <w:rFonts w:ascii="Times New Roman" w:hAnsi="Times New Roman" w:cs="Times New Roman"/>
        </w:rPr>
        <w:t>E_d_u_c_a_ção</w:t>
      </w:r>
      <w:proofErr w:type="spellEnd"/>
      <w:r w:rsidRPr="0075221B">
        <w:rPr>
          <w:rFonts w:ascii="Times New Roman" w:hAnsi="Times New Roman" w:cs="Times New Roman"/>
        </w:rPr>
        <w:t>_, v. 9, e20249465, 2024. DOI https//doi.org/10.13037/reae.vol9.e20249465.</w:t>
      </w:r>
    </w:p>
    <w:p w14:paraId="48876A8A" w14:textId="5C0E2CE8" w:rsidR="0082024A" w:rsidRPr="0075221B" w:rsidRDefault="0082024A" w:rsidP="0082024A">
      <w:pPr>
        <w:rPr>
          <w:rFonts w:ascii="Times New Roman" w:hAnsi="Times New Roman" w:cs="Times New Roman"/>
        </w:rPr>
      </w:pPr>
      <w:r w:rsidRPr="0075221B">
        <w:rPr>
          <w:rFonts w:ascii="Times New Roman" w:hAnsi="Times New Roman" w:cs="Times New Roman"/>
        </w:rPr>
        <w:t xml:space="preserve">SILVA, Circe Mary Silva da. Formação de professores e pesquisadores de matemática na Faculdade Nacional de Filosofia. Cadernos de Pesquisa, São Paulo, n. 117, nov. 2002. </w:t>
      </w:r>
    </w:p>
    <w:p w14:paraId="5D038FD0"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SKOVSMOSE, O. O que poderia significar a educação matemática crítica para diferentes grupos de estudantes? Revista Paranaense de Educação Matemática, v. 6, n. 12, p. 18-37, 2020.</w:t>
      </w:r>
    </w:p>
    <w:p w14:paraId="6CB10B81"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SOARES, José Francisco e Maria Teresa Gonzaga Alves, "Desigualdades raciais no sistema brasileiro de educação básica, " Educação e Pesquisa, 2003, 29, 147–165.</w:t>
      </w:r>
    </w:p>
    <w:p w14:paraId="04281AF1"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TENTI FANFANI, Emilio. </w:t>
      </w:r>
      <w:proofErr w:type="spellStart"/>
      <w:r w:rsidRPr="0075221B">
        <w:rPr>
          <w:rFonts w:ascii="Times New Roman" w:hAnsi="Times New Roman" w:cs="Times New Roman"/>
        </w:rPr>
        <w:t>Introducción</w:t>
      </w:r>
      <w:proofErr w:type="spellEnd"/>
      <w:r w:rsidRPr="0075221B">
        <w:rPr>
          <w:rFonts w:ascii="Times New Roman" w:hAnsi="Times New Roman" w:cs="Times New Roman"/>
        </w:rPr>
        <w:t xml:space="preserve">: Mirar la </w:t>
      </w:r>
      <w:proofErr w:type="spellStart"/>
      <w:r w:rsidRPr="0075221B">
        <w:rPr>
          <w:rFonts w:ascii="Times New Roman" w:hAnsi="Times New Roman" w:cs="Times New Roman"/>
        </w:rPr>
        <w:t>escuela</w:t>
      </w:r>
      <w:proofErr w:type="spellEnd"/>
      <w:r w:rsidRPr="0075221B">
        <w:rPr>
          <w:rFonts w:ascii="Times New Roman" w:hAnsi="Times New Roman" w:cs="Times New Roman"/>
        </w:rPr>
        <w:t xml:space="preserve"> desde </w:t>
      </w:r>
      <w:proofErr w:type="spellStart"/>
      <w:r w:rsidRPr="0075221B">
        <w:rPr>
          <w:rFonts w:ascii="Times New Roman" w:hAnsi="Times New Roman" w:cs="Times New Roman"/>
        </w:rPr>
        <w:t>afuera</w:t>
      </w:r>
      <w:proofErr w:type="spellEnd"/>
      <w:r w:rsidRPr="0075221B">
        <w:rPr>
          <w:rFonts w:ascii="Times New Roman" w:hAnsi="Times New Roman" w:cs="Times New Roman"/>
        </w:rPr>
        <w:t xml:space="preserve">. In: TENTI FANFANI, Emilio (Org.). </w:t>
      </w:r>
      <w:proofErr w:type="spellStart"/>
      <w:r w:rsidRPr="0075221B">
        <w:rPr>
          <w:rFonts w:ascii="Times New Roman" w:hAnsi="Times New Roman" w:cs="Times New Roman"/>
        </w:rPr>
        <w:t>Nuevos</w:t>
      </w:r>
      <w:proofErr w:type="spellEnd"/>
      <w:r w:rsidRPr="0075221B">
        <w:rPr>
          <w:rFonts w:ascii="Times New Roman" w:hAnsi="Times New Roman" w:cs="Times New Roman"/>
        </w:rPr>
        <w:t xml:space="preserve"> temas </w:t>
      </w:r>
      <w:proofErr w:type="spellStart"/>
      <w:r w:rsidRPr="0075221B">
        <w:rPr>
          <w:rFonts w:ascii="Times New Roman" w:hAnsi="Times New Roman" w:cs="Times New Roman"/>
        </w:rPr>
        <w:t>enla</w:t>
      </w:r>
      <w:proofErr w:type="spellEnd"/>
      <w:r w:rsidRPr="0075221B">
        <w:rPr>
          <w:rFonts w:ascii="Times New Roman" w:hAnsi="Times New Roman" w:cs="Times New Roman"/>
        </w:rPr>
        <w:t xml:space="preserve"> agenda de política educativa. Buenos Aires: </w:t>
      </w:r>
      <w:proofErr w:type="spellStart"/>
      <w:r w:rsidRPr="0075221B">
        <w:rPr>
          <w:rFonts w:ascii="Times New Roman" w:hAnsi="Times New Roman" w:cs="Times New Roman"/>
        </w:rPr>
        <w:t>Siglo</w:t>
      </w:r>
      <w:proofErr w:type="spellEnd"/>
      <w:r w:rsidRPr="0075221B">
        <w:rPr>
          <w:rFonts w:ascii="Times New Roman" w:hAnsi="Times New Roman" w:cs="Times New Roman"/>
        </w:rPr>
        <w:t xml:space="preserve"> XXI Editores, 2008.</w:t>
      </w:r>
    </w:p>
    <w:p w14:paraId="119E5131" w14:textId="677E18F3"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STEPAN, Nancy </w:t>
      </w:r>
      <w:proofErr w:type="spellStart"/>
      <w:r w:rsidRPr="0075221B">
        <w:rPr>
          <w:rFonts w:ascii="Times New Roman" w:hAnsi="Times New Roman" w:cs="Times New Roman"/>
        </w:rPr>
        <w:t>Leys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Ithaca</w:t>
      </w:r>
      <w:proofErr w:type="spellEnd"/>
      <w:r w:rsidRPr="0075221B">
        <w:rPr>
          <w:rFonts w:ascii="Times New Roman" w:hAnsi="Times New Roman" w:cs="Times New Roman"/>
        </w:rPr>
        <w:t xml:space="preserve">. THE HOUR OF EUGENICS": RACE, </w:t>
      </w:r>
      <w:proofErr w:type="spellStart"/>
      <w:r w:rsidRPr="0075221B">
        <w:rPr>
          <w:rFonts w:ascii="Times New Roman" w:hAnsi="Times New Roman" w:cs="Times New Roman"/>
        </w:rPr>
        <w:t>Gender</w:t>
      </w:r>
      <w:proofErr w:type="spellEnd"/>
      <w:r w:rsidRPr="0075221B">
        <w:rPr>
          <w:rFonts w:ascii="Times New Roman" w:hAnsi="Times New Roman" w:cs="Times New Roman"/>
        </w:rPr>
        <w:t xml:space="preserve">, and Nation in </w:t>
      </w:r>
      <w:proofErr w:type="spellStart"/>
      <w:r w:rsidRPr="0075221B">
        <w:rPr>
          <w:rFonts w:ascii="Times New Roman" w:hAnsi="Times New Roman" w:cs="Times New Roman"/>
        </w:rPr>
        <w:t>Latin</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America</w:t>
      </w:r>
      <w:proofErr w:type="spellEnd"/>
      <w:r w:rsidRPr="0075221B">
        <w:rPr>
          <w:rFonts w:ascii="Times New Roman" w:hAnsi="Times New Roman" w:cs="Times New Roman"/>
        </w:rPr>
        <w:t xml:space="preserve">. Cornell </w:t>
      </w:r>
      <w:proofErr w:type="spellStart"/>
      <w:r w:rsidRPr="0075221B">
        <w:rPr>
          <w:rFonts w:ascii="Times New Roman" w:hAnsi="Times New Roman" w:cs="Times New Roman"/>
        </w:rPr>
        <w:t>University</w:t>
      </w:r>
      <w:proofErr w:type="spellEnd"/>
      <w:r w:rsidRPr="0075221B">
        <w:rPr>
          <w:rFonts w:ascii="Times New Roman" w:hAnsi="Times New Roman" w:cs="Times New Roman"/>
        </w:rPr>
        <w:t xml:space="preserve"> Press, 1991. Notes. Index. </w:t>
      </w:r>
      <w:proofErr w:type="spellStart"/>
      <w:r w:rsidRPr="0075221B">
        <w:rPr>
          <w:rFonts w:ascii="Times New Roman" w:hAnsi="Times New Roman" w:cs="Times New Roman"/>
        </w:rPr>
        <w:t>viii</w:t>
      </w:r>
      <w:proofErr w:type="spellEnd"/>
      <w:r w:rsidRPr="0075221B">
        <w:rPr>
          <w:rFonts w:ascii="Times New Roman" w:hAnsi="Times New Roman" w:cs="Times New Roman"/>
        </w:rPr>
        <w:t>, 210 pp.</w:t>
      </w:r>
    </w:p>
    <w:p w14:paraId="019D7CC7"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THOMPSON, Alba. </w:t>
      </w:r>
      <w:proofErr w:type="gramStart"/>
      <w:r w:rsidRPr="0075221B">
        <w:rPr>
          <w:rFonts w:ascii="Times New Roman" w:hAnsi="Times New Roman" w:cs="Times New Roman"/>
        </w:rPr>
        <w:t>G..</w:t>
      </w:r>
      <w:proofErr w:type="gramEnd"/>
      <w:r w:rsidRPr="0075221B">
        <w:rPr>
          <w:rFonts w:ascii="Times New Roman" w:hAnsi="Times New Roman" w:cs="Times New Roman"/>
        </w:rPr>
        <w:t xml:space="preserve"> Teachers' </w:t>
      </w:r>
      <w:proofErr w:type="spellStart"/>
      <w:r w:rsidRPr="0075221B">
        <w:rPr>
          <w:rFonts w:ascii="Times New Roman" w:hAnsi="Times New Roman" w:cs="Times New Roman"/>
        </w:rPr>
        <w:t>beliefs</w:t>
      </w:r>
      <w:proofErr w:type="spellEnd"/>
      <w:r w:rsidRPr="0075221B">
        <w:rPr>
          <w:rFonts w:ascii="Times New Roman" w:hAnsi="Times New Roman" w:cs="Times New Roman"/>
        </w:rPr>
        <w:t xml:space="preserve"> and conceptions: A </w:t>
      </w:r>
      <w:proofErr w:type="spellStart"/>
      <w:r w:rsidRPr="0075221B">
        <w:rPr>
          <w:rFonts w:ascii="Times New Roman" w:hAnsi="Times New Roman" w:cs="Times New Roman"/>
        </w:rPr>
        <w:t>synthesis</w:t>
      </w:r>
      <w:proofErr w:type="spellEnd"/>
      <w:r w:rsidRPr="0075221B">
        <w:rPr>
          <w:rFonts w:ascii="Times New Roman" w:hAnsi="Times New Roman" w:cs="Times New Roman"/>
        </w:rPr>
        <w:t xml:space="preserve"> of </w:t>
      </w:r>
      <w:proofErr w:type="spellStart"/>
      <w:r w:rsidRPr="0075221B">
        <w:rPr>
          <w:rFonts w:ascii="Times New Roman" w:hAnsi="Times New Roman" w:cs="Times New Roman"/>
        </w:rPr>
        <w:t>the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research</w:t>
      </w:r>
      <w:proofErr w:type="spellEnd"/>
      <w:r w:rsidRPr="0075221B">
        <w:rPr>
          <w:rFonts w:ascii="Times New Roman" w:hAnsi="Times New Roman" w:cs="Times New Roman"/>
        </w:rPr>
        <w:t xml:space="preserve">. In D. A. </w:t>
      </w:r>
      <w:proofErr w:type="spellStart"/>
      <w:r w:rsidRPr="0075221B">
        <w:rPr>
          <w:rFonts w:ascii="Times New Roman" w:hAnsi="Times New Roman" w:cs="Times New Roman"/>
        </w:rPr>
        <w:t>Grouws</w:t>
      </w:r>
      <w:proofErr w:type="spellEnd"/>
      <w:r w:rsidRPr="0075221B">
        <w:rPr>
          <w:rFonts w:ascii="Times New Roman" w:hAnsi="Times New Roman" w:cs="Times New Roman"/>
        </w:rPr>
        <w:t xml:space="preserve"> Handbook of </w:t>
      </w:r>
      <w:proofErr w:type="spellStart"/>
      <w:r w:rsidRPr="0075221B">
        <w:rPr>
          <w:rFonts w:ascii="Times New Roman" w:hAnsi="Times New Roman" w:cs="Times New Roman"/>
        </w:rPr>
        <w:t>research</w:t>
      </w:r>
      <w:proofErr w:type="spellEnd"/>
      <w:r w:rsidRPr="0075221B">
        <w:rPr>
          <w:rFonts w:ascii="Times New Roman" w:hAnsi="Times New Roman" w:cs="Times New Roman"/>
        </w:rPr>
        <w:t xml:space="preserve"> in mathematics teaching and learning. 1ª Ed. New York, NY: Macmillan. 1992.p 127 - 146.</w:t>
      </w:r>
    </w:p>
    <w:p w14:paraId="11C885B5"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TODOS PELA EDUCAÇÃO. Anuário Brasileiro da Educação básica. Disponível em: https://anuario.todospelaeducacao.org.br/2025/. Acesso em: 1 fev. 2026.</w:t>
      </w:r>
    </w:p>
    <w:p w14:paraId="54BE390F"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TODOS PELA EDUCAÇÃO. Disponível em: https://anuario.todospelaeducacao.org.br/2025/o-anuario.html. Acesso em: 1 fev. 2026.</w:t>
      </w:r>
    </w:p>
    <w:p w14:paraId="209FE4A8"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VALENTE, W. R. Apontamentos para uma história da avaliação escolar em Matemática. In: VALENTE, W. R. (Ed.). Avaliação em Matemática: história e perspectivas atuais. Campinas, SP: Papirus, 2008.</w:t>
      </w:r>
    </w:p>
    <w:p w14:paraId="3113C7FD"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 xml:space="preserve">WILSON, </w:t>
      </w:r>
      <w:proofErr w:type="spellStart"/>
      <w:r w:rsidRPr="0075221B">
        <w:rPr>
          <w:rFonts w:ascii="Times New Roman" w:hAnsi="Times New Roman" w:cs="Times New Roman"/>
        </w:rPr>
        <w:t>Jonee</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Nazemi</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Mahtab</w:t>
      </w:r>
      <w:proofErr w:type="spellEnd"/>
      <w:r w:rsidRPr="0075221B">
        <w:rPr>
          <w:rFonts w:ascii="Times New Roman" w:hAnsi="Times New Roman" w:cs="Times New Roman"/>
        </w:rPr>
        <w:t xml:space="preserve">, Jackson, Kara, &amp; Wilhelm, Anne Garrison (2019). </w:t>
      </w:r>
      <w:proofErr w:type="spellStart"/>
      <w:r w:rsidRPr="0075221B">
        <w:rPr>
          <w:rFonts w:ascii="Times New Roman" w:hAnsi="Times New Roman" w:cs="Times New Roman"/>
        </w:rPr>
        <w:t>Investigating</w:t>
      </w:r>
      <w:proofErr w:type="spellEnd"/>
      <w:r w:rsidRPr="0075221B">
        <w:rPr>
          <w:rFonts w:ascii="Times New Roman" w:hAnsi="Times New Roman" w:cs="Times New Roman"/>
        </w:rPr>
        <w:t xml:space="preserve"> teaching in </w:t>
      </w:r>
      <w:proofErr w:type="spellStart"/>
      <w:r w:rsidRPr="0075221B">
        <w:rPr>
          <w:rFonts w:ascii="Times New Roman" w:hAnsi="Times New Roman" w:cs="Times New Roman"/>
        </w:rPr>
        <w:t>conceptually</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oriented</w:t>
      </w:r>
      <w:proofErr w:type="spellEnd"/>
      <w:r w:rsidRPr="0075221B">
        <w:rPr>
          <w:rFonts w:ascii="Times New Roman" w:hAnsi="Times New Roman" w:cs="Times New Roman"/>
        </w:rPr>
        <w:t xml:space="preserve"> mathematics </w:t>
      </w:r>
      <w:proofErr w:type="spellStart"/>
      <w:r w:rsidRPr="0075221B">
        <w:rPr>
          <w:rFonts w:ascii="Times New Roman" w:hAnsi="Times New Roman" w:cs="Times New Roman"/>
        </w:rPr>
        <w:t>classrooms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characterized</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by</w:t>
      </w:r>
      <w:proofErr w:type="spellEnd"/>
      <w:r w:rsidRPr="0075221B">
        <w:rPr>
          <w:rFonts w:ascii="Times New Roman" w:hAnsi="Times New Roman" w:cs="Times New Roman"/>
        </w:rPr>
        <w:t xml:space="preserve"> African American </w:t>
      </w:r>
      <w:proofErr w:type="spellStart"/>
      <w:r w:rsidRPr="0075221B">
        <w:rPr>
          <w:rFonts w:ascii="Times New Roman" w:hAnsi="Times New Roman" w:cs="Times New Roman"/>
        </w:rPr>
        <w:t>student</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success</w:t>
      </w:r>
      <w:proofErr w:type="spellEnd"/>
      <w:r w:rsidRPr="0075221B">
        <w:rPr>
          <w:rFonts w:ascii="Times New Roman" w:hAnsi="Times New Roman" w:cs="Times New Roman"/>
        </w:rPr>
        <w:t xml:space="preserve">. </w:t>
      </w:r>
      <w:proofErr w:type="spellStart"/>
      <w:r w:rsidRPr="0075221B">
        <w:rPr>
          <w:rFonts w:ascii="Times New Roman" w:hAnsi="Times New Roman" w:cs="Times New Roman"/>
        </w:rPr>
        <w:t>Journal</w:t>
      </w:r>
      <w:proofErr w:type="spellEnd"/>
      <w:r w:rsidRPr="0075221B">
        <w:rPr>
          <w:rFonts w:ascii="Times New Roman" w:hAnsi="Times New Roman" w:cs="Times New Roman"/>
        </w:rPr>
        <w:t xml:space="preserve"> for Research in Mathematics Education, 50(4), 362–400.</w:t>
      </w:r>
    </w:p>
    <w:p w14:paraId="5EEC0F46" w14:textId="77777777" w:rsidR="004E1FBE" w:rsidRPr="0075221B" w:rsidRDefault="004E1FBE" w:rsidP="004E1FBE">
      <w:pPr>
        <w:spacing w:after="120"/>
        <w:ind w:left="709" w:hanging="709"/>
        <w:rPr>
          <w:rFonts w:ascii="Times New Roman" w:hAnsi="Times New Roman" w:cs="Times New Roman"/>
        </w:rPr>
      </w:pPr>
      <w:r w:rsidRPr="0075221B">
        <w:rPr>
          <w:rFonts w:ascii="Times New Roman" w:hAnsi="Times New Roman" w:cs="Times New Roman"/>
        </w:rPr>
        <w:t>XAVIER, M. E. et al. História da educação: a escola no Brasil. São Paulo: FTD, 1994.</w:t>
      </w:r>
    </w:p>
    <w:p w14:paraId="67749BA4" w14:textId="77777777" w:rsidR="006E63AE" w:rsidRPr="0075221B" w:rsidRDefault="006E63AE" w:rsidP="0075221B">
      <w:pPr>
        <w:spacing w:line="360" w:lineRule="auto"/>
        <w:ind w:left="708" w:firstLine="1"/>
        <w:jc w:val="both"/>
        <w:rPr>
          <w:rFonts w:ascii="Times New Roman" w:hAnsi="Times New Roman" w:cs="Times New Roman"/>
          <w:color w:val="000000"/>
        </w:rPr>
      </w:pPr>
    </w:p>
    <w:sectPr w:rsidR="006E63AE" w:rsidRPr="0075221B" w:rsidSect="00C50A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Títulos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4D"/>
    <w:family w:val="auto"/>
    <w:pitch w:val="default"/>
    <w:sig w:usb0="00000003" w:usb1="00000000" w:usb2="00000000" w:usb3="00000000" w:csb0="00000001" w:csb1="00000000"/>
  </w:font>
  <w:font w:name="Arial-ItalicMT">
    <w:altName w:val="Arial"/>
    <w:panose1 w:val="020B0604020202020204"/>
    <w:charset w:val="4D"/>
    <w:family w:val="auto"/>
    <w:pitch w:val="default"/>
    <w:sig w:usb0="00000003" w:usb1="00000000" w:usb2="00000000" w:usb3="00000000" w:csb0="00000001" w:csb1="00000000"/>
  </w:font>
  <w:font w:name="UniversLTStd-Light">
    <w:altName w:val="Calibri"/>
    <w:panose1 w:val="020B0604020202020204"/>
    <w:charset w:val="4D"/>
    <w:family w:val="swiss"/>
    <w:pitch w:val="variable"/>
    <w:sig w:usb0="00000003" w:usb1="00000000" w:usb2="00000000" w:usb3="00000000" w:csb0="00000001" w:csb1="00000000"/>
  </w:font>
  <w:font w:name="UniversLTStd-Bold">
    <w:altName w:val="Calibri"/>
    <w:panose1 w:val="020B0604020202020204"/>
    <w:charset w:val="4D"/>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80237"/>
    <w:multiLevelType w:val="hybridMultilevel"/>
    <w:tmpl w:val="6C0C614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2CE87C38"/>
    <w:multiLevelType w:val="multilevel"/>
    <w:tmpl w:val="AAA4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C6D3A"/>
    <w:multiLevelType w:val="multilevel"/>
    <w:tmpl w:val="2508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867DA9"/>
    <w:multiLevelType w:val="multilevel"/>
    <w:tmpl w:val="0A50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984E11"/>
    <w:multiLevelType w:val="multilevel"/>
    <w:tmpl w:val="6436DB18"/>
    <w:lvl w:ilvl="0">
      <w:start w:val="1"/>
      <w:numFmt w:val="decimal"/>
      <w:pStyle w:val="Ttulo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532A3FD8"/>
    <w:multiLevelType w:val="multilevel"/>
    <w:tmpl w:val="1EB8D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27BFC"/>
    <w:multiLevelType w:val="hybridMultilevel"/>
    <w:tmpl w:val="9F24D85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76A85AD9"/>
    <w:multiLevelType w:val="multilevel"/>
    <w:tmpl w:val="125E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534035">
    <w:abstractNumId w:val="4"/>
  </w:num>
  <w:num w:numId="2" w16cid:durableId="31879686">
    <w:abstractNumId w:val="2"/>
  </w:num>
  <w:num w:numId="3" w16cid:durableId="1551183586">
    <w:abstractNumId w:val="1"/>
  </w:num>
  <w:num w:numId="4" w16cid:durableId="918442452">
    <w:abstractNumId w:val="3"/>
  </w:num>
  <w:num w:numId="5" w16cid:durableId="289820061">
    <w:abstractNumId w:val="7"/>
  </w:num>
  <w:num w:numId="6" w16cid:durableId="1243182783">
    <w:abstractNumId w:val="5"/>
  </w:num>
  <w:num w:numId="7" w16cid:durableId="1151209816">
    <w:abstractNumId w:val="0"/>
  </w:num>
  <w:num w:numId="8" w16cid:durableId="415633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866"/>
    <w:rsid w:val="00000CD5"/>
    <w:rsid w:val="00005D9B"/>
    <w:rsid w:val="00026A10"/>
    <w:rsid w:val="000321AC"/>
    <w:rsid w:val="00032A70"/>
    <w:rsid w:val="000343E2"/>
    <w:rsid w:val="000433CC"/>
    <w:rsid w:val="00045A6A"/>
    <w:rsid w:val="0005231D"/>
    <w:rsid w:val="000717B9"/>
    <w:rsid w:val="00087FF2"/>
    <w:rsid w:val="00093416"/>
    <w:rsid w:val="000961B8"/>
    <w:rsid w:val="000B1A8A"/>
    <w:rsid w:val="000C7962"/>
    <w:rsid w:val="000D35D5"/>
    <w:rsid w:val="000D3637"/>
    <w:rsid w:val="000D5AE6"/>
    <w:rsid w:val="000D7430"/>
    <w:rsid w:val="000E02CE"/>
    <w:rsid w:val="000E74B8"/>
    <w:rsid w:val="000E7F6A"/>
    <w:rsid w:val="001107DA"/>
    <w:rsid w:val="00120E4C"/>
    <w:rsid w:val="0015259F"/>
    <w:rsid w:val="00155FDB"/>
    <w:rsid w:val="001746C2"/>
    <w:rsid w:val="00181034"/>
    <w:rsid w:val="001825EE"/>
    <w:rsid w:val="00192827"/>
    <w:rsid w:val="001939FE"/>
    <w:rsid w:val="001B0E16"/>
    <w:rsid w:val="001F517E"/>
    <w:rsid w:val="001F5B5D"/>
    <w:rsid w:val="00210BC3"/>
    <w:rsid w:val="00236D49"/>
    <w:rsid w:val="00240F3A"/>
    <w:rsid w:val="002448EA"/>
    <w:rsid w:val="00262CDC"/>
    <w:rsid w:val="00263A69"/>
    <w:rsid w:val="00264C88"/>
    <w:rsid w:val="00273367"/>
    <w:rsid w:val="002974BE"/>
    <w:rsid w:val="002E7B57"/>
    <w:rsid w:val="002F52AC"/>
    <w:rsid w:val="003051D9"/>
    <w:rsid w:val="00323BA2"/>
    <w:rsid w:val="00323DDA"/>
    <w:rsid w:val="00323EB7"/>
    <w:rsid w:val="003245E2"/>
    <w:rsid w:val="00325A18"/>
    <w:rsid w:val="00335942"/>
    <w:rsid w:val="0034531B"/>
    <w:rsid w:val="003571A6"/>
    <w:rsid w:val="00361A54"/>
    <w:rsid w:val="00363CC0"/>
    <w:rsid w:val="003650BA"/>
    <w:rsid w:val="00383EBA"/>
    <w:rsid w:val="003840D9"/>
    <w:rsid w:val="00390A2C"/>
    <w:rsid w:val="003A12E6"/>
    <w:rsid w:val="003A318F"/>
    <w:rsid w:val="003A479A"/>
    <w:rsid w:val="003B0838"/>
    <w:rsid w:val="003B70B6"/>
    <w:rsid w:val="003C3449"/>
    <w:rsid w:val="003C3BBC"/>
    <w:rsid w:val="003C5368"/>
    <w:rsid w:val="003C5BE3"/>
    <w:rsid w:val="003D2C46"/>
    <w:rsid w:val="003E71ED"/>
    <w:rsid w:val="003F774D"/>
    <w:rsid w:val="003F7DB5"/>
    <w:rsid w:val="00400425"/>
    <w:rsid w:val="00400F46"/>
    <w:rsid w:val="004040BC"/>
    <w:rsid w:val="00414C7D"/>
    <w:rsid w:val="00435E25"/>
    <w:rsid w:val="00446C54"/>
    <w:rsid w:val="0045215F"/>
    <w:rsid w:val="00465CA0"/>
    <w:rsid w:val="00472183"/>
    <w:rsid w:val="00474075"/>
    <w:rsid w:val="00476F04"/>
    <w:rsid w:val="00480321"/>
    <w:rsid w:val="004876B2"/>
    <w:rsid w:val="004A78AD"/>
    <w:rsid w:val="004C1CC8"/>
    <w:rsid w:val="004C28E2"/>
    <w:rsid w:val="004C43E2"/>
    <w:rsid w:val="004C5189"/>
    <w:rsid w:val="004D7BAA"/>
    <w:rsid w:val="004E1FBE"/>
    <w:rsid w:val="004F1D27"/>
    <w:rsid w:val="004F5D5E"/>
    <w:rsid w:val="00505532"/>
    <w:rsid w:val="005064E8"/>
    <w:rsid w:val="00511029"/>
    <w:rsid w:val="00526A7B"/>
    <w:rsid w:val="005336D9"/>
    <w:rsid w:val="005401B4"/>
    <w:rsid w:val="00552866"/>
    <w:rsid w:val="005557A3"/>
    <w:rsid w:val="00561889"/>
    <w:rsid w:val="005642DF"/>
    <w:rsid w:val="005643C3"/>
    <w:rsid w:val="00565E5B"/>
    <w:rsid w:val="0056739E"/>
    <w:rsid w:val="00570CE9"/>
    <w:rsid w:val="005720AD"/>
    <w:rsid w:val="005775AE"/>
    <w:rsid w:val="00586C23"/>
    <w:rsid w:val="00587498"/>
    <w:rsid w:val="005949C5"/>
    <w:rsid w:val="00595FE5"/>
    <w:rsid w:val="005A2671"/>
    <w:rsid w:val="005B750C"/>
    <w:rsid w:val="005C19B0"/>
    <w:rsid w:val="005C68C3"/>
    <w:rsid w:val="005E031A"/>
    <w:rsid w:val="005E1E5D"/>
    <w:rsid w:val="005E2C38"/>
    <w:rsid w:val="005E3BFD"/>
    <w:rsid w:val="005E462D"/>
    <w:rsid w:val="005E7241"/>
    <w:rsid w:val="005F1344"/>
    <w:rsid w:val="005F41DB"/>
    <w:rsid w:val="0060157A"/>
    <w:rsid w:val="00612796"/>
    <w:rsid w:val="00613B18"/>
    <w:rsid w:val="00621C95"/>
    <w:rsid w:val="00641E0D"/>
    <w:rsid w:val="00676B86"/>
    <w:rsid w:val="006A1E4B"/>
    <w:rsid w:val="006A5FB2"/>
    <w:rsid w:val="006C72EA"/>
    <w:rsid w:val="006D2C28"/>
    <w:rsid w:val="006D49D4"/>
    <w:rsid w:val="006E5C40"/>
    <w:rsid w:val="006E63AE"/>
    <w:rsid w:val="006E7908"/>
    <w:rsid w:val="006F0675"/>
    <w:rsid w:val="006F1EE8"/>
    <w:rsid w:val="006F204E"/>
    <w:rsid w:val="006F60A4"/>
    <w:rsid w:val="00711277"/>
    <w:rsid w:val="0071626C"/>
    <w:rsid w:val="00721F7A"/>
    <w:rsid w:val="00723C02"/>
    <w:rsid w:val="007446CF"/>
    <w:rsid w:val="00750980"/>
    <w:rsid w:val="0075221B"/>
    <w:rsid w:val="00774CA3"/>
    <w:rsid w:val="00776404"/>
    <w:rsid w:val="007969A7"/>
    <w:rsid w:val="00796EB5"/>
    <w:rsid w:val="007B477A"/>
    <w:rsid w:val="007C7C6C"/>
    <w:rsid w:val="007D0E61"/>
    <w:rsid w:val="007D1424"/>
    <w:rsid w:val="007D7FB3"/>
    <w:rsid w:val="007E0253"/>
    <w:rsid w:val="0080232F"/>
    <w:rsid w:val="00805882"/>
    <w:rsid w:val="0081145E"/>
    <w:rsid w:val="0081451B"/>
    <w:rsid w:val="008179D9"/>
    <w:rsid w:val="0082024A"/>
    <w:rsid w:val="00820C7C"/>
    <w:rsid w:val="00852806"/>
    <w:rsid w:val="008554C1"/>
    <w:rsid w:val="00862F98"/>
    <w:rsid w:val="00863B1B"/>
    <w:rsid w:val="00894C64"/>
    <w:rsid w:val="0089545F"/>
    <w:rsid w:val="008977E6"/>
    <w:rsid w:val="008A2336"/>
    <w:rsid w:val="008A34B7"/>
    <w:rsid w:val="008A4944"/>
    <w:rsid w:val="008B4E7C"/>
    <w:rsid w:val="008C4E4D"/>
    <w:rsid w:val="008C686C"/>
    <w:rsid w:val="009013ED"/>
    <w:rsid w:val="009037B6"/>
    <w:rsid w:val="00915BF5"/>
    <w:rsid w:val="009168C0"/>
    <w:rsid w:val="0092270B"/>
    <w:rsid w:val="00923594"/>
    <w:rsid w:val="00933C28"/>
    <w:rsid w:val="0096069C"/>
    <w:rsid w:val="0097032A"/>
    <w:rsid w:val="0097748A"/>
    <w:rsid w:val="009852B7"/>
    <w:rsid w:val="00996E23"/>
    <w:rsid w:val="009B37FA"/>
    <w:rsid w:val="009B3A4F"/>
    <w:rsid w:val="009D367F"/>
    <w:rsid w:val="009F4A7A"/>
    <w:rsid w:val="00A310A8"/>
    <w:rsid w:val="00A56D1B"/>
    <w:rsid w:val="00A60B89"/>
    <w:rsid w:val="00A854B8"/>
    <w:rsid w:val="00A94899"/>
    <w:rsid w:val="00A97C9C"/>
    <w:rsid w:val="00AB0104"/>
    <w:rsid w:val="00AB1935"/>
    <w:rsid w:val="00AB23C7"/>
    <w:rsid w:val="00AC2434"/>
    <w:rsid w:val="00AE3332"/>
    <w:rsid w:val="00AE3E4B"/>
    <w:rsid w:val="00AE7347"/>
    <w:rsid w:val="00AE7DCC"/>
    <w:rsid w:val="00AF0467"/>
    <w:rsid w:val="00AF7CAA"/>
    <w:rsid w:val="00B020D8"/>
    <w:rsid w:val="00B077D9"/>
    <w:rsid w:val="00B21299"/>
    <w:rsid w:val="00B23B63"/>
    <w:rsid w:val="00B27AEB"/>
    <w:rsid w:val="00B523BA"/>
    <w:rsid w:val="00B63D29"/>
    <w:rsid w:val="00B846FF"/>
    <w:rsid w:val="00B84BA7"/>
    <w:rsid w:val="00B95099"/>
    <w:rsid w:val="00B978D0"/>
    <w:rsid w:val="00BA1C25"/>
    <w:rsid w:val="00BB2DE9"/>
    <w:rsid w:val="00BC531D"/>
    <w:rsid w:val="00BC6497"/>
    <w:rsid w:val="00BE3834"/>
    <w:rsid w:val="00C02EB7"/>
    <w:rsid w:val="00C057D7"/>
    <w:rsid w:val="00C06F9C"/>
    <w:rsid w:val="00C22592"/>
    <w:rsid w:val="00C23FA6"/>
    <w:rsid w:val="00C44DFD"/>
    <w:rsid w:val="00C467CA"/>
    <w:rsid w:val="00C50AF4"/>
    <w:rsid w:val="00C56E13"/>
    <w:rsid w:val="00C60957"/>
    <w:rsid w:val="00C8017A"/>
    <w:rsid w:val="00C91435"/>
    <w:rsid w:val="00CD3086"/>
    <w:rsid w:val="00CD5779"/>
    <w:rsid w:val="00CE74EC"/>
    <w:rsid w:val="00D30767"/>
    <w:rsid w:val="00D4012C"/>
    <w:rsid w:val="00D472E3"/>
    <w:rsid w:val="00D476F4"/>
    <w:rsid w:val="00D53167"/>
    <w:rsid w:val="00D70252"/>
    <w:rsid w:val="00D75171"/>
    <w:rsid w:val="00D7533B"/>
    <w:rsid w:val="00D81DDC"/>
    <w:rsid w:val="00D839E9"/>
    <w:rsid w:val="00D8535E"/>
    <w:rsid w:val="00DB03CD"/>
    <w:rsid w:val="00DB4713"/>
    <w:rsid w:val="00DF42FB"/>
    <w:rsid w:val="00E0355C"/>
    <w:rsid w:val="00E121D4"/>
    <w:rsid w:val="00E34950"/>
    <w:rsid w:val="00E44463"/>
    <w:rsid w:val="00E5013C"/>
    <w:rsid w:val="00E517CF"/>
    <w:rsid w:val="00E564E8"/>
    <w:rsid w:val="00E8187F"/>
    <w:rsid w:val="00E87553"/>
    <w:rsid w:val="00E917AF"/>
    <w:rsid w:val="00EA0F50"/>
    <w:rsid w:val="00EA439D"/>
    <w:rsid w:val="00EC0900"/>
    <w:rsid w:val="00EE36CD"/>
    <w:rsid w:val="00EF6E19"/>
    <w:rsid w:val="00F10098"/>
    <w:rsid w:val="00F20FBA"/>
    <w:rsid w:val="00F27653"/>
    <w:rsid w:val="00F336AE"/>
    <w:rsid w:val="00F51CC6"/>
    <w:rsid w:val="00F622A6"/>
    <w:rsid w:val="00F714BD"/>
    <w:rsid w:val="00F81974"/>
    <w:rsid w:val="00F85BD8"/>
    <w:rsid w:val="00FA085F"/>
    <w:rsid w:val="00FA1E90"/>
    <w:rsid w:val="00FE00AB"/>
    <w:rsid w:val="00FE6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3B67C73"/>
  <w15:chartTrackingRefBased/>
  <w15:docId w15:val="{B288349A-DD2E-BB4B-BFA4-4BEC5472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866"/>
  </w:style>
  <w:style w:type="paragraph" w:styleId="Ttulo1">
    <w:name w:val="heading 1"/>
    <w:basedOn w:val="Normal"/>
    <w:next w:val="Normal"/>
    <w:link w:val="Ttulo1Char"/>
    <w:uiPriority w:val="9"/>
    <w:qFormat/>
    <w:rsid w:val="001746C2"/>
    <w:pPr>
      <w:keepNext/>
      <w:keepLines/>
      <w:numPr>
        <w:numId w:val="1"/>
      </w:numPr>
      <w:spacing w:before="360" w:after="80"/>
      <w:jc w:val="both"/>
      <w:outlineLvl w:val="0"/>
    </w:pPr>
    <w:rPr>
      <w:rFonts w:ascii="Times New Roman" w:eastAsiaTheme="majorEastAsia" w:hAnsi="Times New Roman" w:cs="Times New Roman (Títulos CS)"/>
      <w:b/>
      <w:szCs w:val="40"/>
    </w:rPr>
  </w:style>
  <w:style w:type="paragraph" w:styleId="Ttulo2">
    <w:name w:val="heading 2"/>
    <w:basedOn w:val="Normal"/>
    <w:next w:val="Normal"/>
    <w:link w:val="Ttulo2Char"/>
    <w:uiPriority w:val="9"/>
    <w:unhideWhenUsed/>
    <w:qFormat/>
    <w:rsid w:val="00552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5528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5528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528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5286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5286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5286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5286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00arte">
    <w:name w:val="00_arte"/>
    <w:next w:val="Normal"/>
    <w:link w:val="00arteChar"/>
    <w:autoRedefine/>
    <w:qFormat/>
    <w:rsid w:val="005720AD"/>
    <w:pPr>
      <w:spacing w:after="160" w:line="259" w:lineRule="auto"/>
    </w:pPr>
    <w:rPr>
      <w:rFonts w:ascii="Arial" w:hAnsi="Arial" w:cs="ArialMT"/>
      <w:color w:val="355F91"/>
      <w:sz w:val="16"/>
      <w:szCs w:val="16"/>
    </w:rPr>
  </w:style>
  <w:style w:type="character" w:customStyle="1" w:styleId="00arteChar">
    <w:name w:val="00_arte Char"/>
    <w:basedOn w:val="Fontepargpadro"/>
    <w:link w:val="00arte"/>
    <w:rsid w:val="005720AD"/>
    <w:rPr>
      <w:rFonts w:ascii="Arial" w:hAnsi="Arial" w:cs="ArialMT"/>
      <w:color w:val="355F91"/>
      <w:sz w:val="16"/>
      <w:szCs w:val="16"/>
    </w:rPr>
  </w:style>
  <w:style w:type="paragraph" w:customStyle="1" w:styleId="00cabecalho">
    <w:name w:val="00_cabecalho"/>
    <w:link w:val="00cabecalhoChar"/>
    <w:autoRedefine/>
    <w:qFormat/>
    <w:rsid w:val="005720AD"/>
    <w:pPr>
      <w:spacing w:after="160"/>
    </w:pPr>
    <w:rPr>
      <w:rFonts w:ascii="Arial" w:hAnsi="Arial" w:cs="ArialMT"/>
      <w:color w:val="808284"/>
      <w:sz w:val="16"/>
      <w:szCs w:val="16"/>
    </w:rPr>
  </w:style>
  <w:style w:type="character" w:customStyle="1" w:styleId="00cabecalhoChar">
    <w:name w:val="00_cabecalho Char"/>
    <w:basedOn w:val="Fontepargpadro"/>
    <w:link w:val="00cabecalho"/>
    <w:rsid w:val="005720AD"/>
    <w:rPr>
      <w:rFonts w:ascii="Arial" w:hAnsi="Arial" w:cs="ArialMT"/>
      <w:color w:val="808284"/>
      <w:sz w:val="16"/>
      <w:szCs w:val="16"/>
    </w:rPr>
  </w:style>
  <w:style w:type="paragraph" w:customStyle="1" w:styleId="00cartografia">
    <w:name w:val="00_cartografia"/>
    <w:link w:val="00cartografiaChar"/>
    <w:qFormat/>
    <w:rsid w:val="005720AD"/>
    <w:pPr>
      <w:spacing w:after="160" w:line="259" w:lineRule="auto"/>
    </w:pPr>
    <w:rPr>
      <w:rFonts w:ascii="Arial" w:hAnsi="Arial" w:cs="ArialMT"/>
      <w:color w:val="F47B29"/>
      <w:sz w:val="15"/>
      <w:szCs w:val="15"/>
    </w:rPr>
  </w:style>
  <w:style w:type="character" w:customStyle="1" w:styleId="00cartografiaChar">
    <w:name w:val="00_cartografia Char"/>
    <w:basedOn w:val="Fontepargpadro"/>
    <w:link w:val="00cartografia"/>
    <w:rsid w:val="005720AD"/>
    <w:rPr>
      <w:rFonts w:ascii="Arial" w:hAnsi="Arial" w:cs="ArialMT"/>
      <w:color w:val="F47B29"/>
      <w:sz w:val="15"/>
      <w:szCs w:val="15"/>
    </w:rPr>
  </w:style>
  <w:style w:type="paragraph" w:customStyle="1" w:styleId="00iconografia">
    <w:name w:val="00_iconografia"/>
    <w:link w:val="00iconografiaChar"/>
    <w:qFormat/>
    <w:rsid w:val="005720AD"/>
    <w:pPr>
      <w:spacing w:after="160" w:line="259" w:lineRule="auto"/>
    </w:pPr>
    <w:rPr>
      <w:rFonts w:ascii="Arial" w:hAnsi="Arial" w:cs="ArialMT"/>
      <w:color w:val="0D9947"/>
      <w:sz w:val="16"/>
      <w:szCs w:val="16"/>
    </w:rPr>
  </w:style>
  <w:style w:type="character" w:customStyle="1" w:styleId="00iconografiaChar">
    <w:name w:val="00_iconografia Char"/>
    <w:basedOn w:val="Fontepargpadro"/>
    <w:link w:val="00iconografia"/>
    <w:rsid w:val="005720AD"/>
    <w:rPr>
      <w:rFonts w:ascii="Arial" w:hAnsi="Arial" w:cs="ArialMT"/>
      <w:color w:val="0D9947"/>
      <w:sz w:val="16"/>
      <w:szCs w:val="16"/>
    </w:rPr>
  </w:style>
  <w:style w:type="paragraph" w:customStyle="1" w:styleId="00iconografiareap">
    <w:name w:val="00_iconografia_reap"/>
    <w:link w:val="00iconografiareapChar"/>
    <w:qFormat/>
    <w:rsid w:val="005720AD"/>
    <w:pPr>
      <w:spacing w:after="160" w:line="259" w:lineRule="auto"/>
    </w:pPr>
    <w:rPr>
      <w:rFonts w:ascii="Arial" w:hAnsi="Arial" w:cs="Arial-ItalicMT"/>
      <w:i/>
      <w:iCs/>
      <w:color w:val="0D9947"/>
      <w:sz w:val="16"/>
      <w:szCs w:val="16"/>
    </w:rPr>
  </w:style>
  <w:style w:type="character" w:customStyle="1" w:styleId="00iconografiareapChar">
    <w:name w:val="00_iconografia_reap Char"/>
    <w:basedOn w:val="Fontepargpadro"/>
    <w:link w:val="00iconografiareap"/>
    <w:rsid w:val="005720AD"/>
    <w:rPr>
      <w:rFonts w:ascii="Arial" w:hAnsi="Arial" w:cs="Arial-ItalicMT"/>
      <w:i/>
      <w:iCs/>
      <w:color w:val="0D9947"/>
      <w:sz w:val="16"/>
      <w:szCs w:val="16"/>
    </w:rPr>
  </w:style>
  <w:style w:type="paragraph" w:customStyle="1" w:styleId="00ilustracao">
    <w:name w:val="00_ilustracao"/>
    <w:link w:val="00ilustracaoChar"/>
    <w:qFormat/>
    <w:rsid w:val="005720AD"/>
    <w:pPr>
      <w:spacing w:after="160" w:line="259" w:lineRule="auto"/>
    </w:pPr>
    <w:rPr>
      <w:rFonts w:ascii="Arial" w:hAnsi="Arial" w:cs="ArialMT"/>
      <w:color w:val="D63F96"/>
      <w:sz w:val="16"/>
      <w:szCs w:val="16"/>
    </w:rPr>
  </w:style>
  <w:style w:type="character" w:customStyle="1" w:styleId="00ilustracaoChar">
    <w:name w:val="00_ilustracao Char"/>
    <w:basedOn w:val="Fontepargpadro"/>
    <w:link w:val="00ilustracao"/>
    <w:rsid w:val="005720AD"/>
    <w:rPr>
      <w:rFonts w:ascii="Arial" w:hAnsi="Arial" w:cs="ArialMT"/>
      <w:color w:val="D63F96"/>
      <w:sz w:val="16"/>
      <w:szCs w:val="16"/>
    </w:rPr>
  </w:style>
  <w:style w:type="paragraph" w:customStyle="1" w:styleId="00ilustracaoreap">
    <w:name w:val="00_ilustracao_reap"/>
    <w:link w:val="00ilustracaoreapChar"/>
    <w:autoRedefine/>
    <w:qFormat/>
    <w:rsid w:val="005720AD"/>
    <w:pPr>
      <w:spacing w:after="160" w:line="259" w:lineRule="auto"/>
    </w:pPr>
    <w:rPr>
      <w:rFonts w:ascii="Arial" w:hAnsi="Arial" w:cs="Arial-ItalicMT"/>
      <w:i/>
      <w:iCs/>
      <w:color w:val="D63F96"/>
      <w:sz w:val="16"/>
      <w:szCs w:val="16"/>
    </w:rPr>
  </w:style>
  <w:style w:type="character" w:customStyle="1" w:styleId="00ilustracaoreapChar">
    <w:name w:val="00_ilustracao_reap Char"/>
    <w:basedOn w:val="Fontepargpadro"/>
    <w:link w:val="00ilustracaoreap"/>
    <w:rsid w:val="005720AD"/>
    <w:rPr>
      <w:rFonts w:ascii="Arial" w:hAnsi="Arial" w:cs="Arial-ItalicMT"/>
      <w:i/>
      <w:iCs/>
      <w:color w:val="D63F96"/>
      <w:sz w:val="16"/>
      <w:szCs w:val="16"/>
    </w:rPr>
  </w:style>
  <w:style w:type="paragraph" w:customStyle="1" w:styleId="00licenciamentotextoterceiro">
    <w:name w:val="00_licenciamento_texto_terceiro"/>
    <w:link w:val="00licenciamentotextoterceiroChar"/>
    <w:autoRedefine/>
    <w:qFormat/>
    <w:rsid w:val="005720AD"/>
    <w:pPr>
      <w:spacing w:after="160" w:line="259" w:lineRule="auto"/>
    </w:pPr>
    <w:rPr>
      <w:rFonts w:ascii="Arial" w:hAnsi="Arial" w:cs="ArialMT"/>
      <w:color w:val="76913B"/>
      <w:sz w:val="16"/>
      <w:szCs w:val="16"/>
    </w:rPr>
  </w:style>
  <w:style w:type="character" w:customStyle="1" w:styleId="00licenciamentotextoterceiroChar">
    <w:name w:val="00_licenciamento_texto_terceiro Char"/>
    <w:basedOn w:val="Fontepargpadro"/>
    <w:link w:val="00licenciamentotextoterceiro"/>
    <w:rsid w:val="005720AD"/>
    <w:rPr>
      <w:rFonts w:ascii="Arial" w:hAnsi="Arial" w:cs="ArialMT"/>
      <w:color w:val="76913B"/>
      <w:sz w:val="16"/>
      <w:szCs w:val="16"/>
    </w:rPr>
  </w:style>
  <w:style w:type="paragraph" w:customStyle="1" w:styleId="00licenciamentotextotercerioreap">
    <w:name w:val="00_licenciamento_texto_tercerio_reap"/>
    <w:link w:val="00licenciamentotextotercerioreapChar"/>
    <w:autoRedefine/>
    <w:qFormat/>
    <w:rsid w:val="005720AD"/>
    <w:pPr>
      <w:spacing w:after="160" w:line="259" w:lineRule="auto"/>
    </w:pPr>
    <w:rPr>
      <w:rFonts w:ascii="Arial" w:hAnsi="Arial" w:cs="Arial-ItalicMT"/>
      <w:i/>
      <w:iCs/>
      <w:color w:val="76913B"/>
      <w:sz w:val="16"/>
      <w:szCs w:val="16"/>
    </w:rPr>
  </w:style>
  <w:style w:type="character" w:customStyle="1" w:styleId="00licenciamentotextotercerioreapChar">
    <w:name w:val="00_licenciamento_texto_tercerio_reap Char"/>
    <w:basedOn w:val="Fontepargpadro"/>
    <w:link w:val="00licenciamentotextotercerioreap"/>
    <w:rsid w:val="005720AD"/>
    <w:rPr>
      <w:rFonts w:ascii="Arial" w:hAnsi="Arial" w:cs="Arial-ItalicMT"/>
      <w:i/>
      <w:iCs/>
      <w:color w:val="76913B"/>
      <w:sz w:val="16"/>
      <w:szCs w:val="16"/>
    </w:rPr>
  </w:style>
  <w:style w:type="paragraph" w:customStyle="1" w:styleId="00revisao">
    <w:name w:val="00_revisao"/>
    <w:link w:val="00revisaoChar"/>
    <w:autoRedefine/>
    <w:qFormat/>
    <w:rsid w:val="005720AD"/>
    <w:pPr>
      <w:spacing w:after="160" w:line="259" w:lineRule="auto"/>
    </w:pPr>
    <w:rPr>
      <w:rFonts w:ascii="Arial" w:hAnsi="Arial" w:cs="ArialMT"/>
      <w:color w:val="765BA7"/>
      <w:sz w:val="16"/>
      <w:szCs w:val="16"/>
    </w:rPr>
  </w:style>
  <w:style w:type="character" w:customStyle="1" w:styleId="00revisaoChar">
    <w:name w:val="00_revisao Char"/>
    <w:basedOn w:val="Fontepargpadro"/>
    <w:link w:val="00revisao"/>
    <w:rsid w:val="005720AD"/>
    <w:rPr>
      <w:rFonts w:ascii="Arial" w:hAnsi="Arial" w:cs="ArialMT"/>
      <w:color w:val="765BA7"/>
      <w:sz w:val="16"/>
      <w:szCs w:val="16"/>
    </w:rPr>
  </w:style>
  <w:style w:type="paragraph" w:customStyle="1" w:styleId="01bulletunid">
    <w:name w:val="01_bullet_unid"/>
    <w:next w:val="Normal"/>
    <w:autoRedefine/>
    <w:qFormat/>
    <w:rsid w:val="005720AD"/>
    <w:pPr>
      <w:spacing w:after="160" w:line="259" w:lineRule="auto"/>
      <w:ind w:left="708"/>
    </w:pPr>
    <w:rPr>
      <w:rFonts w:ascii="Arial" w:hAnsi="Arial"/>
      <w:sz w:val="20"/>
    </w:rPr>
  </w:style>
  <w:style w:type="paragraph" w:customStyle="1" w:styleId="01textounid">
    <w:name w:val="01_texto_unid"/>
    <w:next w:val="Normal"/>
    <w:autoRedefine/>
    <w:qFormat/>
    <w:rsid w:val="005720AD"/>
    <w:pPr>
      <w:spacing w:after="160" w:line="259" w:lineRule="auto"/>
    </w:pPr>
    <w:rPr>
      <w:rFonts w:ascii="Arial" w:hAnsi="Arial"/>
    </w:rPr>
  </w:style>
  <w:style w:type="paragraph" w:customStyle="1" w:styleId="01titulocap">
    <w:name w:val="01_titulo_cap"/>
    <w:link w:val="01titulocapChar"/>
    <w:autoRedefine/>
    <w:qFormat/>
    <w:rsid w:val="005720AD"/>
    <w:pPr>
      <w:spacing w:after="160"/>
    </w:pPr>
    <w:rPr>
      <w:rFonts w:ascii="Arial" w:hAnsi="Arial" w:cs="UniversLTStd-Light"/>
      <w:caps/>
      <w:color w:val="000000"/>
      <w:sz w:val="44"/>
      <w:szCs w:val="40"/>
      <w:u w:color="B8282E"/>
    </w:rPr>
  </w:style>
  <w:style w:type="character" w:customStyle="1" w:styleId="01titulocapChar">
    <w:name w:val="01_titulo_cap Char"/>
    <w:basedOn w:val="Fontepargpadro"/>
    <w:link w:val="01titulocap"/>
    <w:rsid w:val="005720AD"/>
    <w:rPr>
      <w:rFonts w:ascii="Arial" w:hAnsi="Arial" w:cs="UniversLTStd-Light"/>
      <w:caps/>
      <w:color w:val="000000"/>
      <w:sz w:val="44"/>
      <w:szCs w:val="40"/>
      <w:u w:color="B8282E"/>
    </w:rPr>
  </w:style>
  <w:style w:type="paragraph" w:customStyle="1" w:styleId="01titulounid">
    <w:name w:val="01_titulo_unid"/>
    <w:link w:val="01titulounidChar"/>
    <w:autoRedefine/>
    <w:qFormat/>
    <w:rsid w:val="005720AD"/>
    <w:pPr>
      <w:spacing w:before="120" w:after="160"/>
      <w:ind w:right="-2313"/>
    </w:pPr>
    <w:rPr>
      <w:rFonts w:ascii="Arial" w:hAnsi="Arial" w:cs="UniversLTStd-Bold"/>
      <w:b/>
      <w:bCs/>
      <w:caps/>
      <w:color w:val="000000"/>
      <w:sz w:val="50"/>
      <w:szCs w:val="50"/>
      <w:u w:color="B8282E"/>
    </w:rPr>
  </w:style>
  <w:style w:type="character" w:customStyle="1" w:styleId="01titulounidChar">
    <w:name w:val="01_titulo_unid Char"/>
    <w:basedOn w:val="Fontepargpadro"/>
    <w:link w:val="01titulounid"/>
    <w:rsid w:val="005720AD"/>
    <w:rPr>
      <w:rFonts w:ascii="Arial" w:hAnsi="Arial" w:cs="UniversLTStd-Bold"/>
      <w:b/>
      <w:bCs/>
      <w:caps/>
      <w:color w:val="000000"/>
      <w:sz w:val="50"/>
      <w:szCs w:val="50"/>
      <w:u w:color="B8282E"/>
    </w:rPr>
  </w:style>
  <w:style w:type="paragraph" w:customStyle="1" w:styleId="01titulo1">
    <w:name w:val="01_titulo1"/>
    <w:link w:val="01titulo1Char"/>
    <w:autoRedefine/>
    <w:qFormat/>
    <w:rsid w:val="005720AD"/>
    <w:pPr>
      <w:spacing w:after="160"/>
    </w:pPr>
    <w:rPr>
      <w:rFonts w:ascii="Arial" w:hAnsi="Arial" w:cs="UniversLTStd-Bold"/>
      <w:b/>
      <w:bCs/>
      <w:color w:val="000000"/>
      <w:sz w:val="40"/>
      <w:szCs w:val="40"/>
      <w:u w:color="B8282E"/>
    </w:rPr>
  </w:style>
  <w:style w:type="character" w:customStyle="1" w:styleId="01titulo1Char">
    <w:name w:val="01_titulo1 Char"/>
    <w:basedOn w:val="Fontepargpadro"/>
    <w:link w:val="01titulo1"/>
    <w:rsid w:val="005720AD"/>
    <w:rPr>
      <w:rFonts w:ascii="Arial" w:hAnsi="Arial" w:cs="UniversLTStd-Bold"/>
      <w:b/>
      <w:bCs/>
      <w:color w:val="000000"/>
      <w:sz w:val="40"/>
      <w:szCs w:val="40"/>
      <w:u w:color="B8282E"/>
    </w:rPr>
  </w:style>
  <w:style w:type="paragraph" w:customStyle="1" w:styleId="01titulo2">
    <w:name w:val="01_titulo2"/>
    <w:link w:val="01titulo2Char"/>
    <w:autoRedefine/>
    <w:qFormat/>
    <w:rsid w:val="005720AD"/>
    <w:pPr>
      <w:spacing w:after="160"/>
    </w:pPr>
    <w:rPr>
      <w:rFonts w:ascii="Arial" w:hAnsi="Arial" w:cs="UniversLTStd-Bold"/>
      <w:b/>
      <w:bCs/>
      <w:color w:val="000000"/>
      <w:sz w:val="28"/>
      <w:szCs w:val="28"/>
      <w:u w:color="355F91"/>
    </w:rPr>
  </w:style>
  <w:style w:type="character" w:customStyle="1" w:styleId="01titulo2Char">
    <w:name w:val="01_titulo2 Char"/>
    <w:basedOn w:val="Fontepargpadro"/>
    <w:link w:val="01titulo2"/>
    <w:rsid w:val="005720AD"/>
    <w:rPr>
      <w:rFonts w:ascii="Arial" w:hAnsi="Arial" w:cs="UniversLTStd-Bold"/>
      <w:b/>
      <w:bCs/>
      <w:color w:val="000000"/>
      <w:sz w:val="28"/>
      <w:szCs w:val="28"/>
      <w:u w:color="355F91"/>
    </w:rPr>
  </w:style>
  <w:style w:type="paragraph" w:customStyle="1" w:styleId="01titulo3">
    <w:name w:val="01_titulo3"/>
    <w:link w:val="01titulo3Char"/>
    <w:autoRedefine/>
    <w:qFormat/>
    <w:rsid w:val="005720AD"/>
    <w:pPr>
      <w:spacing w:after="160"/>
    </w:pPr>
    <w:rPr>
      <w:rFonts w:ascii="Arial" w:hAnsi="Arial" w:cs="UniversLTStd-Light"/>
      <w:color w:val="000000"/>
      <w:sz w:val="28"/>
      <w:szCs w:val="28"/>
      <w:u w:color="B8282E"/>
    </w:rPr>
  </w:style>
  <w:style w:type="character" w:customStyle="1" w:styleId="01titulo3Char">
    <w:name w:val="01_titulo3 Char"/>
    <w:basedOn w:val="Fontepargpadro"/>
    <w:link w:val="01titulo3"/>
    <w:rsid w:val="005720AD"/>
    <w:rPr>
      <w:rFonts w:ascii="Arial" w:hAnsi="Arial" w:cs="UniversLTStd-Light"/>
      <w:color w:val="000000"/>
      <w:sz w:val="28"/>
      <w:szCs w:val="28"/>
      <w:u w:color="B8282E"/>
    </w:rPr>
  </w:style>
  <w:style w:type="paragraph" w:customStyle="1" w:styleId="01titulo4">
    <w:name w:val="01_titulo4"/>
    <w:link w:val="01titulo4Char"/>
    <w:autoRedefine/>
    <w:qFormat/>
    <w:rsid w:val="005720AD"/>
    <w:pPr>
      <w:spacing w:after="160"/>
    </w:pPr>
    <w:rPr>
      <w:rFonts w:ascii="Arial" w:hAnsi="Arial" w:cs="UniversLTStd-Bold"/>
      <w:b/>
      <w:bCs/>
      <w:color w:val="808284"/>
      <w:u w:color="0D9947"/>
    </w:rPr>
  </w:style>
  <w:style w:type="character" w:customStyle="1" w:styleId="01titulo4Char">
    <w:name w:val="01_titulo4 Char"/>
    <w:basedOn w:val="Fontepargpadro"/>
    <w:link w:val="01titulo4"/>
    <w:rsid w:val="005720AD"/>
    <w:rPr>
      <w:rFonts w:ascii="Arial" w:hAnsi="Arial" w:cs="UniversLTStd-Bold"/>
      <w:b/>
      <w:bCs/>
      <w:color w:val="808284"/>
      <w:u w:color="0D9947"/>
    </w:rPr>
  </w:style>
  <w:style w:type="paragraph" w:customStyle="1" w:styleId="02textobullets">
    <w:name w:val="02_texto_bullets"/>
    <w:link w:val="02textobulletsChar"/>
    <w:autoRedefine/>
    <w:qFormat/>
    <w:rsid w:val="005720AD"/>
    <w:pPr>
      <w:spacing w:after="160"/>
      <w:ind w:left="708"/>
      <w:jc w:val="both"/>
    </w:pPr>
    <w:rPr>
      <w:rFonts w:ascii="Arial" w:hAnsi="Arial" w:cs="UniversLTStd-Light"/>
      <w:color w:val="000000"/>
      <w:sz w:val="22"/>
      <w:szCs w:val="22"/>
    </w:rPr>
  </w:style>
  <w:style w:type="character" w:customStyle="1" w:styleId="02textobulletsChar">
    <w:name w:val="02_texto_bullets Char"/>
    <w:basedOn w:val="Fontepargpadro"/>
    <w:link w:val="02textobullets"/>
    <w:rsid w:val="005720AD"/>
    <w:rPr>
      <w:rFonts w:ascii="Arial" w:hAnsi="Arial" w:cs="UniversLTStd-Light"/>
      <w:color w:val="000000"/>
      <w:sz w:val="22"/>
      <w:szCs w:val="22"/>
    </w:rPr>
  </w:style>
  <w:style w:type="paragraph" w:customStyle="1" w:styleId="02textocitado">
    <w:name w:val="02_texto_citado"/>
    <w:link w:val="02textocitadoChar"/>
    <w:autoRedefine/>
    <w:qFormat/>
    <w:rsid w:val="005720AD"/>
    <w:pPr>
      <w:spacing w:after="100"/>
      <w:ind w:left="2124"/>
      <w:jc w:val="both"/>
    </w:pPr>
    <w:rPr>
      <w:rFonts w:ascii="Times New Roman" w:hAnsi="Times New Roman" w:cs="Times New Roman"/>
      <w:color w:val="808284"/>
      <w:sz w:val="22"/>
      <w:szCs w:val="22"/>
    </w:rPr>
  </w:style>
  <w:style w:type="character" w:customStyle="1" w:styleId="02textocitadoChar">
    <w:name w:val="02_texto_citado Char"/>
    <w:basedOn w:val="Fontepargpadro"/>
    <w:link w:val="02textocitado"/>
    <w:rsid w:val="005720AD"/>
    <w:rPr>
      <w:rFonts w:ascii="Times New Roman" w:hAnsi="Times New Roman" w:cs="Times New Roman"/>
      <w:color w:val="808284"/>
      <w:sz w:val="22"/>
      <w:szCs w:val="22"/>
    </w:rPr>
  </w:style>
  <w:style w:type="character" w:customStyle="1" w:styleId="Ttulo1Char">
    <w:name w:val="Título 1 Char"/>
    <w:basedOn w:val="Fontepargpadro"/>
    <w:link w:val="Ttulo1"/>
    <w:uiPriority w:val="9"/>
    <w:rsid w:val="001746C2"/>
    <w:rPr>
      <w:rFonts w:ascii="Times New Roman" w:eastAsiaTheme="majorEastAsia" w:hAnsi="Times New Roman" w:cs="Times New Roman (Títulos CS)"/>
      <w:b/>
      <w:szCs w:val="40"/>
    </w:rPr>
  </w:style>
  <w:style w:type="character" w:customStyle="1" w:styleId="Ttulo2Char">
    <w:name w:val="Título 2 Char"/>
    <w:basedOn w:val="Fontepargpadro"/>
    <w:link w:val="Ttulo2"/>
    <w:uiPriority w:val="9"/>
    <w:rsid w:val="0055286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55286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55286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5286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5286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5286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5286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52866"/>
    <w:rPr>
      <w:rFonts w:eastAsiaTheme="majorEastAsia" w:cstheme="majorBidi"/>
      <w:color w:val="272727" w:themeColor="text1" w:themeTint="D8"/>
    </w:rPr>
  </w:style>
  <w:style w:type="paragraph" w:styleId="Ttulo">
    <w:name w:val="Title"/>
    <w:basedOn w:val="Normal"/>
    <w:next w:val="Normal"/>
    <w:link w:val="TtuloChar"/>
    <w:uiPriority w:val="10"/>
    <w:qFormat/>
    <w:rsid w:val="00552866"/>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528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52866"/>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5286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52866"/>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552866"/>
    <w:rPr>
      <w:i/>
      <w:iCs/>
      <w:color w:val="404040" w:themeColor="text1" w:themeTint="BF"/>
    </w:rPr>
  </w:style>
  <w:style w:type="paragraph" w:styleId="PargrafodaLista">
    <w:name w:val="List Paragraph"/>
    <w:basedOn w:val="Normal"/>
    <w:uiPriority w:val="34"/>
    <w:qFormat/>
    <w:rsid w:val="00552866"/>
    <w:pPr>
      <w:ind w:left="720"/>
      <w:contextualSpacing/>
    </w:pPr>
  </w:style>
  <w:style w:type="character" w:styleId="nfaseIntensa">
    <w:name w:val="Intense Emphasis"/>
    <w:basedOn w:val="Fontepargpadro"/>
    <w:uiPriority w:val="21"/>
    <w:qFormat/>
    <w:rsid w:val="00552866"/>
    <w:rPr>
      <w:i/>
      <w:iCs/>
      <w:color w:val="0F4761" w:themeColor="accent1" w:themeShade="BF"/>
    </w:rPr>
  </w:style>
  <w:style w:type="paragraph" w:styleId="CitaoIntensa">
    <w:name w:val="Intense Quote"/>
    <w:basedOn w:val="Normal"/>
    <w:next w:val="Normal"/>
    <w:link w:val="CitaoIntensaChar"/>
    <w:uiPriority w:val="30"/>
    <w:qFormat/>
    <w:rsid w:val="00552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52866"/>
    <w:rPr>
      <w:i/>
      <w:iCs/>
      <w:color w:val="0F4761" w:themeColor="accent1" w:themeShade="BF"/>
    </w:rPr>
  </w:style>
  <w:style w:type="character" w:styleId="RefernciaIntensa">
    <w:name w:val="Intense Reference"/>
    <w:basedOn w:val="Fontepargpadro"/>
    <w:uiPriority w:val="32"/>
    <w:qFormat/>
    <w:rsid w:val="00552866"/>
    <w:rPr>
      <w:b/>
      <w:bCs/>
      <w:smallCaps/>
      <w:color w:val="0F4761" w:themeColor="accent1" w:themeShade="BF"/>
      <w:spacing w:val="5"/>
    </w:rPr>
  </w:style>
  <w:style w:type="paragraph" w:styleId="NormalWeb">
    <w:name w:val="Normal (Web)"/>
    <w:basedOn w:val="Normal"/>
    <w:uiPriority w:val="99"/>
    <w:semiHidden/>
    <w:unhideWhenUsed/>
    <w:rsid w:val="00552866"/>
    <w:pPr>
      <w:spacing w:before="100" w:beforeAutospacing="1" w:after="100" w:afterAutospacing="1"/>
    </w:pPr>
    <w:rPr>
      <w:rFonts w:ascii="Times New Roman" w:eastAsia="Times New Roman" w:hAnsi="Times New Roman" w:cs="Times New Roman"/>
      <w:kern w:val="0"/>
      <w:lang w:eastAsia="pt-BR"/>
      <w14:ligatures w14:val="none"/>
    </w:rPr>
  </w:style>
  <w:style w:type="character" w:customStyle="1" w:styleId="apple-converted-space">
    <w:name w:val="apple-converted-space"/>
    <w:basedOn w:val="Fontepargpadro"/>
    <w:rsid w:val="00552866"/>
  </w:style>
  <w:style w:type="character" w:styleId="Forte">
    <w:name w:val="Strong"/>
    <w:basedOn w:val="Fontepargpadro"/>
    <w:uiPriority w:val="22"/>
    <w:qFormat/>
    <w:rsid w:val="00552866"/>
    <w:rPr>
      <w:b/>
      <w:bCs/>
    </w:rPr>
  </w:style>
  <w:style w:type="character" w:styleId="nfase">
    <w:name w:val="Emphasis"/>
    <w:basedOn w:val="Fontepargpadro"/>
    <w:uiPriority w:val="20"/>
    <w:qFormat/>
    <w:rsid w:val="00D53167"/>
    <w:rPr>
      <w:i/>
      <w:iCs/>
    </w:rPr>
  </w:style>
  <w:style w:type="table" w:styleId="SimplesTabela3">
    <w:name w:val="Plain Table 3"/>
    <w:basedOn w:val="Tabelanormal"/>
    <w:uiPriority w:val="43"/>
    <w:rsid w:val="00AF046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comgrade">
    <w:name w:val="Table Grid"/>
    <w:basedOn w:val="Tabelanormal"/>
    <w:uiPriority w:val="39"/>
    <w:rsid w:val="00863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1">
    <w:name w:val="Plain Table 1"/>
    <w:basedOn w:val="Tabelanormal"/>
    <w:uiPriority w:val="41"/>
    <w:rsid w:val="00863B1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7DB1-6DDF-EA41-94CD-08E334FF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19491</Words>
  <Characters>113246</Characters>
  <Application>Microsoft Office Word</Application>
  <DocSecurity>0</DocSecurity>
  <Lines>2311</Lines>
  <Paragraphs>1543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2026-02-02T14:33:00Z</cp:lastPrinted>
  <dcterms:created xsi:type="dcterms:W3CDTF">2026-03-14T02:23:00Z</dcterms:created>
  <dcterms:modified xsi:type="dcterms:W3CDTF">2026-03-14T02:24:00Z</dcterms:modified>
</cp:coreProperties>
</file>