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28"/>
        </w:rPr>
        <w:t>Resumo da obra</w:t>
      </w:r>
    </w:p>
    <w:p>
      <w:pPr>
        <w:jc w:val="center"/>
      </w:pPr>
      <w:r>
        <w:rPr>
          <w:rFonts w:ascii="Times New Roman" w:hAnsi="Times New Roman" w:eastAsia="Times New Roman"/>
          <w:i/>
          <w:sz w:val="24"/>
        </w:rPr>
        <w:t>Soberania digital e colonialismo de dados: infraestrutura, governança e justiça informacional na era da inteligência artificial</w:t>
      </w:r>
    </w:p>
    <w:p>
      <w:pPr>
        <w:spacing w:after="0" w:before="0" w:line="360" w:lineRule="auto"/>
        <w:ind w:firstLine="709"/>
        <w:jc w:val="both"/>
      </w:pPr>
      <w:r>
        <w:rPr>
          <w:rFonts w:ascii="Times New Roman" w:hAnsi="Times New Roman" w:eastAsia="Times New Roman"/>
          <w:sz w:val="24"/>
        </w:rPr>
        <w:t>A obra examina como a centralidade contemporânea dos dados reorganiza, em bases digitais, padrões históricos de dependência, extração e concentração de poder.</w:t>
      </w:r>
    </w:p>
    <w:p>
      <w:pPr>
        <w:spacing w:after="0" w:before="0" w:line="360" w:lineRule="auto"/>
        <w:ind w:firstLine="709"/>
        <w:jc w:val="both"/>
      </w:pPr>
      <w:r>
        <w:rPr>
          <w:rFonts w:ascii="Times New Roman" w:hAnsi="Times New Roman" w:eastAsia="Times New Roman"/>
          <w:sz w:val="24"/>
        </w:rPr>
        <w:t>Partindo do conceito de colonialismo de dados, o livro articula economia política da informação, colonialidade do poder e soberania digital para interpretar as assimetrias entre centros e periferias.</w:t>
      </w:r>
    </w:p>
    <w:p>
      <w:pPr>
        <w:spacing w:after="0" w:before="0" w:line="360" w:lineRule="auto"/>
        <w:ind w:firstLine="709"/>
        <w:jc w:val="both"/>
      </w:pPr>
      <w:r>
        <w:rPr>
          <w:rFonts w:ascii="Times New Roman" w:hAnsi="Times New Roman" w:eastAsia="Times New Roman"/>
          <w:sz w:val="24"/>
        </w:rPr>
        <w:t>A análise percorre infraestrutura, plataformas, inteligência artificial, regulação, ciência aberta, universidades, bibliotecas e repositórios, com ênfase no Brasil, na América Latina e no Sul Global.</w:t>
      </w:r>
    </w:p>
    <w:p>
      <w:pPr>
        <w:spacing w:after="0" w:before="0" w:line="360" w:lineRule="auto"/>
        <w:ind w:firstLine="709"/>
        <w:jc w:val="both"/>
      </w:pPr>
      <w:r>
        <w:rPr>
          <w:rFonts w:ascii="Times New Roman" w:hAnsi="Times New Roman" w:eastAsia="Times New Roman"/>
          <w:sz w:val="24"/>
        </w:rPr>
        <w:t>Ao longo do texto, defende-se que a soberania digital só adquire sentido substantivo quando vinculada a capacidades estatais, científicas, informacionais e democráticas de governança.</w:t>
      </w:r>
    </w:p>
    <w:p>
      <w:pPr>
        <w:spacing w:after="0" w:before="0" w:line="360" w:lineRule="auto"/>
        <w:ind w:firstLine="709"/>
        <w:jc w:val="both"/>
      </w:pPr>
      <w:r>
        <w:rPr>
          <w:rFonts w:ascii="Times New Roman" w:hAnsi="Times New Roman" w:eastAsia="Times New Roman"/>
          <w:sz w:val="24"/>
        </w:rPr>
        <w:t>Como contribuição final, a obra propõe uma agenda de transição orientada pela justiça informacional, combinando infraestrutura pública, regulação, formação, cooperação regional e autonomia epistêmica.</w:t>
      </w:r>
    </w:p>
    <w:sectPr w:rsidR="00FC693F" w:rsidRPr="0006063C" w:rsidSect="00034616"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