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360" w:lineRule="auto"/>
        <w:jc w:val="both"/>
        <w:rPr/>
      </w:pPr>
      <w:r w:rsidDel="00000000" w:rsidR="00000000" w:rsidRPr="00000000">
        <w:rPr>
          <w:rFonts w:ascii="Times New Roman" w:cs="Times New Roman" w:eastAsia="Times New Roman" w:hAnsi="Times New Roman"/>
          <w:sz w:val="24"/>
          <w:szCs w:val="24"/>
          <w:rtl w:val="0"/>
        </w:rPr>
        <w:t xml:space="preserve">O problema deste livro está referido ao paradoxo da servidão: por que nos sujeitamos ao poder? A partir deste questionamento, tornado problema político no berço da modernidade por Etienne de La Boétie, buscamos rastrear a servidão como problema filosófico, a sujeição como problema político e a constituição do sujeito como entidade psíquica cuja interioridade é formada a partir de um processo reflexivo que o ata a si mesmo. A essa pergunta trans-histórica, interpomos um discurso que pretende situar-se longe dos universais, como categorias explicativas, e próximo às singularidades históricas, buscando resgatar as multiplicidades dos efeitos de captura, de fascínio e de adesão que o jogo entre saberes e poderes produz a cada época, bem como a eficácia com a qual, mutando-se ou não, atravessa a história. A tese apresenta três eixos organizadores, cada um busca responder a uma interrogante diferente, mas que, no entanto, complementam-se. Na primeira parte, buscamos construir uma base que nos possibilitou compreender as complexidades e paradoxos inerentes à servidão na dialética entre o estabelecimento das razões da sujeição, ou, em todo o caso, a sua falta, e as sujeições da razão que faz desta última não uma promessa de emancipação possível, mas um instrumento efetivo da dominação. Na segunda, embasada na análise foucaultiana da governamentalidade, buscamos rastrear as racionalidades políticas modernas naquilo que elas produzem de dominação material, ou seja, colocamos em questão as instâncias materiais da sujeição, com foco na racionalidade neoliberal e na produção, a partir da norma da concorrência, do sujeito empreendedor de si mesmo que lhe serve de suporte. Na terceira e última parte, a partir do horizonte discursivo da psicanálise, apontamos a insuperável condição humana do desamparo, </w:t>
      </w:r>
      <w:r w:rsidDel="00000000" w:rsidR="00000000" w:rsidRPr="00000000">
        <w:rPr>
          <w:rFonts w:ascii="Times New Roman" w:cs="Times New Roman" w:eastAsia="Times New Roman" w:hAnsi="Times New Roman"/>
          <w:color w:val="ee0000"/>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qual nos coloca na dependência de um mundo de outros, que nos acolhe, constitui-nos, submete-nos e nos escapa. Ao questionar o eu e a consciência como centro da experiência psíquica, a psicanálise contribui com a crítica às armadilhas contemporâneas de captura dos sujeitos por práticas, saberes e discursos que exploram e incitam à autoexploração</w:t>
      </w:r>
      <w:r w:rsidDel="00000000" w:rsidR="00000000" w:rsidRPr="00000000">
        <w:rPr>
          <w:rFonts w:ascii="Times New Roman" w:cs="Times New Roman" w:eastAsia="Times New Roman" w:hAnsi="Times New Roman"/>
          <w:color w:val="ee0000"/>
          <w:sz w:val="24"/>
          <w:szCs w:val="24"/>
          <w:rtl w:val="0"/>
        </w:rPr>
        <w:t xml:space="preserve">. Deste</w:t>
      </w:r>
      <w:r w:rsidDel="00000000" w:rsidR="00000000" w:rsidRPr="00000000">
        <w:rPr>
          <w:rFonts w:ascii="Times New Roman" w:cs="Times New Roman" w:eastAsia="Times New Roman" w:hAnsi="Times New Roman"/>
          <w:sz w:val="24"/>
          <w:szCs w:val="24"/>
          <w:rtl w:val="0"/>
        </w:rPr>
        <w:t xml:space="preserve"> modo, oferece-nos pistas sobre formas de resistência ao açambarcamento da subjetividade no neoliberalismo. Posto isso, ao invés da razão como saída da servidão, fazemos uma aposta na potência do pensamento crítico que não tem medo de questionar todos os fenômenos de dominação.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