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EDD304" w14:textId="77777777" w:rsidR="00681D00" w:rsidRDefault="00000000">
      <w:pPr>
        <w:ind w:firstLine="0"/>
        <w:jc w:val="center"/>
        <w:rPr>
          <w:b/>
          <w:bCs/>
        </w:rPr>
      </w:pPr>
      <w:r>
        <w:rPr>
          <w:b/>
          <w:bCs/>
        </w:rPr>
        <w:t>HORIZONTES DA ANTIGUIDADE: EXPECTATIVAS E ABORDAGENS</w:t>
      </w:r>
    </w:p>
    <w:p w14:paraId="0FBE2BE0" w14:textId="77777777" w:rsidR="004947EA" w:rsidRDefault="004947EA" w:rsidP="004947EA">
      <w:pPr>
        <w:ind w:firstLine="0"/>
        <w:jc w:val="right"/>
        <w:rPr>
          <w:b/>
          <w:bCs/>
        </w:rPr>
      </w:pPr>
    </w:p>
    <w:p w14:paraId="50C1EE45" w14:textId="639FA5DA" w:rsidR="004947EA" w:rsidRDefault="004947EA" w:rsidP="004947EA">
      <w:pPr>
        <w:ind w:firstLine="0"/>
        <w:jc w:val="right"/>
      </w:pPr>
      <w:r>
        <w:t>Abner Alexandre Nogueira</w:t>
      </w:r>
    </w:p>
    <w:p w14:paraId="6F9E24FC" w14:textId="33C221D2" w:rsidR="004947EA" w:rsidRPr="004947EA" w:rsidRDefault="004947EA" w:rsidP="004947EA">
      <w:pPr>
        <w:ind w:firstLine="0"/>
        <w:jc w:val="right"/>
      </w:pPr>
      <w:r>
        <w:t xml:space="preserve">Andrea Lucia </w:t>
      </w:r>
      <w:proofErr w:type="spellStart"/>
      <w:r>
        <w:t>Dorini</w:t>
      </w:r>
      <w:proofErr w:type="spellEnd"/>
      <w:r>
        <w:t xml:space="preserve"> de Oliveira Carvalho Rossi</w:t>
      </w:r>
    </w:p>
    <w:p w14:paraId="339E1A25" w14:textId="77777777" w:rsidR="004947EA" w:rsidRDefault="004947EA">
      <w:pPr>
        <w:ind w:firstLine="0"/>
        <w:jc w:val="center"/>
        <w:rPr>
          <w:b/>
          <w:bCs/>
        </w:rPr>
      </w:pPr>
    </w:p>
    <w:p w14:paraId="5AC51EF0" w14:textId="0DA5FB15" w:rsidR="00681D00" w:rsidRDefault="00000000">
      <w:pPr>
        <w:ind w:firstLine="0"/>
        <w:jc w:val="center"/>
        <w:rPr>
          <w:b/>
          <w:bCs/>
        </w:rPr>
      </w:pPr>
      <w:r>
        <w:rPr>
          <w:b/>
          <w:bCs/>
        </w:rPr>
        <w:t xml:space="preserve">- </w:t>
      </w:r>
      <w:proofErr w:type="gramStart"/>
      <w:r>
        <w:rPr>
          <w:b/>
          <w:bCs/>
        </w:rPr>
        <w:t>falsa</w:t>
      </w:r>
      <w:proofErr w:type="gramEnd"/>
      <w:r>
        <w:rPr>
          <w:b/>
          <w:bCs/>
        </w:rPr>
        <w:t xml:space="preserve"> folha de rosto</w:t>
      </w:r>
    </w:p>
    <w:p w14:paraId="5740B8E6" w14:textId="77777777" w:rsidR="00681D00" w:rsidRDefault="00000000">
      <w:pPr>
        <w:ind w:firstLine="0"/>
        <w:jc w:val="center"/>
      </w:pPr>
      <w:r>
        <w:br w:type="page"/>
      </w:r>
    </w:p>
    <w:p w14:paraId="690235FB" w14:textId="77777777" w:rsidR="00681D00" w:rsidRDefault="00000000">
      <w:pPr>
        <w:ind w:firstLine="0"/>
        <w:jc w:val="center"/>
      </w:pPr>
      <w:r>
        <w:rPr>
          <w:b/>
          <w:bCs/>
        </w:rPr>
        <w:lastRenderedPageBreak/>
        <w:t>FOLHA DE ROSTO - Elaboração da Ed. UFRJ</w:t>
      </w:r>
      <w:r>
        <w:br w:type="page"/>
      </w:r>
    </w:p>
    <w:p w14:paraId="14DDC3A4" w14:textId="77777777" w:rsidR="00681D00" w:rsidRDefault="00000000">
      <w:pPr>
        <w:pStyle w:val="Ttulo1"/>
        <w:ind w:firstLine="708"/>
      </w:pPr>
      <w:bookmarkStart w:id="0" w:name="_qc50tt4gx5r6" w:colFirst="0" w:colLast="0"/>
      <w:bookmarkEnd w:id="0"/>
      <w:r>
        <w:lastRenderedPageBreak/>
        <w:t>ÍNDICE</w:t>
      </w:r>
    </w:p>
    <w:sdt>
      <w:sdtPr>
        <w:id w:val="1505418984"/>
        <w:docPartObj>
          <w:docPartGallery w:val="Table of Contents"/>
          <w:docPartUnique/>
        </w:docPartObj>
      </w:sdtPr>
      <w:sdtContent>
        <w:p w14:paraId="1AA71BCF"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qc50tt4gx5r6">
            <w:r w:rsidR="00681D00">
              <w:rPr>
                <w:rFonts w:ascii="Arial" w:eastAsia="Arial" w:hAnsi="Arial" w:cs="Arial"/>
                <w:b/>
                <w:bCs/>
                <w:color w:val="000000"/>
                <w:sz w:val="22"/>
                <w:szCs w:val="22"/>
              </w:rPr>
              <w:tab/>
            </w:r>
          </w:hyperlink>
        </w:p>
        <w:p w14:paraId="17E294A4"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scw92kbjp78d">
            <w:r>
              <w:rPr>
                <w:b/>
                <w:bCs/>
                <w:color w:val="000000"/>
              </w:rPr>
              <w:t>APRESENTAÇÃO</w:t>
            </w:r>
            <w:r>
              <w:rPr>
                <w:b/>
                <w:bCs/>
                <w:color w:val="000000"/>
              </w:rPr>
              <w:tab/>
              <w:t>4</w:t>
            </w:r>
          </w:hyperlink>
        </w:p>
        <w:p w14:paraId="6A6D1325"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kp0ydqpheslc">
            <w:r>
              <w:rPr>
                <w:b/>
                <w:bCs/>
                <w:color w:val="000000"/>
              </w:rPr>
              <w:t>A RECEPÇÃO DOS CLÁSSICOS E OS USOS DO PASSADO</w:t>
            </w:r>
            <w:r>
              <w:rPr>
                <w:b/>
                <w:bCs/>
                <w:color w:val="000000"/>
              </w:rPr>
              <w:tab/>
              <w:t>7</w:t>
            </w:r>
          </w:hyperlink>
        </w:p>
        <w:p w14:paraId="75845BCA"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8h98icnd3fdx">
            <w:r>
              <w:rPr>
                <w:b/>
                <w:bCs/>
                <w:color w:val="000000"/>
              </w:rPr>
              <w:t>A FORMAÇÃO DAS PRIMEIRAS CIDADES NA MESOPOTÂMIA:</w:t>
            </w:r>
            <w:r>
              <w:rPr>
                <w:b/>
                <w:bCs/>
                <w:color w:val="000000"/>
              </w:rPr>
              <w:br/>
              <w:t>causas, evidências e interconexões</w:t>
            </w:r>
            <w:r>
              <w:rPr>
                <w:b/>
                <w:bCs/>
                <w:color w:val="000000"/>
              </w:rPr>
              <w:tab/>
              <w:t>22</w:t>
            </w:r>
          </w:hyperlink>
        </w:p>
        <w:p w14:paraId="71C23D0E"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sap3n5nv31yz">
            <w:r>
              <w:rPr>
                <w:b/>
                <w:bCs/>
                <w:color w:val="000000"/>
              </w:rPr>
              <w:t>DISCUSSÕES EM TORNO DO CONCEITO DE CRISE DO SÉCULO III:</w:t>
            </w:r>
            <w:r>
              <w:rPr>
                <w:b/>
                <w:bCs/>
                <w:color w:val="000000"/>
              </w:rPr>
              <w:br/>
              <w:t>entre declínio e transformações</w:t>
            </w:r>
            <w:r>
              <w:rPr>
                <w:b/>
                <w:bCs/>
                <w:color w:val="000000"/>
              </w:rPr>
              <w:tab/>
              <w:t>37</w:t>
            </w:r>
          </w:hyperlink>
        </w:p>
        <w:p w14:paraId="43AD38D9"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ynrso0l9vng5">
            <w:r>
              <w:rPr>
                <w:b/>
                <w:bCs/>
                <w:color w:val="000000"/>
              </w:rPr>
              <w:t>INFRAESTRUTURAS FILOLÓGICAS INTELIGENTES: uma Análise Comparativa do Plinius Scriptorium e do CPEP no Estudo do Corpus Pliniano</w:t>
            </w:r>
            <w:r>
              <w:rPr>
                <w:b/>
                <w:bCs/>
                <w:color w:val="000000"/>
              </w:rPr>
              <w:tab/>
              <w:t>51</w:t>
            </w:r>
          </w:hyperlink>
        </w:p>
        <w:p w14:paraId="676AB2EC"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u0tfev1cjrn6">
            <w:r>
              <w:rPr>
                <w:b/>
                <w:bCs/>
                <w:color w:val="000000"/>
              </w:rPr>
              <w:t>A HISTORICIZAÇÃO DA DISCIPLINA DE HISTÓRIA ANTIGA:</w:t>
            </w:r>
            <w:r>
              <w:rPr>
                <w:b/>
                <w:bCs/>
                <w:color w:val="000000"/>
              </w:rPr>
              <w:br/>
              <w:t>da institucionalização ao debate no Ensino de História</w:t>
            </w:r>
            <w:r>
              <w:rPr>
                <w:b/>
                <w:bCs/>
                <w:color w:val="000000"/>
              </w:rPr>
              <w:tab/>
              <w:t>68</w:t>
            </w:r>
          </w:hyperlink>
        </w:p>
        <w:p w14:paraId="035EFCA0" w14:textId="77777777" w:rsidR="00681D00" w:rsidRDefault="00681D00">
          <w:pPr>
            <w:widowControl w:val="0"/>
            <w:tabs>
              <w:tab w:val="right" w:pos="12000"/>
            </w:tabs>
            <w:spacing w:before="60" w:line="240" w:lineRule="auto"/>
            <w:ind w:firstLine="0"/>
            <w:jc w:val="left"/>
            <w:rPr>
              <w:rFonts w:ascii="Arial" w:eastAsia="Arial" w:hAnsi="Arial" w:cs="Arial"/>
              <w:b/>
              <w:bCs/>
              <w:color w:val="000000"/>
              <w:sz w:val="22"/>
              <w:szCs w:val="22"/>
            </w:rPr>
          </w:pPr>
          <w:hyperlink w:anchor="_qntruhudo6hc">
            <w:r>
              <w:rPr>
                <w:b/>
                <w:bCs/>
                <w:color w:val="000000"/>
              </w:rPr>
              <w:t>REFERÊNCIAS</w:t>
            </w:r>
            <w:r>
              <w:rPr>
                <w:b/>
                <w:bCs/>
                <w:color w:val="000000"/>
              </w:rPr>
              <w:tab/>
              <w:t>80</w:t>
            </w:r>
          </w:hyperlink>
          <w:r w:rsidR="00000000">
            <w:fldChar w:fldCharType="end"/>
          </w:r>
        </w:p>
      </w:sdtContent>
    </w:sdt>
    <w:p w14:paraId="6E0E4763" w14:textId="77777777" w:rsidR="00681D00" w:rsidRDefault="00681D00">
      <w:pPr>
        <w:pStyle w:val="Ttulo1"/>
        <w:jc w:val="left"/>
      </w:pPr>
      <w:bookmarkStart w:id="1" w:name="_ylqxwxibgwc7" w:colFirst="0" w:colLast="0"/>
      <w:bookmarkEnd w:id="1"/>
    </w:p>
    <w:p w14:paraId="34D582D2" w14:textId="77777777" w:rsidR="00681D00" w:rsidRDefault="00681D00">
      <w:pPr>
        <w:pStyle w:val="Ttulo1"/>
        <w:sectPr w:rsidR="00681D00">
          <w:footerReference w:type="default" r:id="rId7"/>
          <w:pgSz w:w="11906" w:h="16838"/>
          <w:pgMar w:top="1700" w:right="1133" w:bottom="1133" w:left="1700" w:header="720" w:footer="720" w:gutter="0"/>
          <w:pgNumType w:start="1"/>
          <w:cols w:space="720"/>
        </w:sectPr>
      </w:pPr>
      <w:bookmarkStart w:id="2" w:name="_wk04ulhkci51" w:colFirst="0" w:colLast="0"/>
      <w:bookmarkEnd w:id="2"/>
    </w:p>
    <w:p w14:paraId="7E0894D1" w14:textId="77777777" w:rsidR="00681D00" w:rsidRDefault="00000000">
      <w:pPr>
        <w:pStyle w:val="Ttulo1"/>
      </w:pPr>
      <w:bookmarkStart w:id="3" w:name="_scw92kbjp78d" w:colFirst="0" w:colLast="0"/>
      <w:bookmarkEnd w:id="3"/>
      <w:r>
        <w:lastRenderedPageBreak/>
        <w:t>APRESENTAÇÃO</w:t>
      </w:r>
    </w:p>
    <w:p w14:paraId="2A4210A9" w14:textId="77777777" w:rsidR="00681D00" w:rsidRDefault="00681D00">
      <w:pPr>
        <w:ind w:firstLine="708"/>
      </w:pPr>
    </w:p>
    <w:p w14:paraId="4385EB40" w14:textId="77777777" w:rsidR="00681D00" w:rsidRDefault="00000000">
      <w:pPr>
        <w:ind w:firstLine="708"/>
      </w:pPr>
      <w:r>
        <w:t xml:space="preserve">“Horizontes da Antiguidade: </w:t>
      </w:r>
      <w:proofErr w:type="gramStart"/>
      <w:r>
        <w:t>Expectativas e Abordagens” nasce</w:t>
      </w:r>
      <w:proofErr w:type="gramEnd"/>
      <w:r>
        <w:t xml:space="preserve"> da necessidade de oferecer uma obra que articule, de maneira sistemática e crítica, temáticas centrais para o Ensino de História Antiga em nível superior, respondendo às demandas contemporâneas de formação acadêmica e atualização historiográfica. Em um cenário no qual o campo se expande tanto em termos de abordagens quanto de problemáticas, torna-se fundamental dispor de um volume que dialogue simultaneamente com a pesquisa especializada e com os desafios didáticos enfrentados por docentes e estudantes.</w:t>
      </w:r>
    </w:p>
    <w:p w14:paraId="039ED783" w14:textId="77777777" w:rsidR="00681D00" w:rsidRDefault="00000000">
      <w:pPr>
        <w:ind w:firstLine="708"/>
      </w:pPr>
      <w:r>
        <w:t>A obra percorre um amplo arco temático: parte das discussões sobre recepção dos clássicos e usos do passado, bem como das reflexões teórico-metodológicas sobre o Ensino de História Antiga, avança para debates estruturais acerca das origens das cidades mesopotâmicas e das dinâmicas políticas e sociais do mundo antigo, e alcança questões complexas como a chamada “crise” do século III no Império Romano. Essa diversidade temática não se organiza como mera justaposição de assuntos, mas como um conjunto de investigações articuladas pelo compromisso comum de problematizar a Antiguidade a partir de perspectivas historiográficas contemporâneas.</w:t>
      </w:r>
    </w:p>
    <w:p w14:paraId="7FBE6738" w14:textId="77777777" w:rsidR="00681D00" w:rsidRDefault="00000000">
      <w:pPr>
        <w:ind w:firstLine="708"/>
      </w:pPr>
      <w:r>
        <w:t>O livro pretende constituir-se como referência tanto para graduandos em História quanto para professores da educação básica e docentes universitários que atuam na área de História Antiga. Longe de se limitar a um manual de consulta, a obra oferece análises aprofundadas e fundamentadas, mobilizando bibliografia atualizada, com destaque para a produção anglo-saxônica e brasileira, sem desconsiderar as contribuições clássicas que estruturam o campo. Busca-se, assim, equilibrar tradição e renovação historiográfica, proporcionando ao leitor um panorama crítico e metodologicamente consistente.</w:t>
      </w:r>
    </w:p>
    <w:p w14:paraId="468ADD1C" w14:textId="77777777" w:rsidR="00681D00" w:rsidRDefault="00000000">
      <w:pPr>
        <w:ind w:firstLine="708"/>
      </w:pPr>
      <w:r>
        <w:t xml:space="preserve">As reflexões aqui reunidas resultam de trajetórias acadêmicas consolidadas e de processos rigorosos de preparação intelectual. Parte significativa das pesquisas foi desenvolvida durante os preparativos para o concurso de Livre-Docência realizado pela professora doutora Andrea Lúcia </w:t>
      </w:r>
      <w:proofErr w:type="spellStart"/>
      <w:r>
        <w:t>Dorini</w:t>
      </w:r>
      <w:proofErr w:type="spellEnd"/>
      <w:r>
        <w:t xml:space="preserve"> de Oliveira Rossi, em 2023, bem como no contexto das investigações conduzidas pelo doutor Abner Alexandre Nogueira entre os anos de 2024 e 2026. O livro, portanto, é também fruto de um momento de maturação teórica e sistematização de pesquisas, consolidando debates e perspectivas construídos ao longo de anos de docência e produção acadêmica.</w:t>
      </w:r>
    </w:p>
    <w:p w14:paraId="5851481F" w14:textId="77777777" w:rsidR="00681D00" w:rsidRDefault="00000000">
      <w:pPr>
        <w:ind w:firstLine="708"/>
      </w:pPr>
      <w:r>
        <w:t>Mais do que apresentar conteúdos sobre o mundo antigo, a obra propõe-se a refletir criticamente sobre as formas de escrevê-lo, ensiná-lo e reinterpretá-lo no presente, reafirmando a centralidade da História Antiga na formação historiográfica e na compreensão das múltiplas temporalidades que estruturam a experiência histórica.</w:t>
      </w:r>
    </w:p>
    <w:p w14:paraId="4148BC02" w14:textId="77777777" w:rsidR="00681D00" w:rsidRDefault="00000000">
      <w:pPr>
        <w:ind w:firstLine="708"/>
      </w:pPr>
      <w:r>
        <w:t xml:space="preserve">No primeiro capítulo, examinamos o conceito de recepção a partir das formulações teóricas de Charles </w:t>
      </w:r>
      <w:proofErr w:type="spellStart"/>
      <w:r>
        <w:t>Martindale</w:t>
      </w:r>
      <w:proofErr w:type="spellEnd"/>
      <w:r>
        <w:t xml:space="preserve"> (1993) e </w:t>
      </w:r>
      <w:proofErr w:type="spellStart"/>
      <w:r>
        <w:t>Lorna</w:t>
      </w:r>
      <w:proofErr w:type="spellEnd"/>
      <w:r>
        <w:t xml:space="preserve"> </w:t>
      </w:r>
      <w:proofErr w:type="spellStart"/>
      <w:r>
        <w:t>Hardwick</w:t>
      </w:r>
      <w:proofErr w:type="spellEnd"/>
      <w:r>
        <w:t xml:space="preserve"> (2003), ressaltando sua complexidade e seus desdobramentos oriundos dos estudos de recepção literária, bem como sua consolidação no âmbito dos Estudos Clássicos. A discussão é acompanhada de exemplos concretos de recepção em narrativas audiovisuais contemporâneas, com destaque para </w:t>
      </w:r>
      <w:r>
        <w:rPr>
          <w:i/>
          <w:iCs/>
        </w:rPr>
        <w:t xml:space="preserve">Hércules </w:t>
      </w:r>
      <w:r>
        <w:t xml:space="preserve">(2014) e para o jogo eletrônico </w:t>
      </w:r>
      <w:proofErr w:type="spellStart"/>
      <w:r>
        <w:rPr>
          <w:i/>
          <w:iCs/>
        </w:rPr>
        <w:t>Assassin's</w:t>
      </w:r>
      <w:proofErr w:type="spellEnd"/>
      <w:r>
        <w:rPr>
          <w:i/>
          <w:iCs/>
        </w:rPr>
        <w:t xml:space="preserve"> </w:t>
      </w:r>
      <w:proofErr w:type="spellStart"/>
      <w:r>
        <w:rPr>
          <w:i/>
          <w:iCs/>
        </w:rPr>
        <w:t>Creed</w:t>
      </w:r>
      <w:proofErr w:type="spellEnd"/>
      <w:r>
        <w:rPr>
          <w:i/>
          <w:iCs/>
        </w:rPr>
        <w:t xml:space="preserve"> Odyssey </w:t>
      </w:r>
      <w:r>
        <w:t xml:space="preserve">(2018), evidenciando os modos pelos quais a Antiguidade é reinterpretada e </w:t>
      </w:r>
      <w:proofErr w:type="spellStart"/>
      <w:r>
        <w:t>resignificada</w:t>
      </w:r>
      <w:proofErr w:type="spellEnd"/>
      <w:r>
        <w:t xml:space="preserve"> na cultura de massa. Em paralelo, problematizamos o conceito de usos do passado a partir das contribuições de Eric Hobsbawm (1997) e Fernando </w:t>
      </w:r>
      <w:proofErr w:type="spellStart"/>
      <w:r>
        <w:lastRenderedPageBreak/>
        <w:t>Nicolazzi</w:t>
      </w:r>
      <w:proofErr w:type="spellEnd"/>
      <w:r>
        <w:t xml:space="preserve"> (2021), analisando como a figura de Armínio foi mobilizada politicamente na construção de narrativas heroicas vinculadas aos nacionalismos germânico, prussiano e alemão, demonstrando como a Antiguidade se converte em instrumento de legitimação identitária e ideológica.</w:t>
      </w:r>
    </w:p>
    <w:p w14:paraId="1E615E0A" w14:textId="77777777" w:rsidR="00681D00" w:rsidRDefault="00000000">
      <w:pPr>
        <w:ind w:firstLine="708"/>
      </w:pPr>
      <w:r>
        <w:t xml:space="preserve">Na sequência, enfrentamos a problemática da origem das cidades na Mesopotâmia sob a perspectiva da longa duração, iniciando pelos condicionantes geográficos e ambientais da região e pelos primeiros assentamentos </w:t>
      </w:r>
      <w:proofErr w:type="spellStart"/>
      <w:r>
        <w:t>proto-urbanos</w:t>
      </w:r>
      <w:proofErr w:type="spellEnd"/>
      <w:r>
        <w:t xml:space="preserve"> articulados em redes de interdependência. Destacamos que certos elementos estruturantes antecedem as primeiras cidades e se desenvolvem paralelamente a elas, como o processo de formalização da escrita, a consolidação de edificações centralizadas, como templos e seus complexos anexos (armazéns, oficinas, espaços administrativos e arquivos) seguidos pela emergência dos palácios enquanto centros político-administrativos. Concomitantemente, intensifica-se a estratificação social, com a formação de elites responsáveis pela mobilização da força de trabalho, pela redistribuição de excedentes e pela legitimação ideológica, frequentemente mediada pela religião. Desenvolvem-se ainda especializações produtivas, como a cerâmica e a metalurgia, ampliando as redes de intercâmbio regional. Desse modo, a constituição da cidade antiga </w:t>
      </w:r>
      <w:proofErr w:type="gramStart"/>
      <w:r>
        <w:t>evidencia</w:t>
      </w:r>
      <w:proofErr w:type="gramEnd"/>
      <w:r>
        <w:t xml:space="preserve"> que a urbanização não deve ser compreendida como evento abrupto, mas como um processo contínuo de experiências comunitárias que, gradualmente, produziram formas complexas de centralização política, econômica e simbólica.</w:t>
      </w:r>
    </w:p>
    <w:p w14:paraId="186159C9" w14:textId="77777777" w:rsidR="00681D00" w:rsidRDefault="00000000">
      <w:pPr>
        <w:ind w:firstLine="708"/>
      </w:pPr>
      <w:r>
        <w:t>Prosseguindo, no quarto capítulo discutimos o conceito de “crise do século III”, tradicionalmente definido pela chamada anarquia militar, marcada pela rápida sucessão de imperadores, retração econômica, pressões externas nas fronteiras, epidemias e instabilidades climáticas, sobretudo períodos de seca. A noção de crise consolidou-se a partir de uma leitura pouco problematizada das fontes narrativas, que, diante das transformações políticas, interpretavam o enfraquecimento do poder senatorial (do qual faziam parte), a ascensão de elites locais e lideranças militares como sinais inequívocos de decadência. Contudo, novas abordagens, especialmente impulsionadas pela arqueologia, passaram a relativizar essa interpretação, demonstrando que as dinâmicas do período variaram significativamente conforme a região e os grupos sociais envolvidos. Parte da historiografia francesa descreve o período como um “laboratório” de soluções, prenunciando as reformas entre Diocleciano e Constantino. Em diálogo com o desenvolvimento dos estudos sobre a Antiguidade Tardia, problematizando ideais de declínio e queda, o século III passou a ser compreendido em sua complexidade e pluralidade, transformando a própria ideia de “crise” em objeto de debate historiográfico acerca de suas múltiplas dimensões, temporalidades e impactos diferenciados.</w:t>
      </w:r>
    </w:p>
    <w:p w14:paraId="69BE37AD" w14:textId="77777777" w:rsidR="00681D00" w:rsidRDefault="00000000">
      <w:pPr>
        <w:ind w:firstLine="708"/>
      </w:pPr>
      <w:r>
        <w:t xml:space="preserve">Em “Infraestruturas filológicas inteligentes” analisamos o impacto das Humanidades Digitais na renovação dos estudos filológicos e historiográficos sobre o corpus </w:t>
      </w:r>
      <w:proofErr w:type="spellStart"/>
      <w:r>
        <w:t>pliniano</w:t>
      </w:r>
      <w:proofErr w:type="spellEnd"/>
      <w:r>
        <w:t xml:space="preserve">, composto </w:t>
      </w:r>
      <w:proofErr w:type="spellStart"/>
      <w:r>
        <w:t>pela</w:t>
      </w:r>
      <w:proofErr w:type="spellEnd"/>
      <w:r>
        <w:t xml:space="preserve"> </w:t>
      </w:r>
      <w:proofErr w:type="spellStart"/>
      <w:r>
        <w:t>Naturalis</w:t>
      </w:r>
      <w:proofErr w:type="spellEnd"/>
      <w:r>
        <w:t xml:space="preserve"> </w:t>
      </w:r>
      <w:proofErr w:type="spellStart"/>
      <w:proofErr w:type="gramStart"/>
      <w:r>
        <w:t>Historia</w:t>
      </w:r>
      <w:proofErr w:type="spellEnd"/>
      <w:proofErr w:type="gramEnd"/>
      <w:r>
        <w:t xml:space="preserve"> de Plínio, o Velho, e pelas cartas de Plínio, o Jovem. Partindo da crescente incorporação de tecnologias digitais na pesquisa histórica, o texto discute a formação de um ecossistema filológico inteligente baseado na interação entre duas infraestruturas complementares: o modelo analítico </w:t>
      </w:r>
      <w:proofErr w:type="spellStart"/>
      <w:r>
        <w:t>Plinius</w:t>
      </w:r>
      <w:proofErr w:type="spellEnd"/>
      <w:r>
        <w:t xml:space="preserve"> Scriptorium, que integra ferramentas de inteligência artificial e processamento de linguagem natural, e o Centro de Pesquisas e Estudos </w:t>
      </w:r>
      <w:proofErr w:type="spellStart"/>
      <w:r>
        <w:t>Plinianos</w:t>
      </w:r>
      <w:proofErr w:type="spellEnd"/>
      <w:r>
        <w:t xml:space="preserve"> (CPEP), responsável pela curadoria e disponibilização de um repositório digital especializado. A partir de um arcabouço teórico que articula filologia digital, modelagem computacional e ciência aberta, o capítulo examina como a integração entre </w:t>
      </w:r>
      <w:r>
        <w:lastRenderedPageBreak/>
        <w:t xml:space="preserve">curadoria acadêmica e análise automatizada pode transformar repositórios textuais em laboratórios digitais de investigação. A análise compara o CPEP com iniciativas internacionais consolidadas, como </w:t>
      </w:r>
      <w:proofErr w:type="spellStart"/>
      <w:r>
        <w:rPr>
          <w:i/>
          <w:iCs/>
        </w:rPr>
        <w:t>Perseus</w:t>
      </w:r>
      <w:proofErr w:type="spellEnd"/>
      <w:r>
        <w:rPr>
          <w:i/>
          <w:iCs/>
        </w:rPr>
        <w:t xml:space="preserve"> Digital Library, </w:t>
      </w:r>
      <w:proofErr w:type="spellStart"/>
      <w:r>
        <w:rPr>
          <w:i/>
          <w:iCs/>
        </w:rPr>
        <w:t>Europeana</w:t>
      </w:r>
      <w:proofErr w:type="spellEnd"/>
      <w:r>
        <w:rPr>
          <w:i/>
          <w:iCs/>
        </w:rPr>
        <w:t xml:space="preserve">, </w:t>
      </w:r>
      <w:proofErr w:type="spellStart"/>
      <w:r>
        <w:rPr>
          <w:i/>
          <w:iCs/>
        </w:rPr>
        <w:t>Perseids</w:t>
      </w:r>
      <w:proofErr w:type="spellEnd"/>
      <w:r>
        <w:t xml:space="preserve"> e o </w:t>
      </w:r>
      <w:r>
        <w:rPr>
          <w:i/>
          <w:iCs/>
        </w:rPr>
        <w:t xml:space="preserve">Thesaurus Linguae </w:t>
      </w:r>
      <w:proofErr w:type="spellStart"/>
      <w:r>
        <w:rPr>
          <w:i/>
          <w:iCs/>
        </w:rPr>
        <w:t>Latinae</w:t>
      </w:r>
      <w:proofErr w:type="spellEnd"/>
      <w:r>
        <w:t>, situando o projeto brasileiro no contexto global das Humanidades Digitais. Por fim, o estudo discute desafios técnicos, institucionais e epistemológicos envolvidos na pesquisa histórica digital, destacando a importância da interoperabilidade, da preservação digital e do desenvolvimento de novos letramentos metodológicos para o historiador contemporâneo.</w:t>
      </w:r>
    </w:p>
    <w:p w14:paraId="416AE8E0" w14:textId="77777777" w:rsidR="00681D00" w:rsidRDefault="00000000">
      <w:pPr>
        <w:ind w:firstLine="708"/>
      </w:pPr>
      <w:r>
        <w:t>Finalizando a coletânea, abordamos a institucionalização da História Antiga no Ensino Superior, conjugada com o Ensino de História Antiga escolar. Iniciando com o precursor Eurípedes Simão de Paula, observa-se que a disciplina ainda era conjugada com a História Medieval, fato esse que ainda permanece como área da Capes, apesar da autonomia dos campos, complexidade e diferenças múltiplas. Com o crescimento das universidades pelo Brasil, principalmente as Faculdades de Ciências e Letras, amplia-se o quadro de professores de História Antiga, apesar de, no seu início, ser ocupado por não especialistas da área. Com a redemocratização, observa-se um intenso crescimento quantitativo e qualitativo na área, com sua plena autonomia, diálogo com as tendências internacionais e com as inovações teóricas, metodológicas, conceituais e das fontes, como o acréscimo da arqueologia. Já no Ensino de História escolar, percebe-se uma tentativa de atualizar os professores da rede com as novas produções historiográficas e, após 2015, intensifica o debate para cunho epistemológico do ensinar. Ensinar História Antiga, para diversos autores, é propício para o entendimento e aceitação da diversidade, combatendo preconceitos e desenvolvendo a dignidade humana.</w:t>
      </w:r>
    </w:p>
    <w:p w14:paraId="3D74AAF9" w14:textId="77777777" w:rsidR="00681D00" w:rsidRDefault="00000000">
      <w:pPr>
        <w:ind w:firstLine="708"/>
      </w:pPr>
      <w:r>
        <w:t>Dessa forma, a presente coletânea visa enriquecer docentes, pesquisadores, professores da rede base e demais leitores interessados na Antiguidade na compreensão de temas atuais do campo, com uma historiografia recente e internacional, ao mesmo tempo que valoriza a produção nacional. As possibilidades de levar os temas aqui desenvolvidos para a sala de aula, tanto do ensino superior quanto do ensino fundamental e médio, são inúmeras e potencializadoras para o conhecimento crítico, atual e que promova a diversidade e a democracia.</w:t>
      </w:r>
    </w:p>
    <w:p w14:paraId="02E1E6D1" w14:textId="77777777" w:rsidR="004947EA" w:rsidRDefault="004947EA" w:rsidP="004947EA">
      <w:pPr>
        <w:ind w:firstLine="0"/>
      </w:pPr>
    </w:p>
    <w:p w14:paraId="27CCF609" w14:textId="77777777" w:rsidR="004947EA" w:rsidRDefault="004947EA" w:rsidP="004947EA">
      <w:pPr>
        <w:ind w:firstLine="0"/>
      </w:pPr>
    </w:p>
    <w:p w14:paraId="26878EA6" w14:textId="051EB1D4" w:rsidR="004947EA" w:rsidRDefault="004947EA" w:rsidP="004947EA">
      <w:pPr>
        <w:ind w:firstLine="0"/>
      </w:pPr>
      <w:r>
        <w:t xml:space="preserve">Abner Alexandre Nogueira e Andrea Lucia </w:t>
      </w:r>
      <w:proofErr w:type="spellStart"/>
      <w:r>
        <w:t>Dorini</w:t>
      </w:r>
      <w:proofErr w:type="spellEnd"/>
      <w:r>
        <w:t xml:space="preserve"> de Oliveira Carvalho Rossi, Assis, 10 de março de 2026.</w:t>
      </w:r>
    </w:p>
    <w:p w14:paraId="3FCFE4E1" w14:textId="77777777" w:rsidR="00681D00" w:rsidRDefault="00000000">
      <w:pPr>
        <w:ind w:firstLine="708"/>
      </w:pPr>
      <w:r>
        <w:br w:type="page"/>
      </w:r>
    </w:p>
    <w:p w14:paraId="258C5E16" w14:textId="77777777" w:rsidR="00681D00" w:rsidRDefault="00000000">
      <w:pPr>
        <w:pStyle w:val="Ttulo1"/>
      </w:pPr>
      <w:bookmarkStart w:id="4" w:name="_kp0ydqpheslc" w:colFirst="0" w:colLast="0"/>
      <w:bookmarkEnd w:id="4"/>
      <w:r>
        <w:lastRenderedPageBreak/>
        <w:t>A RECEPÇÃO DOS CLÁSSICOS E OS USOS DO PASSADO</w:t>
      </w:r>
    </w:p>
    <w:p w14:paraId="15023D5F" w14:textId="77777777" w:rsidR="00681D00" w:rsidRDefault="00681D00">
      <w:pPr>
        <w:jc w:val="right"/>
      </w:pPr>
    </w:p>
    <w:p w14:paraId="11F93504" w14:textId="68DC99B6" w:rsidR="00681D00" w:rsidRDefault="004947EA">
      <w:pPr>
        <w:jc w:val="right"/>
      </w:pPr>
      <w:r>
        <w:t>Abner Alexandre Nogueira</w:t>
      </w:r>
    </w:p>
    <w:p w14:paraId="4C58E9AF" w14:textId="0A16B866" w:rsidR="004947EA" w:rsidRDefault="004947EA">
      <w:pPr>
        <w:jc w:val="right"/>
      </w:pPr>
      <w:r>
        <w:t>UNIFAL-Alfenas/MG</w:t>
      </w:r>
    </w:p>
    <w:p w14:paraId="20738337" w14:textId="77777777" w:rsidR="00681D00" w:rsidRDefault="00681D00">
      <w:pPr>
        <w:ind w:firstLine="0"/>
        <w:rPr>
          <w:b/>
          <w:bCs/>
        </w:rPr>
      </w:pPr>
    </w:p>
    <w:p w14:paraId="0A7DA7A1" w14:textId="77777777" w:rsidR="00681D00" w:rsidRDefault="00000000">
      <w:pPr>
        <w:ind w:firstLine="0"/>
        <w:rPr>
          <w:b/>
          <w:bCs/>
        </w:rPr>
      </w:pPr>
      <w:r>
        <w:rPr>
          <w:b/>
          <w:bCs/>
        </w:rPr>
        <w:t>Introdução</w:t>
      </w:r>
    </w:p>
    <w:p w14:paraId="11948C61" w14:textId="77777777" w:rsidR="00681D00" w:rsidRDefault="00000000">
      <w:r>
        <w:t xml:space="preserve">A Antiguidade ocupa um lugar singular na cultura histórica do Ocidente, constituindo-se como um repertório simbólico continuamente mobilizado para a elaboração de narrativas identitárias, políticas e culturais. Desde a Antiguidade Tardia, passando pelo Renascimento e pelos projetos nacionalistas dos séculos XIX e XX até as produções midiáticas contemporâneas, o mundo greco-romano tem sido reiteradamente acionado como fonte de legitimidade, autoridade e sentido. Tal persistência não se explica por uma suposta continuidade direta entre passado e presente, mas pela capacidade da Antiguidade de ser constantemente reinterpretada, </w:t>
      </w:r>
      <w:proofErr w:type="spellStart"/>
      <w:r>
        <w:t>resignificada</w:t>
      </w:r>
      <w:proofErr w:type="spellEnd"/>
      <w:r>
        <w:t xml:space="preserve"> e apropriada segundo as demandas específicas de cada contexto histórico.</w:t>
      </w:r>
    </w:p>
    <w:p w14:paraId="0ADA2442" w14:textId="77777777" w:rsidR="00681D00" w:rsidRDefault="00000000">
      <w:r>
        <w:t>Compreendendo o conceito de recepção dos clássicos através das “maneiras pelas quais o material grego e romano tem sido transmitido, traduzido, extraído, interpretado, reescrito, reimaginado e representado” (</w:t>
      </w:r>
      <w:proofErr w:type="spellStart"/>
      <w:r>
        <w:t>Hardwick</w:t>
      </w:r>
      <w:proofErr w:type="spellEnd"/>
      <w:r>
        <w:t xml:space="preserve">; </w:t>
      </w:r>
      <w:proofErr w:type="spellStart"/>
      <w:r>
        <w:t>Stray</w:t>
      </w:r>
      <w:proofErr w:type="spellEnd"/>
      <w:r>
        <w:t xml:space="preserve">, 2008, p. 1), constituindo, dessa forma, por processos complexos nos quais cada evento específico de recepção se insere em dinâmicas culturais, sociais e políticas mais amplas. A recepção possui um sentido mais amplo do que usos do passado, que é uma forma de recepção, concordando com Silva, Funari e </w:t>
      </w:r>
      <w:proofErr w:type="spellStart"/>
      <w:r>
        <w:t>Garraffoni</w:t>
      </w:r>
      <w:proofErr w:type="spellEnd"/>
      <w:r>
        <w:t xml:space="preserve"> (2020), em que a mobilização do passado assume um caráter pragmático e instrumental. Enquanto a recepção aponta para a distância entre a obra clássica e sua recriação posterior, usos do passado enfatizam os contextos posteriores. Na próxima seção discutiremos os fundamentos teóricos e os desdobramentos conceituais da recepção pelos classicistas contemporâneos.</w:t>
      </w:r>
    </w:p>
    <w:p w14:paraId="6DADA23C" w14:textId="77777777" w:rsidR="00681D00" w:rsidRDefault="00000000">
      <w:r>
        <w:t xml:space="preserve">A Antiguidade, enquanto passado dotado de alto prestígio cultural, oferece um terreno privilegiado para operações de recepção e usos do passado, funcionando como um reservatório de modelos, exemplos e mitos fundadores que podem ser instrumentalizados tanto para projetos hegemônicos quanto para leituras críticas e </w:t>
      </w:r>
      <w:proofErr w:type="spellStart"/>
      <w:r>
        <w:t>contra-hegemônicas</w:t>
      </w:r>
      <w:proofErr w:type="spellEnd"/>
      <w:r>
        <w:t xml:space="preserve">. Dessa forma, os passados mobilizados socialmente não são meros reflexos da história acadêmica, mas construções seletivas, frequentemente orientadas por interesses políticos e culturais específicos, tal como demonstrado nos usos do passado durante as construções das identidades nacionais ocidentais ou pelos regimes da extrema-direita como o fascismo e o nazifascismo. </w:t>
      </w:r>
    </w:p>
    <w:p w14:paraId="3935C2B8" w14:textId="77777777" w:rsidR="00681D00" w:rsidRDefault="00000000">
      <w:r>
        <w:t>Cada ato de recepção constitui, simultaneamente, uma leitura do passado e uma intervenção no presente, articulando temporalidades distintas em uma dinâmica complexa. Nessa perspectiva, o passado antigo não é um dado fixo, mas um campo de possibilidades interpretativas continuamente reaberto.</w:t>
      </w:r>
    </w:p>
    <w:p w14:paraId="5E7BEE79" w14:textId="77777777" w:rsidR="00681D00" w:rsidRDefault="00000000">
      <w:r>
        <w:t xml:space="preserve">Assim, iremos primeiramente definir o conceito de recepção de acordo com a estética da recepção da escola de Constança e pela historiografia, em especial os classicistas ingleses. Na sequência, problematizamos também os usos do passado para, na seção seguinte, abordarmos alguns exemplos da historiografia. De igual </w:t>
      </w:r>
      <w:proofErr w:type="gramStart"/>
      <w:r>
        <w:t>maneira,  trazemos</w:t>
      </w:r>
      <w:proofErr w:type="gramEnd"/>
      <w:r>
        <w:t xml:space="preserve"> exemplos da recepção dos clássicos com ênfase para sua apropriação no cinema. Por fim, refletimos algumas considerações finais sobre a temática e sua importância para a História Pública, para o Ensino de História e para a atualidade.</w:t>
      </w:r>
    </w:p>
    <w:p w14:paraId="53788BCC" w14:textId="77777777" w:rsidR="00681D00" w:rsidRDefault="00000000">
      <w:r>
        <w:lastRenderedPageBreak/>
        <w:t>Temos como hipótese de que a recepção da Antiguidade revela mais sobre as sociedades que a reinterpretam do que sobre o mundo antigo propriamente dito. Tal afirmação não implica desconsiderar a especificidade histórica da Antiguidade, mas reconhecer que seu sentido histórico é continuamente reconstruído. O estudo dos usos político-culturais do passado antigo, especialmente nas mídias e nos discursos contemporâneos, constitui, portanto, uma via privilegiada para compreender as formas pelas quais o passado é mobilizado como instrumento de poder simbólico, identidade e disputa política. Atribuindo ao historiador da Antiguidade, não apenas a tarefa da compreensão do passado antigo, mas também a responsabilidade crítica de suas recepções e usos.</w:t>
      </w:r>
    </w:p>
    <w:p w14:paraId="5297E3E8" w14:textId="77777777" w:rsidR="00681D00" w:rsidRDefault="00681D00"/>
    <w:p w14:paraId="280F0A1C" w14:textId="77777777" w:rsidR="00681D00" w:rsidRDefault="00000000">
      <w:pPr>
        <w:ind w:firstLine="0"/>
        <w:rPr>
          <w:b/>
          <w:bCs/>
        </w:rPr>
      </w:pPr>
      <w:r>
        <w:rPr>
          <w:b/>
          <w:bCs/>
        </w:rPr>
        <w:t>Fundamentos teóricos e conceituais: a recepção dos clássicos</w:t>
      </w:r>
    </w:p>
    <w:p w14:paraId="64038AF1" w14:textId="77777777" w:rsidR="00681D00" w:rsidRDefault="00000000">
      <w:r>
        <w:t>Os estudos de recepção da Antiguidade constituem um campo relativamente recente no interior dos Estudos Clássicos, consolidado sobretudo a partir das últimas décadas do século XX. Sua emergência está associada a um movimento mais amplo de renovação historiográfica e metodológica, marcado pelo questionamento das abordagens filológicas tradicionais que concebiam o mundo antigo como um objeto dotado de sentido estável e transmissível ao longo do tempo. No paradigma anterior, predominavam noções como “influência”, “tradição”, “herança” ou “sobrevivência”, que pressupunham uma relação linear e hierárquica entre a Antiguidade e as épocas posteriores.</w:t>
      </w:r>
    </w:p>
    <w:p w14:paraId="76F63748" w14:textId="77777777" w:rsidR="00681D00" w:rsidRDefault="00000000">
      <w:r>
        <w:t>Tradição foi um grupo de estudos que “[...] estudou a transmissão e disseminação da cultura clássica ao longo dos tempos, geralmente com ênfase na influência de escritores, artistas e pensadores clássicos em movimentos intelectuais subsequentes e obras individuais” (</w:t>
      </w:r>
      <w:proofErr w:type="spellStart"/>
      <w:r>
        <w:t>Hardwick</w:t>
      </w:r>
      <w:proofErr w:type="spellEnd"/>
      <w:r>
        <w:t xml:space="preserve">, 2003, p. 2). Utilizando em sua linguagem questões de legado, réplicas e recuperação do passado, chamado, por Charles </w:t>
      </w:r>
      <w:proofErr w:type="spellStart"/>
      <w:r>
        <w:t>Martindale</w:t>
      </w:r>
      <w:proofErr w:type="spellEnd"/>
      <w:r>
        <w:t xml:space="preserve"> (1997), de história positivista.</w:t>
      </w:r>
    </w:p>
    <w:p w14:paraId="5EB3CF66" w14:textId="77777777" w:rsidR="00681D00" w:rsidRDefault="00000000">
      <w:r>
        <w:t>A tradição e os demais termos, se pautavam em um conjunto de obras clássicas, canônicas, e compreendia como elas se mantinham até os dias atuais, desconsiderando as cadeias de recepção e as comunidades leitoras que agregaram diversos significados aos textos clássicos. Com a recepção, deve-se “abandonar o velho modo de pensar sobre a tradição como continuidade para repensá-la como transgressão, ruptura e novidade” (Silva, 2017, p.10).</w:t>
      </w:r>
    </w:p>
    <w:p w14:paraId="33285AD7" w14:textId="77777777" w:rsidR="00681D00" w:rsidRDefault="00000000">
      <w:proofErr w:type="gramStart"/>
      <w:r>
        <w:t>Os estudos de recepção clássica tem</w:t>
      </w:r>
      <w:proofErr w:type="gramEnd"/>
      <w:r>
        <w:t xml:space="preserve"> origem no campo da Literatura e a recepção do texto pelo leitor, mais precisamente a estética da recepção alemã de Hans Robert </w:t>
      </w:r>
      <w:proofErr w:type="spellStart"/>
      <w:r>
        <w:t>Jauss</w:t>
      </w:r>
      <w:proofErr w:type="spellEnd"/>
      <w:r>
        <w:t xml:space="preserve"> (1994 [1974]) e Wolfgang Iser (1996 [1976]) com influências da hermenêutica de Hans-Georg Gadamer, com a publicação, em 1960, da obra Verdade e Método. Para Gadamer (1997), no ato de ler um texto, há um fator de pertencimento, um tipo de ligação com a tradição e o lugar histórico daquele texto que se manifesta através de preconceitos, questões, ideias prévias, valores e opiniões que atravessam o leitor. Para ele, ao interpretar um texto, há uma fusão de horizontes, o do passado, o do texto e o do leitor, que é um ser histórico e historicizado, tendo o horizonte de leitura em constante mudança.</w:t>
      </w:r>
    </w:p>
    <w:p w14:paraId="2E31BB54" w14:textId="77777777" w:rsidR="00681D00" w:rsidRDefault="00000000">
      <w:proofErr w:type="spellStart"/>
      <w:r>
        <w:t>Jauss</w:t>
      </w:r>
      <w:proofErr w:type="spellEnd"/>
      <w:r>
        <w:t xml:space="preserve">, em fins dos anos 1960 e durante os anos 1970, desenvolveu o conceito de horizonte de Gadamer através da interação entre produtor e leitor que gera um horizonte de expectativa. A leitura de uma obra aparece através de informações, sinais mais ou menos manifestos, indícios familiares e referências implícitas e não em uma absoluta novidade ou um vácuo de informações. O leitor evoca obras já lidas e se coloca em uma determinada situação emocional criando expectativas desde o início da leitura que podem ser conservadas, alteradas, </w:t>
      </w:r>
      <w:r>
        <w:lastRenderedPageBreak/>
        <w:t>reorientadas ou ironicamente desrespeitadas (</w:t>
      </w:r>
      <w:proofErr w:type="spellStart"/>
      <w:r>
        <w:t>Jauss</w:t>
      </w:r>
      <w:proofErr w:type="spellEnd"/>
      <w:r>
        <w:t xml:space="preserve">, 1994, p. 66-67). Ou seja, para </w:t>
      </w:r>
      <w:proofErr w:type="spellStart"/>
      <w:r>
        <w:t>Jauss</w:t>
      </w:r>
      <w:proofErr w:type="spellEnd"/>
      <w:r>
        <w:t xml:space="preserve"> (1994, p. 24) o horizonte de expectativas é formado pela experiência social e literária do leitor e o processo da recepção se dá no interior desse horizonte. As recepções de outros leitores ou uma comunidade de leitores podem gerar um novo sentido, ou seja, uma cadeia de recepções entre as gerações de leitores.</w:t>
      </w:r>
    </w:p>
    <w:p w14:paraId="44EC5B75" w14:textId="77777777" w:rsidR="00681D00" w:rsidRDefault="00000000">
      <w:r>
        <w:t xml:space="preserve">Tal perspectiva é reafirmada por </w:t>
      </w:r>
      <w:proofErr w:type="spellStart"/>
      <w:r>
        <w:t>Martindale</w:t>
      </w:r>
      <w:proofErr w:type="spellEnd"/>
      <w:r>
        <w:t xml:space="preserve"> (1993) defendendo a existência de uma cadeia de recepções formada pela fusão de horizontes do passado e do presente fazendo com que a compreensão de determinado texto seja modificada ao longo das gerações. Ou seja, há um impacto contributivo nas interpretações consecutivas (</w:t>
      </w:r>
      <w:proofErr w:type="spellStart"/>
      <w:r>
        <w:t>Hardwick</w:t>
      </w:r>
      <w:proofErr w:type="spellEnd"/>
      <w:r>
        <w:t xml:space="preserve">, 2006, p. 8). Por exemplo, ao lermos sobre o assassinato de César em Suetônio, o impacto da obra se </w:t>
      </w:r>
      <w:proofErr w:type="spellStart"/>
      <w:r>
        <w:t>Sheaskepare</w:t>
      </w:r>
      <w:proofErr w:type="spellEnd"/>
      <w:r>
        <w:t xml:space="preserve"> promovem um sentido anterior a própria leitura, ou seja, houve uma cadeia de recepção entre Suetônio-</w:t>
      </w:r>
      <w:proofErr w:type="spellStart"/>
      <w:r>
        <w:t>Sheaskepare</w:t>
      </w:r>
      <w:proofErr w:type="spellEnd"/>
      <w:r>
        <w:t xml:space="preserve"> e entre </w:t>
      </w:r>
      <w:proofErr w:type="spellStart"/>
      <w:r>
        <w:t>Shakespeare-nós</w:t>
      </w:r>
      <w:proofErr w:type="spellEnd"/>
      <w:r>
        <w:t xml:space="preserve"> ao proceder a leitura da fonte.</w:t>
      </w:r>
    </w:p>
    <w:p w14:paraId="3A7D7E75" w14:textId="77777777" w:rsidR="00681D00" w:rsidRDefault="00000000">
      <w:r>
        <w:t>Outro teórico influente na Estética da Recepção alemã é desenvolvido por Iser em meados da década de 1970. Para ele (1996), a recepção é um jogo em que participam o autor e o leitor do texto produzindo algo que antes inexistia, sendo criado, nesse jogo, efeitos a serem experimentados como contestação, indagação ou angústia em que a interpretação se torna, momentaneamente, uma realidade (Iser, 1996, p. 105). Portanto, “o sentido não é mais algo a ser explicado, mas sim um efeito a ser experimentado” (1996, p. 33).</w:t>
      </w:r>
    </w:p>
    <w:p w14:paraId="7B691801" w14:textId="77777777" w:rsidR="00681D00" w:rsidRDefault="00000000">
      <w:r>
        <w:t xml:space="preserve">Ao adentrar no campo da Recepção dos Clássicos, compreende-se que os textos antigos são recepcionados por determinados leitores que, por sua vez, produzem novas obras de forma relacional com o texto antigo. Nessa direção, </w:t>
      </w:r>
      <w:proofErr w:type="spellStart"/>
      <w:r>
        <w:t>Martindale</w:t>
      </w:r>
      <w:proofErr w:type="spellEnd"/>
      <w:r>
        <w:t xml:space="preserve"> (1993) enfatiza o caráter ativo e produtivo do leitor na recepção, compreendendo-a como um “processo de mão dupla”, no qual passado e presente se interpelam mutuamente. Para o autor, não se trata de mera sobrevivência ou distorção do legado antigo, mas de um diálogo contínuo em que as preocupações, valores e conflitos do presente informam as leituras do passado, ao mesmo tempo em que este oferece repertórios simbólicos para a construção de sentidos contemporâneos (</w:t>
      </w:r>
      <w:proofErr w:type="spellStart"/>
      <w:r>
        <w:t>Martindale</w:t>
      </w:r>
      <w:proofErr w:type="spellEnd"/>
      <w:r>
        <w:t>, 2007).</w:t>
      </w:r>
    </w:p>
    <w:p w14:paraId="09CAE5D6" w14:textId="77777777" w:rsidR="00681D00" w:rsidRDefault="00000000">
      <w:r>
        <w:t>Tal perspectiva permite compreender a recepção como um movimento dialético, no qual o passado não apenas condiciona o presente, mas é continuamente ressignificado por ele. Nesse sentido, Haroldo Marcuse (2018, n.p.) observa que a história da recepção corresponde à história dos significados atribuídos aos acontecimentos históricos, revelando como observadores, intérpretes e historiadores, em distintos contextos temporais, constroem sentidos para o passado de acordo com as demandas e horizontes de expectativa de seu próprio tempo.</w:t>
      </w:r>
    </w:p>
    <w:p w14:paraId="47E005CE" w14:textId="77777777" w:rsidR="00681D00" w:rsidRDefault="00000000">
      <w:proofErr w:type="spellStart"/>
      <w:r>
        <w:t>Lorna</w:t>
      </w:r>
      <w:proofErr w:type="spellEnd"/>
      <w:r>
        <w:t xml:space="preserve"> </w:t>
      </w:r>
      <w:proofErr w:type="spellStart"/>
      <w:r>
        <w:t>Hardwick</w:t>
      </w:r>
      <w:proofErr w:type="spellEnd"/>
      <w:r>
        <w:t xml:space="preserve"> (2003, p. 5) desenvolve o conceito de recepção a partir de três aspectos: 1. são processos artísticos ou intelectuais que envolvem seleção, imitação ou adaptação de trabalhos antigos, tendo esse texto recebido e </w:t>
      </w:r>
      <w:proofErr w:type="spellStart"/>
      <w:r>
        <w:t>refigurado</w:t>
      </w:r>
      <w:proofErr w:type="spellEnd"/>
      <w:r>
        <w:t xml:space="preserve"> em um trabalho posterior; 2. há fatores externos que contribuem para a recepção, como um colaborador, um financiador, ou a forma em que se realizou o conhecimento da determinada fonte; 3. o novo trabalho possui um propósito ou uma função nessa apropriação de ideias e valores, seja de ordem política, artística, social, educacional ou cultural em sentido mais amplo.</w:t>
      </w:r>
    </w:p>
    <w:p w14:paraId="784B791D" w14:textId="77777777" w:rsidR="00681D00" w:rsidRDefault="00000000">
      <w:r>
        <w:t xml:space="preserve">Para </w:t>
      </w:r>
      <w:proofErr w:type="spellStart"/>
      <w:r>
        <w:t>Batstone</w:t>
      </w:r>
      <w:proofErr w:type="spellEnd"/>
      <w:r>
        <w:t xml:space="preserve"> (2006, p.17), o ponto da recepção reside no encontro do leitor com o texto que, simultaneamente, constitui ambos, afinal é nesse ponto que o texto ganha vida como consciência do leitor. Sendo, portanto, um processo de autocompreensão do leitor em que o texto ganha significado e o leitor significa-se a si mesmo dentro do texto. Para ele (2006, p.17), </w:t>
      </w:r>
      <w:r>
        <w:lastRenderedPageBreak/>
        <w:t xml:space="preserve">ler é um ato complexo de ouvir palavras de outra pessoa em que contextos e figuras antigas são inseridas em uma estrutura linguística e em um contexto da nossa própria consciência transformando em sentidos e significados. </w:t>
      </w:r>
    </w:p>
    <w:p w14:paraId="0272401B" w14:textId="77777777" w:rsidR="00681D00" w:rsidRDefault="00000000">
      <w:proofErr w:type="spellStart"/>
      <w:r>
        <w:t>Batstone</w:t>
      </w:r>
      <w:proofErr w:type="spellEnd"/>
      <w:r>
        <w:t xml:space="preserve"> (2006, p. 16) também afirma que o ponto da recepção é o encontro da esfera de sentido proferida pelo autor que reside no texto e a esfera de sentido da interpretação do texto pelo receptor. Ou seja, há um conjunto de valores, sentidos, usos da linguagem e um contexto linguístico prévio do leitor em que </w:t>
      </w:r>
      <w:proofErr w:type="gramStart"/>
      <w:r>
        <w:t>os tons, escolhas, nuances do autor é</w:t>
      </w:r>
      <w:proofErr w:type="gramEnd"/>
      <w:r>
        <w:t xml:space="preserve"> recepcionada ganhando um sentido único. </w:t>
      </w:r>
    </w:p>
    <w:p w14:paraId="7411F4F1" w14:textId="77777777" w:rsidR="00681D00" w:rsidRDefault="00000000">
      <w:r>
        <w:t xml:space="preserve">Cabe destacar que a própria análise do historiador sobre a recepção de determinado texto clássico em uma obra moderna, também é um processo de recepção em que o historiador, também um sujeito subjetivo, utiliza-se de seu arcabouço de leituras prévias, contextos e questões como intermediações para atingir o passado em forma de um novo texto analítico e crítico próprio da metodologia da ciência histórica. Dessa forma, evita-se o que </w:t>
      </w:r>
      <w:proofErr w:type="spellStart"/>
      <w:r>
        <w:t>Martindale</w:t>
      </w:r>
      <w:proofErr w:type="spellEnd"/>
      <w:r>
        <w:t xml:space="preserve"> (1993) chama de história positivista em que </w:t>
      </w:r>
      <w:proofErr w:type="gramStart"/>
      <w:r>
        <w:t>busca-se</w:t>
      </w:r>
      <w:proofErr w:type="gramEnd"/>
      <w:r>
        <w:t xml:space="preserve"> atingir um passado acessível pelo texto e transforma a leitura do historiador em uma recepção dentre outras possíveis recepções que lidam com contextos diversos.</w:t>
      </w:r>
    </w:p>
    <w:p w14:paraId="6FEEB70A" w14:textId="77777777" w:rsidR="00681D00" w:rsidRDefault="00000000">
      <w:r>
        <w:t>Aplicada à análise das recepções e usos do passado, essa abordagem evidencia que a recepção da Antiguidade não é neutra nem fortuita, mas profundamente atravessada por interesses político-culturais específicos. Cada produção expressa não apenas uma leitura do mundo antigo, mas também as tensões, valores e problemáticas da sociedade que a produz e a consome. Cabe, portanto, ao historiador da Antiguidade adotar uma postura crítica diante desses processos, atentando para as instâncias produtoras, os diálogos estabelecidos com o presente e os mecanismos pelos quais determinados sentidos sobre o passado são privilegiados em detrimento de outros.</w:t>
      </w:r>
    </w:p>
    <w:p w14:paraId="33F0E45C" w14:textId="77777777" w:rsidR="00681D00" w:rsidRDefault="00000000">
      <w:r>
        <w:t xml:space="preserve">Por seu turno, </w:t>
      </w:r>
      <w:proofErr w:type="gramStart"/>
      <w:r>
        <w:t>os usos do passado, como um subgênero da recepção, possui</w:t>
      </w:r>
      <w:proofErr w:type="gramEnd"/>
      <w:r>
        <w:t xml:space="preserve"> foco naquilo que acrescenta ou suprime objetivando conferir sentido a uma finalidade identitária, nacional, de classe, de raça, de </w:t>
      </w:r>
      <w:proofErr w:type="gramStart"/>
      <w:r>
        <w:t>gênero, etc.</w:t>
      </w:r>
      <w:proofErr w:type="gramEnd"/>
      <w:r>
        <w:t xml:space="preserve"> no presente, entendida como uma apropriação indevida (Fleming, 2006) ou abusos (Finley, 1975).</w:t>
      </w:r>
    </w:p>
    <w:p w14:paraId="3B755C4A" w14:textId="77777777" w:rsidR="00681D00" w:rsidRDefault="00000000">
      <w:r>
        <w:t>Eric Hobsbawm (1997) figura entre os autores fundamentais para a sistematização dessa problemática. Ao analisar a invenção das tradições, o historiador demonstrou como referências ao passado são frequentemente mobilizadas para legitimar instituições, identidades e projetos políticos relativamente recentes. Para Hobsbawm, tais tradições inventadas não são falsificações no sentido estrito, mas construções seletivas que conferem uma aparência de continuidade histórica a práticas e valores contemporâneos. O passado, portanto, é utilizado como recurso simbólico capaz de naturalizar relações sociais e políticas específicas.</w:t>
      </w:r>
    </w:p>
    <w:p w14:paraId="20624592" w14:textId="77777777" w:rsidR="00681D00" w:rsidRDefault="00000000">
      <w:r>
        <w:t xml:space="preserve">Fernando </w:t>
      </w:r>
      <w:proofErr w:type="spellStart"/>
      <w:r>
        <w:t>Nicolazzi</w:t>
      </w:r>
      <w:proofErr w:type="spellEnd"/>
      <w:r>
        <w:t xml:space="preserve"> (2021, n.p.) propõe uma definição ampla e operacional do conceito de usos políticos do passado, compreendendo-o como o conjunto de práticas pelas quais indivíduos e grupos mobilizam referências históricas para justificar ações, identidades e projetos políticos no presente.  O problema central reside nas formas de instrumentalização que eliminam a historicidade, a complexidade e os conflitos próprios do passado, convertendo-o em repertório fixo de exemplos morais ou argumentos de autoridade. Nesses casos, o passado deixa de ser um campo de interrogação para tornar-se um instrumento de fechamento do debate político, frequentemente associado a discursos autoritários, nacionalistas ou excludentes.</w:t>
      </w:r>
    </w:p>
    <w:p w14:paraId="7513BED6" w14:textId="77777777" w:rsidR="00681D00" w:rsidRDefault="00000000">
      <w:r>
        <w:lastRenderedPageBreak/>
        <w:t xml:space="preserve">Dessa forma, </w:t>
      </w:r>
      <w:proofErr w:type="spellStart"/>
      <w:r>
        <w:t>Nicolazzi</w:t>
      </w:r>
      <w:proofErr w:type="spellEnd"/>
      <w:r>
        <w:t xml:space="preserve"> (2021, n.p.) afirma que os usos do passado revelam menos os dilemas históricos que evocam e mais os impasses do tempo presente que os produzem. Dessa forma, estudar os usos políticos do passado significa investigar quais memórias são ativadas, quais são silenciadas e quais futuros são imaginados ou bloqueados por essas operações simbólicas. Para o autor, essa perspectiva confere ao historiador um papel decisivo na defesa de uma cultura histórica plural e democrática.</w:t>
      </w:r>
    </w:p>
    <w:p w14:paraId="118D1EEA" w14:textId="77777777" w:rsidR="00681D00" w:rsidRDefault="00000000">
      <w:r>
        <w:t xml:space="preserve">No campo específico da História Antiga, o conceito de usos do passado adquire relevância particular em virtude do lugar privilegiado que a Antiguidade ocupa na tradição da </w:t>
      </w:r>
      <w:proofErr w:type="gramStart"/>
      <w:r>
        <w:t>cultural ocidental</w:t>
      </w:r>
      <w:proofErr w:type="gramEnd"/>
      <w:r>
        <w:t>. O mundo greco-romano tem sido reiteradamente acionado como origem da democracia, da racionalidade, da arte e da civilização, funcionando como um passado normativo. Moses Finley (1989) já havia alertado para os riscos dessa idealização, ao enfatizar que as leituras modernas da Antiguidade frequentemente projetam categorias e valores contemporâneos sobre sociedades profundamente distintas. Os usos do passado antigo, nesse sentido, revelam mais sobre as preocupações modernas do que sobre o mundo antigo em si.</w:t>
      </w:r>
    </w:p>
    <w:p w14:paraId="6DE7C48E" w14:textId="77777777" w:rsidR="00681D00" w:rsidRDefault="00000000">
      <w:r>
        <w:t>O debate historiográfico sobre os usos do passado coloca em evidência a responsabilidade pública do historiador. Em um contexto marcado pela intensa circulação de representações históricas fora do espaço acadêmico, cabe ao historiador não apenas produzir conhecimento especializado, mas também intervir criticamente nos debates públicos sobre o passado. O conceito de usos do passado, ao explicitar a dimensão política da relação com a história, contribui para uma compreensão mais reflexiva do papel social da historiografia e, em particular, da História Antiga no mundo contemporâneo.</w:t>
      </w:r>
    </w:p>
    <w:p w14:paraId="6F6C7BB6" w14:textId="77777777" w:rsidR="00681D00" w:rsidRDefault="00000000">
      <w:r>
        <w:t xml:space="preserve">Tanto os estudos sobre recepção quanto os de usos do passado, podem ser beneficiados pelas análises de regimes de historicidades desenvolvidas por François </w:t>
      </w:r>
      <w:proofErr w:type="spellStart"/>
      <w:r>
        <w:t>Hartog</w:t>
      </w:r>
      <w:proofErr w:type="spellEnd"/>
      <w:r>
        <w:t xml:space="preserve"> (2014 e 2021) em que a dimensão do presente </w:t>
      </w:r>
      <w:proofErr w:type="gramStart"/>
      <w:r>
        <w:t>torna-se</w:t>
      </w:r>
      <w:proofErr w:type="gramEnd"/>
      <w:r>
        <w:t xml:space="preserve"> ponto de partida na percepção, análise e escrita histórica sobre o passado. Com o regime de historicidade do </w:t>
      </w:r>
      <w:proofErr w:type="spellStart"/>
      <w:r>
        <w:t>presentismo</w:t>
      </w:r>
      <w:proofErr w:type="spellEnd"/>
      <w:r>
        <w:t xml:space="preserve">, a antiguidade revela-se sensível às lógicas do presente em que, frequentemente, o mundo antigo é mobilizado como espelho, contraponto ou legitimação de questões e debates atuais. Portanto, o passado é continuamente </w:t>
      </w:r>
      <w:proofErr w:type="spellStart"/>
      <w:r>
        <w:t>refigurado</w:t>
      </w:r>
      <w:proofErr w:type="spellEnd"/>
      <w:r>
        <w:t xml:space="preserve"> por diferentes regimes de historicidade em que o mundo antigo emerge em um campo de disputas interpretativas que articulam temporalidades e interesses diversos.</w:t>
      </w:r>
    </w:p>
    <w:p w14:paraId="2FD2E656" w14:textId="77777777" w:rsidR="00681D00" w:rsidRDefault="00681D00"/>
    <w:p w14:paraId="48DB3667" w14:textId="77777777" w:rsidR="00681D00" w:rsidRDefault="00000000">
      <w:pPr>
        <w:ind w:firstLine="0"/>
        <w:rPr>
          <w:b/>
          <w:bCs/>
        </w:rPr>
      </w:pPr>
      <w:r>
        <w:rPr>
          <w:b/>
          <w:bCs/>
        </w:rPr>
        <w:t>Usos políticos do passado na contemporaneidade</w:t>
      </w:r>
    </w:p>
    <w:p w14:paraId="1CC2D9FF" w14:textId="77777777" w:rsidR="00681D00" w:rsidRDefault="00000000">
      <w:r>
        <w:t>A apropriação da Antiguidade como legitimadora de projetos políticos manifesta-se, de modo recorrente, na construção de narrativas nacionais e de discursos de origem. Desde o século XVI, o mundo greco-romano foi mobilizado como referência fundamental na elaboração das identidades nacionais europeias, funcionando como um passado prestigioso capaz de sustentar pretensões de continuidade histórica, grandeza cultural, superioridade civilizacional e práticas colonialistas e imperialistas. A Antiguidade, nesse contexto, não é evocada em sua complexidade histórica, mas reduzida a um repertório de símbolos e modelos idealizados.</w:t>
      </w:r>
    </w:p>
    <w:p w14:paraId="7A31D789" w14:textId="77777777" w:rsidR="00681D00" w:rsidRDefault="00000000">
      <w:r>
        <w:t xml:space="preserve">A mobilização da Antiguidade como parâmetro de civilização encontra-se profundamente articulada aos discursos coloniais e eurocêntricos forjados a partir da modernidade europeia. O mundo greco-romano foi reiteradamente apresentado como matriz exclusiva da civilização ocidental, operando como critério normativo para a hierarquização das culturas e para a legitimação da dominação colonial. Tal construção pressupõe uma linha </w:t>
      </w:r>
      <w:r>
        <w:lastRenderedPageBreak/>
        <w:t>contínua e teleológica que conectaria a Antiguidade clássica à Europa moderna e, desta, à expansão colonial, naturalizando relações de poder e silenciando a pluralidade histórica das formações culturais não europeias.</w:t>
      </w:r>
    </w:p>
    <w:p w14:paraId="6526A30B" w14:textId="77777777" w:rsidR="00681D00" w:rsidRDefault="00000000">
      <w:r>
        <w:t>Nesse quadro, a Antiguidade não é apenas um passado remoto, mas um elemento constitutivo da autodefinição do Ocidente. Grécia e Roma tornam-se símbolos de racionalidade, universalidade e progresso, enquanto outras tradições históricas são relegadas à condição de atraso ou ausência de história. Os usos do passado antigo, portanto, operam como mecanismos de exclusão simbólica, nos quais o passado clássico é convertido em fundamento da superioridade cultural europeia.</w:t>
      </w:r>
    </w:p>
    <w:p w14:paraId="1649DC01" w14:textId="77777777" w:rsidR="00681D00" w:rsidRDefault="00000000">
      <w:r>
        <w:t>Edward Said (1980) oferece uma contribuição decisiva para a compreensão desses processos ao analisar a produção discursiva do orientalismo ao demonstrar que o Ocidente construiu o Oriente como uma alteridade essencializada, a partir de categorias intelectuais, literárias e históricas que remontam, em parte, à Antiguidade clássica. Textos gregos e romanos forneceram imagens duráveis do Oriente como espaço de despotismo, irracionalidade e exotismo, que foram posteriormente reatualizadas nos contextos imperialistas modernos (Said, 1980).</w:t>
      </w:r>
    </w:p>
    <w:p w14:paraId="2A89C145" w14:textId="77777777" w:rsidR="00681D00" w:rsidRDefault="00000000">
      <w:r>
        <w:t>Para Said (1980), o orientalismo não se limita a um conjunto de representações equivocadas, mas constitui um sistema de saber-poder que legitima a dominação colonial. A Antiguidade, nesse sentido, funciona como autoridade cultural mobilizada para sustentar uma oposição estrutural entre um Ocidente ativo, racional e civilizado e um Oriente passivo, atrasado e inferiorizado. Os usos do passado antigo integram, assim, uma economia discursiva que naturaliza desigualdades e legitima práticas políticas concretas de dominação (Said, 1980).</w:t>
      </w:r>
    </w:p>
    <w:p w14:paraId="01C842AC" w14:textId="77777777" w:rsidR="00681D00" w:rsidRDefault="00000000">
      <w:r>
        <w:t>Além disso, o autor chama atenção para a persistência dessas estruturas discursivas na produção acadêmica e cultural contemporânea. Mesmo após o declínio formal do colonialismo, as categorias herdadas dessas leituras do passado continuam a informar narrativas históricas e geopolíticas, demonstrando que os usos políticos da Antiguidade não pertencem apenas ao passado, mas seguem operando no presente como formas de poder simbólico.</w:t>
      </w:r>
    </w:p>
    <w:p w14:paraId="7AB26259" w14:textId="77777777" w:rsidR="00681D00" w:rsidRDefault="00000000">
      <w:r>
        <w:t xml:space="preserve">Martin Bernal (1987) aprofunda essa crítica ao deslocar o foco para o interior da própria historiografia da Antiguidade. Em </w:t>
      </w:r>
      <w:r>
        <w:rPr>
          <w:i/>
          <w:iCs/>
        </w:rPr>
        <w:t>Black Athena</w:t>
      </w:r>
      <w:r>
        <w:t xml:space="preserve"> (1987), o autor questiona o que denomina “modelo ariano” da civilização grega, consolidado no século XIX, segundo o qual a Grécia clássica teria se desenvolvido de forma autônoma, sem influências significativas do Egito ou do Oriente Próximo. Bernal (1987) argumenta que esse modelo substituiu paradigmas anteriores, mais abertos às interações afro-asiáticas, em consonância com o contexto racial e colonial da Europa oitocentista.</w:t>
      </w:r>
    </w:p>
    <w:p w14:paraId="2873F46F" w14:textId="77777777" w:rsidR="00681D00" w:rsidRDefault="00000000">
      <w:r>
        <w:t>Segundo Bernal (1987), a redefinição da Grécia como origem pura da civilização europeia implicou um apagamento sistemático das contribuições africanas e orientais, operando um uso político do passado orientado por pressupostos raciais. A Antiguidade foi, assim, reconstruída de modo a legitimar narrativas de superioridade europeia e a fornecer uma genealogia histórica compatível com o colonialismo e o racismo científico do século XIX (Bernal, 1987).</w:t>
      </w:r>
    </w:p>
    <w:p w14:paraId="037519B9" w14:textId="77777777" w:rsidR="00681D00" w:rsidRDefault="00000000">
      <w:r>
        <w:t xml:space="preserve">Embora alvo de críticas metodológicas, </w:t>
      </w:r>
      <w:r>
        <w:rPr>
          <w:i/>
          <w:iCs/>
        </w:rPr>
        <w:t xml:space="preserve">Black Athena </w:t>
      </w:r>
      <w:r>
        <w:t xml:space="preserve">(1987) teve impacto duradouro ao evidenciar que a historiografia da Antiguidade não está imune a condicionamentos ideológicos. A obra demonstrou que os usos do passado antigo não se restringem à esfera </w:t>
      </w:r>
      <w:r>
        <w:lastRenderedPageBreak/>
        <w:t>política explícita, mas atravessam práticas acadêmicas aparentemente neutras, revelando a dimensão política da produção do conhecimento histórico.</w:t>
      </w:r>
    </w:p>
    <w:p w14:paraId="3E68880D" w14:textId="77777777" w:rsidR="00681D00" w:rsidRDefault="00000000">
      <w:r>
        <w:t xml:space="preserve">Walter </w:t>
      </w:r>
      <w:proofErr w:type="spellStart"/>
      <w:r>
        <w:t>Mignolo</w:t>
      </w:r>
      <w:proofErr w:type="spellEnd"/>
      <w:r>
        <w:t xml:space="preserve"> (2003) insere esse debate em uma crítica mais ampla à colonialidade do saber, deslocando a análise da Antiguidade para o plano epistemológico. Para o autor, a centralidade atribuída ao passado clássico na definição da modernidade ocidental integra um sistema global de hierarquização do conhecimento, no qual determinadas tradições históricas são universalizadas, enquanto outras são marginalizadas ou deslegitimadas (</w:t>
      </w:r>
      <w:proofErr w:type="spellStart"/>
      <w:r>
        <w:t>Mignolo</w:t>
      </w:r>
      <w:proofErr w:type="spellEnd"/>
      <w:r>
        <w:t>, 2003).</w:t>
      </w:r>
    </w:p>
    <w:p w14:paraId="4B383D41" w14:textId="77777777" w:rsidR="00681D00" w:rsidRDefault="00000000">
      <w:proofErr w:type="spellStart"/>
      <w:r>
        <w:t>Mignolo</w:t>
      </w:r>
      <w:proofErr w:type="spellEnd"/>
      <w:r>
        <w:t xml:space="preserve"> (2003) argumenta que a Antiguidade clássica funciona como um dos pilares daquilo que denomina “retórica da modernidade”, segundo a qual a Europa se apresenta como herdeira legítima de um passado universal e, portanto, como centro natural da produção de saber e de normatividade cultural. Os usos políticos da Antiguidade, nesse sentido, não operam apenas no plano das representações históricas, mas estruturam relações globais de poder, definindo quem pode produzir conhecimento legítimo e quem ocupa posições subalternas (</w:t>
      </w:r>
      <w:proofErr w:type="spellStart"/>
      <w:r>
        <w:t>Mignolo</w:t>
      </w:r>
      <w:proofErr w:type="spellEnd"/>
      <w:r>
        <w:t>, 2003).</w:t>
      </w:r>
    </w:p>
    <w:p w14:paraId="4792BAFB" w14:textId="77777777" w:rsidR="00681D00" w:rsidRDefault="00000000">
      <w:r>
        <w:t>Por sua vez, no contexto dos nacionalismos europeus do século XIX, a Antiguidade foi amplamente instrumentalizada como fundamento de narrativas de origem e identidade coletiva. Eric Hobsbawm (1990; 1997) demonstrou que a consolidação dos Estados-nação modernos esteve profundamente associada à invenção de tradições que buscavam conferir profundidade histórica a projetos políticos recentes. A Antiguidade, nesse quadro, foi frequentemente apresentada como passado fundador, capaz de legitimar fronteiras, instituições e valores nacionais. Grécia e Roma tornaram-se matrizes simbólicas distintas, mas complementares: a primeira associada à liberdade política, à democracia e à cultura; a segunda, à ordem, ao direito e à organização estatal.</w:t>
      </w:r>
    </w:p>
    <w:p w14:paraId="631C1D40" w14:textId="77777777" w:rsidR="00681D00" w:rsidRDefault="00000000">
      <w:r>
        <w:t>Moses Finley, já na década de 1970, advertia para o caráter profundamente anacrônico dessas leituras, ao analisar os conceitos como democracia, cidadania e liberdade, frequentemente mobilizados como heranças diretas do mundo antigo, possuem significados históricos específicos, profundamente distintos de suas formulações modernas. A projeção dessas categorias sobre a Antiguidade revela, portanto, menos uma continuidade histórica do que um uso político do passado orientado pela necessidade de legitimação do presente.</w:t>
      </w:r>
    </w:p>
    <w:p w14:paraId="489B19EF" w14:textId="77777777" w:rsidR="00681D00" w:rsidRDefault="00000000">
      <w:r>
        <w:t xml:space="preserve">Esses usos do passado, também se tornam evidentes nos regimes autoritários e totalitários do século XX. O fascismo italiano mobilizou intensamente a imagem da Roma imperial como símbolo de grandeza, continuidade e destino histórico. Emilio Gentile (1993) e Luciano Canfora (2017) demonstraram como o regime de Mussolini apropriou-se seletivamente do passado romano, transformando-o em mito político e linguagem estética do poder. Monumentos, rituais, arquitetura e iconografia foram mobilizados para construir a ideia de uma </w:t>
      </w:r>
      <w:proofErr w:type="spellStart"/>
      <w:r>
        <w:rPr>
          <w:i/>
          <w:iCs/>
        </w:rPr>
        <w:t>romanità</w:t>
      </w:r>
      <w:proofErr w:type="spellEnd"/>
      <w:r>
        <w:rPr>
          <w:i/>
          <w:iCs/>
        </w:rPr>
        <w:t xml:space="preserve"> eterna</w:t>
      </w:r>
      <w:r>
        <w:t>, capaz de legitimar a expansão imperial e o autoritarismo do Estado fascista.</w:t>
      </w:r>
    </w:p>
    <w:p w14:paraId="013EBF11" w14:textId="77777777" w:rsidR="00681D00" w:rsidRDefault="00000000">
      <w:r>
        <w:t xml:space="preserve">O nazismo, por sua vez, desenvolveu uma relação igualmente instrumental com a Antiguidade, ainda que marcada por pressupostos raciais mais explícitos. George L. Mosse (1981) analisou como a Grécia clássica foi apropriada como símbolo de pureza, harmonia e superioridade racial, integrada a uma estética política que exaltava o corpo, a disciplina e a ordem. Essa leitura </w:t>
      </w:r>
      <w:proofErr w:type="spellStart"/>
      <w:r>
        <w:t>racializada</w:t>
      </w:r>
      <w:proofErr w:type="spellEnd"/>
      <w:r>
        <w:t xml:space="preserve"> do mundo antigo implicou o apagamento de sua diversidade histórica e cultural, convertendo a Antiguidade em mito de origem da chamada “civilização ariana”.</w:t>
      </w:r>
    </w:p>
    <w:p w14:paraId="5F34AF76" w14:textId="77777777" w:rsidR="00681D00" w:rsidRDefault="00000000">
      <w:r>
        <w:lastRenderedPageBreak/>
        <w:t>No contexto brasileiro, Glaydson José da Silva tem contribuído de forma decisiva para a análise crítica dessas apropriações. O autor (2007) demonstra como o classicismo foi mobilizado por regimes autoritários como linguagem de poder, esvaziando a Antiguidade de sua historicidade e convertendo-a em instrumento ideológico. Para Glaydson (2007), o problema central não reside apenas na falsificação do passado, mas na naturalização dessas leituras, que tendem a apresentar a Antiguidade como um conjunto homogêneo de valores universais e atemporais.</w:t>
      </w:r>
    </w:p>
    <w:p w14:paraId="033C3C3B" w14:textId="77777777" w:rsidR="00681D00" w:rsidRDefault="00000000">
      <w:r>
        <w:t>Esses processos articulam-se, de modo mais amplo, a discursos civilizatórios que opõem o mundo greco-romano a supostas alteridades bárbaras, orientais ou não europeias. A Antiguidade é apresentada como origem exclusiva da civilização ocidental, legitimando hierarquias culturais e políticas que atravessam a modernidade. Como observa Cânfora (2017), esse uso do passado antigo contribuiu para a construção de uma narrativa linear da civilização, na qual Grécia, Roma e Europa moderna aparecem como etapas sucessivas de um mesmo processo histórico, ocultando rupturas, conflitos e apropriações seletivas.</w:t>
      </w:r>
    </w:p>
    <w:p w14:paraId="38DF53C3" w14:textId="77777777" w:rsidR="00681D00" w:rsidRDefault="00000000">
      <w:r>
        <w:t>Assim, a Antiguidade, quando mobilizada como legitimadora de projetos políticos, deixa de ser objeto de investigação histórica para tornar-se instrumento de autoridade simbólica. A análise desses usos evidencia que o passado antigo não é invocado por sua complexidade, mas por sua capacidade de fornecer modelos, mitos e símbolos adaptáveis às demandas do presente. Cabe ao historiador da Antiguidade, nesse contexto, desnaturalizar essas apropriações, restituindo a historicidade do mundo antigo e evidenciando os interesses políticos que orientam seus usos contemporâneos.</w:t>
      </w:r>
    </w:p>
    <w:p w14:paraId="6A9D3FC0" w14:textId="77777777" w:rsidR="00681D00" w:rsidRDefault="00000000">
      <w:r>
        <w:t>Na atualidade, os usos políticos da Antiguidade não se restringem a projetos estatais ou acadêmicos, mas atravessam intensamente o espaço público, especialmente por meio das mídias e das redes sociais. Movimentos conservadores e reacionários têm mobilizado referências ao mundo greco-romano para sustentar discursos identitários, frequentemente associados a noções de tradição, ordem e hierarquia. A Antiguidade é apresentada como passado homogêneo e normativo, desprovido de conflitos e transformações, funcionando como modelo idealizado para a crítica ao presente.</w:t>
      </w:r>
    </w:p>
    <w:p w14:paraId="2DA38669" w14:textId="77777777" w:rsidR="00681D00" w:rsidRDefault="00000000">
      <w:r>
        <w:t xml:space="preserve">Pode ser observado no exemplo utilizado por Mary Beard (2018) na mobilização da figura mitológica da Medusa na representação de mulheres que ocupam posições de poder político, a fim de </w:t>
      </w:r>
      <w:proofErr w:type="spellStart"/>
      <w:r>
        <w:t>descredibiliza-las</w:t>
      </w:r>
      <w:proofErr w:type="spellEnd"/>
      <w:r>
        <w:t xml:space="preserve"> e </w:t>
      </w:r>
      <w:proofErr w:type="gramStart"/>
      <w:r>
        <w:t>satiriza-las</w:t>
      </w:r>
      <w:proofErr w:type="gramEnd"/>
      <w:r>
        <w:t xml:space="preserve">. Isto pode ser </w:t>
      </w:r>
      <w:proofErr w:type="gramStart"/>
      <w:r>
        <w:t>observado  no</w:t>
      </w:r>
      <w:proofErr w:type="gramEnd"/>
      <w:r>
        <w:t xml:space="preserve"> caso de Hillary Clinton nas disputas presidenciais dos Estados Unidos, que foi retratada com traços monstruosos da Medusa em 2016 </w:t>
      </w:r>
      <w:proofErr w:type="gramStart"/>
      <w:r>
        <w:t>e também</w:t>
      </w:r>
      <w:proofErr w:type="gramEnd"/>
      <w:r>
        <w:t xml:space="preserve"> no caso da presidenta Dilma Rousseff em 2012 que, ao observar o quadro da Medusa </w:t>
      </w:r>
      <w:proofErr w:type="spellStart"/>
      <w:r>
        <w:t>Murtola</w:t>
      </w:r>
      <w:proofErr w:type="spellEnd"/>
      <w:r>
        <w:t xml:space="preserve"> (1597) durante exposição do pintor Caravaggio, foi comparada à Medusa como se estivesse em frente de um espelho.</w:t>
      </w:r>
    </w:p>
    <w:p w14:paraId="756845EE" w14:textId="77777777" w:rsidR="00681D00" w:rsidRDefault="00000000">
      <w:r>
        <w:t xml:space="preserve">Em contrapartida, observa-se o crescimento de releituras críticas e </w:t>
      </w:r>
      <w:proofErr w:type="spellStart"/>
      <w:r>
        <w:t>contra-hegemônicas</w:t>
      </w:r>
      <w:proofErr w:type="spellEnd"/>
      <w:r>
        <w:t xml:space="preserve"> da Antiguidade, que buscam problematizar essas apropriações conservadoras. Estudos sobre gênero, sexualidade, escravidão e religião no mundo antigo têm sido mobilizados para questionar narrativas normativas e ampliar o repertório interpretativo da Antiguidade. Essas abordagens evidenciam que o passado antigo não oferece modelos fixos, mas experiências históricas complexas e contraditórias, capazes de desestabilizar certezas contemporâneas.</w:t>
      </w:r>
    </w:p>
    <w:p w14:paraId="3C4FA8DB" w14:textId="77777777" w:rsidR="00681D00" w:rsidRDefault="00000000">
      <w:r>
        <w:t xml:space="preserve">A própria figura da Medusa é ressignificada e transformada em símbolo de poder feminino e resistência frente ao poder patriarcal e das violências de gênero, sendo muito utilizada em tatuagens, principalmente por mulheres que sofreram algum tipo de abuso, e </w:t>
      </w:r>
      <w:r>
        <w:lastRenderedPageBreak/>
        <w:t xml:space="preserve">releituras do mito antigo em poemas e romances (Rodrigues, 2021). Um desses exemplos reside na estátua e Luciano </w:t>
      </w:r>
      <w:proofErr w:type="spellStart"/>
      <w:r>
        <w:t>Garbati</w:t>
      </w:r>
      <w:proofErr w:type="spellEnd"/>
      <w:r>
        <w:t xml:space="preserve">, </w:t>
      </w:r>
      <w:r>
        <w:rPr>
          <w:i/>
          <w:iCs/>
        </w:rPr>
        <w:t>Medusa com a cabeça de Perseu</w:t>
      </w:r>
      <w:r>
        <w:t xml:space="preserve"> (2008)</w:t>
      </w:r>
      <w:r>
        <w:rPr>
          <w:i/>
          <w:iCs/>
        </w:rPr>
        <w:t xml:space="preserve"> </w:t>
      </w:r>
      <w:r>
        <w:t>que ganhou popularidade no auge do movimento #MeToo em 2020 ao inverter quem decapita e segura a cabeça do adversário.</w:t>
      </w:r>
    </w:p>
    <w:p w14:paraId="570DBAE4" w14:textId="77777777" w:rsidR="00681D00" w:rsidRDefault="00000000">
      <w:r>
        <w:t xml:space="preserve">Um último exemplo é sobre os usos da figura de Armínio no período do Sacro Império Romano-Germânico (962-1806), no reinado da Prússia e nas mídias atuais, conforme trabalho nosso anterior (Nogueira, 2025). Armínio foi filho de </w:t>
      </w:r>
      <w:proofErr w:type="spellStart"/>
      <w:r>
        <w:t>Segimero</w:t>
      </w:r>
      <w:proofErr w:type="spellEnd"/>
      <w:r>
        <w:t xml:space="preserve">, chefe da tribo </w:t>
      </w:r>
      <w:proofErr w:type="spellStart"/>
      <w:r>
        <w:t>Queruscos</w:t>
      </w:r>
      <w:proofErr w:type="spellEnd"/>
      <w:r>
        <w:t xml:space="preserve">, sendo retirado da sua aldeia para Roma, como acordo de paz. Essa prática era comum a fim de pacificar regiões e formar novos líderes em prol de Roma. Entre os anos 6 e 9 E.C., Públio </w:t>
      </w:r>
      <w:proofErr w:type="spellStart"/>
      <w:r>
        <w:t>Quintílio</w:t>
      </w:r>
      <w:proofErr w:type="spellEnd"/>
      <w:r>
        <w:t xml:space="preserve"> Varo é nomeado governador da </w:t>
      </w:r>
      <w:proofErr w:type="spellStart"/>
      <w:r>
        <w:t>Germania</w:t>
      </w:r>
      <w:proofErr w:type="spellEnd"/>
      <w:r>
        <w:t xml:space="preserve"> e leva Armínio, que adquiriu a cidadania romana e o posto equestre, como comandante das tropas auxiliares, gozando de confiança junto a Varo.</w:t>
      </w:r>
    </w:p>
    <w:p w14:paraId="44C794CB" w14:textId="77777777" w:rsidR="00681D00" w:rsidRDefault="00000000">
      <w:r>
        <w:t xml:space="preserve">Contudo, no ano 9, as tribos germânicas sobre pressão de novos impostos, violências pelos soldados romanos e nova tentativa de levar os filhos dos chefes para Roma, Armínio unifica diversas tribos e </w:t>
      </w:r>
      <w:proofErr w:type="gramStart"/>
      <w:r>
        <w:t>leva Varo</w:t>
      </w:r>
      <w:proofErr w:type="gramEnd"/>
      <w:r>
        <w:t xml:space="preserve"> para um local desfavorável </w:t>
      </w:r>
      <w:proofErr w:type="gramStart"/>
      <w:r>
        <w:t>à</w:t>
      </w:r>
      <w:proofErr w:type="gramEnd"/>
      <w:r>
        <w:t xml:space="preserve"> eles, onde ocorre a Batalha de </w:t>
      </w:r>
      <w:proofErr w:type="spellStart"/>
      <w:r>
        <w:t>Teutoburgo</w:t>
      </w:r>
      <w:proofErr w:type="spellEnd"/>
      <w:r>
        <w:t xml:space="preserve"> com resultado desastroso para os romanos que perderam três legiões, além das coortes e tropas auxiliares. Tal evento, tornou-se símbolo de resistência contra o domínio imperial romano sendo utilizado em diversos contextos.</w:t>
      </w:r>
    </w:p>
    <w:p w14:paraId="37A41307" w14:textId="77777777" w:rsidR="00681D00" w:rsidRDefault="00000000">
      <w:r>
        <w:t xml:space="preserve">No Sacro Império Germânico, intelectuais utilizaram da obra </w:t>
      </w:r>
      <w:proofErr w:type="spellStart"/>
      <w:r>
        <w:rPr>
          <w:i/>
          <w:iCs/>
        </w:rPr>
        <w:t>Germania</w:t>
      </w:r>
      <w:proofErr w:type="spellEnd"/>
      <w:r>
        <w:t xml:space="preserve"> de Tácito, recém redescoberta (1425), para se afirmar contra a influência e poder da Igreja Católica Romana. Martinho Lutero, no sermão ao salmo 82 (1524-1525), popularizou o nome de Armínio (latino) para Herman (homem de armas), reafirmando a liberdade dos povos germânicos frente à Roma, </w:t>
      </w:r>
      <w:proofErr w:type="spellStart"/>
      <w:r>
        <w:t>mas</w:t>
      </w:r>
      <w:proofErr w:type="spellEnd"/>
      <w:r>
        <w:t xml:space="preserve"> precisamente a Igreja Católica. Esse movimento culminou no saque de Roma por Charles V em 1527. Portanto, o uso do passado sobre um evento antigo, não apenas auxiliou como recurso discursivo, mas também fundamentou atos militares. </w:t>
      </w:r>
    </w:p>
    <w:p w14:paraId="2C7AC0DF" w14:textId="77777777" w:rsidR="00681D00" w:rsidRDefault="00000000">
      <w:r>
        <w:t xml:space="preserve">Diversas obras artísticas são criadas em referência a Armínio como em óperas, romances, dramas e peças de teatro. Em 18 de outubro de 1838, data de comemoração de 25 anos da batalha de Leipzig ou a batalha das Nações, inicia-se a construção do famoso monumento a Armínio, o </w:t>
      </w:r>
      <w:proofErr w:type="spellStart"/>
      <w:r>
        <w:rPr>
          <w:i/>
          <w:iCs/>
        </w:rPr>
        <w:t>Hermannsdenkmal</w:t>
      </w:r>
      <w:proofErr w:type="spellEnd"/>
      <w:r>
        <w:t>, ver figura 1</w:t>
      </w:r>
      <w:r>
        <w:rPr>
          <w:i/>
          <w:iCs/>
        </w:rPr>
        <w:t xml:space="preserve">. </w:t>
      </w:r>
      <w:r>
        <w:t xml:space="preserve">O monumento foi construído por décadas (1838-1875) e é inaugurado em 1875 com </w:t>
      </w:r>
      <w:proofErr w:type="gramStart"/>
      <w:r>
        <w:t>projeto  de</w:t>
      </w:r>
      <w:proofErr w:type="gramEnd"/>
      <w:r>
        <w:t xml:space="preserve"> Ernst von </w:t>
      </w:r>
      <w:proofErr w:type="spellStart"/>
      <w:r>
        <w:t>Bandel</w:t>
      </w:r>
      <w:proofErr w:type="spellEnd"/>
      <w:r>
        <w:t xml:space="preserve"> e próximo à floresta de </w:t>
      </w:r>
      <w:proofErr w:type="spellStart"/>
      <w:r>
        <w:t>Teutoburgo</w:t>
      </w:r>
      <w:proofErr w:type="spellEnd"/>
      <w:r>
        <w:t xml:space="preserve">, onde se acreditava ter ocorrido a batalha. </w:t>
      </w:r>
    </w:p>
    <w:p w14:paraId="7C45EFDE" w14:textId="77777777" w:rsidR="00681D00" w:rsidRDefault="00681D00">
      <w:pPr>
        <w:spacing w:line="240" w:lineRule="auto"/>
        <w:ind w:firstLine="0"/>
        <w:jc w:val="center"/>
        <w:rPr>
          <w:b/>
          <w:bCs/>
          <w:sz w:val="22"/>
          <w:szCs w:val="22"/>
        </w:rPr>
      </w:pPr>
    </w:p>
    <w:p w14:paraId="22101515" w14:textId="77777777" w:rsidR="00681D00" w:rsidRDefault="00681D00">
      <w:pPr>
        <w:spacing w:line="240" w:lineRule="auto"/>
        <w:ind w:firstLine="0"/>
        <w:jc w:val="center"/>
        <w:rPr>
          <w:b/>
          <w:bCs/>
          <w:sz w:val="22"/>
          <w:szCs w:val="22"/>
        </w:rPr>
      </w:pPr>
    </w:p>
    <w:p w14:paraId="5E057CCD" w14:textId="77777777" w:rsidR="00681D00" w:rsidRDefault="00681D00">
      <w:pPr>
        <w:spacing w:line="240" w:lineRule="auto"/>
        <w:ind w:firstLine="0"/>
        <w:jc w:val="center"/>
        <w:rPr>
          <w:b/>
          <w:bCs/>
          <w:sz w:val="22"/>
          <w:szCs w:val="22"/>
        </w:rPr>
      </w:pPr>
    </w:p>
    <w:p w14:paraId="1391AAD4" w14:textId="77777777" w:rsidR="00681D00" w:rsidRDefault="00000000">
      <w:pPr>
        <w:spacing w:line="240" w:lineRule="auto"/>
        <w:ind w:firstLine="0"/>
        <w:jc w:val="center"/>
        <w:rPr>
          <w:b/>
          <w:bCs/>
          <w:sz w:val="22"/>
          <w:szCs w:val="22"/>
        </w:rPr>
      </w:pPr>
      <w:r>
        <w:rPr>
          <w:b/>
          <w:bCs/>
          <w:sz w:val="22"/>
          <w:szCs w:val="22"/>
        </w:rPr>
        <w:lastRenderedPageBreak/>
        <w:t xml:space="preserve">Figura 1 - </w:t>
      </w:r>
      <w:r>
        <w:rPr>
          <w:sz w:val="22"/>
          <w:szCs w:val="22"/>
        </w:rPr>
        <w:t xml:space="preserve">Estátua em homenagem a Armínio, o </w:t>
      </w:r>
      <w:proofErr w:type="spellStart"/>
      <w:r>
        <w:rPr>
          <w:i/>
          <w:iCs/>
          <w:sz w:val="22"/>
          <w:szCs w:val="22"/>
        </w:rPr>
        <w:t>Hermannsdenkmal</w:t>
      </w:r>
      <w:proofErr w:type="spellEnd"/>
      <w:r>
        <w:rPr>
          <w:sz w:val="22"/>
          <w:szCs w:val="22"/>
        </w:rPr>
        <w:t>.</w:t>
      </w:r>
      <w:r>
        <w:rPr>
          <w:noProof/>
        </w:rPr>
        <w:drawing>
          <wp:anchor distT="0" distB="0" distL="0" distR="0" simplePos="0" relativeHeight="251658240" behindDoc="0" locked="0" layoutInCell="1" hidden="0" allowOverlap="1" wp14:anchorId="2D207178" wp14:editId="50ADC3F0">
            <wp:simplePos x="0" y="0"/>
            <wp:positionH relativeFrom="column">
              <wp:posOffset>1594125</wp:posOffset>
            </wp:positionH>
            <wp:positionV relativeFrom="paragraph">
              <wp:posOffset>0</wp:posOffset>
            </wp:positionV>
            <wp:extent cx="2568315" cy="3849188"/>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568315" cy="3849188"/>
                    </a:xfrm>
                    <a:prstGeom prst="rect">
                      <a:avLst/>
                    </a:prstGeom>
                    <a:ln/>
                  </pic:spPr>
                </pic:pic>
              </a:graphicData>
            </a:graphic>
          </wp:anchor>
        </w:drawing>
      </w:r>
    </w:p>
    <w:p w14:paraId="56533F23" w14:textId="77777777" w:rsidR="00681D00" w:rsidRDefault="00000000">
      <w:pPr>
        <w:spacing w:line="240" w:lineRule="auto"/>
        <w:ind w:firstLine="0"/>
        <w:rPr>
          <w:sz w:val="22"/>
          <w:szCs w:val="22"/>
        </w:rPr>
      </w:pPr>
      <w:r>
        <w:rPr>
          <w:sz w:val="22"/>
          <w:szCs w:val="22"/>
        </w:rPr>
        <w:t xml:space="preserve">Fonte: Foto por Daniel </w:t>
      </w:r>
      <w:proofErr w:type="spellStart"/>
      <w:r>
        <w:rPr>
          <w:sz w:val="22"/>
          <w:szCs w:val="22"/>
        </w:rPr>
        <w:t>Schwen</w:t>
      </w:r>
      <w:proofErr w:type="spellEnd"/>
      <w:r>
        <w:rPr>
          <w:sz w:val="22"/>
          <w:szCs w:val="22"/>
        </w:rPr>
        <w:t xml:space="preserve">, Domínio público. Disponível em: </w:t>
      </w:r>
      <w:hyperlink r:id="rId9">
        <w:r w:rsidR="00681D00">
          <w:rPr>
            <w:color w:val="1155CC"/>
            <w:sz w:val="22"/>
            <w:szCs w:val="22"/>
            <w:u w:val="single"/>
          </w:rPr>
          <w:t>https://commons.wikimedia.org/w/index.php?curid=2703717</w:t>
        </w:r>
      </w:hyperlink>
      <w:r>
        <w:rPr>
          <w:sz w:val="22"/>
          <w:szCs w:val="22"/>
        </w:rPr>
        <w:t>. Acessado em: 05 fevereiro 2026.</w:t>
      </w:r>
    </w:p>
    <w:p w14:paraId="52A9FD6D" w14:textId="77777777" w:rsidR="00681D00" w:rsidRDefault="00681D00">
      <w:pPr>
        <w:spacing w:line="240" w:lineRule="auto"/>
        <w:ind w:firstLine="0"/>
        <w:rPr>
          <w:sz w:val="22"/>
          <w:szCs w:val="22"/>
        </w:rPr>
      </w:pPr>
    </w:p>
    <w:p w14:paraId="5E6C2506" w14:textId="77777777" w:rsidR="00681D00" w:rsidRDefault="00000000">
      <w:r>
        <w:t xml:space="preserve">A estátua possui mais de 25 metros de altura. Conforme pode ser observado na imagem 1, Armínio possui elementos da cultura clássica como o capacete alado de Hermes, elemento comum na representação de </w:t>
      </w:r>
      <w:proofErr w:type="spellStart"/>
      <w:r>
        <w:t>herois</w:t>
      </w:r>
      <w:proofErr w:type="spellEnd"/>
      <w:r>
        <w:t xml:space="preserve"> e deuses pagãos; a barba cacheada, a </w:t>
      </w:r>
      <w:r>
        <w:rPr>
          <w:i/>
          <w:iCs/>
        </w:rPr>
        <w:t xml:space="preserve">lorica </w:t>
      </w:r>
      <w:proofErr w:type="spellStart"/>
      <w:r>
        <w:rPr>
          <w:i/>
          <w:iCs/>
        </w:rPr>
        <w:t>musculata</w:t>
      </w:r>
      <w:proofErr w:type="spellEnd"/>
      <w:r>
        <w:rPr>
          <w:vertAlign w:val="superscript"/>
        </w:rPr>
        <w:footnoteReference w:id="1"/>
      </w:r>
      <w:r>
        <w:rPr>
          <w:i/>
          <w:iCs/>
        </w:rPr>
        <w:t xml:space="preserve"> </w:t>
      </w:r>
      <w:r>
        <w:t xml:space="preserve">e a espada semelhante ao </w:t>
      </w:r>
      <w:proofErr w:type="spellStart"/>
      <w:r>
        <w:rPr>
          <w:i/>
          <w:iCs/>
        </w:rPr>
        <w:t>gladius</w:t>
      </w:r>
      <w:proofErr w:type="spellEnd"/>
      <w:r>
        <w:t xml:space="preserve">, demonstram importância da cultura clássica. A espada em riste está em direção à França, maior adversária no momento com os conflitos napoleônicos. Abaixo da perna esquerda se encontra uma águia e uma </w:t>
      </w:r>
      <w:r>
        <w:rPr>
          <w:i/>
          <w:iCs/>
        </w:rPr>
        <w:t>fasces</w:t>
      </w:r>
      <w:r>
        <w:t>, ambos símbolos romanos demonstrando sua vitória. Na espada há uma inscrição dizendo “A união alemã, minha força/minha força, o poder da Alemanha”.</w:t>
      </w:r>
    </w:p>
    <w:p w14:paraId="75D53CA1" w14:textId="77777777" w:rsidR="00681D00" w:rsidRDefault="00000000">
      <w:r>
        <w:t xml:space="preserve">Contudo, atualmente há uma preocupação com o uso da figura de Armínio pela extrema-direita nacionalista como pode ser observado no partido </w:t>
      </w:r>
      <w:r>
        <w:rPr>
          <w:i/>
          <w:iCs/>
        </w:rPr>
        <w:t xml:space="preserve">ARMINIUS-Bund </w:t>
      </w:r>
      <w:proofErr w:type="spellStart"/>
      <w:r>
        <w:rPr>
          <w:i/>
          <w:iCs/>
        </w:rPr>
        <w:t>des</w:t>
      </w:r>
      <w:proofErr w:type="spellEnd"/>
      <w:r>
        <w:rPr>
          <w:i/>
          <w:iCs/>
        </w:rPr>
        <w:t xml:space="preserve"> </w:t>
      </w:r>
      <w:proofErr w:type="spellStart"/>
      <w:r>
        <w:rPr>
          <w:i/>
          <w:iCs/>
        </w:rPr>
        <w:t>deutschen</w:t>
      </w:r>
      <w:proofErr w:type="spellEnd"/>
      <w:r>
        <w:rPr>
          <w:i/>
          <w:iCs/>
        </w:rPr>
        <w:t xml:space="preserve"> </w:t>
      </w:r>
      <w:proofErr w:type="spellStart"/>
      <w:r>
        <w:rPr>
          <w:i/>
          <w:iCs/>
        </w:rPr>
        <w:t>Volkes</w:t>
      </w:r>
      <w:proofErr w:type="spellEnd"/>
      <w:r>
        <w:t xml:space="preserve"> (</w:t>
      </w:r>
      <w:proofErr w:type="spellStart"/>
      <w:r>
        <w:t>Arminius</w:t>
      </w:r>
      <w:proofErr w:type="spellEnd"/>
      <w:r>
        <w:t xml:space="preserve">- Associação do povo alemão), um pequeno partido sem grande expressividade que está interligado com o partido neonazista </w:t>
      </w:r>
      <w:r>
        <w:rPr>
          <w:i/>
          <w:iCs/>
        </w:rPr>
        <w:t xml:space="preserve">Die </w:t>
      </w:r>
      <w:proofErr w:type="spellStart"/>
      <w:r>
        <w:rPr>
          <w:i/>
          <w:iCs/>
        </w:rPr>
        <w:t>Heimat</w:t>
      </w:r>
      <w:proofErr w:type="spellEnd"/>
      <w:r>
        <w:t xml:space="preserve"> (A pátria), anteriormente NPD (</w:t>
      </w:r>
      <w:proofErr w:type="spellStart"/>
      <w:r>
        <w:rPr>
          <w:i/>
          <w:iCs/>
        </w:rPr>
        <w:t>Nationaldemokratische</w:t>
      </w:r>
      <w:proofErr w:type="spellEnd"/>
      <w:r>
        <w:rPr>
          <w:i/>
          <w:iCs/>
        </w:rPr>
        <w:t xml:space="preserve"> </w:t>
      </w:r>
      <w:proofErr w:type="spellStart"/>
      <w:r>
        <w:rPr>
          <w:i/>
          <w:iCs/>
        </w:rPr>
        <w:t>Partei</w:t>
      </w:r>
      <w:proofErr w:type="spellEnd"/>
      <w:r>
        <w:rPr>
          <w:i/>
          <w:iCs/>
        </w:rPr>
        <w:t xml:space="preserve"> </w:t>
      </w:r>
      <w:proofErr w:type="spellStart"/>
      <w:r>
        <w:rPr>
          <w:i/>
          <w:iCs/>
        </w:rPr>
        <w:t>Deutschlands</w:t>
      </w:r>
      <w:proofErr w:type="spellEnd"/>
      <w:r>
        <w:t xml:space="preserve"> - Partido nacional democrático da Alemanha), que foi fundado em 1964 como sucessor do partido do Reich Alemão.</w:t>
      </w:r>
    </w:p>
    <w:p w14:paraId="1083EA72" w14:textId="77777777" w:rsidR="00681D00" w:rsidRDefault="00000000">
      <w:r>
        <w:t xml:space="preserve">Nesse sentido, a recepção da Antiguidade emerge como um campo de disputas ideológicas, no qual diferentes leituras do passado competem por legitimidade e visibilidade. </w:t>
      </w:r>
      <w:r>
        <w:lastRenderedPageBreak/>
        <w:t>O historiador da Antiguidade desempenha, nesse contexto, um papel fundamental ao desnaturalizar usos políticos do passado e evidenciar seus pressupostos históricos e ideológicos. Analisar os usos contemporâneos da Antiguidade implica, portanto, não apenas compreender o passado antigo, mas também intervir criticamente nas disputas simbólicas do presente.</w:t>
      </w:r>
    </w:p>
    <w:p w14:paraId="2FC5D7EE" w14:textId="77777777" w:rsidR="00681D00" w:rsidRDefault="00681D00"/>
    <w:p w14:paraId="53F987FF" w14:textId="77777777" w:rsidR="00681D00" w:rsidRDefault="00000000">
      <w:pPr>
        <w:ind w:firstLine="0"/>
        <w:rPr>
          <w:b/>
          <w:bCs/>
        </w:rPr>
      </w:pPr>
      <w:r>
        <w:rPr>
          <w:b/>
          <w:bCs/>
        </w:rPr>
        <w:t>A recepção da Antiguidade nas mídias contemporâneas</w:t>
      </w:r>
    </w:p>
    <w:p w14:paraId="26E326DE" w14:textId="77777777" w:rsidR="00681D00" w:rsidRDefault="00000000">
      <w:r>
        <w:t>A recepção da Antiguidade nas mídias contemporâneas constitui um dos campos mais dinâmicos dos estudos clássicos nas últimas décadas, sobretudo em razão da ampliação dos circuitos de circulação do passado antigo. Cinema, televisão, quadrinhos e jogos digitais tornaram-se espaços privilegiados de reconfiguração do mundo greco-romano, alcançando públicos muito mais amplos do que a tradição escolar ou acadêmica. Nesses meios, a Antiguidade não é apenas representada, mas transformada em linguagem narrativa, visual e interativa, profundamente moldada pelas expectativas culturais do presente.</w:t>
      </w:r>
    </w:p>
    <w:p w14:paraId="7356D555" w14:textId="77777777" w:rsidR="00681D00" w:rsidRDefault="00000000">
      <w:proofErr w:type="spellStart"/>
      <w:r>
        <w:t>Lorna</w:t>
      </w:r>
      <w:proofErr w:type="spellEnd"/>
      <w:r>
        <w:t xml:space="preserve"> </w:t>
      </w:r>
      <w:proofErr w:type="spellStart"/>
      <w:r>
        <w:t>Hardwick</w:t>
      </w:r>
      <w:proofErr w:type="spellEnd"/>
      <w:r>
        <w:t xml:space="preserve"> destaca que as mídias contemporâneas intensificam o caráter produtivo da recepção, uma vez que articulam diferentes formas de mediação — visual, sonora, narrativa e performática — que reconfiguram o passado antigo de maneira criativa e seletiva (</w:t>
      </w:r>
      <w:proofErr w:type="spellStart"/>
      <w:r>
        <w:t>Hardwick</w:t>
      </w:r>
      <w:proofErr w:type="spellEnd"/>
      <w:r>
        <w:t>, 2003; 2008). Para a autora, essas produções não devem ser avaliadas apenas em termos de fidelidade histórica, mas analisadas como práticas culturais que revelam as formas pelas quais a Antiguidade é tornada significativa no presente. A mídia, nesse sentido, atua como agente ativo de interpretação, e não como simples veículo de transmissão.</w:t>
      </w:r>
    </w:p>
    <w:p w14:paraId="6543110B" w14:textId="77777777" w:rsidR="00681D00" w:rsidRDefault="00000000">
      <w:proofErr w:type="spellStart"/>
      <w:r>
        <w:t>Hardwick</w:t>
      </w:r>
      <w:proofErr w:type="spellEnd"/>
      <w:r>
        <w:t xml:space="preserve"> também chama atenção para o fato de que a cultura de massa produz formas específicas de autoridade sobre o passado antigo. Ao circular amplamente, essas representações tendem a estabilizar determinadas imagens da Antiguidade, que passam a operar como referências “naturais” no imaginário coletivo. Assim, a recepção midiática contribui para a construção de um passado compartilhado, ainda que profundamente marcado por anacronismos e simplificações, o que reforça a necessidade de análise crítica por parte do historiador.</w:t>
      </w:r>
    </w:p>
    <w:p w14:paraId="58F1B3E1" w14:textId="77777777" w:rsidR="00681D00" w:rsidRDefault="00000000">
      <w:r>
        <w:t xml:space="preserve">Nesse debate, Martin M. Winkler e Maria </w:t>
      </w:r>
      <w:proofErr w:type="spellStart"/>
      <w:r>
        <w:t>Wyke</w:t>
      </w:r>
      <w:proofErr w:type="spellEnd"/>
      <w:r>
        <w:t xml:space="preserve"> oferecem contribuições fundamentais ao analisar o cinema e a televisão como espaços centrais de recepção da Antiguidade. </w:t>
      </w:r>
      <w:proofErr w:type="spellStart"/>
      <w:r>
        <w:t>Wyke</w:t>
      </w:r>
      <w:proofErr w:type="spellEnd"/>
      <w:r>
        <w:t xml:space="preserve"> enfatiza que o cinema épico e as séries televisivas não apenas representam o passado antigo, mas dialogam diretamente com contextos políticos, culturais e ideológicos específicos do tempo de sua produção (</w:t>
      </w:r>
      <w:proofErr w:type="spellStart"/>
      <w:r>
        <w:t>Wyke</w:t>
      </w:r>
      <w:proofErr w:type="spellEnd"/>
      <w:r>
        <w:t>, 1997). A Antiguidade filmada torna-se, assim, um espelho das preocupações contemporâneas, particularmente em relação a poder, violência, gênero e identidade.</w:t>
      </w:r>
    </w:p>
    <w:p w14:paraId="4B8E9342" w14:textId="77777777" w:rsidR="00681D00" w:rsidRDefault="00000000">
      <w:proofErr w:type="spellStart"/>
      <w:r>
        <w:t>Wyke</w:t>
      </w:r>
      <w:proofErr w:type="spellEnd"/>
      <w:r>
        <w:t xml:space="preserve"> (1997) demonstra que essas produções audiovisuais constroem uma Antiguidade emocionalmente acessível, organizada em torno de narrativas de conflito, heroísmo e moralidade individual. O passado antigo é reconfigurado para atender às exigências narrativas e estéticas do audiovisual moderno, frequentemente privilegiando personagens fortes, trajetórias individuais e soluções dramáticas. Esse processo revela uma recepção profundamente marcada por valores contemporâneos, ainda que revestida de uma aparência de antiguidade.</w:t>
      </w:r>
    </w:p>
    <w:p w14:paraId="37B4209F" w14:textId="77777777" w:rsidR="00681D00" w:rsidRDefault="00000000">
      <w:r>
        <w:t xml:space="preserve">Para Winkler, o cinema não apenas “representa” a Antiguidade, mas a recria segundo convenções narrativas, estéticas e ideológicas próprias da cultura moderna, estabelecendo um diálogo constante entre passado e presente (Winkler, 2001). Assim, os filmes ambientados no mundo greco-romano devem ser analisados como produtos culturais historicamente situados, </w:t>
      </w:r>
      <w:r>
        <w:lastRenderedPageBreak/>
        <w:t>nos quais a Antiguidade funciona como linguagem simbólica para a expressão de valores, ansiedades e conflitos contemporâneos.</w:t>
      </w:r>
    </w:p>
    <w:p w14:paraId="14543ED8" w14:textId="77777777" w:rsidR="00681D00" w:rsidRDefault="00000000">
      <w:r>
        <w:t>Em seus estudos, Winkler enfatiza a noção de intertextualidade e de memória cultural, argumentando que o cinema opera por meio de um acúmulo de referências visuais e narrativas que se retroalimentam. Cada nova produção cinematográfica sobre a Antiguidade dialoga não apenas com as fontes antigas, mas também com uma tradição cinematográfica prévia, criando o que o autor denomina uma “Antiguidade cinematográfica” relativamente autônoma (Winkler, 2001). Dessa forma, gladiadores, imperadores, heróis e batalhas são reconhecíveis menos por sua historicidade e mais por sua recorrência imagética, o que reforça certos estereótipos e expectativas do público.</w:t>
      </w:r>
    </w:p>
    <w:p w14:paraId="7EFB9817" w14:textId="77777777" w:rsidR="00681D00" w:rsidRDefault="00000000">
      <w:r>
        <w:t xml:space="preserve">Por fim, Winkler sustenta que a recepção cinematográfica da Antiguidade deve ser compreendida como um processo ativo de interpretação cultural, e não como simples distorção do passado antigo. Ao deslocar o foco da fidelidade histórica para a análise das funções simbólicas do passado no presente, o autor contribui para legitimar o cinema como objeto central dos estudos de recepção clássica (Winkler, 2001). Essa abordagem permite compreender como a Antiguidade é continuamente </w:t>
      </w:r>
      <w:proofErr w:type="spellStart"/>
      <w:r>
        <w:t>resignificada</w:t>
      </w:r>
      <w:proofErr w:type="spellEnd"/>
      <w:r>
        <w:t xml:space="preserve"> em função de contextos políticos, culturais e estéticos específicos, evidenciando o caráter profundamente contemporâneo dos usos do passado antigo.</w:t>
      </w:r>
    </w:p>
    <w:p w14:paraId="1506B055" w14:textId="77777777" w:rsidR="00681D00" w:rsidRDefault="00000000">
      <w:r>
        <w:t>Exemplificando com a análise dos filmes produzidos entre 2010-2014 sobre a recepção da mitologia grega, Nogueira (2024) defende que o cinema épico a partir e influenciado por Gladiador (2000), sofreu uma série de modificações na estrutura narrativa, na concepção do herói épico dos anos 1950 a 1970, período de grandes produções sobre a antiguidade e com novos temas a serem abordados.</w:t>
      </w:r>
    </w:p>
    <w:p w14:paraId="3CA757AA" w14:textId="77777777" w:rsidR="00681D00" w:rsidRDefault="00000000">
      <w:r>
        <w:t xml:space="preserve">Nesse contexto, verifica-se um afastamento significativo em relação à concepção clássica do herói épico predominante nos filmes das décadas de 1950 e 1960, substituída por um herói genérico, facilmente transponível entre universos narrativos distintos. Esse processo pode ser exemplificado pelo filme Mulher-Maravilha (2017), cuja narrativa se divide entre a ilha mítica de </w:t>
      </w:r>
      <w:proofErr w:type="spellStart"/>
      <w:r>
        <w:t>Themyscira</w:t>
      </w:r>
      <w:proofErr w:type="spellEnd"/>
      <w:r>
        <w:t xml:space="preserve"> e a Inglaterra durante a Primeira Guerra Mundial, sem que haja uma diferença substancial entre a heroína mitológica e a super-heroína moderna. Tal homogeneização do heroísmo revela uma tendência à universalização do arquétipo heroico, esvaziando suas especificidades culturais e históricas.</w:t>
      </w:r>
    </w:p>
    <w:p w14:paraId="7ADAE3BB" w14:textId="77777777" w:rsidR="00681D00" w:rsidRDefault="00000000">
      <w:r>
        <w:t>De modo geral, esses filmes buscam representar a Grécia mítica em seu suposto esplendor, por meio da exibição de grandes cidades como Argos ou Atenas, caracterizadas por monumentos grandiosos e paisagens monumentalizadas. A partir de uma leitura metodológica inspirada em Deleuze (1985), especialmente em sua apropriação das tendências históricas formuladas por Nietzsche (1976), é possível identificar nesses épicos uma visão teleológica da história, na qual as civilizações antigas são apresentadas exclusivamente em seus momentos de auge. Trata-se de uma Antiguidade presentificada, marcada por um “presente mumificado”, no qual as personagens se comportam segundo valores contemporâneos, diferenciando-se do mundo atual apenas por um nível tecnológico inferior.</w:t>
      </w:r>
    </w:p>
    <w:p w14:paraId="3A5F6802" w14:textId="77777777" w:rsidR="00681D00" w:rsidRDefault="00000000">
      <w:r>
        <w:t xml:space="preserve">Um dos aspectos mais controversos desse conjunto de filmes produzidos entre 2010 e 2014, frequentemente apontado por historiadores, é a recorrência do tema do deicídio, absolutamente inconcebível para um grego antigo, cuja experiência religiosa pressupunha deuses joviais, imortais e dotados de poder absoluto. </w:t>
      </w:r>
      <w:proofErr w:type="spellStart"/>
      <w:r>
        <w:t>Tomasso</w:t>
      </w:r>
      <w:proofErr w:type="spellEnd"/>
      <w:r>
        <w:t xml:space="preserve"> (2015) identifica a origem desse </w:t>
      </w:r>
      <w:r>
        <w:lastRenderedPageBreak/>
        <w:t>motivo narrativo em produções televisivas como Xena: a princesa guerreira e Hércules: a lendária jornada, nas quais as divindades são retratadas como figuras moralmente repreensíveis e associadas ao patriarcado ou a valores conservadores. Ao longo dessas narrativas, os deuses são progressivamente eliminados, sobrevivendo, no caso de Xena, apenas Ares e Afrodite.</w:t>
      </w:r>
    </w:p>
    <w:p w14:paraId="7925DDEE" w14:textId="77777777" w:rsidR="00681D00" w:rsidRDefault="00000000">
      <w:r>
        <w:t xml:space="preserve">Para </w:t>
      </w:r>
      <w:proofErr w:type="spellStart"/>
      <w:r>
        <w:t>Tomasso</w:t>
      </w:r>
      <w:proofErr w:type="spellEnd"/>
      <w:r>
        <w:t xml:space="preserve"> (2015), a morte dos deuses ou sua ausência nas narrativas contemporâneas relaciona-se a uma leitura cristianizada da Antiguidade, que tende a representar as divindades gregas como imorais ou eticamente problemáticas. Tal estratégia constitui uma forma de reinterpretação do passado clássico a partir das sensibilidades do presente. Gordon (2017), por sua vez, argumenta que o deicídio encontra suas raízes no universo dos quadrinhos de super-heróis, </w:t>
      </w:r>
      <w:proofErr w:type="gramStart"/>
      <w:r>
        <w:t>no momento em que</w:t>
      </w:r>
      <w:proofErr w:type="gramEnd"/>
      <w:r>
        <w:t xml:space="preserve"> as divindades passam a ser concebidas como equivalentes a figuras sobre-humanas, como ocorre com Thor no universo Marvel. Ao serem assimilados ao modelo do super-herói, os deuses perdem sua transcendência e adquirem a mortalidade humana. </w:t>
      </w:r>
      <w:proofErr w:type="spellStart"/>
      <w:r>
        <w:t>Tomasso</w:t>
      </w:r>
      <w:proofErr w:type="spellEnd"/>
      <w:r>
        <w:t xml:space="preserve"> (2015) também identifica essa tendência em filmes como Troia e 300, nos quais a ausência das divindades é interpretada como uma resposta simbólica ao contexto pós-11 de setembro.</w:t>
      </w:r>
    </w:p>
    <w:p w14:paraId="3CBFDF0F" w14:textId="77777777" w:rsidR="00681D00" w:rsidRDefault="00000000">
      <w:r>
        <w:t xml:space="preserve">Os filmes produzidos entre 2010 e 2014 que se apropriam da mitologia grega não demonstram interesse em recepcionar diretamente as fontes clássicas ou em reconstituir as narrativas míticas em suas formas tradicionais. Em Imortais, por exemplo, Teseu é retratado como um jovem camponês de uma aldeia isolada, cuja motivação principal é a vingança pela morte de sua mãe, assassinada pelo vilão </w:t>
      </w:r>
      <w:proofErr w:type="spellStart"/>
      <w:r>
        <w:t>Hipérion</w:t>
      </w:r>
      <w:proofErr w:type="spellEnd"/>
      <w:r>
        <w:t>. O mito original é praticamente abandonado, restando apenas referências fragmentárias, como a menção ao labirinto e ao Minotauro, reconfigurado como um homem de grande estatura portando um elmo com chifres de touro.</w:t>
      </w:r>
    </w:p>
    <w:p w14:paraId="27DD15FF" w14:textId="77777777" w:rsidR="00681D00" w:rsidRDefault="00000000">
      <w:r>
        <w:t>Diante disso, observa-se uma recepção profundamente distanciada das fontes antigas, o que impõe ao historiador clássico a tarefa de compreender as razões pelas quais a Antiguidade é mobilizada para tratar de temas contemporâneos, bem como as estratégias narrativas utilizadas para construir sentidos sobre o passado. Nos dois filmes intitulados Hércules, por exemplo, a narrativa é estruturada em torno de uma disputa entre um governante tirânico e um herói justo — ou compelido a agir pela justiça —, sintetizando conflitos sociais complexos em um embate moral entre o bem e o mal. A restauração da ordem ocorre por meio da deposição do tirano e da ascensão de um herdeiro considerado legítimo, reforçando uma visão normativa e conciliadora do poder político.</w:t>
      </w:r>
    </w:p>
    <w:p w14:paraId="67A19F6A" w14:textId="77777777" w:rsidR="00681D00" w:rsidRDefault="00000000">
      <w:r>
        <w:t xml:space="preserve">No filme dirigido por Brett </w:t>
      </w:r>
      <w:proofErr w:type="spellStart"/>
      <w:r>
        <w:t>Ratner</w:t>
      </w:r>
      <w:proofErr w:type="spellEnd"/>
      <w:r>
        <w:t xml:space="preserve"> e protagonizado por Dwayne Johnson, observa-se uma inovação significativa na leitura do mito, marcada por aproximações com o </w:t>
      </w:r>
      <w:proofErr w:type="spellStart"/>
      <w:r>
        <w:t>evemerismo</w:t>
      </w:r>
      <w:proofErr w:type="spellEnd"/>
      <w:r>
        <w:t xml:space="preserve">. Os feitos heroicos atribuídos a Hércules são apresentados como construções narrativas resultantes da ação coletiva de seu grupo de companheiros, composto por seis membros, entre os quais se destaca a personagem feminina Atalanta. As histórias narradas por </w:t>
      </w:r>
      <w:proofErr w:type="spellStart"/>
      <w:r>
        <w:t>Iolau</w:t>
      </w:r>
      <w:proofErr w:type="spellEnd"/>
      <w:r>
        <w:t xml:space="preserve">, sobrinho do herói, operam como dispositivos retóricos de engrandecimento, transformando eventos ordinários em feitos míticos. Assim, a Hidra de </w:t>
      </w:r>
      <w:proofErr w:type="spellStart"/>
      <w:r>
        <w:t>Lerna</w:t>
      </w:r>
      <w:proofErr w:type="spellEnd"/>
      <w:r>
        <w:t xml:space="preserve"> é reinterpretada como um grupo de bandidos utilizando elmos que evocam a imagem da criatura. Do mito tradicional, resta essencialmente a força física extraordinária de Hércules, enfatizada pela corporeidade musculosa de Dwayne Johnson.</w:t>
      </w:r>
    </w:p>
    <w:p w14:paraId="3E6DA629" w14:textId="77777777" w:rsidR="00681D00" w:rsidRDefault="00000000">
      <w:r>
        <w:t xml:space="preserve">Por fim, os elementos da cultura material antiga são preservados sobretudo no plano estético, por meio de referências visuais pontuais, como a releitura da ânfora de </w:t>
      </w:r>
      <w:proofErr w:type="spellStart"/>
      <w:r>
        <w:t>Eufileto</w:t>
      </w:r>
      <w:proofErr w:type="spellEnd"/>
      <w:r>
        <w:t xml:space="preserve"> em Fúria de Titãs, da escultura Teseu e o Minotauro de Étienne-Jules </w:t>
      </w:r>
      <w:proofErr w:type="spellStart"/>
      <w:r>
        <w:t>Ramey</w:t>
      </w:r>
      <w:proofErr w:type="spellEnd"/>
      <w:r>
        <w:t xml:space="preserve"> em Imortais e da </w:t>
      </w:r>
      <w:r>
        <w:lastRenderedPageBreak/>
        <w:t xml:space="preserve">estátua de Hera em Hércules. Em síntese, a recepção da mitologia grega no cinema contemporâneo caracteriza-se pela dessacralização das divindades ou pela ênfase em seus aspectos negativos, frequentemente culminando em sua morte; pela </w:t>
      </w:r>
      <w:proofErr w:type="spellStart"/>
      <w:r>
        <w:t>presentificação</w:t>
      </w:r>
      <w:proofErr w:type="spellEnd"/>
      <w:r>
        <w:t xml:space="preserve"> do herói, aproximado do super-herói ou do herói comum de ação e aventura; pela utilização da Antiguidade como cenário para a reflexão de temas contemporâneos; e pela releitura livre dos mitos, distanciada das fontes clássicas, mas ainda ancorada em elementos reconhecíveis do imaginário heroico. </w:t>
      </w:r>
    </w:p>
    <w:p w14:paraId="0F8C4804" w14:textId="77777777" w:rsidR="00681D00" w:rsidRDefault="00000000">
      <w:r>
        <w:t xml:space="preserve">Outro exemplo que queremos destacar é a recepção dos clássicos nos videogames, como proposto por </w:t>
      </w:r>
      <w:proofErr w:type="spellStart"/>
      <w:r>
        <w:t>Bondioli</w:t>
      </w:r>
      <w:proofErr w:type="spellEnd"/>
      <w:r>
        <w:t>, Teixeira-Bastos e Carneiro (2019). Os autores compreendem o videogame como uma forma específica de recepção do passado, imbuída de um conjunto de ideias, conceitos e interpretações históricas compartilhadas pela equipe desenvolvedora e transmitidas aos jogadores no presente. Trata-se de uma construção discursiva do passado orientada tanto por demandas de entretenimento quanto pela necessidade de coerência interna da narrativa principal. Nesse sentido, a representação histórica veiculada pelo jogo jamais pode ser considerada inocente ou neutra, uma vez que envolve escolhas, silenciamentos e hierarquizações que refletem valores e sensibilidades contemporâneas.</w:t>
      </w:r>
    </w:p>
    <w:p w14:paraId="13B3821F" w14:textId="77777777" w:rsidR="00681D00" w:rsidRDefault="00000000">
      <w:proofErr w:type="spellStart"/>
      <w:r>
        <w:t>Assassin’s</w:t>
      </w:r>
      <w:proofErr w:type="spellEnd"/>
      <w:r>
        <w:t xml:space="preserve"> </w:t>
      </w:r>
      <w:proofErr w:type="spellStart"/>
      <w:r>
        <w:t>Creed</w:t>
      </w:r>
      <w:proofErr w:type="spellEnd"/>
      <w:r>
        <w:t xml:space="preserve"> estrutura sua narrativa a partir do conflito entre dois grupos secretos. De um lado, uma organização que representa um conglomerado global empenhado em controlar o pensamento e a ação humana por meio de artefatos místicos, exercendo influência sobre os rumos políticos e econômicos do mundo. De outro, a ordem dos Assassinos, que se apresenta como defensora da liberdade humana, buscando localizar, destruir ou ocultar tais objetos. Nesse quadro, a trama acompanha os personagens jogáveis </w:t>
      </w:r>
      <w:proofErr w:type="spellStart"/>
      <w:r>
        <w:t>Bayek</w:t>
      </w:r>
      <w:proofErr w:type="spellEnd"/>
      <w:r>
        <w:t xml:space="preserve"> e </w:t>
      </w:r>
      <w:proofErr w:type="spellStart"/>
      <w:r>
        <w:t>Aya</w:t>
      </w:r>
      <w:proofErr w:type="spellEnd"/>
      <w:r>
        <w:t>, cuja motivação inicial é a vingança pelo assassinato de seu filho, mas que acabam envolvidos nos conflitos políticos do Egito ptolomaico, incluindo o apoio à ascensão de Cleópatra ao poder, em um contexto marcado por influências romanas diretas e indiretas.</w:t>
      </w:r>
    </w:p>
    <w:p w14:paraId="6893895F" w14:textId="77777777" w:rsidR="00681D00" w:rsidRDefault="00000000">
      <w:r>
        <w:t>O jogo oferece ao jogador uma visualização detalhada do Egito ptolomaico em seus anos finais, destacando a forte presença das culturas helenística e romana. Cidades como Alexandria, bem como monumentos emblemáticos — pirâmides, templos, estátuas e espaços urbanos — são reconstruídos em ambientes tridimensionais que resultam de um intenso diálogo com a arqueologia e a historiografia. Ao mesmo tempo, esses cenários são inevitavelmente preenchidos por elementos especulativos e ficcionais, necessários à fluidez narrativa e à experiência lúdica, o que evidencia a tensão constante entre verossimilhança histórica e criação imaginativa.</w:t>
      </w:r>
    </w:p>
    <w:p w14:paraId="7F09DE7F" w14:textId="77777777" w:rsidR="00681D00" w:rsidRDefault="00000000">
      <w:r>
        <w:t xml:space="preserve">No que se refere às figuras históricas, os autores analisam particularmente a recepção de Júlio César, cuja participação no jogo é secundária e relativamente breve, concentrando-se sobretudo em cenas compartilhadas com Cleópatra. A partir dessa representação, uma perspectiva de gênero revela-se produtiva, uma vez que Cleópatra é apresentada como uma figura politicamente ativa, responsável pelas principais decisões e estratégias, enquanto César assume um papel menos intervencionista. De modo semelhante, no plano ficcional, a dinâmica entre </w:t>
      </w:r>
      <w:proofErr w:type="spellStart"/>
      <w:r>
        <w:t>Aya</w:t>
      </w:r>
      <w:proofErr w:type="spellEnd"/>
      <w:r>
        <w:t xml:space="preserve"> e </w:t>
      </w:r>
      <w:proofErr w:type="spellStart"/>
      <w:r>
        <w:t>Bayek</w:t>
      </w:r>
      <w:proofErr w:type="spellEnd"/>
      <w:r>
        <w:t xml:space="preserve"> reproduz essa divisão: </w:t>
      </w:r>
      <w:proofErr w:type="spellStart"/>
      <w:r>
        <w:t>Aya</w:t>
      </w:r>
      <w:proofErr w:type="spellEnd"/>
      <w:r>
        <w:t xml:space="preserve"> é associada à esfera política e estratégica, enquanto </w:t>
      </w:r>
      <w:proofErr w:type="spellStart"/>
      <w:r>
        <w:t>Bayek</w:t>
      </w:r>
      <w:proofErr w:type="spellEnd"/>
      <w:r>
        <w:t xml:space="preserve"> é caracterizado principalmente por sua busca pessoal por vingança.</w:t>
      </w:r>
    </w:p>
    <w:p w14:paraId="38A997F0" w14:textId="77777777" w:rsidR="00681D00" w:rsidRDefault="00000000">
      <w:r>
        <w:t xml:space="preserve">Apesar do protagonismo feminino no campo político, as cenas de combate e violência permanecem majoritariamente associadas às personagens masculinas. Para os autores, César se destaca como guerreiro e general, especialmente quando afastado da influência de Cleópatra, o </w:t>
      </w:r>
      <w:r>
        <w:lastRenderedPageBreak/>
        <w:t xml:space="preserve">que sugere uma separação simbólica entre política feminina e violência masculina. No desfecho da narrativa, observa-se um rearranjo dessas esferas: César utiliza sua retórica para convencer o Senado romano, enquanto </w:t>
      </w:r>
      <w:proofErr w:type="spellStart"/>
      <w:r>
        <w:t>Aya</w:t>
      </w:r>
      <w:proofErr w:type="spellEnd"/>
      <w:r>
        <w:t xml:space="preserve"> enfrenta em combate </w:t>
      </w:r>
      <w:proofErr w:type="spellStart"/>
      <w:r>
        <w:t>Septímio</w:t>
      </w:r>
      <w:proofErr w:type="spellEnd"/>
      <w:r>
        <w:t xml:space="preserve">, o assassino de seu filho. A cena culmina com </w:t>
      </w:r>
      <w:proofErr w:type="spellStart"/>
      <w:r>
        <w:t>Aya</w:t>
      </w:r>
      <w:proofErr w:type="spellEnd"/>
      <w:r>
        <w:t xml:space="preserve"> desferindo o primeiro golpe contra César e incitando os demais senadores, simbolizando a queda daquele que buscava o poder absoluto. Ao final, </w:t>
      </w:r>
      <w:proofErr w:type="spellStart"/>
      <w:r>
        <w:t>Aya</w:t>
      </w:r>
      <w:proofErr w:type="spellEnd"/>
      <w:r>
        <w:t xml:space="preserve"> emerge como fundadora da ordem dos Assassinos, reunindo atributos políticos e guerreiros.</w:t>
      </w:r>
    </w:p>
    <w:p w14:paraId="5D3697F2" w14:textId="77777777" w:rsidR="00681D00" w:rsidRDefault="00000000">
      <w:r>
        <w:t xml:space="preserve">Concluindo a análise das figuras históricas e ficcionais no jogo, os autores argumentam que a representação de Cleópatra dialoga de modo relativamente consistente com a historiografia contemporânea, ao enfatizar sua habilidade política e sua atuação ativa tanto no Egito quanto em Roma. Já </w:t>
      </w:r>
      <w:proofErr w:type="spellStart"/>
      <w:r>
        <w:t>Aya</w:t>
      </w:r>
      <w:proofErr w:type="spellEnd"/>
      <w:r>
        <w:t xml:space="preserve"> é interpretada como uma construção fortemente marcada por sensibilidades atuais, especialmente no que diz respeito ao protagonismo feminino, funcionando menos como uma figura historicamente situada e mais como um dispositivo narrativo alinhado a discursos contemporâneos de agência e empoderamento.</w:t>
      </w:r>
    </w:p>
    <w:p w14:paraId="126FFCE1" w14:textId="77777777" w:rsidR="00681D00" w:rsidRDefault="00000000">
      <w:r>
        <w:t xml:space="preserve">A figura de Júlio César, por sua vez, apresenta-se como a mais problemática do ponto de vista historiográfico. Sua atuação no jogo minimiza seu papel decisivo no retorno de Cleópatra do exílio e em sua entronização, além de atribuir-lhe uma postura passiva pouco compatível com as fontes antigas. Apenas na cena de sua morte César recupera traços associados à sua habilidade política, retórica e carismática, ainda assim subordinados à exaltação da figura de Cleópatra. Ademais, o jogo sugere explicitamente o desejo de César de tornar-se rei em Roma, uma interpretação discutível, uma vez que a historiografia ressalta a delicada posição de equilíbrio que César ocupava entre seu poder pessoal e a autoridade do Senado, justamente para evitar a acusação de tirania e de aspiração ao </w:t>
      </w:r>
      <w:proofErr w:type="spellStart"/>
      <w:r>
        <w:t>regnum</w:t>
      </w:r>
      <w:proofErr w:type="spellEnd"/>
      <w:r>
        <w:t>. Desse modo, torna-se evidente que a construção dessas personagens resulta de uma cadeia de recepções e reinterpretações, nas quais o presente desempenha papel central na atribuição de sentidos ao passado antigo.</w:t>
      </w:r>
      <w:r>
        <w:br w:type="page"/>
      </w:r>
    </w:p>
    <w:p w14:paraId="6D44EEAB" w14:textId="77777777" w:rsidR="00681D00" w:rsidRDefault="00000000">
      <w:pPr>
        <w:pStyle w:val="Ttulo1"/>
      </w:pPr>
      <w:bookmarkStart w:id="5" w:name="_8h98icnd3fdx" w:colFirst="0" w:colLast="0"/>
      <w:bookmarkEnd w:id="5"/>
      <w:r>
        <w:lastRenderedPageBreak/>
        <w:t>A FORMAÇÃO DAS PRIMEIRAS CIDADES NA MESOPOTÂMIA:</w:t>
      </w:r>
      <w:r>
        <w:br/>
        <w:t>causas, evidências e interconexões</w:t>
      </w:r>
    </w:p>
    <w:p w14:paraId="08851966" w14:textId="77777777" w:rsidR="00681D00" w:rsidRDefault="00681D00"/>
    <w:p w14:paraId="715903BC" w14:textId="77777777" w:rsidR="004947EA" w:rsidRDefault="004947EA" w:rsidP="004947EA">
      <w:pPr>
        <w:jc w:val="right"/>
      </w:pPr>
      <w:r>
        <w:t>Abner Alexandre Nogueira</w:t>
      </w:r>
    </w:p>
    <w:p w14:paraId="7EF1309D" w14:textId="77777777" w:rsidR="004947EA" w:rsidRDefault="004947EA" w:rsidP="004947EA">
      <w:pPr>
        <w:jc w:val="right"/>
      </w:pPr>
      <w:r>
        <w:t>UNIFAL-Alfenas/MG</w:t>
      </w:r>
    </w:p>
    <w:p w14:paraId="3802508F" w14:textId="77777777" w:rsidR="00681D00" w:rsidRDefault="00681D00">
      <w:pPr>
        <w:ind w:firstLine="0"/>
        <w:rPr>
          <w:b/>
          <w:bCs/>
        </w:rPr>
      </w:pPr>
    </w:p>
    <w:p w14:paraId="4BD95BAF" w14:textId="77777777" w:rsidR="00681D00" w:rsidRDefault="00000000">
      <w:pPr>
        <w:ind w:firstLine="0"/>
        <w:rPr>
          <w:b/>
          <w:bCs/>
        </w:rPr>
      </w:pPr>
      <w:r>
        <w:rPr>
          <w:b/>
          <w:bCs/>
        </w:rPr>
        <w:t>Introdução</w:t>
      </w:r>
    </w:p>
    <w:p w14:paraId="6C9F2B54" w14:textId="77777777" w:rsidR="00681D00" w:rsidRDefault="00000000">
      <w:r>
        <w:t>O estudo das origens da vida urbana constitui uma das temáticas mais significativas e persistentes da historiografia sobre o Oriente Próximo Antigo. A região da Mesopotâmia, situada entre os rios Tigre e Eufrates, tem sido tradicionalmente reconhecida como o berço das primeiras cidades conhecidas, representando um marco civilizacional que transformou de modo irreversível as formas de organização social, política, econômica e simbólica das comunidades humanas. Examinar o processo de urbanização mesopotâmica, portanto, não implica apenas reconstruir o passado remoto, mas compreender o nascimento de estruturas fundamentais da vida coletiva, tais como o Estado, a escrita, o espaço urbano e a administração pública, estruturas que moldaram profundamente a história das sociedades posteriores.</w:t>
      </w:r>
    </w:p>
    <w:p w14:paraId="314E1ECB" w14:textId="77777777" w:rsidR="00681D00" w:rsidRDefault="00000000">
      <w:r>
        <w:t xml:space="preserve">O conceito de “cultura urbana”, consolidado a partir das formulações de V. Gordon </w:t>
      </w:r>
      <w:proofErr w:type="spellStart"/>
      <w:r>
        <w:t>Childe</w:t>
      </w:r>
      <w:proofErr w:type="spellEnd"/>
      <w:r>
        <w:t xml:space="preserve"> (1936 e 1942), marcou o início de uma tradição interpretativa que via na cidade o ápice da chamada “Revolução Urbana”. Para </w:t>
      </w:r>
      <w:proofErr w:type="spellStart"/>
      <w:r>
        <w:t>Childe</w:t>
      </w:r>
      <w:proofErr w:type="spellEnd"/>
      <w:r>
        <w:t xml:space="preserve">, a emergência de centros urbanos como Uruk, Ur e </w:t>
      </w:r>
      <w:proofErr w:type="spellStart"/>
      <w:r>
        <w:t>Lagash</w:t>
      </w:r>
      <w:proofErr w:type="spellEnd"/>
      <w:r>
        <w:t xml:space="preserve"> representaria o resultado de transformações econômicas e tecnológicas que permitiram a concentração de excedentes agrícolas, a especialização do trabalho e o surgimento de elites administrativas e religiosas. Essa leitura evolucionista, embora pioneira, foi posteriormente revista por correntes historiográficas e arqueológicas que passaram a compreender o fenômeno urbano como resultado de múltiplas dimensões — sociais, simbólicas, políticas e culturais.</w:t>
      </w:r>
    </w:p>
    <w:p w14:paraId="1D000D2B" w14:textId="77777777" w:rsidR="00681D00" w:rsidRDefault="00000000">
      <w:r>
        <w:t xml:space="preserve">Nas últimas décadas, os estudos de Guillermo </w:t>
      </w:r>
      <w:proofErr w:type="spellStart"/>
      <w:r>
        <w:t>Algaze</w:t>
      </w:r>
      <w:proofErr w:type="spellEnd"/>
      <w:r>
        <w:t xml:space="preserve"> (1993), Norman </w:t>
      </w:r>
      <w:proofErr w:type="spellStart"/>
      <w:r>
        <w:t>Yoffee</w:t>
      </w:r>
      <w:proofErr w:type="spellEnd"/>
      <w:r>
        <w:t xml:space="preserve"> (2005), Mario </w:t>
      </w:r>
      <w:proofErr w:type="spellStart"/>
      <w:r>
        <w:t>Liverani</w:t>
      </w:r>
      <w:proofErr w:type="spellEnd"/>
      <w:r>
        <w:t xml:space="preserve"> (2006; 2016) e Marc Van de </w:t>
      </w:r>
      <w:proofErr w:type="spellStart"/>
      <w:r>
        <w:t>Mieroop</w:t>
      </w:r>
      <w:proofErr w:type="spellEnd"/>
      <w:r>
        <w:t xml:space="preserve"> (2015), têm ampliado a compreensão da urbanização mesopotâmica, superando o determinismo técnico e econômico que marcou as interpretações clássicas. Essas abordagens enfatizam o papel das redes regionais, da interação simbólica entre templos e palácios, das dinâmicas de poder e da circulação de bens e ideias entre os diversos centros urbanos. Ao mesmo tempo, o diálogo entre arqueologia e filologia tem revelado a complexidade das práticas sociais e das representações que sustentaram as primeiras formas de vida urbana.</w:t>
      </w:r>
    </w:p>
    <w:p w14:paraId="2605DFAC" w14:textId="77777777" w:rsidR="00681D00" w:rsidRDefault="00000000">
      <w:r>
        <w:t>As evidências textuais e arqueológicas da Mesopotâmia (tablitas cuneiformes, inscrições reais, listas administrativas, restos arquitetônicos, templos e artefatos) oferecem um corpus de fontes significativo. A interpretação integrada desses vestígios exige o cruzamento de métodos e perspectivas: a leitura filológica dos textos, a análise estratigráfica dos sítios arqueológicos, o estudo comparativo dos sistemas políticos e a consideração dos aspectos simbólicos da cidade como espaço sagrado e político. A relação entre templo, palácio e cidade, por exemplo, revela uma dimensão fundamental do urbanismo mesopotâmico, no qual o poder político e o religioso se entrelaçam na construção material e ideológica do espaço urbano.</w:t>
      </w:r>
    </w:p>
    <w:p w14:paraId="4A62940A" w14:textId="77777777" w:rsidR="00681D00" w:rsidRDefault="00000000">
      <w:r>
        <w:t xml:space="preserve">No Brasil, a pesquisa sobre o Oriente Próximo Antigo tem avançado significativamente nas últimas décadas, sobretudo a partir das contribuições de Ciro Flamarion Cardoso (1990), Marcelo Rede (1998/1999) e Katia Maria Paim </w:t>
      </w:r>
      <w:proofErr w:type="spellStart"/>
      <w:r>
        <w:t>Pozzer</w:t>
      </w:r>
      <w:proofErr w:type="spellEnd"/>
      <w:r>
        <w:t xml:space="preserve"> (2003), que têm </w:t>
      </w:r>
      <w:r>
        <w:lastRenderedPageBreak/>
        <w:t>buscado articular a historiografia internacional com abordagens críticas, arqueológicas e comparativas. Esses estudos reforçam a importância de compreender a Antiguidade não como um objeto distante, mas como um campo de reflexão sobre as origens da complexidade social e das práticas de poder.</w:t>
      </w:r>
    </w:p>
    <w:p w14:paraId="42D61335" w14:textId="77777777" w:rsidR="00681D00" w:rsidRDefault="00000000">
      <w:r>
        <w:t>Cardoso (1998) chama atenção das generalizações simplistas que buscam abarcar uma sociedade complexa, multifacetada e de longa duração. Essas sociedades não eram imutáveis e possuíam diferenças entre as cidades-estados, entre os diversos agrupamentos humanos e ao longo do tempo.</w:t>
      </w:r>
    </w:p>
    <w:p w14:paraId="29ABAE59" w14:textId="77777777" w:rsidR="00681D00" w:rsidRDefault="00000000">
      <w:r>
        <w:t>Assim, este capítulo tem por objetivo examinar o desenvolvimento das cidades na Mesopotâmia a partir das evidências textuais e arqueológicas disponíveis, problematizando as interpretações clássicas e contemporâneas acerca do processo de urbanização. Busca-se compreender de que modo a cidade mesopotâmica emerge como resultado de interações múltiplas entre economia, religião, poder e simbolismo, e como a articulação entre fontes materiais e textuais permite reconstruir suas dinâmicas históricas.</w:t>
      </w:r>
    </w:p>
    <w:p w14:paraId="3A4C5ADC" w14:textId="77777777" w:rsidR="00681D00" w:rsidRDefault="00000000">
      <w:r>
        <w:t xml:space="preserve">A análise se estrutura em torno de quatro eixos complementares: (1) a formação das primeiras aldeias e o contexto ambiental da Mesopotâmia; (2) o processo de urbanização e a constituição de Uruk como modelo de cidade primitiva; (3) a consolidação das </w:t>
      </w:r>
      <w:proofErr w:type="spellStart"/>
      <w:r>
        <w:t>cidades-Estado</w:t>
      </w:r>
      <w:proofErr w:type="spellEnd"/>
      <w:r>
        <w:t xml:space="preserve"> e o papel da escrita e das instituições; e (4) as dimensões simbólicas, religiosas e políticas do espaço urbano. A reflexão final retoma as principais interpretações historiográficas, destacando os desafios metodológicos e epistemológicos do estudo da cidade antiga e sua relevância para o campo da História e da Arqueologia contemporâneas.</w:t>
      </w:r>
    </w:p>
    <w:p w14:paraId="1E466B30" w14:textId="77777777" w:rsidR="00681D00" w:rsidRDefault="00000000">
      <w:r>
        <w:t xml:space="preserve">Dessa forma, a investigação do urbanismo mesopotâmico transcende a mera reconstrução de um passado longínquo: ela revela, como observa Mario </w:t>
      </w:r>
      <w:proofErr w:type="spellStart"/>
      <w:r>
        <w:t>Liverani</w:t>
      </w:r>
      <w:proofErr w:type="spellEnd"/>
      <w:r>
        <w:t xml:space="preserve"> (2006), a capacidade humana de criar formas complexas de sociabilidade e poder, nas quais a cidade se torna tanto um espaço físico quanto uma metáfora da organização da vida coletiva. O diálogo entre textos e vestígios materiais, ao iluminar as múltiplas dimensões da experiência urbana, reafirma a pertinência da Antiguidade como campo de problematização histórica e epistemológica no ensino e na pesquisa universitária.</w:t>
      </w:r>
    </w:p>
    <w:p w14:paraId="0E8ACBEF" w14:textId="77777777" w:rsidR="00681D00" w:rsidRDefault="00681D00"/>
    <w:p w14:paraId="7DBE4BD7" w14:textId="77777777" w:rsidR="00681D00" w:rsidRDefault="00000000">
      <w:pPr>
        <w:ind w:firstLine="0"/>
        <w:rPr>
          <w:b/>
          <w:bCs/>
        </w:rPr>
      </w:pPr>
      <w:r>
        <w:rPr>
          <w:b/>
          <w:bCs/>
        </w:rPr>
        <w:t xml:space="preserve">A Mesopotâmia, o Contexto do Crescente Fértil e a cultura </w:t>
      </w:r>
      <w:proofErr w:type="spellStart"/>
      <w:r>
        <w:rPr>
          <w:b/>
          <w:bCs/>
        </w:rPr>
        <w:t>Ubaid</w:t>
      </w:r>
      <w:proofErr w:type="spellEnd"/>
    </w:p>
    <w:p w14:paraId="087063E8" w14:textId="77777777" w:rsidR="00681D00" w:rsidRDefault="00000000">
      <w:pPr>
        <w:ind w:firstLine="708"/>
      </w:pPr>
      <w:r>
        <w:t>A compreensão do desenvolvimento urbano na Mesopotâmia exige, antes de tudo, uma análise atenta do contexto geográfico e ecológico em que tal processo se desenrolou. A expressão “Mesopotâmia”, de origem grega (</w:t>
      </w:r>
      <w:r>
        <w:rPr>
          <w:i/>
          <w:iCs/>
        </w:rPr>
        <w:t>mesos</w:t>
      </w:r>
      <w:r>
        <w:t xml:space="preserve"> = meio; </w:t>
      </w:r>
      <w:proofErr w:type="spellStart"/>
      <w:r>
        <w:rPr>
          <w:i/>
          <w:iCs/>
        </w:rPr>
        <w:t>potamós</w:t>
      </w:r>
      <w:proofErr w:type="spellEnd"/>
      <w:r>
        <w:t xml:space="preserve"> = rio), significa literalmente “terra entre rios”, designando a região situada entre o Tigre e o Eufrates, correspondente ao atual território do Iraque e a partes da Síria e do Kuwait. Desde o final do período Neolítico, por volta do sétimo milênio </w:t>
      </w:r>
      <w:proofErr w:type="spellStart"/>
      <w:r>
        <w:t>a.E.C</w:t>
      </w:r>
      <w:proofErr w:type="spellEnd"/>
      <w:r>
        <w:t>., essa planície aluvial começou a ser ocupada por comunidades agrícolas que souberam adaptar-se às condições ambientais desafiadoras e, ao mesmo tempo, férteis do vale mesopotâmico.</w:t>
      </w:r>
    </w:p>
    <w:p w14:paraId="5AB564DD" w14:textId="77777777" w:rsidR="00681D00" w:rsidRDefault="00000000">
      <w:pPr>
        <w:ind w:firstLine="708"/>
      </w:pPr>
      <w:r>
        <w:t xml:space="preserve">O ambiente físico da Mesopotâmia foi, ao mesmo tempo, um obstáculo e uma oportunidade, como destaca Robert </w:t>
      </w:r>
      <w:proofErr w:type="spellStart"/>
      <w:r>
        <w:t>McC</w:t>
      </w:r>
      <w:proofErr w:type="spellEnd"/>
      <w:r>
        <w:t xml:space="preserve">. Adams (1981), o regime irregular dos rios e a ausência de chuvas regulares exigiram o desenvolvimento de sistemas de irrigação complexos, capazes de transformar uma paisagem árida em um espaço produtivo. O rio Eufrates é uma fonte de água e sedimentos, sendo agente de transformação e permanência em um ambiente árido. Ele fertiliza uma estreita faixa de terra, ao mesmo tempo em que causa inundações e é </w:t>
      </w:r>
      <w:r>
        <w:lastRenderedPageBreak/>
        <w:t xml:space="preserve">permeado por períodos de secas. É nessa região que florescem os primeiros assentamentos urbanos, especificamente na porção central servindo, para Adams (1981), mais como um corredor vital de intercâmbio do que uma barreira. Não significando uma unidade cultural entre os assentamentos, </w:t>
      </w:r>
      <w:proofErr w:type="gramStart"/>
      <w:r>
        <w:t>houve contudo</w:t>
      </w:r>
      <w:proofErr w:type="gramEnd"/>
      <w:r>
        <w:t xml:space="preserve"> intensa interação como demonstra a arqueologia nos traços culturais.</w:t>
      </w:r>
    </w:p>
    <w:p w14:paraId="7BEB6B37" w14:textId="77777777" w:rsidR="00681D00" w:rsidRDefault="00000000">
      <w:pPr>
        <w:ind w:firstLine="708"/>
      </w:pPr>
      <w:r>
        <w:t>É importante ressaltar que o rio Tigre possuía um fluxo maior, regime mais irregular e pluvial, tendo ainda diversos afluentes. Contudo, segundo Adams (1981) ele era imprevisível e violento, sendo impossível de ser controlado pelas sociedades antigas e sua tecnologia. Cidades próximas ao rio Tigre corriam risco de serem destruídas, sendo relocalizadas ou abandonadas. Outra característica do rio Tigre é seu leito mais profundo, tornando difícil de derivar em canais de irrigação além de trazer muitos sedimentos, o que assoreava os canais. Por esse motivo, o rio Eufrates se tornou o polo dos assentamentos urbanos.</w:t>
      </w:r>
    </w:p>
    <w:p w14:paraId="117D23A1" w14:textId="77777777" w:rsidR="00681D00" w:rsidRDefault="00000000">
      <w:pPr>
        <w:ind w:firstLine="708"/>
      </w:pPr>
      <w:r>
        <w:t xml:space="preserve">A própria dinâmica do rio Eufrates, com seu processo de salinização, cheias e sedimentações, exigia, segundo Adams (1981), um esforço coletivo para cada metro de solo produtivo. Portanto, a agricultura irrigada deixa de ser apenas uma técnica para se tornar uma forma de organização social para a construção e manutenção de diques, a escavação periódica dos canais, o planejamento das irrigações e o compartilhamento dos custos e benefícios. Tabuletas de ração, listas de trabalhadores e registros de distribuição de cevada encontradas em Uruk e </w:t>
      </w:r>
      <w:proofErr w:type="spellStart"/>
      <w:r>
        <w:t>Lagash</w:t>
      </w:r>
      <w:proofErr w:type="spellEnd"/>
      <w:r>
        <w:t xml:space="preserve">, datada do final do quarto milênio </w:t>
      </w:r>
      <w:proofErr w:type="spellStart"/>
      <w:r>
        <w:t>a.E.C</w:t>
      </w:r>
      <w:proofErr w:type="spellEnd"/>
      <w:r>
        <w:t>. sugerem uma economia baseada em unidades de trabalho coordenada, supervisionadas por autoridades templárias e palacianas. O domínio da hidráulica e da agricultura irrigada não se restringiu ao controle técnico do ambiente, mas implicou também formas de cooperação social e organização comunitária, que gradualmente favoreceram a centralização política e a diferenciação social. A irrigação, portanto, não deve ser vista apenas como inovação agrícola, mas como um fator de reorganização do tecido social e do espaço humano.</w:t>
      </w:r>
    </w:p>
    <w:p w14:paraId="08CC9AB4" w14:textId="77777777" w:rsidR="00681D00" w:rsidRDefault="00000000">
      <w:pPr>
        <w:ind w:firstLine="708"/>
      </w:pPr>
      <w:r>
        <w:t xml:space="preserve">Estudos </w:t>
      </w:r>
      <w:proofErr w:type="spellStart"/>
      <w:r>
        <w:t>geomorgológicos</w:t>
      </w:r>
      <w:proofErr w:type="spellEnd"/>
      <w:r>
        <w:t xml:space="preserve"> indicam que o rio Eufrates migrou lateralmente pela planície ao longo dos milênios (Adams, 1981). Dessa forma, Ur, </w:t>
      </w:r>
      <w:proofErr w:type="spellStart"/>
      <w:r>
        <w:t>Uruj</w:t>
      </w:r>
      <w:proofErr w:type="spellEnd"/>
      <w:r>
        <w:t xml:space="preserve">, </w:t>
      </w:r>
      <w:proofErr w:type="spellStart"/>
      <w:r>
        <w:t>Larsa</w:t>
      </w:r>
      <w:proofErr w:type="spellEnd"/>
      <w:r>
        <w:t xml:space="preserve"> e </w:t>
      </w:r>
      <w:proofErr w:type="spellStart"/>
      <w:r>
        <w:t>Lagash</w:t>
      </w:r>
      <w:proofErr w:type="spellEnd"/>
      <w:r>
        <w:t xml:space="preserve"> eram cidades que, originalmente, estavam nas margens de braços principais do rio e, que mais tarde, se desviaram, estando suas ruínas em terreno seco. </w:t>
      </w:r>
    </w:p>
    <w:p w14:paraId="2C579C3F" w14:textId="77777777" w:rsidR="00681D00" w:rsidRDefault="00000000">
      <w:pPr>
        <w:ind w:firstLine="708"/>
      </w:pPr>
      <w:r>
        <w:t xml:space="preserve">Nesse sentido, o ambiente natural mesopotâmico não foi um mero pano de fundo passivo, mas um agente histórico ativo que condicionou e, ao mesmo tempo, estimulou a criatividade das primeiras sociedades. </w:t>
      </w:r>
      <w:proofErr w:type="spellStart"/>
      <w:r>
        <w:t>Liverani</w:t>
      </w:r>
      <w:proofErr w:type="spellEnd"/>
      <w:r>
        <w:t xml:space="preserve"> (2006) argumenta que o “milagre urbano” mesopotâmico deve ser entendido como resultado de uma adaptação progressiva a um meio instável, que demandava constante negociação entre comunidade e natureza. Essa perspectiva rompe com o determinismo ambiental que marcou as interpretações do século XIX e início do XX, segundo as quais o ambiente seria o fator causal direto da civilização, e enfatiza o caráter dinâmico das interações humanas com o território.</w:t>
      </w:r>
    </w:p>
    <w:p w14:paraId="3811E0D9" w14:textId="77777777" w:rsidR="00681D00" w:rsidRDefault="00000000">
      <w:pPr>
        <w:ind w:firstLine="708"/>
      </w:pPr>
      <w:r>
        <w:t xml:space="preserve">Os primeiros assentamentos permanentes na região remontam ao período Neolítico tardio, com culturas como </w:t>
      </w:r>
      <w:proofErr w:type="spellStart"/>
      <w:r>
        <w:t>Hassuna</w:t>
      </w:r>
      <w:proofErr w:type="spellEnd"/>
      <w:r>
        <w:t xml:space="preserve">, Samarra e </w:t>
      </w:r>
      <w:proofErr w:type="spellStart"/>
      <w:r>
        <w:t>Halaf</w:t>
      </w:r>
      <w:proofErr w:type="spellEnd"/>
      <w:r>
        <w:t xml:space="preserve"> (c. 6500-5000 </w:t>
      </w:r>
      <w:proofErr w:type="spellStart"/>
      <w:r>
        <w:t>a.E.C</w:t>
      </w:r>
      <w:proofErr w:type="spellEnd"/>
      <w:r>
        <w:t xml:space="preserve">.), cujas escavações revelam aldeias organizadas em torno de núcleos domésticos, produção cerâmica refinada e práticas agrícolas estáveis. A cultura de Samarra (região central da Mesopotâmia), por exemplo, já apresenta evidências de irrigação planejada e arquitetura em tijolos de adobe, prenunciando o tipo de engenharia que caracterizaria as cidades sumérias. Com o desenvolvimento da cultura de </w:t>
      </w:r>
      <w:proofErr w:type="spellStart"/>
      <w:r>
        <w:t>Ubaid</w:t>
      </w:r>
      <w:proofErr w:type="spellEnd"/>
      <w:r>
        <w:t xml:space="preserve"> (c. 5000-4000 </w:t>
      </w:r>
      <w:proofErr w:type="spellStart"/>
      <w:r>
        <w:t>a.E.C</w:t>
      </w:r>
      <w:proofErr w:type="spellEnd"/>
      <w:r>
        <w:t xml:space="preserve">.), observa-se uma crescente complexificação social e espacial, </w:t>
      </w:r>
      <w:r>
        <w:lastRenderedPageBreak/>
        <w:t>com o surgimento de edificações públicas, os templos e as plataformas, e uma incipiente hierarquização comunitária.</w:t>
      </w:r>
    </w:p>
    <w:p w14:paraId="20EBB502" w14:textId="77777777" w:rsidR="00681D00" w:rsidRDefault="00000000">
      <w:pPr>
        <w:ind w:firstLine="708"/>
      </w:pPr>
      <w:r>
        <w:t xml:space="preserve">Segundo </w:t>
      </w:r>
      <w:proofErr w:type="spellStart"/>
      <w:r>
        <w:t>Algaze</w:t>
      </w:r>
      <w:proofErr w:type="spellEnd"/>
      <w:r>
        <w:t xml:space="preserve"> (1993), o período </w:t>
      </w:r>
      <w:proofErr w:type="spellStart"/>
      <w:r>
        <w:t>Ubaid</w:t>
      </w:r>
      <w:proofErr w:type="spellEnd"/>
      <w:r>
        <w:t xml:space="preserve"> representa o “</w:t>
      </w:r>
      <w:proofErr w:type="spellStart"/>
      <w:r>
        <w:t>pré</w:t>
      </w:r>
      <w:proofErr w:type="spellEnd"/>
      <w:r>
        <w:t xml:space="preserve">-urbanismo” mesopotâmico: uma fase de transição em que as aldeias se conectam em redes de troca, desenvolvem especializações produtivas e formam centros regionais. Essas transformações indicam que o fenômeno urbano não surgiu abruptamente, mas foi resultado de um longo processo de acumulação cultural, tecnológica e organizacional. </w:t>
      </w:r>
      <w:proofErr w:type="spellStart"/>
      <w:r>
        <w:t>Mieroop</w:t>
      </w:r>
      <w:proofErr w:type="spellEnd"/>
      <w:r>
        <w:t xml:space="preserve"> (2015) reforça essa ideia ao afirmar que a urbanização não deve ser entendida como um evento pontual, mas como um continuum de experiências comunitárias que gradualmente produziram formas de centralização política e simbólica.</w:t>
      </w:r>
    </w:p>
    <w:p w14:paraId="0D8BCED8" w14:textId="77777777" w:rsidR="00681D00" w:rsidRDefault="00000000">
      <w:pPr>
        <w:ind w:firstLine="708"/>
      </w:pPr>
      <w:r>
        <w:t xml:space="preserve">O conceito de </w:t>
      </w:r>
      <w:r>
        <w:rPr>
          <w:i/>
          <w:iCs/>
        </w:rPr>
        <w:t>Crescente Fértil</w:t>
      </w:r>
      <w:r>
        <w:t xml:space="preserve">, proposto originalmente por James Henry </w:t>
      </w:r>
      <w:proofErr w:type="spellStart"/>
      <w:r>
        <w:t>Breasted</w:t>
      </w:r>
      <w:proofErr w:type="spellEnd"/>
      <w:r>
        <w:t xml:space="preserve"> em 1914, continua útil como referência </w:t>
      </w:r>
      <w:proofErr w:type="spellStart"/>
      <w:r>
        <w:t>geohistórica</w:t>
      </w:r>
      <w:proofErr w:type="spellEnd"/>
      <w:r>
        <w:t xml:space="preserve">, embora suas fronteiras sejam mais culturais do que estritamente geográficas. Essa ampla faixa que se estende do vale do Nilo ao planalto iraniano foi o palco de processos paralelos de sedentarização e domesticação, mas a Mesopotâmia meridional se destacou pela criação de uma civilização urbana sem precedentes. A combinação entre disponibilidade de recursos hídricos, necessidade de controle social do trabalho e acumulação de excedentes gerou condições únicas para o surgimento das primeiras </w:t>
      </w:r>
      <w:proofErr w:type="spellStart"/>
      <w:r>
        <w:t>cidades-Estado</w:t>
      </w:r>
      <w:proofErr w:type="spellEnd"/>
      <w:r>
        <w:t>.</w:t>
      </w:r>
    </w:p>
    <w:p w14:paraId="478AE206" w14:textId="77777777" w:rsidR="00681D00" w:rsidRDefault="00000000">
      <w:pPr>
        <w:ind w:firstLine="708"/>
      </w:pPr>
      <w:r>
        <w:t>A arqueologia moderna, por meio de levantamentos regionais e escavações sistemáticas, como as conduzidas por Adams, Nissen e mais recentemente por projetos internacionais no sul do Iraque e na Síria, têm revelado que as cidades mesopotâmicas não surgiram isoladamente, mas como parte de uma rede de assentamentos interdependentes. Essa perspectiva reticular, inspirada em modelos sistêmicos, substitui a visão linear e evolucionista que dominou a arqueologia do século XX. O fenômeno urbano é, portanto, relacional: as cidades se alimentavam de trocas materiais e simbólicas, e sua vitalidade dependia da integração regional.</w:t>
      </w:r>
    </w:p>
    <w:p w14:paraId="360DEACE" w14:textId="77777777" w:rsidR="00681D00" w:rsidRDefault="00000000">
      <w:pPr>
        <w:ind w:firstLine="708"/>
      </w:pPr>
      <w:r>
        <w:t>Do ponto de vista metodológico, essa constatação reforça a necessidade de uma abordagem interdisciplinar. Como observa Pedro Paulo Funari, Jorge E. Oliveira e Juliano B. Campos (2022), a arqueologia do Oriente Próximo deve ser pensada como uma ciência histórica voltada para a interpretação de contextos sociais, e não apenas como uma técnica de escavação. O cruzamento entre dados arqueológicos e textuais (inexistentes nas fases iniciais do Neolítico, mas fundamentais a partir do período de Uruk) permitem reconstruir não apenas a materialidade dos assentamentos, mas também as lógicas simbólicas e ideológicas que sustentaram a organização das primeiras comunidades urbanas.</w:t>
      </w:r>
    </w:p>
    <w:p w14:paraId="4EF5A685" w14:textId="77777777" w:rsidR="00681D00" w:rsidRDefault="00000000">
      <w:pPr>
        <w:ind w:firstLine="708"/>
      </w:pPr>
      <w:r>
        <w:t xml:space="preserve">Assim, a Mesopotâmia do quarto milênio </w:t>
      </w:r>
      <w:proofErr w:type="spellStart"/>
      <w:r>
        <w:t>a.E.C</w:t>
      </w:r>
      <w:proofErr w:type="spellEnd"/>
      <w:r>
        <w:t xml:space="preserve">., também conhecido como período Uruk, devido a cidade homônima, deve ser compreendida como um espaço de convergência entre meio ambiente, técnica e sociedade. A passagem das aldeias neolíticas e </w:t>
      </w:r>
      <w:proofErr w:type="spellStart"/>
      <w:r>
        <w:t>calcolíticas</w:t>
      </w:r>
      <w:proofErr w:type="spellEnd"/>
      <w:r>
        <w:t xml:space="preserve"> às cidades da Suméria não foi produto de um determinismo natural, mas de uma complexa interação entre invenção tecnológica, cooperação social e necessidade de gestão coletiva. </w:t>
      </w:r>
    </w:p>
    <w:p w14:paraId="4102134F" w14:textId="77777777" w:rsidR="00681D00" w:rsidRDefault="00000000">
      <w:pPr>
        <w:ind w:firstLine="708"/>
      </w:pPr>
      <w:r>
        <w:t xml:space="preserve">O período anterior ao do florescimento das cidades ou período Uruk, foi chamado de </w:t>
      </w:r>
      <w:proofErr w:type="spellStart"/>
      <w:r>
        <w:t>Ubaid</w:t>
      </w:r>
      <w:proofErr w:type="spellEnd"/>
      <w:r>
        <w:t>, derivando do primeiro grande sítio arqueológico em Tell al-</w:t>
      </w:r>
      <w:proofErr w:type="spellStart"/>
      <w:r>
        <w:t>Ubaid</w:t>
      </w:r>
      <w:proofErr w:type="spellEnd"/>
      <w:r>
        <w:t xml:space="preserve"> (atual sul do Iraque, próximo do Golfo Pérsico). Esse período é datado entre 6.800 </w:t>
      </w:r>
      <w:proofErr w:type="gramStart"/>
      <w:r>
        <w:t>a</w:t>
      </w:r>
      <w:proofErr w:type="gramEnd"/>
      <w:r>
        <w:t xml:space="preserve"> 4.200 </w:t>
      </w:r>
      <w:proofErr w:type="spellStart"/>
      <w:r>
        <w:t>a.E.C</w:t>
      </w:r>
      <w:proofErr w:type="spellEnd"/>
      <w:r>
        <w:t xml:space="preserve">. sendo dividido pelas fases 0 até a 5 ou de 1 a 4, sendo Eridu, </w:t>
      </w:r>
      <w:proofErr w:type="spellStart"/>
      <w:r>
        <w:t>Haggi</w:t>
      </w:r>
      <w:proofErr w:type="spellEnd"/>
      <w:r>
        <w:t xml:space="preserve"> Muhammad, </w:t>
      </w:r>
      <w:proofErr w:type="spellStart"/>
      <w:r>
        <w:t>Ubaid</w:t>
      </w:r>
      <w:proofErr w:type="spellEnd"/>
      <w:r>
        <w:t xml:space="preserve"> Clássico e </w:t>
      </w:r>
      <w:proofErr w:type="spellStart"/>
      <w:r>
        <w:t>Ubaid</w:t>
      </w:r>
      <w:proofErr w:type="spellEnd"/>
      <w:r>
        <w:t xml:space="preserve"> Tardio. Atingindo sítios arqueológicos desde a atual Turquia como em Mersin, no mar Mediterrâneo e nas montanhas Taurus, no alto Eufrates, até ao longo da costa do Golfo Pérsico, </w:t>
      </w:r>
      <w:r>
        <w:lastRenderedPageBreak/>
        <w:t xml:space="preserve">com diversos sítios entre os rios Tigre e Eufrates. Marcado pela cerâmica de fundo creme e pintado de preto, tendo a cerâmica </w:t>
      </w:r>
      <w:proofErr w:type="spellStart"/>
      <w:r>
        <w:t>Ubaid</w:t>
      </w:r>
      <w:proofErr w:type="spellEnd"/>
      <w:r>
        <w:t xml:space="preserve"> 1 e 2 com decoração densa, geométrica e abstrata, e as posteriores menos decorada, com faixas de guirlandas.</w:t>
      </w:r>
    </w:p>
    <w:p w14:paraId="07AB931F" w14:textId="77777777" w:rsidR="00681D00" w:rsidRDefault="00000000">
      <w:pPr>
        <w:ind w:firstLine="708"/>
      </w:pPr>
      <w:r>
        <w:t xml:space="preserve">O avanço da cultura </w:t>
      </w:r>
      <w:proofErr w:type="spellStart"/>
      <w:r>
        <w:t>Ubaid</w:t>
      </w:r>
      <w:proofErr w:type="spellEnd"/>
      <w:r>
        <w:t xml:space="preserve"> não extinguiu por completo outras culturas que permaneceram de forma concomitante, além de sua cronologia ser diferente para as regiões como sul da Mesopotâmia, Mesopotâmia central e setentrional e no Golfo Pérsico. Não sendo objeto da problemática que abordamos, ressaltamos que durante o período </w:t>
      </w:r>
      <w:proofErr w:type="spellStart"/>
      <w:r>
        <w:t>Ubaid</w:t>
      </w:r>
      <w:proofErr w:type="spellEnd"/>
      <w:r>
        <w:t xml:space="preserve">, importantes estruturas foram formadas que irão impactar as primeiras cidades no período Uruk. Durante o </w:t>
      </w:r>
      <w:proofErr w:type="spellStart"/>
      <w:r>
        <w:t>Ubaid</w:t>
      </w:r>
      <w:proofErr w:type="spellEnd"/>
      <w:r>
        <w:t>, ocorreu uma estratificação social mais intensa, possivelmente de uma elite derivada dos chefes hereditários, talvez ligados à administração de templos e celeiros (</w:t>
      </w:r>
      <w:proofErr w:type="spellStart"/>
      <w:r>
        <w:t>Liverani</w:t>
      </w:r>
      <w:proofErr w:type="spellEnd"/>
      <w:r>
        <w:t xml:space="preserve">, 2016). No período Eridu foram encontradas pequenas capelas que aumentam de tamanho gradativamente, chegando ao modelo tripartido, enquanto no </w:t>
      </w:r>
      <w:proofErr w:type="spellStart"/>
      <w:r>
        <w:t>Ubaid</w:t>
      </w:r>
      <w:proofErr w:type="spellEnd"/>
      <w:r>
        <w:t xml:space="preserve"> Tardio, surgem uma cela alongada central associada a duas fileiras de salas, sendo considerados os primeiros templos. </w:t>
      </w:r>
    </w:p>
    <w:p w14:paraId="5C37C26F" w14:textId="77777777" w:rsidR="00681D00" w:rsidRDefault="00000000">
      <w:pPr>
        <w:ind w:firstLine="708"/>
      </w:pPr>
      <w:r>
        <w:t xml:space="preserve">Segundo </w:t>
      </w:r>
      <w:proofErr w:type="spellStart"/>
      <w:r>
        <w:t>Liverani</w:t>
      </w:r>
      <w:proofErr w:type="spellEnd"/>
      <w:r>
        <w:t xml:space="preserve"> (2016), alguns indícios apoiam a hipótese de uma centralização em funções </w:t>
      </w:r>
      <w:proofErr w:type="spellStart"/>
      <w:r>
        <w:t>pré</w:t>
      </w:r>
      <w:proofErr w:type="spellEnd"/>
      <w:r>
        <w:t xml:space="preserve">-estatais: os produtos artesanais de alta qualidade tem um crescimento, indicando um comércio estruturado; os objetos funerários demonstram uma estratificação funcional e econômica; produção em massa de cerâmicas indicando uma liderança política. Portanto, surgem formações socioeconômicas e políticas mais complexas do que aldeias, o que ocorre em sintonia com as primeiras escavações de canais que drenam charcos e pântanos, além de levar água para regiões com maior dificuldade de cultivo. </w:t>
      </w:r>
    </w:p>
    <w:p w14:paraId="622B02AD" w14:textId="77777777" w:rsidR="00681D00" w:rsidRDefault="00000000">
      <w:pPr>
        <w:ind w:firstLine="708"/>
      </w:pPr>
      <w:r>
        <w:t xml:space="preserve">A transição do </w:t>
      </w:r>
      <w:proofErr w:type="spellStart"/>
      <w:r>
        <w:t>Ubaid</w:t>
      </w:r>
      <w:proofErr w:type="spellEnd"/>
      <w:r>
        <w:t xml:space="preserve"> Tardio para o Uruk Antigo é marcada pela mudança do tipo cerâmico, passando da pintada para a polida em cor cinza ou vermelha ou com superfície rústica e clara. Entretanto, não há uma ruptura bem demarcada, mas uma continuidade do desenvolvimento tecnológico e organizacional, além da centralização do templo nos assentamentos que passam por um crescimento demográfico.</w:t>
      </w:r>
    </w:p>
    <w:p w14:paraId="27128556" w14:textId="77777777" w:rsidR="00681D00" w:rsidRDefault="00000000">
      <w:pPr>
        <w:ind w:firstLine="708"/>
      </w:pPr>
      <w:r>
        <w:t xml:space="preserve">Como sintetiza </w:t>
      </w:r>
      <w:proofErr w:type="spellStart"/>
      <w:r>
        <w:t>Liverani</w:t>
      </w:r>
      <w:proofErr w:type="spellEnd"/>
      <w:r>
        <w:t xml:space="preserve"> (2006), a cidade nasce quando a comunidade constrói não apenas suas casas, mas também suas instituições. O estudo desse contexto inicial é, portanto, fundamental para compreender o florescimento urbano de Uruk e o aparecimento das primeiras formas estatais, tema desenvolvido na próxima sessão.</w:t>
      </w:r>
    </w:p>
    <w:p w14:paraId="0C91E998" w14:textId="77777777" w:rsidR="00681D00" w:rsidRDefault="00681D00">
      <w:pPr>
        <w:ind w:firstLine="0"/>
        <w:rPr>
          <w:b/>
          <w:bCs/>
        </w:rPr>
      </w:pPr>
    </w:p>
    <w:p w14:paraId="54BB2C48" w14:textId="77777777" w:rsidR="00681D00" w:rsidRDefault="00000000">
      <w:pPr>
        <w:ind w:firstLine="0"/>
        <w:rPr>
          <w:b/>
          <w:bCs/>
        </w:rPr>
      </w:pPr>
      <w:r>
        <w:rPr>
          <w:b/>
          <w:bCs/>
        </w:rPr>
        <w:t>O Processo de Urbanização: Uruk e as Origens da Cidade</w:t>
      </w:r>
    </w:p>
    <w:p w14:paraId="2B9EAB9C" w14:textId="77777777" w:rsidR="00681D00" w:rsidRDefault="00000000">
      <w:pPr>
        <w:ind w:firstLine="708"/>
      </w:pPr>
      <w:r>
        <w:t xml:space="preserve">O processo de urbanização na Mesopotâmia atingiu seu ponto decisivo durante o chamado período de Uruk (aproximadamente 4000–3100 </w:t>
      </w:r>
      <w:proofErr w:type="spellStart"/>
      <w:r>
        <w:t>a.E.C</w:t>
      </w:r>
      <w:proofErr w:type="spellEnd"/>
      <w:r>
        <w:t>.), quando emergiram as primeiras formas plenamente reconhecíveis de cidade, a escrita e a administração centralizada. Uruk, localizada na Suméria meridional, constitui o exemplo paradigmático desse fenômeno, sendo frequentemente descrita pela historiografia como a “primeira cidade da história”. A importância desse sítio não se limita à sua dimensão material ou demográfica, mas reside principalmente na consolidação de um novo tipo de organização social, em que as atividades econômicas, religiosas e políticas passaram a articular-se em torno de instituições permanentes e complexas (</w:t>
      </w:r>
      <w:proofErr w:type="spellStart"/>
      <w:r>
        <w:t>Liverani</w:t>
      </w:r>
      <w:proofErr w:type="spellEnd"/>
      <w:r>
        <w:t>, 2006).</w:t>
      </w:r>
    </w:p>
    <w:p w14:paraId="012A5744" w14:textId="77777777" w:rsidR="00681D00" w:rsidRDefault="00000000">
      <w:pPr>
        <w:ind w:firstLine="708"/>
      </w:pPr>
      <w:r>
        <w:t xml:space="preserve">O arqueólogo austríaco Gordon </w:t>
      </w:r>
      <w:proofErr w:type="spellStart"/>
      <w:r>
        <w:t>Childe</w:t>
      </w:r>
      <w:proofErr w:type="spellEnd"/>
      <w:r>
        <w:t xml:space="preserve">, em sua clássica formulação da </w:t>
      </w:r>
      <w:r>
        <w:rPr>
          <w:i/>
          <w:iCs/>
        </w:rPr>
        <w:t>Revolução Urbana</w:t>
      </w:r>
      <w:r>
        <w:t xml:space="preserve"> (1936; 1942), interpretou o surgimento das cidades mesopotâmicas como resultado direto da </w:t>
      </w:r>
      <w:r>
        <w:rPr>
          <w:i/>
          <w:iCs/>
        </w:rPr>
        <w:t>Revolução Neolítica</w:t>
      </w:r>
      <w:r>
        <w:t xml:space="preserve">. Para </w:t>
      </w:r>
      <w:proofErr w:type="spellStart"/>
      <w:r>
        <w:t>Childe</w:t>
      </w:r>
      <w:proofErr w:type="spellEnd"/>
      <w:r>
        <w:t xml:space="preserve">, o domínio da agricultura e da pecuária permitiu a acumulação de excedentes, possibilitando a especialização do trabalho, o crescimento </w:t>
      </w:r>
      <w:r>
        <w:lastRenderedPageBreak/>
        <w:t>demográfico e o aparecimento de classes sociais distintas. A cidade seria, assim, o estágio culminante de um processo de progresso técnico e social. Embora essa leitura tenha sido fundamental para inaugurar o estudo comparado das civilizações antigas, ela foi gradualmente criticada por sua linearidade e por seu viés evolucionista. Pesquisas arqueológicas mais recentes revelam um quadro mais complexo, no qual as transformações sociais, ideológicas e simbólicas desempenham papel tão relevante quanto os fatores econômicos, adotando uma explicação sistêmica e multicausal.</w:t>
      </w:r>
    </w:p>
    <w:p w14:paraId="50628C24" w14:textId="77777777" w:rsidR="00681D00" w:rsidRDefault="00000000">
      <w:pPr>
        <w:ind w:firstLine="708"/>
      </w:pPr>
      <w:r>
        <w:t xml:space="preserve">Para </w:t>
      </w:r>
      <w:proofErr w:type="spellStart"/>
      <w:r>
        <w:t>Liverani</w:t>
      </w:r>
      <w:proofErr w:type="spellEnd"/>
      <w:r>
        <w:t xml:space="preserve"> (2016), a premissa fundamental é o aumento da produtividade agrícola que assegura a disponibilidade de excedentes alimentícios que garante a manutenção de especialistas em tempo integral mediante um polo distributivo central. Para ele, o “salto mais evidente” é o demográfico e urbanístico, mas o substancial é o organizacional, surgindo uma maior complexidade e estratificação social, constituição de uma direção política e um papel sociopolítico da ideologia.</w:t>
      </w:r>
    </w:p>
    <w:p w14:paraId="6FA72302" w14:textId="77777777" w:rsidR="00681D00" w:rsidRDefault="00000000">
      <w:pPr>
        <w:ind w:firstLine="708"/>
      </w:pPr>
      <w:r>
        <w:t xml:space="preserve">De pequenas aldeias autossuficientes para centros maiores, </w:t>
      </w:r>
      <w:proofErr w:type="spellStart"/>
      <w:r>
        <w:t>protourbanos</w:t>
      </w:r>
      <w:proofErr w:type="spellEnd"/>
      <w:r>
        <w:t>, concentrando os especialistas, mas sendo complementadas pelas aldeias rurais com a produção de alimentos. Necessariamente, há um fluxo de excedente que passa dos agricultores aos especialistas e um fluxo de produtos transformados e serviços em troca, sendo bidirecional (</w:t>
      </w:r>
      <w:proofErr w:type="spellStart"/>
      <w:r>
        <w:t>Liverani</w:t>
      </w:r>
      <w:proofErr w:type="spellEnd"/>
      <w:r>
        <w:t>, 2016). Junto aos centros urbanos, encontram-se as tarefas administrativas e cerimoniais, garantindo a coesão da comunidade e a organização dos fluxos de trabalho, produtos e serviços. Os marcos organizacionais são os templos e depois os palácios, além de construções adjacentes aos templos como oficinas artesanais, armazéns, escritórios de escribas e arquivos.</w:t>
      </w:r>
    </w:p>
    <w:p w14:paraId="79F6F889" w14:textId="77777777" w:rsidR="00681D00" w:rsidRDefault="00000000">
      <w:r>
        <w:t>Inicialmente, o sumo-sacerdote, denominado “</w:t>
      </w:r>
      <w:proofErr w:type="spellStart"/>
      <w:r>
        <w:t>en</w:t>
      </w:r>
      <w:proofErr w:type="spellEnd"/>
      <w:r>
        <w:t xml:space="preserve">”, assumia as funções administrativas e, em tempo de guerra, a chefia militar (Kramer, 1988). A partir da segunda metade do terceiro milênio </w:t>
      </w:r>
      <w:proofErr w:type="spellStart"/>
      <w:r>
        <w:t>a.E.C</w:t>
      </w:r>
      <w:proofErr w:type="spellEnd"/>
      <w:r>
        <w:t>., ocorre a separação entre o templo, representado pelo “</w:t>
      </w:r>
      <w:proofErr w:type="spellStart"/>
      <w:r>
        <w:t>en</w:t>
      </w:r>
      <w:proofErr w:type="spellEnd"/>
      <w:r>
        <w:t>”, e o palácio, recebendo o título de “</w:t>
      </w:r>
      <w:proofErr w:type="spellStart"/>
      <w:r>
        <w:t>ensi</w:t>
      </w:r>
      <w:proofErr w:type="spellEnd"/>
      <w:r>
        <w:t xml:space="preserve">” e encabeçando as funções administrativas, militares </w:t>
      </w:r>
      <w:proofErr w:type="gramStart"/>
      <w:r>
        <w:t>e também</w:t>
      </w:r>
      <w:proofErr w:type="gramEnd"/>
      <w:r>
        <w:t xml:space="preserve"> presidindo atos religiosos. A necessidade de defesa do território e das rotas comerciais, além de conquistas e saques, levou ao comando militar tornar-se uma monarquia hereditária separada dos templos. </w:t>
      </w:r>
    </w:p>
    <w:p w14:paraId="12A9A6DE" w14:textId="77777777" w:rsidR="00681D00" w:rsidRDefault="00000000">
      <w:pPr>
        <w:ind w:firstLine="708"/>
      </w:pPr>
      <w:r>
        <w:t>De um lado, há os especialistas que trabalham para os templos ou palácios mediante rações ou repartição de terras e, do outro lado, os camponeses que possui os próprios meios de produção, mas são tributários ao Estado mediante um caráter, geralmente, ideológico, seja do culto religioso ou propaganda política como essenciais para a defesa e para as construções coletivas como canais.</w:t>
      </w:r>
    </w:p>
    <w:p w14:paraId="1173594F" w14:textId="77777777" w:rsidR="00681D00" w:rsidRDefault="00000000">
      <w:pPr>
        <w:ind w:firstLine="708"/>
      </w:pPr>
      <w:r>
        <w:t xml:space="preserve">As relações de dependência orgânica se tornam mais estreitas, segundo </w:t>
      </w:r>
      <w:proofErr w:type="spellStart"/>
      <w:r>
        <w:t>Liverani</w:t>
      </w:r>
      <w:proofErr w:type="spellEnd"/>
      <w:r>
        <w:t xml:space="preserve"> (2016) e com o excedente alimentício é possível realizar construções de canais por meio de uma mão de obra coagida. Por sua vez, há um aumento de terras produtivas formando novos colonos, o que exige um sólido e eficaz controle político interno.</w:t>
      </w:r>
    </w:p>
    <w:p w14:paraId="1135EA31" w14:textId="77777777" w:rsidR="00681D00" w:rsidRDefault="00000000">
      <w:pPr>
        <w:ind w:firstLine="708"/>
      </w:pPr>
      <w:r>
        <w:t>Terras excedentes passam a pertencer aos templos e palácios, com tendência de ampliarem-se aumentando a quantidade de mão de obra servil e surgindo regiões marginais. A urbanização também significa concentração de riqueza suficiente para a construção de muralhas, que exige grande número de jornadas de trabalho, justificadas pela proteção do patrimônio urbano: reservas alimentícias providas de impostos internos, mercadorias derivadas de comércio de longa distância, patrimônio ideológico concretizado nos templos e sua ornamentação.</w:t>
      </w:r>
    </w:p>
    <w:p w14:paraId="5C662002" w14:textId="77777777" w:rsidR="00681D00" w:rsidRDefault="00000000">
      <w:pPr>
        <w:ind w:firstLine="708"/>
      </w:pPr>
      <w:proofErr w:type="spellStart"/>
      <w:r>
        <w:lastRenderedPageBreak/>
        <w:t>Liverani</w:t>
      </w:r>
      <w:proofErr w:type="spellEnd"/>
      <w:r>
        <w:t xml:space="preserve"> (2016) destaca inovações necessárias para a nova organização urbana que são a padronização numérica e a escrita, pois, com padrões numéricos sexagesimal, criam-se medidas padrões para a troca de mercadorias, estabelecidas em razão da cevada ou da prata. Para o aumento da produção, criam-se padrões de medidas de capacidade e quantidade de produção por determinado </w:t>
      </w:r>
      <w:proofErr w:type="gramStart"/>
      <w:r>
        <w:t>período de tempo</w:t>
      </w:r>
      <w:proofErr w:type="gramEnd"/>
      <w:r>
        <w:t xml:space="preserve">. Assim, a produção passa a ser em série com uso de moldes e padrões, observadas pelas tigelas alimentícias encontradas em grande quantidade e padronizadas, sugerindo a concentração de </w:t>
      </w:r>
      <w:proofErr w:type="gramStart"/>
      <w:r>
        <w:t>um grande número de trabalhadores</w:t>
      </w:r>
      <w:proofErr w:type="gramEnd"/>
      <w:r>
        <w:t xml:space="preserve"> que não estão no âmbito familiar. Possuindo tamanhos homogêneos e divididos em tamanhos grandes, médios e pequenos, de acordo com a distribuição da ração entre homens, mulheres e crianças (</w:t>
      </w:r>
      <w:proofErr w:type="spellStart"/>
      <w:r>
        <w:t>Algaze</w:t>
      </w:r>
      <w:proofErr w:type="spellEnd"/>
      <w:r>
        <w:t>, 2008). Portanto, há uma padronização na produção das tigelas no procedimento de fabricação e de destinação, no uso das rações diárias, revelando uma organização globalmente padronizada que atua seguindo uma unificação quantitativa.</w:t>
      </w:r>
    </w:p>
    <w:p w14:paraId="54E6CE22" w14:textId="77777777" w:rsidR="00681D00" w:rsidRDefault="00000000">
      <w:pPr>
        <w:ind w:firstLine="708"/>
      </w:pPr>
      <w:r>
        <w:t xml:space="preserve">Para </w:t>
      </w:r>
      <w:proofErr w:type="spellStart"/>
      <w:r>
        <w:t>Liverani</w:t>
      </w:r>
      <w:proofErr w:type="spellEnd"/>
      <w:r>
        <w:t xml:space="preserve"> (2016), ao mesmo tempo que se põem as práticas de cálculo e mensuração, surge a necessidade de garantir sua correção e memorização. As grandes organizações, por suas próprias exigências, levam a introdução da escrita. Inicialmente, no período </w:t>
      </w:r>
      <w:proofErr w:type="spellStart"/>
      <w:r>
        <w:t>Halaf</w:t>
      </w:r>
      <w:proofErr w:type="spellEnd"/>
      <w:r>
        <w:t xml:space="preserve"> e sobretudo no </w:t>
      </w:r>
      <w:proofErr w:type="spellStart"/>
      <w:r>
        <w:t>Ubaid</w:t>
      </w:r>
      <w:proofErr w:type="spellEnd"/>
      <w:r>
        <w:t xml:space="preserve"> clássico e tardio, o uso de selos de carimbo equivaliam a assinatura e, posteriormente com os selos cilíndricos, a garantia de não violação de um recipiente lacrado. Selar e retirar o selo tornam-se atos administrativos precisos em sistemas organizacionais mais complexos, com o tempo, cria-se um código por meio de objetos que são transmitidos, por exemplo, quantidade de rações necessárias durante a construção de um canal.</w:t>
      </w:r>
    </w:p>
    <w:p w14:paraId="357ECD49" w14:textId="77777777" w:rsidR="00681D00" w:rsidRDefault="00000000">
      <w:pPr>
        <w:ind w:firstLine="708"/>
      </w:pPr>
      <w:r>
        <w:t xml:space="preserve">A substituição de um código de objetos por um código gráfico torna-se decisiva e origina a escrita. Encontram-se em sítios arqueológicos tabuletas </w:t>
      </w:r>
      <w:proofErr w:type="spellStart"/>
      <w:r>
        <w:t>logonuméricas</w:t>
      </w:r>
      <w:proofErr w:type="spellEnd"/>
      <w:r>
        <w:t xml:space="preserve"> com símbolos numéricos e </w:t>
      </w:r>
      <w:proofErr w:type="spellStart"/>
      <w:r>
        <w:t>logográficos</w:t>
      </w:r>
      <w:proofErr w:type="spellEnd"/>
      <w:r>
        <w:t>, sendo percebidos símbolos que representam conceitos abstratos, verbos, nomes próprios, enfim, tudo o que não é um objeto representável (</w:t>
      </w:r>
      <w:proofErr w:type="spellStart"/>
      <w:r>
        <w:t>Schmandt-Besserat</w:t>
      </w:r>
      <w:proofErr w:type="spellEnd"/>
      <w:r>
        <w:t>, 1992). Juntamente com a escrita, surge a necessidade de profissionais especializados nela, os escribas, além da padronização técnica da escrita.</w:t>
      </w:r>
    </w:p>
    <w:p w14:paraId="5C9648AD" w14:textId="77777777" w:rsidR="00681D00" w:rsidRDefault="00000000">
      <w:pPr>
        <w:ind w:firstLine="708"/>
      </w:pPr>
      <w:r>
        <w:t xml:space="preserve">Junto a formação de um núcleo dirigente, </w:t>
      </w:r>
      <w:proofErr w:type="spellStart"/>
      <w:r>
        <w:t>Liverani</w:t>
      </w:r>
      <w:proofErr w:type="spellEnd"/>
      <w:r>
        <w:t xml:space="preserve"> (2016) destaca a necessidade da formação de uma ideologia político-religiosa que assegure a estabilidade e coesão de uma pirâmide das disparidades sociais. Portanto, tem-se a necessidade da constituição de uma burocracia, formada por escribas e administradores, cuja função é garantir o fluxo de excedentes das aldeias para a cidade, sua redistribuição aos trabalhadores, a projeção e realização de obras infraestruturais e trocas comerciais com regiões distantes. </w:t>
      </w:r>
    </w:p>
    <w:p w14:paraId="0C6F08EA" w14:textId="77777777" w:rsidR="00681D00" w:rsidRDefault="00000000">
      <w:pPr>
        <w:ind w:firstLine="708"/>
      </w:pPr>
      <w:r>
        <w:t xml:space="preserve">Junto à burocracia, constitui-se um clero responsável pelo culto diário e reservado, periódico e público, além da relação com as divindades proporcionar uma justificativa ideal para as relações de desigualdades. Das oferendas às divindades em prol de acontecimentos inexplicáveis surge o paralelismo de uma cota para à classe dirigente em troca da organização e de decisões em prol da comunidade, o </w:t>
      </w:r>
      <w:proofErr w:type="spellStart"/>
      <w:r>
        <w:rPr>
          <w:i/>
          <w:iCs/>
        </w:rPr>
        <w:t>ensi</w:t>
      </w:r>
      <w:proofErr w:type="spellEnd"/>
      <w:r>
        <w:t xml:space="preserve"> torna-se representante dos deuses e responsável pela manutenção da ordem contra o caos.</w:t>
      </w:r>
    </w:p>
    <w:p w14:paraId="1AB5BA59" w14:textId="77777777" w:rsidR="00681D00" w:rsidRDefault="00000000">
      <w:pPr>
        <w:ind w:firstLine="708"/>
      </w:pPr>
      <w:r>
        <w:t xml:space="preserve">Por fim, </w:t>
      </w:r>
      <w:proofErr w:type="spellStart"/>
      <w:r>
        <w:t>Liverani</w:t>
      </w:r>
      <w:proofErr w:type="spellEnd"/>
      <w:r>
        <w:t xml:space="preserve"> (2016) acrescenta o exercício e monopólio da força, tendo em vista a defesa, coesão interna e ataques a outras cidades-estados, surgindo, portanto, uma elite militar responsável pelo planejamento e organização e, em tempos de guerra, o alistamento da população na formação de seus exércitos.</w:t>
      </w:r>
    </w:p>
    <w:p w14:paraId="48BAAACB" w14:textId="77777777" w:rsidR="00681D00" w:rsidRDefault="00000000">
      <w:pPr>
        <w:ind w:firstLine="708"/>
      </w:pPr>
      <w:r>
        <w:t xml:space="preserve">Mario </w:t>
      </w:r>
      <w:proofErr w:type="spellStart"/>
      <w:r>
        <w:t>Liverani</w:t>
      </w:r>
      <w:proofErr w:type="spellEnd"/>
      <w:r>
        <w:t xml:space="preserve"> (2006), propõe compreender Uruk como um sistema urbano multifacetado, resultado de dinâmicas internas e externas. Segundo o autor, o desenvolvimento </w:t>
      </w:r>
      <w:r>
        <w:lastRenderedPageBreak/>
        <w:t xml:space="preserve">da cidade não decorreu de uma inevitabilidade econômica, mas de um conjunto de escolhas culturais e políticas, expressas na monumentalidade arquitetônica e na produção simbólica. O grande complexo de templos de </w:t>
      </w:r>
      <w:proofErr w:type="spellStart"/>
      <w:r>
        <w:t>Eanna</w:t>
      </w:r>
      <w:proofErr w:type="spellEnd"/>
      <w:r>
        <w:t xml:space="preserve">, dedicado à deusa </w:t>
      </w:r>
      <w:proofErr w:type="spellStart"/>
      <w:r>
        <w:t>Inanna</w:t>
      </w:r>
      <w:proofErr w:type="spellEnd"/>
      <w:r>
        <w:t xml:space="preserve">, e o zigurate de Anu constituem exemplos emblemáticos da articulação entre religião e poder, evidenciando como a cidade se organizava em torno de centros de culto que também funcionavam como </w:t>
      </w:r>
      <w:proofErr w:type="spellStart"/>
      <w:r>
        <w:t>pólos</w:t>
      </w:r>
      <w:proofErr w:type="spellEnd"/>
      <w:r>
        <w:t xml:space="preserve"> administrativos. Esses edifícios, reconstruídos sucessivas vezes, representavam materialmente a continuidade da comunidade e a legitimação de suas elites dirigentes.</w:t>
      </w:r>
    </w:p>
    <w:p w14:paraId="3C370C02" w14:textId="77777777" w:rsidR="00681D00" w:rsidRDefault="00000000">
      <w:pPr>
        <w:ind w:firstLine="708"/>
      </w:pPr>
      <w:r>
        <w:t xml:space="preserve">As escavações em Uruk, iniciadas no final do século XIX e intensificadas ao longo do século XX por missões alemãs e internacionais, revelaram um cenário de crescente complexificação urbana, tais como a identificação de ruas pavimentadas, de setores residenciais, de áreas de produção cerâmica padronizada, de oficinas de metalurgia e de espaços destinados ao armazenamento de grãos. Tais elementos indicam uma divisão funcional do espaço e uma economia administrada por instituições coletivas. As tabuletas de </w:t>
      </w:r>
      <w:proofErr w:type="spellStart"/>
      <w:r>
        <w:t>protoescrita</w:t>
      </w:r>
      <w:proofErr w:type="spellEnd"/>
      <w:r>
        <w:t xml:space="preserve"> encontradas no mesmo contexto arqueológico (c. 3200 </w:t>
      </w:r>
      <w:proofErr w:type="spellStart"/>
      <w:r>
        <w:t>a.E.C</w:t>
      </w:r>
      <w:proofErr w:type="spellEnd"/>
      <w:r>
        <w:t xml:space="preserve">.) constituem as evidências mais antigas de registros contábeis e administrativos. Conforme observa </w:t>
      </w:r>
      <w:proofErr w:type="spellStart"/>
      <w:r>
        <w:t>Bottéro</w:t>
      </w:r>
      <w:proofErr w:type="spellEnd"/>
      <w:r>
        <w:t xml:space="preserve"> (2001a e 2001b), a escrita nasceu da necessidade de gerir os recursos e as relações sociais de uma comunidade cada vez mais complexa, antecedendo em séculos o uso literário dos textos. O surgimento da escrita cuneiforme e o processo de urbanização formam, portanto, fenômenos interdependentes. </w:t>
      </w:r>
    </w:p>
    <w:p w14:paraId="26D46F89" w14:textId="77777777" w:rsidR="00681D00" w:rsidRDefault="00000000">
      <w:pPr>
        <w:ind w:firstLine="708"/>
      </w:pPr>
      <w:r>
        <w:t xml:space="preserve">O modelo de </w:t>
      </w:r>
      <w:proofErr w:type="spellStart"/>
      <w:r>
        <w:t>Childe</w:t>
      </w:r>
      <w:proofErr w:type="spellEnd"/>
      <w:r>
        <w:t xml:space="preserve">, baseado em dez critérios para definir a cidade, entre eles o tamanho da população, a especialização do trabalho e o surgimento de escritura, foi questionado por estudiosos como </w:t>
      </w:r>
      <w:proofErr w:type="spellStart"/>
      <w:proofErr w:type="gramStart"/>
      <w:r>
        <w:t>Yoffee</w:t>
      </w:r>
      <w:proofErr w:type="spellEnd"/>
      <w:r>
        <w:t xml:space="preserve">  e</w:t>
      </w:r>
      <w:proofErr w:type="gramEnd"/>
      <w:r>
        <w:t xml:space="preserve"> </w:t>
      </w:r>
      <w:proofErr w:type="spellStart"/>
      <w:r>
        <w:t>Algaze</w:t>
      </w:r>
      <w:proofErr w:type="spellEnd"/>
      <w:r>
        <w:t xml:space="preserve">. </w:t>
      </w:r>
      <w:proofErr w:type="spellStart"/>
      <w:r>
        <w:t>Yoffee</w:t>
      </w:r>
      <w:proofErr w:type="spellEnd"/>
      <w:r>
        <w:t xml:space="preserve"> (2004) argumenta que o conceito de “Estado primitivo” é uma construção moderna que simplifica as formas diversas de autoridade e organização social existentes na Antiguidade. Para ele, Uruk deve ser compreendida não como um Estado centralizado, mas como uma rede de comunidades que compartilhavam práticas rituais e econômicas. Já </w:t>
      </w:r>
      <w:proofErr w:type="spellStart"/>
      <w:r>
        <w:t>Algaze</w:t>
      </w:r>
      <w:proofErr w:type="spellEnd"/>
      <w:r>
        <w:t xml:space="preserve"> (1993) propõe a ideia de um “sistema mundial primitivo”, no qual Uruk exerceu papel hegemônico através de trocas comerciais e culturais com regiões vizinhas, como o norte da Mesopotâmia, a Síria e a Anatólia, antecipando de certo modo as lógicas de interdependência que caracterizariam as civilizações posteriores.</w:t>
      </w:r>
    </w:p>
    <w:p w14:paraId="3EC7A732" w14:textId="77777777" w:rsidR="00681D00" w:rsidRDefault="00000000">
      <w:pPr>
        <w:ind w:firstLine="708"/>
      </w:pPr>
      <w:r>
        <w:t xml:space="preserve">As evidências arqueológicas corroboram essa visão interconectada. Selos cilíndricos encontrados em diversos sítios do Oriente Próximo indicam a circulação de produtos e a existência de uma linguagem simbólica comum. A padronização cerâmica e a difusão de técnicas construtivas sugerem intensos contatos regionais. </w:t>
      </w:r>
      <w:proofErr w:type="spellStart"/>
      <w:r>
        <w:t>Mieroop</w:t>
      </w:r>
      <w:proofErr w:type="spellEnd"/>
      <w:r>
        <w:t xml:space="preserve"> (1997) reforça que a urbanização mesopotâmica não deve ser compreendida como processo isolado, mas como parte de um movimento mais amplo de transformação social no Oriente Próximo, em que diferentes comunidades responderam de modo criativo às mesmas pressões ambientais e econômicas.</w:t>
      </w:r>
    </w:p>
    <w:p w14:paraId="0C660D7F" w14:textId="77777777" w:rsidR="00681D00" w:rsidRDefault="00000000">
      <w:pPr>
        <w:ind w:firstLine="708"/>
      </w:pPr>
      <w:r>
        <w:t xml:space="preserve">A dimensão simbólica da cidade também merece destaque. Em Uruk, a monumentalidade dos templos e o controle dos rituais revelam uma concepção teocrática do espaço urbano. O poder político estava intrinsecamente ligado à esfera religiosa, e a autoridade dos governantes derivava de sua função mediadora entre os deuses e a comunidade. Como observa Henri </w:t>
      </w:r>
      <w:proofErr w:type="spellStart"/>
      <w:r>
        <w:t>Frankfort</w:t>
      </w:r>
      <w:proofErr w:type="spellEnd"/>
      <w:r>
        <w:t xml:space="preserve"> (1951), a cidade mesopotâmica era uma teocracia construída em tijolos de barro: sua materialidade refletia a crença de que a ordem social era um reflexo da ordem cósmica. Essa relação entre religião e urbanismo é confirmada por textos posteriores, como os hinos dedicados à deusa </w:t>
      </w:r>
      <w:proofErr w:type="spellStart"/>
      <w:r>
        <w:t>Inanna</w:t>
      </w:r>
      <w:proofErr w:type="spellEnd"/>
      <w:r>
        <w:t xml:space="preserve"> e as listas reais sumérias, nos quais a cidade é constantemente descrita como “morada dos deuses” e “fundamento do mundo”.</w:t>
      </w:r>
    </w:p>
    <w:p w14:paraId="42207CEE" w14:textId="77777777" w:rsidR="00681D00" w:rsidRDefault="00000000">
      <w:pPr>
        <w:ind w:firstLine="708"/>
      </w:pPr>
      <w:r>
        <w:lastRenderedPageBreak/>
        <w:t xml:space="preserve">As interpretações mais recentes da arqueologia e da história urbana mesopotâmica têm, portanto, procurado superar a oposição entre materialidade e simbolismo, entre economia e religião. </w:t>
      </w:r>
      <w:proofErr w:type="spellStart"/>
      <w:r>
        <w:t>Liverani</w:t>
      </w:r>
      <w:proofErr w:type="spellEnd"/>
      <w:r>
        <w:t xml:space="preserve"> (2006) propõe o conceito de “urbanismo simbólico”, segundo o qual o espaço urbano deve ser entendido como produto de práticas discursivas e rituais tanto quanto de construções físicas. O templo, o palácio e o espaço público configuram-se, assim, como lugares de memória e poder, nos quais se articulam o cotidiano e o transcendente.</w:t>
      </w:r>
    </w:p>
    <w:p w14:paraId="73658E59" w14:textId="77777777" w:rsidR="00681D00" w:rsidRDefault="00000000">
      <w:pPr>
        <w:ind w:firstLine="708"/>
      </w:pPr>
      <w:r>
        <w:t>Em síntese, o processo de urbanização na Mesopotâmia, exemplificado por Uruk, deve ser compreendido como um fenômeno de longa duração, caracterizado pela convergência de múltiplos fatores: ambientais, econômicos, sociais, religiosos e simbólicos. O estudo das evidências arqueológicas e textuais revela não apenas o nascimento da cidade como forma física, mas também a emergência de novas formas de pensar, administrar e narrar a experiência coletiva. Uruk, nesse sentido, não representa apenas a origem de um modelo urbano, mas o início de uma tradição de pensamento e de poder que moldaria as civilizações do Oriente e do Ocidente.</w:t>
      </w:r>
    </w:p>
    <w:p w14:paraId="1A12EF02" w14:textId="77777777" w:rsidR="00681D00" w:rsidRDefault="00681D00">
      <w:pPr>
        <w:ind w:firstLine="0"/>
        <w:rPr>
          <w:b/>
          <w:bCs/>
        </w:rPr>
      </w:pPr>
    </w:p>
    <w:p w14:paraId="6367F12C" w14:textId="77777777" w:rsidR="00681D00" w:rsidRDefault="00000000">
      <w:pPr>
        <w:ind w:firstLine="0"/>
        <w:rPr>
          <w:b/>
          <w:bCs/>
        </w:rPr>
      </w:pPr>
      <w:r>
        <w:rPr>
          <w:b/>
          <w:bCs/>
        </w:rPr>
        <w:t>O Surgimento da Escrita: Administração, Poder e Memória na Mesopotâmia</w:t>
      </w:r>
    </w:p>
    <w:p w14:paraId="259C0FD6" w14:textId="77777777" w:rsidR="00681D00" w:rsidRDefault="00000000">
      <w:pPr>
        <w:ind w:firstLine="708"/>
      </w:pPr>
      <w:r>
        <w:t>Kramer (1988), enfatiza que a escrita foi não apenas instrumento de administração, mas também de poder simbólico: fixar em tabuletas o nome dos governantes, os tributos devidos ou as oferendas aos deuses equivalia a instituir uma nova ordem de autoridade e memória. Essa relação entre texto e poder é central para a compreensão do urbanismo mesopotâmico: a cidade se fazia também através da palavra, que conferia permanência às práticas e legitimidade às instituições.</w:t>
      </w:r>
    </w:p>
    <w:p w14:paraId="6F1838F7" w14:textId="77777777" w:rsidR="00681D00" w:rsidRDefault="00000000">
      <w:pPr>
        <w:ind w:firstLine="708"/>
      </w:pPr>
      <w:r>
        <w:t xml:space="preserve">O advento das </w:t>
      </w:r>
      <w:proofErr w:type="spellStart"/>
      <w:r>
        <w:t>cidades-Estado</w:t>
      </w:r>
      <w:proofErr w:type="spellEnd"/>
      <w:r>
        <w:t xml:space="preserve"> mesopotâmicas entre os séculos XXXI e XXIV </w:t>
      </w:r>
      <w:proofErr w:type="spellStart"/>
      <w:r>
        <w:t>a.E.C</w:t>
      </w:r>
      <w:proofErr w:type="spellEnd"/>
      <w:r>
        <w:t>. consolidou a cidade como o principal eixo de organização política e simbólica, e a escrita, como já visto, tornou-se o instrumento privilegiado da administração, da comunicação e da memória coletiva. A articulação entre urbanismo e escrita não apenas transformou as estruturas sociais e econômicas, mas também instaurou novas formas de racionalidade e representação do poder.</w:t>
      </w:r>
    </w:p>
    <w:p w14:paraId="0F4E4CBA" w14:textId="77777777" w:rsidR="00681D00" w:rsidRDefault="00000000">
      <w:pPr>
        <w:ind w:firstLine="708"/>
      </w:pPr>
      <w:r>
        <w:t xml:space="preserve">Segundo </w:t>
      </w:r>
      <w:proofErr w:type="spellStart"/>
      <w:r>
        <w:t>Thorkild</w:t>
      </w:r>
      <w:proofErr w:type="spellEnd"/>
      <w:r>
        <w:t xml:space="preserve"> Jacobsen (1943), as primeiras </w:t>
      </w:r>
      <w:proofErr w:type="spellStart"/>
      <w:r>
        <w:t>cidades-Estado</w:t>
      </w:r>
      <w:proofErr w:type="spellEnd"/>
      <w:r>
        <w:t xml:space="preserve">, como Uruk, Ur, </w:t>
      </w:r>
      <w:proofErr w:type="spellStart"/>
      <w:r>
        <w:t>Lagash</w:t>
      </w:r>
      <w:proofErr w:type="spellEnd"/>
      <w:r>
        <w:t xml:space="preserve">, </w:t>
      </w:r>
      <w:proofErr w:type="spellStart"/>
      <w:r>
        <w:t>Nippur</w:t>
      </w:r>
      <w:proofErr w:type="spellEnd"/>
      <w:r>
        <w:t xml:space="preserve"> e </w:t>
      </w:r>
      <w:proofErr w:type="spellStart"/>
      <w:r>
        <w:t>Kish</w:t>
      </w:r>
      <w:proofErr w:type="spellEnd"/>
      <w:r>
        <w:t>, estruturaram-se como comunidades autônomas, dotadas de instituições religiosas e administrativas próprias. O termo sumério “</w:t>
      </w:r>
      <w:proofErr w:type="spellStart"/>
      <w:r>
        <w:t>alum</w:t>
      </w:r>
      <w:proofErr w:type="spellEnd"/>
      <w:r>
        <w:t xml:space="preserve">” designava simultaneamente a cidade e o corpo político, evidenciando a inseparabilidade entre território, divindade e comunidade. Cada cidade possuía uma divindade tutelar, como </w:t>
      </w:r>
      <w:proofErr w:type="spellStart"/>
      <w:r>
        <w:t>Inanna</w:t>
      </w:r>
      <w:proofErr w:type="spellEnd"/>
      <w:r>
        <w:t xml:space="preserve"> em Uruk, </w:t>
      </w:r>
      <w:proofErr w:type="spellStart"/>
      <w:r>
        <w:t>Enlil</w:t>
      </w:r>
      <w:proofErr w:type="spellEnd"/>
      <w:r>
        <w:t xml:space="preserve"> em </w:t>
      </w:r>
      <w:proofErr w:type="spellStart"/>
      <w:r>
        <w:t>Nippur</w:t>
      </w:r>
      <w:proofErr w:type="spellEnd"/>
      <w:r>
        <w:t xml:space="preserve">, </w:t>
      </w:r>
      <w:proofErr w:type="spellStart"/>
      <w:r>
        <w:t>Ningirsu</w:t>
      </w:r>
      <w:proofErr w:type="spellEnd"/>
      <w:r>
        <w:t xml:space="preserve"> em </w:t>
      </w:r>
      <w:proofErr w:type="spellStart"/>
      <w:r>
        <w:t>Lagash</w:t>
      </w:r>
      <w:proofErr w:type="spellEnd"/>
      <w:r>
        <w:t xml:space="preserve">; cuja vontade era mediada pelo </w:t>
      </w:r>
      <w:proofErr w:type="spellStart"/>
      <w:r>
        <w:rPr>
          <w:i/>
          <w:iCs/>
        </w:rPr>
        <w:t>ensi</w:t>
      </w:r>
      <w:proofErr w:type="spellEnd"/>
      <w:r>
        <w:rPr>
          <w:i/>
          <w:iCs/>
        </w:rPr>
        <w:t xml:space="preserve"> </w:t>
      </w:r>
      <w:r>
        <w:t xml:space="preserve">(governador) ou </w:t>
      </w:r>
      <w:proofErr w:type="spellStart"/>
      <w:r>
        <w:rPr>
          <w:i/>
          <w:iCs/>
        </w:rPr>
        <w:t>lugal</w:t>
      </w:r>
      <w:proofErr w:type="spellEnd"/>
      <w:r>
        <w:rPr>
          <w:i/>
          <w:iCs/>
        </w:rPr>
        <w:t xml:space="preserve"> </w:t>
      </w:r>
      <w:r>
        <w:t>(rei), figuras que encarnavam a autoridade divina no plano terreno.</w:t>
      </w:r>
    </w:p>
    <w:p w14:paraId="49E22BC0" w14:textId="77777777" w:rsidR="00681D00" w:rsidRDefault="00000000">
      <w:pPr>
        <w:ind w:firstLine="708"/>
      </w:pPr>
      <w:r>
        <w:t xml:space="preserve">Essa forma de governo teocrático implicava uma burocracia crescente, voltada para a gestão dos bens do templo e do palácio. As tablitas de argila registravam listas de tributos, racionamentos, contratos de trabalho, doações e transações comerciais. Como observa </w:t>
      </w:r>
      <w:proofErr w:type="spellStart"/>
      <w:r>
        <w:t>Bottéro</w:t>
      </w:r>
      <w:proofErr w:type="spellEnd"/>
      <w:r>
        <w:t xml:space="preserve"> (2001b), a escrita surgiu não para narrar, mas para contar, ou seja, para registrar o movimento do mundo material e social. As primeiras inscrições, datadas do final do período de Uruk, consistem em registros pictográficos e numerais destinados ao controle de estoques e redistribuições.</w:t>
      </w:r>
    </w:p>
    <w:p w14:paraId="04B536BA" w14:textId="77777777" w:rsidR="00681D00" w:rsidRDefault="00000000">
      <w:pPr>
        <w:ind w:firstLine="708"/>
      </w:pPr>
      <w:r>
        <w:t xml:space="preserve">A partir do final do IV milênio, o sistema gráfico passou por um processo de abstração e convenção, culminando no desenvolvimento da escrita cuneiforme, que se tornaria o principal meio de registro no Oriente Próximo por mais de três milênios. Conforme explica Dominique </w:t>
      </w:r>
      <w:proofErr w:type="spellStart"/>
      <w:r>
        <w:lastRenderedPageBreak/>
        <w:t>Charpin</w:t>
      </w:r>
      <w:proofErr w:type="spellEnd"/>
      <w:r>
        <w:t xml:space="preserve"> (2010), esse processo foi simultâneo à consolidação das instituições urbanas e à expansão das relações econômicas. A escrita cuneiforme não apenas padronizou os registros administrativos, mas também possibilitou o surgimento de uma cultura letrada composta por escribas especializados (</w:t>
      </w:r>
      <w:proofErr w:type="spellStart"/>
      <w:r>
        <w:rPr>
          <w:i/>
          <w:iCs/>
        </w:rPr>
        <w:t>dub-sar</w:t>
      </w:r>
      <w:proofErr w:type="spellEnd"/>
      <w:r>
        <w:t>), cuja formação se dava nas escolas (</w:t>
      </w:r>
      <w:proofErr w:type="spellStart"/>
      <w:r>
        <w:rPr>
          <w:i/>
          <w:iCs/>
        </w:rPr>
        <w:t>edubba</w:t>
      </w:r>
      <w:proofErr w:type="spellEnd"/>
      <w:r>
        <w:t>).</w:t>
      </w:r>
    </w:p>
    <w:p w14:paraId="3701261B" w14:textId="77777777" w:rsidR="00681D00" w:rsidRDefault="00000000">
      <w:pPr>
        <w:ind w:firstLine="708"/>
      </w:pPr>
      <w:r>
        <w:t xml:space="preserve">Esses escribas desempenhavam papel central na manutenção da ordem administrativa e simbólica. O conhecimento da escrita conferia prestígio e poder, transformando-se em um elemento de distinção social, como destaca </w:t>
      </w:r>
      <w:proofErr w:type="spellStart"/>
      <w:r>
        <w:t>Mieroop</w:t>
      </w:r>
      <w:proofErr w:type="spellEnd"/>
      <w:r>
        <w:t xml:space="preserve"> (1997), a prática da escrita implicava uma forma específica de pensar: o ato de registrar, classificar e ordenar o mundo correspondia a uma nova maneira de compreender as relações humanas e divinas. A escrita tornou-se, assim, um instrumento de racionalização da experiência social, elemento que </w:t>
      </w:r>
      <w:proofErr w:type="spellStart"/>
      <w:r>
        <w:t>Goody</w:t>
      </w:r>
      <w:proofErr w:type="spellEnd"/>
      <w:r>
        <w:t xml:space="preserve"> (2019) denominou de “tecnologia da inteligência”.</w:t>
      </w:r>
    </w:p>
    <w:p w14:paraId="421FBDEA" w14:textId="77777777" w:rsidR="00681D00" w:rsidRDefault="00000000">
      <w:pPr>
        <w:ind w:firstLine="708"/>
      </w:pPr>
      <w:r>
        <w:t xml:space="preserve">Os arquivos de </w:t>
      </w:r>
      <w:proofErr w:type="spellStart"/>
      <w:r>
        <w:t>Lagash</w:t>
      </w:r>
      <w:proofErr w:type="spellEnd"/>
      <w:r>
        <w:t xml:space="preserve"> e Ur oferecem exemplos notáveis do uso administrativo da escrita. Em </w:t>
      </w:r>
      <w:proofErr w:type="spellStart"/>
      <w:r>
        <w:t>Lagash</w:t>
      </w:r>
      <w:proofErr w:type="spellEnd"/>
      <w:r>
        <w:t xml:space="preserve">, durante o governo de </w:t>
      </w:r>
      <w:proofErr w:type="spellStart"/>
      <w:r>
        <w:t>Urukagina</w:t>
      </w:r>
      <w:proofErr w:type="spellEnd"/>
      <w:r>
        <w:t xml:space="preserve"> (c. 2350 a.C.), as inscrições em tabuletas e estelas registram reformas políticas e econômicas que visavam limitar o poder das elites sacerdotais e restaurar a justiça divina (</w:t>
      </w:r>
      <w:proofErr w:type="spellStart"/>
      <w:r>
        <w:rPr>
          <w:i/>
          <w:iCs/>
        </w:rPr>
        <w:t>níĝ</w:t>
      </w:r>
      <w:proofErr w:type="spellEnd"/>
      <w:r>
        <w:rPr>
          <w:i/>
          <w:iCs/>
        </w:rPr>
        <w:t>-</w:t>
      </w:r>
      <w:proofErr w:type="spellStart"/>
      <w:r>
        <w:rPr>
          <w:i/>
          <w:iCs/>
        </w:rPr>
        <w:t>si-sá</w:t>
      </w:r>
      <w:proofErr w:type="spellEnd"/>
      <w:r>
        <w:t>) (Kramer, 1998). Esses documentos configuram uma das primeiras tentativas conhecidas de codificação legal, antecessora dos códigos de Ur-</w:t>
      </w:r>
      <w:proofErr w:type="spellStart"/>
      <w:r>
        <w:t>Namma</w:t>
      </w:r>
      <w:proofErr w:type="spellEnd"/>
      <w:r>
        <w:t xml:space="preserve"> e de Hamurábi. Em Ur, as inscrições reais associadas à Terceira Dinastia (2112–2004 </w:t>
      </w:r>
      <w:proofErr w:type="spellStart"/>
      <w:r>
        <w:t>a.E.C</w:t>
      </w:r>
      <w:proofErr w:type="spellEnd"/>
      <w:r>
        <w:t>.) revelam uma burocracia extremamente desenvolvida, com departamentos especializados em agricultura, construção, comércio e religião.</w:t>
      </w:r>
    </w:p>
    <w:p w14:paraId="56C58742" w14:textId="77777777" w:rsidR="00681D00" w:rsidRDefault="00000000">
      <w:pPr>
        <w:ind w:firstLine="708"/>
      </w:pPr>
      <w:r>
        <w:t xml:space="preserve">Do ponto de vista simbólico, a escrita permitiu também a consolidação de uma memória institucional. Oppenheim (1964) argumenta que a escrita </w:t>
      </w:r>
      <w:proofErr w:type="gramStart"/>
      <w:r>
        <w:t>criou uma nova</w:t>
      </w:r>
      <w:proofErr w:type="gramEnd"/>
      <w:r>
        <w:t xml:space="preserve"> temporalidade: ao fixar o passado em suportes materiais, transformou o evento efêmero em registro duradouro, conferindo à autoridade política e religiosa uma dimensão de permanência (</w:t>
      </w:r>
      <w:proofErr w:type="spellStart"/>
      <w:r>
        <w:t>Liverani</w:t>
      </w:r>
      <w:proofErr w:type="spellEnd"/>
      <w:r>
        <w:t>, 2006). O rei, ao inscrever seu nome em estelas, templos e selos, transcendia a sua própria existência física, tornando-se parte da ordem cósmica e histórica. A inscrição era, portanto, um ato performativo de poder: um modo de instaurar a realidade pela palavra escrita.</w:t>
      </w:r>
    </w:p>
    <w:p w14:paraId="72E2D33A" w14:textId="77777777" w:rsidR="00681D00" w:rsidRDefault="00000000">
      <w:pPr>
        <w:ind w:firstLine="708"/>
      </w:pPr>
      <w:r>
        <w:t xml:space="preserve">O conteúdo textual das tabuletas também reflete a complexificação social das </w:t>
      </w:r>
      <w:proofErr w:type="spellStart"/>
      <w:r>
        <w:t>cidades-Estado</w:t>
      </w:r>
      <w:proofErr w:type="spellEnd"/>
      <w:r>
        <w:t xml:space="preserve">. As listas lexicais, por exemplo, compiladas em </w:t>
      </w:r>
      <w:proofErr w:type="spellStart"/>
      <w:r>
        <w:t>Nippur</w:t>
      </w:r>
      <w:proofErr w:type="spellEnd"/>
      <w:r>
        <w:t xml:space="preserve"> e Uruk, constituem não apenas exercícios escolares, mas tentativas de organizar o conhecimento do mundo. Elas revelam um esforço sistemático de classificar objetos, plantas, animais, profissões e divindades, estabelecendo categorias e hierarquias. Como nota </w:t>
      </w:r>
      <w:proofErr w:type="spellStart"/>
      <w:r>
        <w:t>Achmandt-Besserat</w:t>
      </w:r>
      <w:proofErr w:type="spellEnd"/>
      <w:r>
        <w:t xml:space="preserve"> (1992), essas listas demonstram que a escrita era uma prática intelectual, inseparável da construção de uma cosmologia urbana.</w:t>
      </w:r>
    </w:p>
    <w:p w14:paraId="02CE59A0" w14:textId="77777777" w:rsidR="00681D00" w:rsidRDefault="00000000">
      <w:pPr>
        <w:ind w:firstLine="708"/>
      </w:pPr>
      <w:r>
        <w:t xml:space="preserve">A relação entre a escrita e o poder político é particularmente evidente nas inscrições reais analisadas por Kramer (1988), que descrevem o surgimento de uma tradição literária em torno das figuras dos reis e heróis, como Gilgamesh e </w:t>
      </w:r>
      <w:proofErr w:type="spellStart"/>
      <w:r>
        <w:t>Enmerkar</w:t>
      </w:r>
      <w:proofErr w:type="spellEnd"/>
      <w:r>
        <w:t>, cujas narrativas não apenas exaltavam feitos individuais, mas legitimavam o domínio das cidades sobre seus territórios e vizinhos. O Ciclo de Gilgamesh, preservado em diversas versões, expressa o ideal da realeza mesopotâmica: o governante que, ao fundar muralhas e templos, cria a própria cidade e assegura sua imortalidade. A cidade e o texto se tornam, assim, manifestações complementares da ordem humana diante do caos natural.</w:t>
      </w:r>
    </w:p>
    <w:p w14:paraId="415104D9" w14:textId="77777777" w:rsidR="00681D00" w:rsidRDefault="00000000">
      <w:pPr>
        <w:ind w:firstLine="708"/>
      </w:pPr>
      <w:r>
        <w:t xml:space="preserve">Na historiografia contemporânea, autores como </w:t>
      </w:r>
      <w:proofErr w:type="spellStart"/>
      <w:r>
        <w:t>Liverani</w:t>
      </w:r>
      <w:proofErr w:type="spellEnd"/>
      <w:r>
        <w:t xml:space="preserve"> (2006) e </w:t>
      </w:r>
      <w:proofErr w:type="spellStart"/>
      <w:r>
        <w:t>Yoffee</w:t>
      </w:r>
      <w:proofErr w:type="spellEnd"/>
      <w:r>
        <w:t xml:space="preserve"> (2005) têm insistido em compreender essas dinâmicas à luz de processos sociais de longa duração. A escrita não é vista apenas como consequência da urbanização, mas como fator constitutivo dela. </w:t>
      </w:r>
      <w:proofErr w:type="spellStart"/>
      <w:r>
        <w:lastRenderedPageBreak/>
        <w:t>Liverani</w:t>
      </w:r>
      <w:proofErr w:type="spellEnd"/>
      <w:r>
        <w:t xml:space="preserve"> (2006) ressalta que o arquivo, o selo e o contrato são expressões materiais da confiança social e da institucionalização da autoridade. </w:t>
      </w:r>
      <w:proofErr w:type="spellStart"/>
      <w:r>
        <w:t>Yoffee</w:t>
      </w:r>
      <w:proofErr w:type="spellEnd"/>
      <w:r>
        <w:t xml:space="preserve"> (2005), por sua vez, adverte contra a tendência de projetar categorias modernas de Estado e burocracia sobre sociedades antigas: o poder na Mesopotâmia era fluido, ritualizado e frequentemente negociado entre templos, palácios e comunidades locais.</w:t>
      </w:r>
    </w:p>
    <w:p w14:paraId="5C33DBBD" w14:textId="77777777" w:rsidR="00681D00" w:rsidRDefault="00000000">
      <w:pPr>
        <w:ind w:firstLine="708"/>
      </w:pPr>
      <w:r>
        <w:t xml:space="preserve">No contexto brasileiro, pesquisadores como Rede (1998/1999) e </w:t>
      </w:r>
      <w:proofErr w:type="spellStart"/>
      <w:r>
        <w:t>Pozzer</w:t>
      </w:r>
      <w:proofErr w:type="spellEnd"/>
      <w:r>
        <w:t xml:space="preserve"> (2003) têm contribuído para aproximar a arqueologia e a historiografia mesopotâmica das discussões teóricas da História Antiga enquanto campo de reflexão sobre as formas de poder e de produção de sentido. Rede (1998/1999) afirma que a escrita surgiu a partir de diversos fatores e com a funcionalidade primariamente econômica. E, apesar de surgir em uma sociedade de alto grau de complexidade, a escrita contribuiu significativamente para a administração centralizada e autoridade sobre o pessoal administrativo.</w:t>
      </w:r>
    </w:p>
    <w:p w14:paraId="4C81C983" w14:textId="77777777" w:rsidR="00681D00" w:rsidRDefault="00000000">
      <w:pPr>
        <w:ind w:firstLine="708"/>
      </w:pPr>
      <w:r>
        <w:t xml:space="preserve">Essa abordagem enfatiza que a análise das </w:t>
      </w:r>
      <w:proofErr w:type="spellStart"/>
      <w:r>
        <w:t>cidades-Estado</w:t>
      </w:r>
      <w:proofErr w:type="spellEnd"/>
      <w:r>
        <w:t xml:space="preserve"> e da escrita deve ultrapassar a mera reconstrução factual, assumindo um caráter interpretativo e crítico, atento às relações entre discurso, materialidade e ideologia. Em perspectiva comparativa, é possível reconhecer que a emergência das </w:t>
      </w:r>
      <w:proofErr w:type="spellStart"/>
      <w:r>
        <w:t>cidades-Estado</w:t>
      </w:r>
      <w:proofErr w:type="spellEnd"/>
      <w:r>
        <w:t xml:space="preserve"> e da escrita na Mesopotâmia produziu o que </w:t>
      </w:r>
      <w:proofErr w:type="spellStart"/>
      <w:r>
        <w:t>Liverani</w:t>
      </w:r>
      <w:proofErr w:type="spellEnd"/>
      <w:r>
        <w:t xml:space="preserve"> (2013) denomina de “infraestrutura cognitiva” da civilização: um sistema de registro, controle e representação que permitiu a transmissão de informações, a construção de identidades políticas e a formação de tradições literárias. A escrita consolidou a cidade como espaço da memória e da história, enquanto a cidade ofereceu à escrita o cenário institucional e simbólico para sua expansão.</w:t>
      </w:r>
    </w:p>
    <w:p w14:paraId="2A1C76FD" w14:textId="77777777" w:rsidR="00681D00" w:rsidRDefault="00000000">
      <w:pPr>
        <w:ind w:firstLine="708"/>
      </w:pPr>
      <w:r>
        <w:t xml:space="preserve">Portanto, o surgimento das </w:t>
      </w:r>
      <w:proofErr w:type="spellStart"/>
      <w:r>
        <w:t>cidades-Estado</w:t>
      </w:r>
      <w:proofErr w:type="spellEnd"/>
      <w:r>
        <w:t xml:space="preserve"> e da escrita na Mesopotâmia deve ser interpretado como um processo dialético, em que o poder político, a administração econômica e a cultura simbólica se entrelaçam. A escrita não apenas registrou a vida urbana, mas ajudou a criá-la, ao estabelecer novas formas de racionalidade e de representação. A partir desse momento, a cidade tornou-se o centro de produção de significados e de ordenamento do mundo — uma condição que marcaria, de forma decisiva, a história das civilizações antigas e a própria tradição historiográfica ocidental.</w:t>
      </w:r>
    </w:p>
    <w:p w14:paraId="210D9DEE" w14:textId="77777777" w:rsidR="00681D00" w:rsidRDefault="00681D00">
      <w:pPr>
        <w:ind w:firstLine="0"/>
        <w:rPr>
          <w:b/>
          <w:bCs/>
        </w:rPr>
      </w:pPr>
    </w:p>
    <w:p w14:paraId="22707B05" w14:textId="77777777" w:rsidR="00681D00" w:rsidRDefault="00000000">
      <w:pPr>
        <w:ind w:firstLine="0"/>
        <w:rPr>
          <w:b/>
          <w:bCs/>
        </w:rPr>
      </w:pPr>
      <w:r>
        <w:rPr>
          <w:b/>
          <w:bCs/>
        </w:rPr>
        <w:t>Arqueologia, Texto e Interpretação: Desafios da Pesquisa Contemporânea</w:t>
      </w:r>
    </w:p>
    <w:p w14:paraId="502C3433" w14:textId="77777777" w:rsidR="00681D00" w:rsidRDefault="00000000">
      <w:pPr>
        <w:ind w:firstLine="708"/>
      </w:pPr>
      <w:r>
        <w:t xml:space="preserve">O estudo do desenvolvimento urbano na Mesopotâmia tem sido profundamente transformado nas últimas décadas por avanços teóricos, tecnológicos e epistemológicos que ampliaram as formas de compreender o passado antigo. Se os primeiros estudos arqueológicos, desde as escavações de </w:t>
      </w:r>
      <w:proofErr w:type="spellStart"/>
      <w:r>
        <w:t>Layard</w:t>
      </w:r>
      <w:proofErr w:type="spellEnd"/>
      <w:r>
        <w:t xml:space="preserve"> e </w:t>
      </w:r>
      <w:proofErr w:type="spellStart"/>
      <w:r>
        <w:t>Rawlinson</w:t>
      </w:r>
      <w:proofErr w:type="spellEnd"/>
      <w:r>
        <w:t xml:space="preserve"> em Nínive e Babilônia no século XIX, estavam orientados por uma perspectiva descritiva e monumentalista, as pesquisas contemporâneas enfatizam a complexidade das dinâmicas sociais, simbólicas e ambientais que configuraram o mundo mesopotâmico. A conjugação entre arqueologia, filologia e historiografia crítica passou a constituir o eixo interpretativo fundamental da disciplina.</w:t>
      </w:r>
    </w:p>
    <w:p w14:paraId="4ADB6A02" w14:textId="77777777" w:rsidR="00681D00" w:rsidRDefault="00000000">
      <w:pPr>
        <w:ind w:firstLine="708"/>
      </w:pPr>
      <w:r>
        <w:t xml:space="preserve">O conceito de “civilização mesopotâmica”, outrora concebido como uma unidade homogênea, foi desconstruído à luz de abordagens interdisciplinares. </w:t>
      </w:r>
      <w:proofErr w:type="spellStart"/>
      <w:r>
        <w:t>Liverani</w:t>
      </w:r>
      <w:proofErr w:type="spellEnd"/>
      <w:r>
        <w:t xml:space="preserve"> (2013) propõe compreender a Mesopotâmia não como uma civilização única, mas como um mosaico de sistemas urbanos interdependentes, que ao longo de milênios experimentaram formas diversas de organização política e cultural. Essa concepção rompe com as narrativas evolucionistas e </w:t>
      </w:r>
      <w:r>
        <w:lastRenderedPageBreak/>
        <w:t>destaca a diversidade regional, ressaltando o papel das interações econômicas, ecológicas e simbólicas na constituição das cidades.</w:t>
      </w:r>
    </w:p>
    <w:p w14:paraId="5E7EB4A1" w14:textId="77777777" w:rsidR="00681D00" w:rsidRDefault="00000000">
      <w:pPr>
        <w:ind w:firstLine="708"/>
      </w:pPr>
      <w:r>
        <w:t xml:space="preserve">No campo da arqueologia, os métodos de prospecção e análise espacial vêm sendo radicalmente ampliados pelo uso de tecnologias de sensoriamento remoto, imagens de satélite e SIG (Sistemas de Informação Geográfica). Essas ferramentas permitiram mapear com precisão o crescimento urbano, a rede de canais de irrigação e as transformações ambientais ao longo do tempo. O projeto “Ur </w:t>
      </w:r>
      <w:proofErr w:type="spellStart"/>
      <w:r>
        <w:t>Region</w:t>
      </w:r>
      <w:proofErr w:type="spellEnd"/>
      <w:r>
        <w:t xml:space="preserve"> </w:t>
      </w:r>
      <w:proofErr w:type="spellStart"/>
      <w:r>
        <w:t>Archaeological</w:t>
      </w:r>
      <w:proofErr w:type="spellEnd"/>
      <w:r>
        <w:t xml:space="preserve"> Project”, coordenado por Elizabeth Stone e Robert </w:t>
      </w:r>
      <w:proofErr w:type="spellStart"/>
      <w:r>
        <w:t>McC</w:t>
      </w:r>
      <w:proofErr w:type="spellEnd"/>
      <w:r>
        <w:t>. Adams, constitui um marco nesse sentido: ao investigar as interconexões entre Ur, Uruk e Eridu, revelou a existência de um sistema regional articulado por fluxos de trabalho, água e bens, confirmando que a urbanização mesopotâmica deve ser compreendida como fenômeno coletivo e ecológico.</w:t>
      </w:r>
    </w:p>
    <w:p w14:paraId="3DE45F87" w14:textId="77777777" w:rsidR="00681D00" w:rsidRDefault="00000000">
      <w:pPr>
        <w:ind w:firstLine="708"/>
      </w:pPr>
      <w:r>
        <w:t xml:space="preserve">A dimensão ambiental, outrora negligenciada, tornou-se um componente essencial das análises recentes, </w:t>
      </w:r>
      <w:proofErr w:type="spellStart"/>
      <w:r>
        <w:t>Algaze</w:t>
      </w:r>
      <w:proofErr w:type="spellEnd"/>
      <w:r>
        <w:t xml:space="preserve"> (2008) argumenta que as mudanças climáticas e as pressões ecológicas exerceram papel determinante nos ciclos de expansão e colapso das </w:t>
      </w:r>
      <w:proofErr w:type="spellStart"/>
      <w:r>
        <w:t>cidades-Estado</w:t>
      </w:r>
      <w:proofErr w:type="spellEnd"/>
      <w:r>
        <w:t xml:space="preserve">. A relação entre urbanização e meio ambiente não se limita à disponibilidade de recursos naturais, mas inclui a maneira como as sociedades antigas produziram e representaram o </w:t>
      </w:r>
      <w:proofErr w:type="gramStart"/>
      <w:r>
        <w:t>espaço..</w:t>
      </w:r>
      <w:proofErr w:type="gramEnd"/>
    </w:p>
    <w:p w14:paraId="7D318C1D" w14:textId="77777777" w:rsidR="00681D00" w:rsidRDefault="00000000">
      <w:pPr>
        <w:ind w:firstLine="708"/>
      </w:pPr>
      <w:r>
        <w:t xml:space="preserve">Entretanto, como adverte </w:t>
      </w:r>
      <w:proofErr w:type="spellStart"/>
      <w:r>
        <w:t>Yoffee</w:t>
      </w:r>
      <w:proofErr w:type="spellEnd"/>
      <w:r>
        <w:t xml:space="preserve"> (2004), a tendência de explicar a dinâmica urbana apenas por fatores ambientais ou econômicos corre o risco de reproduzir determinismos. A arqueologia contemporânea busca justamente superar tais reducionismos, reconhecendo a importância dos aspectos simbólicos, rituais e discursivos. As recentes interpretações, como a de </w:t>
      </w:r>
      <w:proofErr w:type="spellStart"/>
      <w:r>
        <w:t>Pozzer</w:t>
      </w:r>
      <w:proofErr w:type="spellEnd"/>
      <w:r>
        <w:t xml:space="preserve"> (2003), das áreas templárias de Uruk e </w:t>
      </w:r>
      <w:proofErr w:type="spellStart"/>
      <w:r>
        <w:t>Nippur</w:t>
      </w:r>
      <w:proofErr w:type="spellEnd"/>
      <w:r>
        <w:t xml:space="preserve"> indicam que o espaço urbano era simultaneamente prático e ritual: as edificações não apenas abrigavam atividades administrativas, mas também materializavam narrativas de poder e cosmogonia.</w:t>
      </w:r>
    </w:p>
    <w:p w14:paraId="70D93F13" w14:textId="77777777" w:rsidR="00681D00" w:rsidRDefault="00000000">
      <w:pPr>
        <w:ind w:firstLine="708"/>
      </w:pPr>
      <w:r>
        <w:t xml:space="preserve">A filologia cuneiforme, por sua vez, continua a oferecer contribuições decisivas à historiografia. Estudos de </w:t>
      </w:r>
      <w:proofErr w:type="spellStart"/>
      <w:r>
        <w:t>Bottéro</w:t>
      </w:r>
      <w:proofErr w:type="spellEnd"/>
      <w:r>
        <w:t xml:space="preserve">, Dominique </w:t>
      </w:r>
      <w:proofErr w:type="spellStart"/>
      <w:r>
        <w:t>Charpin</w:t>
      </w:r>
      <w:proofErr w:type="spellEnd"/>
      <w:r>
        <w:t xml:space="preserve"> e Piotr </w:t>
      </w:r>
      <w:proofErr w:type="spellStart"/>
      <w:r>
        <w:t>Steinkeller</w:t>
      </w:r>
      <w:proofErr w:type="spellEnd"/>
      <w:r>
        <w:t xml:space="preserve"> têm revelado a diversidade dos gêneros textuais mesopotâmicos, indo muito além das tabuletas administrativas em períodos posteriores. Textos literários, mitológicos e científicos demonstram que a escrita foi instrumento de reflexão e de criação intelectual. A Epopeia de Gilgamesh, os Hinos de </w:t>
      </w:r>
      <w:proofErr w:type="spellStart"/>
      <w:r>
        <w:t>Inanna</w:t>
      </w:r>
      <w:proofErr w:type="spellEnd"/>
      <w:r>
        <w:t xml:space="preserve"> e os tratados de adivinhação (</w:t>
      </w:r>
      <w:proofErr w:type="spellStart"/>
      <w:r>
        <w:t>Enūma</w:t>
      </w:r>
      <w:proofErr w:type="spellEnd"/>
      <w:r>
        <w:t xml:space="preserve"> Anu </w:t>
      </w:r>
      <w:proofErr w:type="spellStart"/>
      <w:r>
        <w:t>Enlil</w:t>
      </w:r>
      <w:proofErr w:type="spellEnd"/>
      <w:r>
        <w:t>) revelam uma profunda concepção de ordem e destino, na qual a cidade é o espaço privilegiado da relação entre humanos e deuses.</w:t>
      </w:r>
    </w:p>
    <w:p w14:paraId="5955B68F" w14:textId="77777777" w:rsidR="00681D00" w:rsidRDefault="00000000">
      <w:pPr>
        <w:ind w:firstLine="708"/>
      </w:pPr>
      <w:r>
        <w:t xml:space="preserve">Nesse sentido, </w:t>
      </w:r>
      <w:proofErr w:type="spellStart"/>
      <w:r>
        <w:t>Mieroop</w:t>
      </w:r>
      <w:proofErr w:type="spellEnd"/>
      <w:r>
        <w:t xml:space="preserve"> (1997) propõe uma leitura inovadora: para ele, a escrita cuneiforme não deve ser vista apenas como técnica de comunicação, mas como modo de pensamento histórico. A repetição, a fórmula e a classificação expressam uma tentativa de dar sentido à experiência coletiva e de estabelecer continuidade temporal. Assim, o estudo dos textos mesopotâmicos exige uma hermenêutica histórica que considere o contexto social de sua produção, a materialidade dos suportes e a função performativa da palavra escrita.</w:t>
      </w:r>
    </w:p>
    <w:p w14:paraId="48497320" w14:textId="77777777" w:rsidR="00681D00" w:rsidRDefault="00000000">
      <w:pPr>
        <w:ind w:firstLine="708"/>
      </w:pPr>
      <w:r>
        <w:t xml:space="preserve">A arqueologia brasileira da Antiguidade, embora ainda em consolidação, tem acompanhado essas discussões teóricas, buscando integrar a pesquisa empírica com uma reflexão epistemológica sobre o conhecimento histórico. Autores como Funari, Campos e Oliveira (2022), Rede (1998/1999) e </w:t>
      </w:r>
      <w:proofErr w:type="spellStart"/>
      <w:r>
        <w:t>Pozzer</w:t>
      </w:r>
      <w:proofErr w:type="spellEnd"/>
      <w:r>
        <w:t xml:space="preserve"> (2003) enfatizam a necessidade de uma arqueologia crítica, capaz de questionar as narrativas eurocêntricas e de situar as civilizações antigas em perspectiva comparada. Esses pesquisadores destacam que o estudo da Mesopotâmia, mesmo distante geograficamente, possui relevância pedagógica e científica para </w:t>
      </w:r>
      <w:r>
        <w:lastRenderedPageBreak/>
        <w:t>o Brasil, ao permitir a discussão sobre a origem das cidades, das instituições políticas e das práticas de escrita; temas que permanecem atuais no ensino de História.</w:t>
      </w:r>
    </w:p>
    <w:p w14:paraId="44D27109" w14:textId="77777777" w:rsidR="00681D00" w:rsidRDefault="00000000">
      <w:pPr>
        <w:ind w:firstLine="708"/>
      </w:pPr>
      <w:r>
        <w:t xml:space="preserve">Outro desafio contemporâneo é o da interpretação interdisciplinar das evidências, a partir da articulação entre arqueologia, geociências, linguística e antropologia têm revelado novas dimensões da urbanização antiga. Pesquisas como as de Jason Ur e Jennifer </w:t>
      </w:r>
      <w:proofErr w:type="spellStart"/>
      <w:r>
        <w:t>Pournelle</w:t>
      </w:r>
      <w:proofErr w:type="spellEnd"/>
      <w:r>
        <w:t xml:space="preserve"> (2012) combinam modelagem computacional e análise </w:t>
      </w:r>
      <w:proofErr w:type="spellStart"/>
      <w:r>
        <w:t>paleoambiental</w:t>
      </w:r>
      <w:proofErr w:type="spellEnd"/>
      <w:r>
        <w:t xml:space="preserve"> para reconstruir as transformações do sistema fluvial do Eufrates, mostrando como a adaptação hidrológica condicionou as formas de assentamento. Esse tipo de abordagem aproxima a arqueologia de uma história ambiental de longa duração, coerente com as perspectivas </w:t>
      </w:r>
      <w:proofErr w:type="spellStart"/>
      <w:r>
        <w:t>braudelianas</w:t>
      </w:r>
      <w:proofErr w:type="spellEnd"/>
      <w:r>
        <w:t xml:space="preserve"> da história total.</w:t>
      </w:r>
    </w:p>
    <w:p w14:paraId="58473B03" w14:textId="77777777" w:rsidR="00681D00" w:rsidRDefault="00000000">
      <w:pPr>
        <w:ind w:firstLine="708"/>
      </w:pPr>
      <w:r>
        <w:t xml:space="preserve">No campo da teoria da história, as reflexões de Paul Ricoeur (2007) e Reinhart </w:t>
      </w:r>
      <w:proofErr w:type="spellStart"/>
      <w:r>
        <w:t>Koselleck</w:t>
      </w:r>
      <w:proofErr w:type="spellEnd"/>
      <w:r>
        <w:t xml:space="preserve"> (2006) sobre o tempo histórico e a memória oferecem bases conceituais para repensar o estatuto das fontes mesopotâmicas. As tabuletas e inscrições não são apenas documentos de um passado distante, mas vestígios de uma temporalidade própria, na qual o registro material e o discurso sagrado se entrelaçam. A arqueologia contemporânea, nesse sentido, assume um papel hermenêutico: trata-se de interpretar não apenas o que os antigos fizeram, mas como eles compreenderam e representaram suas próprias ações.</w:t>
      </w:r>
    </w:p>
    <w:p w14:paraId="3FAFCCA3" w14:textId="77777777" w:rsidR="00681D00" w:rsidRDefault="00000000">
      <w:pPr>
        <w:ind w:firstLine="708"/>
      </w:pPr>
      <w:r>
        <w:t xml:space="preserve">A pesquisa atual também vem enfrentando o desafio ético e político da preservação do patrimônio mesopotâmico, particularmente diante das guerras, do saque arqueológico e da destruição de sítios no Iraque e na Síria. A devastação de museus e templos, como ocorreu em Mossul e </w:t>
      </w:r>
      <w:proofErr w:type="spellStart"/>
      <w:r>
        <w:t>Nimrud</w:t>
      </w:r>
      <w:proofErr w:type="spellEnd"/>
      <w:r>
        <w:t xml:space="preserve">, evidencia a vulnerabilidade das heranças culturais e a necessidade de políticas internacionais de proteção. Projetos coordenados pela UNESCO e por universidades, como o Iraq Cultural </w:t>
      </w:r>
      <w:proofErr w:type="spellStart"/>
      <w:r>
        <w:t>Heritage</w:t>
      </w:r>
      <w:proofErr w:type="spellEnd"/>
      <w:r>
        <w:t xml:space="preserve"> Project, procuram digitalizar acervos, criar bancos de dados e promover a cooperação científica entre instituições ocidentais e comunidades locais, redefinindo o papel do arqueólogo e do historiador no século XXI.</w:t>
      </w:r>
    </w:p>
    <w:p w14:paraId="564A6E4B" w14:textId="77777777" w:rsidR="00681D00" w:rsidRDefault="00000000">
      <w:pPr>
        <w:ind w:firstLine="708"/>
      </w:pPr>
      <w:r>
        <w:t xml:space="preserve">A conjunção entre texto e materialidade, entre teoria e técnica, define, portanto, o horizonte da pesquisa contemporânea sobre a Mesopotâmia. O diálogo entre arqueologia, filologia e história tem permitido reconstruir não apenas os traços físicos das cidades, mas as formas de pensamento que as sustentaram. Como observa </w:t>
      </w:r>
      <w:proofErr w:type="spellStart"/>
      <w:r>
        <w:t>Liverani</w:t>
      </w:r>
      <w:proofErr w:type="spellEnd"/>
      <w:r>
        <w:t xml:space="preserve"> (2006), compreender Uruk, Ur ou </w:t>
      </w:r>
      <w:proofErr w:type="spellStart"/>
      <w:r>
        <w:t>Nippur</w:t>
      </w:r>
      <w:proofErr w:type="spellEnd"/>
      <w:r>
        <w:t xml:space="preserve"> implica compreender “a invenção da cidade como ideia”: um espaço onde o poder é visível, o sagrado é material e o tempo se torna inscrito na argila.</w:t>
      </w:r>
    </w:p>
    <w:p w14:paraId="00760E5D" w14:textId="77777777" w:rsidR="00681D00" w:rsidRDefault="00000000">
      <w:pPr>
        <w:ind w:firstLine="708"/>
      </w:pPr>
      <w:r>
        <w:t>Em síntese, a historiografia atual reconhece que o estudo da urbanização mesopotâmica ultrapassa o campo da arqueologia clássica para situar-se no terreno mais amplo da antropologia histórica. A cidade, a escrita e o texto são compreendidos como expressões de uma racionalidade social que continua a nos interpelar, colocando o desafio contemporâneo de não apenas desenterrar ruínas ou decifrar inscrições, mas interpretar os modos pelos quais as sociedades antigas pensaram a si mesmas e, assim, repensar as próprias bases da história como forma de conhecimento.</w:t>
      </w:r>
    </w:p>
    <w:p w14:paraId="4C11B477" w14:textId="77777777" w:rsidR="00681D00" w:rsidRDefault="00681D00">
      <w:pPr>
        <w:ind w:firstLine="708"/>
      </w:pPr>
    </w:p>
    <w:p w14:paraId="5E45194A" w14:textId="77777777" w:rsidR="00681D00" w:rsidRDefault="00000000">
      <w:pPr>
        <w:ind w:firstLine="0"/>
        <w:rPr>
          <w:b/>
          <w:bCs/>
        </w:rPr>
      </w:pPr>
      <w:r>
        <w:rPr>
          <w:b/>
          <w:bCs/>
        </w:rPr>
        <w:t>Conclusão</w:t>
      </w:r>
    </w:p>
    <w:p w14:paraId="1BE80BF2" w14:textId="77777777" w:rsidR="00681D00" w:rsidRDefault="00000000">
      <w:r>
        <w:t xml:space="preserve">O estudo do desenvolvimento urbano na Mesopotâmia, à luz das evidências textuais e arqueológicas, revela não apenas o nascimento das primeiras cidades, mas também a constituição de um novo modo de compreender e organizar o mundo. As cidades mesopotâmicas, surgidas entre o final do IV e o III milênio </w:t>
      </w:r>
      <w:proofErr w:type="spellStart"/>
      <w:r>
        <w:t>a.E.C</w:t>
      </w:r>
      <w:proofErr w:type="spellEnd"/>
      <w:r>
        <w:t xml:space="preserve">., expressam uma </w:t>
      </w:r>
      <w:r>
        <w:lastRenderedPageBreak/>
        <w:t>transformação estrutural que marcou definitivamente a história das civilizações: a passagem de sociedades aldeãs para sistemas urbanos complexos, dotados de instituições políticas, religiosas e econômicas interdependentes. Essa transição, longe de ser linear ou universal, deve ser compreendida como processo histórico singular, fruto de condições ambientais, sociais e simbólicas específicas da região entre o Tigre e o Eufrates.</w:t>
      </w:r>
    </w:p>
    <w:p w14:paraId="301EF125" w14:textId="77777777" w:rsidR="00681D00" w:rsidRDefault="00000000">
      <w:r>
        <w:t xml:space="preserve">A historiografia tradicional, representada por Gordon </w:t>
      </w:r>
      <w:proofErr w:type="spellStart"/>
      <w:r>
        <w:t>Childe</w:t>
      </w:r>
      <w:proofErr w:type="spellEnd"/>
      <w:r>
        <w:t xml:space="preserve"> e sua teoria da Revolução Urbana, interpretou esse fenômeno em chave evolucionista, privilegiando os aspectos econômicos e tecnológicos como motores do progresso humano. Embora essa leitura tenha inaugurado o campo de estudo das origens urbanas, as pesquisas posteriores demonstraram que a urbanização mesopotâmica não pode ser reduzida à lógica da acumulação de excedentes ou à divisão do trabalho. O surgimento das cidades está intimamente vinculado à criação de novas formas de autoridade, memória e simbolismo, ela não apenas é produto de uma economia complexa, mas o espaço onde o poder se materializa, onde o sagrado se </w:t>
      </w:r>
      <w:proofErr w:type="spellStart"/>
      <w:r>
        <w:t>territorializa</w:t>
      </w:r>
      <w:proofErr w:type="spellEnd"/>
      <w:r>
        <w:t xml:space="preserve"> e onde a escrita confere permanência às ações humanas.</w:t>
      </w:r>
    </w:p>
    <w:p w14:paraId="2E15F50E" w14:textId="77777777" w:rsidR="00681D00" w:rsidRDefault="00000000">
      <w:r>
        <w:t xml:space="preserve">Uruk, paradigma das primeiras cidades, sintetiza essa condição. Sua monumentalidade arquitetônica, seus templos dedicados a </w:t>
      </w:r>
      <w:proofErr w:type="spellStart"/>
      <w:r>
        <w:t>Inanna</w:t>
      </w:r>
      <w:proofErr w:type="spellEnd"/>
      <w:r>
        <w:t xml:space="preserve"> e Anu, suas tablitas de </w:t>
      </w:r>
      <w:proofErr w:type="spellStart"/>
      <w:r>
        <w:t>protoescrita</w:t>
      </w:r>
      <w:proofErr w:type="spellEnd"/>
      <w:r>
        <w:t xml:space="preserve"> e seus vestígios de organização urbana constituem um testemunho eloquente da interdependência entre materialidade e ideologia. Como destacam Mario </w:t>
      </w:r>
      <w:proofErr w:type="spellStart"/>
      <w:r>
        <w:t>Liverani</w:t>
      </w:r>
      <w:proofErr w:type="spellEnd"/>
      <w:r>
        <w:t xml:space="preserve"> (2006) e Jean </w:t>
      </w:r>
      <w:proofErr w:type="spellStart"/>
      <w:r>
        <w:t>Bottéro</w:t>
      </w:r>
      <w:proofErr w:type="spellEnd"/>
      <w:r>
        <w:t xml:space="preserve"> (1998), a urbanização foi, antes de tudo, um processo de construção simbólica: edificar templos e muralhas era também instituir um cosmos ordenado, uma comunidade com fronteiras físicas e espirituais. A escrita, ao emergir desse contexto, representou a cristalização dessa nova racionalidade, com o gesto de transformar o efêmero em registro, o acontecimento em norma, a palavra em poder.</w:t>
      </w:r>
    </w:p>
    <w:p w14:paraId="1B66E10C" w14:textId="77777777" w:rsidR="00681D00" w:rsidRDefault="00000000">
      <w:r>
        <w:t xml:space="preserve">Para Kátia Maria Paim </w:t>
      </w:r>
      <w:proofErr w:type="spellStart"/>
      <w:r>
        <w:t>Pozzer</w:t>
      </w:r>
      <w:proofErr w:type="spellEnd"/>
      <w:r>
        <w:t xml:space="preserve"> (2003), a antiga Mesopotâmia foi fundamentalmente uma civilização urbana tendo como principal fator de sua origem o desenvolvimento dos templos. Os templos eram considerados moradia dos deuses e tornaram-se centro político, centro de comércio e centro religioso para uma determinada região com assentamentos e povoados satélites. A partir dos templos e das dinâmicas relacionadas que surgiram importantes aspectos da sociedade como a escrita, o Estado, o sistema jurídico, a arte e a arquitetura, entre outros.</w:t>
      </w:r>
    </w:p>
    <w:p w14:paraId="54D43D5C" w14:textId="77777777" w:rsidR="00681D00" w:rsidRDefault="00000000">
      <w:r>
        <w:t xml:space="preserve">As </w:t>
      </w:r>
      <w:proofErr w:type="spellStart"/>
      <w:r>
        <w:t>cidades-Estado</w:t>
      </w:r>
      <w:proofErr w:type="spellEnd"/>
      <w:r>
        <w:t xml:space="preserve">, que se consolidaram ao longo do III milênio, desenvolveram sistemas administrativos e rituais que reforçaram essa simbiose entre política, economia e religião. As tabuletas de Ur, </w:t>
      </w:r>
      <w:proofErr w:type="spellStart"/>
      <w:r>
        <w:t>Lagash</w:t>
      </w:r>
      <w:proofErr w:type="spellEnd"/>
      <w:r>
        <w:t xml:space="preserve"> e </w:t>
      </w:r>
      <w:proofErr w:type="spellStart"/>
      <w:r>
        <w:t>Nippur</w:t>
      </w:r>
      <w:proofErr w:type="spellEnd"/>
      <w:r>
        <w:t xml:space="preserve"> demonstram o funcionamento de burocracias complexas, sustentadas por escribas e instituições templárias. A escrita cuneiforme, como demonstram Dominique </w:t>
      </w:r>
      <w:proofErr w:type="spellStart"/>
      <w:r>
        <w:t>Charpin</w:t>
      </w:r>
      <w:proofErr w:type="spellEnd"/>
      <w:r>
        <w:t xml:space="preserve"> (2010) e Van de </w:t>
      </w:r>
      <w:proofErr w:type="spellStart"/>
      <w:r>
        <w:t>Mieroop</w:t>
      </w:r>
      <w:proofErr w:type="spellEnd"/>
      <w:r>
        <w:t xml:space="preserve"> (1999), não foi apenas uma ferramenta administrativa, mas um dispositivo cognitivo que estruturou as formas de percepção e representação da realidade. Ela instaurou o que Jack </w:t>
      </w:r>
      <w:proofErr w:type="spellStart"/>
      <w:r>
        <w:t>Goody</w:t>
      </w:r>
      <w:proofErr w:type="spellEnd"/>
      <w:r>
        <w:t xml:space="preserve"> (2019) chamou de “tecnologia da inteligência”: um modo de racionalizar o mundo, de fixar a autoridade e de dar forma à experiência histórica.</w:t>
      </w:r>
    </w:p>
    <w:p w14:paraId="6D42CE82" w14:textId="77777777" w:rsidR="00681D00" w:rsidRDefault="00000000">
      <w:r>
        <w:t xml:space="preserve">A arqueologia contemporânea, ao incorporar abordagens interdisciplinares, vem refinando significativamente a compreensão dessas dinâmicas. A análise de paisagens, o uso de imagens de satélite e os estudos </w:t>
      </w:r>
      <w:proofErr w:type="spellStart"/>
      <w:r>
        <w:t>paleoambientais</w:t>
      </w:r>
      <w:proofErr w:type="spellEnd"/>
      <w:r>
        <w:t xml:space="preserve"> revelaram que as cidades mesopotâmicas se formaram em sistemas interconectados, articulados por redes de irrigação, comércio e circulação simbólica. Longe de serem ilhas isoladas, Uruk, Ur, Eridu e </w:t>
      </w:r>
      <w:proofErr w:type="spellStart"/>
      <w:r>
        <w:t>Nippur</w:t>
      </w:r>
      <w:proofErr w:type="spellEnd"/>
      <w:r>
        <w:t xml:space="preserve"> constituíam nós </w:t>
      </w:r>
      <w:r>
        <w:lastRenderedPageBreak/>
        <w:t xml:space="preserve">de uma malha regional que integrava fluxos materiais e ideológicos. Essa visão descentralizada da urbanização aproxima-se da noção de “sistemas-mundo primitivos” proposta por Guillermo </w:t>
      </w:r>
      <w:proofErr w:type="spellStart"/>
      <w:r>
        <w:t>Algaze</w:t>
      </w:r>
      <w:proofErr w:type="spellEnd"/>
      <w:r>
        <w:t xml:space="preserve"> (1993), na qual a hegemonia cultural e econômica se constrói por meio de trocas e interdependências, não apenas pela dominação militar.</w:t>
      </w:r>
    </w:p>
    <w:p w14:paraId="36F93422" w14:textId="77777777" w:rsidR="00681D00" w:rsidRDefault="00000000">
      <w:r>
        <w:t>Do ponto de vista epistemológico, as interpretações recentes deslocam o foco do “fato arqueológico” para o processo interpretativo, tornando a arqueologia não apenas em uma técnica de escavação, mas também em uma prática hermenêutica. Compreender a cidade mesopotâmica implica compreender os discursos que a instituíram, os gestos que a tornaram visível e os textos que a legitimaram.</w:t>
      </w:r>
    </w:p>
    <w:p w14:paraId="1151CD34" w14:textId="77777777" w:rsidR="00681D00" w:rsidRDefault="00000000">
      <w:r>
        <w:t xml:space="preserve">As evidências textuais e arqueológicas da Mesopotâmia, quando interpretadas conjuntamente, desafiam as fronteiras disciplinares tradicionais, revelando que a cidade é, simultaneamente, fato material e construção simbólica; que o texto é ao mesmo tempo registro e ação; e que a história começa, não com o simples advento da escrita, mas com a consciência da permanência e da interpretação. Nesse sentido, a célebre expressão de Samuel Noah Kramer “a história começa em </w:t>
      </w:r>
      <w:proofErr w:type="spellStart"/>
      <w:r>
        <w:t>Sumer</w:t>
      </w:r>
      <w:proofErr w:type="spellEnd"/>
      <w:r>
        <w:t>” adquire um significado mais profundo: não se trata apenas do início cronológico da história, mas do surgimento da própria forma histórica de pensar o tempo, a memória e o poder.</w:t>
      </w:r>
    </w:p>
    <w:p w14:paraId="0A39F6FF" w14:textId="77777777" w:rsidR="00681D00" w:rsidRDefault="00000000">
      <w:r>
        <w:t>Por fim, a pesquisa contemporânea reafirma a relevância do estudo da Mesopotâmia para a historiografia e para a educação histórica. A cidade mesopotâmica, com suas contradições e complexidades, oferece um espelho remoto, mas ainda atual, das tensões entre tecnologia e ideologia, entre o poder e o discurso, entre o passado e sua interpretação. A arqueologia e a filologia, quando integradas, permitem não apenas reconstruir a materialidade do mundo antigo, mas também refletir sobre o sentido da história como prática humana de significação.</w:t>
      </w:r>
    </w:p>
    <w:p w14:paraId="6CC54377" w14:textId="77777777" w:rsidR="00681D00" w:rsidRDefault="00000000">
      <w:r>
        <w:t>Assim, compreender o desenvolvimento das cidades na Mesopotâmia é compreender as origens do próprio gesto historiador: o impulso de registrar, interpretar e narrar a experiência coletiva. A cidade, a escrita e o texto se fundem, nesse contexto, em uma tríade fundadora da civilização. É nesse encontro entre a argila e a palavra, entre o vestígio e o sentido, que se delineia o verdadeiro legado mesopotâmico, um legado que, mais do que inaugurar a história, nos ensina continuamente a escrevê-la.</w:t>
      </w:r>
    </w:p>
    <w:p w14:paraId="66BA1A39" w14:textId="77777777" w:rsidR="00681D00" w:rsidRDefault="00000000">
      <w:pPr>
        <w:pStyle w:val="Ttulo1"/>
        <w:ind w:firstLine="708"/>
      </w:pPr>
      <w:bookmarkStart w:id="6" w:name="_dfzwfut539ni" w:colFirst="0" w:colLast="0"/>
      <w:bookmarkEnd w:id="6"/>
      <w:r>
        <w:lastRenderedPageBreak/>
        <w:br w:type="page"/>
      </w:r>
    </w:p>
    <w:p w14:paraId="0C8CEF6D" w14:textId="77777777" w:rsidR="00681D00" w:rsidRDefault="00000000">
      <w:pPr>
        <w:pStyle w:val="Ttulo1"/>
      </w:pPr>
      <w:bookmarkStart w:id="7" w:name="_sap3n5nv31yz" w:colFirst="0" w:colLast="0"/>
      <w:bookmarkEnd w:id="7"/>
      <w:r>
        <w:lastRenderedPageBreak/>
        <w:t>DISCUSSÕES EM TORNO DO CONCEITO DE CRISE DO SÉCULO III:</w:t>
      </w:r>
      <w:r>
        <w:br/>
        <w:t xml:space="preserve">entre declínio e transformações </w:t>
      </w:r>
    </w:p>
    <w:p w14:paraId="15C9DF99" w14:textId="77777777" w:rsidR="00681D00" w:rsidRDefault="00681D00"/>
    <w:p w14:paraId="11F25F3D" w14:textId="77777777" w:rsidR="004947EA" w:rsidRDefault="004947EA" w:rsidP="004947EA">
      <w:pPr>
        <w:jc w:val="right"/>
      </w:pPr>
      <w:r>
        <w:t>Abner Alexandre Nogueira</w:t>
      </w:r>
    </w:p>
    <w:p w14:paraId="1A3C6641" w14:textId="77777777" w:rsidR="004947EA" w:rsidRDefault="004947EA" w:rsidP="004947EA">
      <w:pPr>
        <w:jc w:val="right"/>
      </w:pPr>
      <w:r>
        <w:t>UNIFAL-Alfenas/MG</w:t>
      </w:r>
    </w:p>
    <w:p w14:paraId="48E6CFA7" w14:textId="77777777" w:rsidR="00681D00" w:rsidRDefault="00681D00">
      <w:pPr>
        <w:jc w:val="right"/>
      </w:pPr>
    </w:p>
    <w:p w14:paraId="59B91980" w14:textId="77777777" w:rsidR="00681D00" w:rsidRDefault="00000000">
      <w:pPr>
        <w:ind w:firstLine="0"/>
        <w:rPr>
          <w:b/>
          <w:bCs/>
        </w:rPr>
      </w:pPr>
      <w:r>
        <w:rPr>
          <w:b/>
          <w:bCs/>
        </w:rPr>
        <w:t>Introdução</w:t>
      </w:r>
    </w:p>
    <w:p w14:paraId="2D14298E" w14:textId="77777777" w:rsidR="00681D00" w:rsidRDefault="00000000">
      <w:r>
        <w:t xml:space="preserve">A chamada “Crise do Século III EC” ocupa lugar central na historiografia do Império Romano, sendo tradicionalmente associada a um período de instabilidade política, colapso econômico, fragmentação territorial e declínio cultural que teria abalado os fundamentos do mundo romano entre aproximadamente 235 e 284 EC. Desde o século XIX, esse intervalo foi interpretado como um momento de ruptura profunda, responsável por marcar o fim do Alto Império e preparar o terreno para as transformações que culminariam, no que atualmente chamamos de Antiguidade Tardia. No entanto, nas últimas décadas, o próprio conceito de “crise” passou a ser objeto de intenso debate historiográfico, que questionam tanto sua validade analítica quanto sua aplicabilidade uniforme ao vasto e diverso território imperial (Potter, 2004; </w:t>
      </w:r>
      <w:proofErr w:type="spellStart"/>
      <w:r>
        <w:t>Christol</w:t>
      </w:r>
      <w:proofErr w:type="spellEnd"/>
      <w:r>
        <w:t>, 2006).</w:t>
      </w:r>
    </w:p>
    <w:p w14:paraId="798AEF32" w14:textId="77777777" w:rsidR="00681D00" w:rsidRDefault="00000000">
      <w:r>
        <w:t>A noção clássica de crise foi fortemente moldada por paradigmas historiográficos marcados por leituras teleológicas e por uma concepção linear de ascensão e declínio das civilizações. Autores influenciados por esse modelo interpretaram o século III como um momento de falência sistêmica, caracterizado pela sucessão acelerada de imperadores, pela militarização do poder, pela desvalorização monetária e pelas pressões externas nas fronteiras (</w:t>
      </w:r>
      <w:proofErr w:type="spellStart"/>
      <w:r>
        <w:t>Gibbon</w:t>
      </w:r>
      <w:proofErr w:type="spellEnd"/>
      <w:r>
        <w:t xml:space="preserve">, 1776; </w:t>
      </w:r>
      <w:proofErr w:type="spellStart"/>
      <w:r>
        <w:t>Mommsen</w:t>
      </w:r>
      <w:proofErr w:type="spellEnd"/>
      <w:r>
        <w:t>, 1885). Essa leitura, consolidada ao longo do século XX, contribuiu para fixar a ideia de que o Império Romano teria atravessado uma crise global e homogênea, cujos efeitos teriam sido igualmente devastadores em todas as regiões.</w:t>
      </w:r>
    </w:p>
    <w:p w14:paraId="62073D5C" w14:textId="77777777" w:rsidR="00681D00" w:rsidRDefault="00000000">
      <w:r>
        <w:t xml:space="preserve">A historiografia contemporânea, contudo, tem problematizado essa visão unívoca. Pesquisadores anglo-saxões como Clifford Ando (2000), David Potter (2004) e John </w:t>
      </w:r>
      <w:proofErr w:type="spellStart"/>
      <w:r>
        <w:t>Drinkwater</w:t>
      </w:r>
      <w:proofErr w:type="spellEnd"/>
      <w:r>
        <w:t xml:space="preserve"> (2007) argumentam que o conceito de crise tende a simplificar excessivamente processos complexos e diferenciados. Em vez de um colapso generalizado, esses autores destacam a capacidade de adaptação das estruturas imperiais, a resiliência das economias regionais e a continuidade de práticas administrativas e culturais. Sob essa perspectiva, o século III é interpretado menos como um momento de decadência inevitável e mais como uma fase de transformação marcada por respostas políticas e institucionais a desafios específicos.</w:t>
      </w:r>
    </w:p>
    <w:p w14:paraId="4AC9D75A" w14:textId="77777777" w:rsidR="00681D00" w:rsidRDefault="00000000">
      <w:r>
        <w:t xml:space="preserve">Paralelamente, a historiografia francesa desenvolveu uma abordagem crítica semelhante, influenciada pela tradição da longa duração e pela recusa de modelos explicativos centrados exclusivamente no declínio. Autores como Jean-Michel </w:t>
      </w:r>
      <w:proofErr w:type="spellStart"/>
      <w:r>
        <w:t>Carrié</w:t>
      </w:r>
      <w:proofErr w:type="spellEnd"/>
      <w:r>
        <w:t xml:space="preserve"> (1999), Claude </w:t>
      </w:r>
      <w:proofErr w:type="spellStart"/>
      <w:r>
        <w:t>Lepelley</w:t>
      </w:r>
      <w:proofErr w:type="spellEnd"/>
      <w:r>
        <w:t xml:space="preserve"> (2001) e Michel </w:t>
      </w:r>
      <w:proofErr w:type="spellStart"/>
      <w:r>
        <w:t>Christol</w:t>
      </w:r>
      <w:proofErr w:type="spellEnd"/>
      <w:r>
        <w:t xml:space="preserve"> (2006) propõem compreender o século III como um período de mutações estruturais, no qual o Império passou por processos de reorganização administrativa, fiscal e militar. Nessa leitura, as dificuldades enfrentadas pelo poder central não implicam necessariamente desintegração, mas antes a redefinição das formas de governo e de integração das elites locais.</w:t>
      </w:r>
    </w:p>
    <w:p w14:paraId="3C5764DF" w14:textId="77777777" w:rsidR="00681D00" w:rsidRDefault="00000000">
      <w:r>
        <w:t xml:space="preserve">Diante dessas revisões, o conceito de “Crise do Século III” revela-se problemático enquanto categoria explicativa totalizante. Longe de negar a existência de conflitos, instabilidades e rupturas pontuais, a historiografia recente propõe uma análise mais matizada, </w:t>
      </w:r>
      <w:r>
        <w:lastRenderedPageBreak/>
        <w:t xml:space="preserve">atenta às variações regionais, às continuidades institucionais e às evidências arqueológicas e numismáticas que indicam persistência produtiva e reorganização econômica em diversas áreas do Império (Le </w:t>
      </w:r>
      <w:proofErr w:type="spellStart"/>
      <w:r>
        <w:t>Bohec</w:t>
      </w:r>
      <w:proofErr w:type="spellEnd"/>
      <w:r>
        <w:t xml:space="preserve">, 2009; </w:t>
      </w:r>
      <w:proofErr w:type="gramStart"/>
      <w:r>
        <w:t>Ando</w:t>
      </w:r>
      <w:proofErr w:type="gramEnd"/>
      <w:r>
        <w:t>, 2000). Assim, o debate atual desloca-se da pergunta “houve ou não uma crise?” para a investigação dos sentidos, limites e usos historiográficos do próprio conceito de crise.</w:t>
      </w:r>
    </w:p>
    <w:p w14:paraId="7FC59C4B" w14:textId="77777777" w:rsidR="00681D00" w:rsidRDefault="00000000">
      <w:r>
        <w:t>Nesse contexto, a “Crise do Século III” se coloca como um problema historiográfico em aberto, devendo questionar modelos explicativos herdados e dialogar com novas evidências e metodologias, torna-se possível compreender o século III não como um simples intervalo de decadência, mas como um momento decisivo de reconfiguração política, social e cultural do Império Romano, fundamental para a compreensão da transição entre o Principado e a Antiguidade Tardia.</w:t>
      </w:r>
    </w:p>
    <w:p w14:paraId="5B09EEEB" w14:textId="77777777" w:rsidR="00681D00" w:rsidRDefault="00681D00">
      <w:pPr>
        <w:ind w:firstLine="0"/>
      </w:pPr>
    </w:p>
    <w:p w14:paraId="271F8903" w14:textId="77777777" w:rsidR="00681D00" w:rsidRDefault="00000000">
      <w:pPr>
        <w:ind w:firstLine="0"/>
        <w:rPr>
          <w:b/>
          <w:bCs/>
        </w:rPr>
      </w:pPr>
      <w:r>
        <w:rPr>
          <w:b/>
          <w:bCs/>
        </w:rPr>
        <w:t>A construção do paradigma clássico da “Crise do Século III”</w:t>
      </w:r>
    </w:p>
    <w:p w14:paraId="7FD7F12E" w14:textId="77777777" w:rsidR="00681D00" w:rsidRDefault="00000000">
      <w:r>
        <w:t xml:space="preserve">A interpretação tradicional da chamada Crise do Século III foi construída a partir de um conjunto de leituras historiográficas que privilegiaram a ideia de colapso sistêmico e decadência do Império Romano. Cronistas e escritores do final do século II e início do III, são unânimes em afirmar que houve uma “Idade de ouro” com notável desenvolvimento político e intelectual e extenso período de paz, marcando o governo dos Antoninos como seu apogeu. Dessa forma, autores contemporâneos atribuíam ao governo dos Severos uma deterioração. </w:t>
      </w:r>
      <w:proofErr w:type="spellStart"/>
      <w:r>
        <w:t>Herodiano</w:t>
      </w:r>
      <w:proofErr w:type="spellEnd"/>
      <w:r>
        <w:t xml:space="preserve"> afirma que Marco Aurélio foi o último entre os bons imperadores e </w:t>
      </w:r>
      <w:proofErr w:type="spellStart"/>
      <w:r>
        <w:t>Díon</w:t>
      </w:r>
      <w:proofErr w:type="spellEnd"/>
      <w:r>
        <w:t xml:space="preserve"> Cássio que o governo deste imperador teria representado uma Idade de Ouro sendo substituída por uma Idade de Ferro. Tal perspectiva adotava um pressentimento de que o “fim” do Império era iminente, acentuando-se em meados do século III com invasões, guerras, usurpações, catástrofes naturais, fome e epidemias. Um exemplo disso é Cipriano que, após a derrota de Décio pelos godos em 251, concluiu que o fim do mundo estava próximo. Essa narrativa desenvolvida pelos contemporâneos permaneceu pelos autores que sucederam, como Eutrópio e Zózimo, analisando o período como irremediável ruína.</w:t>
      </w:r>
    </w:p>
    <w:p w14:paraId="1A4C81A7" w14:textId="77777777" w:rsidR="00681D00" w:rsidRDefault="00000000">
      <w:r>
        <w:t xml:space="preserve">Dessa forma, o Renascimento teve amplo interesse por essa “decadência” e “queda” do Império Romano utilizando a experiência romana como espelho para debates contemporâneos sobre poder, moralidade, religião e decadência política. Humanistas como Flávio </w:t>
      </w:r>
      <w:proofErr w:type="spellStart"/>
      <w:r>
        <w:t>Biondo</w:t>
      </w:r>
      <w:proofErr w:type="spellEnd"/>
      <w:r>
        <w:t xml:space="preserve"> e Maquiavel já haviam estabelecido uma oposição entre a virtude cívica da Roma republicana e a progressiva corrupção associada ao Império, criando um vocabulário moral que influenciaria profundamente a historiografia posterior. Ainda que o século III não fosse analisado de modo sistemático nesse período, a ideia de declínio progressivo do mundo romano já se encontrava firmemente estabelecida.</w:t>
      </w:r>
    </w:p>
    <w:p w14:paraId="0416949A" w14:textId="77777777" w:rsidR="00681D00" w:rsidRDefault="00000000">
      <w:r>
        <w:t>Nos séculos XVI e XVII, sob o contexto das monarquias absolutistas, a história romana torna-se um repertório de exemplos morais e políticos aplicáveis ao presente, sendo visto como advertência histórica em seu momento de declínio a partir dos perigos da tirania, corrupção administrativa e militarização do poder. Portanto, o século III foi percebido como sintomas de decadência, apesar de não ser analisado com profundidade. Assim, a historiografia desse momento assumia uma função pedagógica e política, não sendo analítica no sentido moderno.</w:t>
      </w:r>
    </w:p>
    <w:p w14:paraId="714F7C82" w14:textId="77777777" w:rsidR="00681D00" w:rsidRDefault="00000000">
      <w:r>
        <w:t xml:space="preserve">Já no século XVIII, sob contexto do Iluminismo, essa tradição atinge a formulação mais influente com </w:t>
      </w:r>
      <w:proofErr w:type="spellStart"/>
      <w:r>
        <w:t>Gibbon</w:t>
      </w:r>
      <w:proofErr w:type="spellEnd"/>
      <w:r>
        <w:t xml:space="preserve"> (1776), sua obra não surge isoladamente, mas sintetiza debates </w:t>
      </w:r>
      <w:r>
        <w:lastRenderedPageBreak/>
        <w:t xml:space="preserve">anteriores sobre moralidade, religião e política. O século III, em sua narrativa, representa um momento-chave em que a erosão da virtude cívica, o despotismo militar e a fragilização das instituições tornam visível um processo de decadência já em curso. A originalidade de </w:t>
      </w:r>
      <w:proofErr w:type="spellStart"/>
      <w:r>
        <w:t>Gibbon</w:t>
      </w:r>
      <w:proofErr w:type="spellEnd"/>
      <w:r>
        <w:t xml:space="preserve"> reside em integrar essas reflexões morais a uma narrativa histórica extensa, sustentada por erudição crítica e por uma visão filosófica da história.</w:t>
      </w:r>
    </w:p>
    <w:p w14:paraId="116879A5" w14:textId="77777777" w:rsidR="00681D00" w:rsidRDefault="00000000">
      <w:r>
        <w:t xml:space="preserve">A partir de </w:t>
      </w:r>
      <w:proofErr w:type="spellStart"/>
      <w:r>
        <w:t>Gibbon</w:t>
      </w:r>
      <w:proofErr w:type="spellEnd"/>
      <w:r>
        <w:t xml:space="preserve">, o declínio do Império deixou de ser apenas uma intuição moral para se tornar uma categoria explicativa estruturada. O século III passou a ser implicitamente entendido como o ponto em que os problemas internos do sistema imperial se tornaram incontornáveis. Essa leitura influenciou decisivamente a historiografia do século XIX, fornecendo o arcabouço intelectual que permitiu a autores como </w:t>
      </w:r>
      <w:proofErr w:type="spellStart"/>
      <w:r>
        <w:t>Mommsen</w:t>
      </w:r>
      <w:proofErr w:type="spellEnd"/>
      <w:r>
        <w:t xml:space="preserve"> interpretar o período em termos de crise institucional sistêmica. Assim, a chamada “Crise do Século III” é, em grande medida, herdeira de uma tradição historiográfica moderna que associa mudança política a decadência moral e ruptura institucional. Essa narrativa consolidou-se sobretudo em um contexto intelectual marcado por concepções evolucionistas da história, nas quais as civilizações eram analisadas segundo ciclos de ascensão, apogeu e decadência (</w:t>
      </w:r>
      <w:proofErr w:type="spellStart"/>
      <w:r>
        <w:t>Gibbon</w:t>
      </w:r>
      <w:proofErr w:type="spellEnd"/>
      <w:r>
        <w:t xml:space="preserve">, 1776; </w:t>
      </w:r>
      <w:proofErr w:type="spellStart"/>
      <w:r>
        <w:t>Mommsen</w:t>
      </w:r>
      <w:proofErr w:type="spellEnd"/>
      <w:r>
        <w:t>, 1885).</w:t>
      </w:r>
    </w:p>
    <w:p w14:paraId="700F7080" w14:textId="77777777" w:rsidR="00681D00" w:rsidRDefault="00000000">
      <w:r>
        <w:t xml:space="preserve">Na primeira metade e meados do século XX, Mikhail </w:t>
      </w:r>
      <w:proofErr w:type="spellStart"/>
      <w:r>
        <w:t>Rostovtzeff</w:t>
      </w:r>
      <w:proofErr w:type="spellEnd"/>
      <w:r>
        <w:t xml:space="preserve"> e Sergei </w:t>
      </w:r>
      <w:proofErr w:type="spellStart"/>
      <w:r>
        <w:t>Kovaliov</w:t>
      </w:r>
      <w:proofErr w:type="spellEnd"/>
      <w:r>
        <w:t xml:space="preserve"> se tornaram influentes até pelo menos a década de 1970. </w:t>
      </w:r>
      <w:proofErr w:type="spellStart"/>
      <w:r>
        <w:t>Rostovtzeff</w:t>
      </w:r>
      <w:proofErr w:type="spellEnd"/>
      <w:r>
        <w:t xml:space="preserve"> (1926) sustenta a tese que o século III seria marcado por uma “revolução” que destruiu os fundamentos da vida econômica, social e intelectual do Mundo Antigo, não legando nenhuma contribuição positiva e sendo substituído por um Estado ancorada na ignorância, constrangimento, violência, servidão e corrupção. Filiado ao materialismo histórico, </w:t>
      </w:r>
      <w:proofErr w:type="spellStart"/>
      <w:r>
        <w:t>Kovaliov</w:t>
      </w:r>
      <w:proofErr w:type="spellEnd"/>
      <w:r>
        <w:t xml:space="preserve"> (1959) analisa a “crise” do século III como expressões de luta de classes, conflitos e contradições que levaram ao “fim” do Mundo Antigo. Para ele, houve um amplo processo revolucionário de resistência dos subalternos aos opressores. Ambos colocam no século III a dissolução das relações econômicas próprias da sociedade escravista e, consequentemente, a expansão do colonato e </w:t>
      </w:r>
      <w:proofErr w:type="spellStart"/>
      <w:r>
        <w:t>feudalização</w:t>
      </w:r>
      <w:proofErr w:type="spellEnd"/>
      <w:r>
        <w:t>.</w:t>
      </w:r>
    </w:p>
    <w:p w14:paraId="1B5BDC3B" w14:textId="77777777" w:rsidR="00681D00" w:rsidRDefault="00000000">
      <w:r>
        <w:t xml:space="preserve">No plano político, o paradigma clássico enfatizou a sucessão acelerada de imperadores, muitos deles elevados ao poder pelo exército e depostos de forma violenta em poucos anos. A multiplicação de usurpações e a fragmentação do poder imperial, exemplificada pela formação do chamado Império das </w:t>
      </w:r>
      <w:proofErr w:type="spellStart"/>
      <w:r>
        <w:t>Gálias</w:t>
      </w:r>
      <w:proofErr w:type="spellEnd"/>
      <w:r>
        <w:t xml:space="preserve"> (Germânia, Gália e Britânia) e do reino de Palmira (Egito, Síria Palestina, Arábia Pétrea e partes da Ásia Menor), foram interpretadas como sinais inequívocos da incapacidade do Estado romano de manter a unidade territorial e o monopólio da autoridade legítima (</w:t>
      </w:r>
      <w:proofErr w:type="spellStart"/>
      <w:r>
        <w:t>Alföldy</w:t>
      </w:r>
      <w:proofErr w:type="spellEnd"/>
      <w:r>
        <w:t xml:space="preserve">, 1984 [1975]). A militarização do poder, nessa leitura, teria corroído os princípios do governo civil herdados do Principado. Nesse sentido, </w:t>
      </w:r>
      <w:proofErr w:type="spellStart"/>
      <w:r>
        <w:t>Géza</w:t>
      </w:r>
      <w:proofErr w:type="spellEnd"/>
      <w:r>
        <w:t xml:space="preserve"> </w:t>
      </w:r>
      <w:proofErr w:type="spellStart"/>
      <w:r>
        <w:t>Alföldy</w:t>
      </w:r>
      <w:proofErr w:type="spellEnd"/>
      <w:r>
        <w:t xml:space="preserve">, bastante influente no meio brasileiro, não problematiza a “crise” do século III, verificando uma visão já consolidada. Apesar da inovação derivada da História Social, ele não analisa o período de forma mais detalhada, confirmando as visões das fontes como </w:t>
      </w:r>
      <w:proofErr w:type="spellStart"/>
      <w:r>
        <w:t>Díon</w:t>
      </w:r>
      <w:proofErr w:type="spellEnd"/>
      <w:r>
        <w:t xml:space="preserve"> Cássio e Cipriano de um período de decadência dos costumes e crescimento da imoralidade. Contudo, </w:t>
      </w:r>
      <w:proofErr w:type="spellStart"/>
      <w:r>
        <w:t>Alföldy</w:t>
      </w:r>
      <w:proofErr w:type="spellEnd"/>
      <w:r>
        <w:t xml:space="preserve"> (1984) conclui que a “crise” é multicausal sendo impossível de reduzir a um único denominador comum, com causas internas que alteraram todos os grupos sociais, e causas externas.</w:t>
      </w:r>
    </w:p>
    <w:p w14:paraId="2E1C957B" w14:textId="77777777" w:rsidR="00681D00" w:rsidRDefault="00000000">
      <w:r>
        <w:t xml:space="preserve">No campo econômico, a historiografia tradicional descreveu o século III como um período de crise generalizada, marcado pela inflação, pela desvalorização monetária e pelo colapso das redes comerciais de longa distância. A progressiva redução do teor de prata do </w:t>
      </w:r>
      <w:r>
        <w:lastRenderedPageBreak/>
        <w:t>denário e a multiplicação de emissões monetárias foram tomadas como evidência de um sistema fiscal em colapso, incapaz de sustentar o exército e a administração imperial (Jones, 1964). A crise econômica foi frequentemente associada à diminuição da produção agrícola, ao abandono de áreas urbanas e à retração do comércio mediterrânico.</w:t>
      </w:r>
    </w:p>
    <w:p w14:paraId="199F658E" w14:textId="77777777" w:rsidR="00681D00" w:rsidRDefault="00000000">
      <w:r>
        <w:t xml:space="preserve">Outro elemento central desse paradigma foi a ênfase nas pressões externas. As incursões de povos considerados “bárbaros” ao longo das fronteiras renanas e </w:t>
      </w:r>
      <w:proofErr w:type="spellStart"/>
      <w:r>
        <w:t>danubianas</w:t>
      </w:r>
      <w:proofErr w:type="spellEnd"/>
      <w:r>
        <w:t>, bem como o fortalecimento do Império Sassânida no Oriente, foram interpretados como fatores decisivos para o enfraquecimento romano. Nessa perspectiva, o Império teria sido simultaneamente corroído por conflitos internos e pressionado por inimigos externos, criando um cenário de colapso quase inevitável (</w:t>
      </w:r>
      <w:proofErr w:type="spellStart"/>
      <w:r>
        <w:t>Gibbon</w:t>
      </w:r>
      <w:proofErr w:type="spellEnd"/>
      <w:r>
        <w:t xml:space="preserve">, 1776; </w:t>
      </w:r>
      <w:proofErr w:type="spellStart"/>
      <w:r>
        <w:t>Mommsen</w:t>
      </w:r>
      <w:proofErr w:type="spellEnd"/>
      <w:r>
        <w:t>, 1885).</w:t>
      </w:r>
    </w:p>
    <w:p w14:paraId="1307B235" w14:textId="77777777" w:rsidR="00681D00" w:rsidRDefault="00000000">
      <w:r>
        <w:t>Entretanto, como demonstraram estudos mais recentes, esse paradigma clássico apresenta fragilidades significativas. Ao privilegiar uma leitura centrada na ruptura e no declínio, ele tende a obscurecer continuidades administrativas, resiliências econômicas regionais e estratégias adaptativas do poder imperial. Ainda assim, compreender a construção desse modelo é fundamental, pois ele constitui o ponto de partida a partir do qual se desenvolveram as revisões historiográficas contemporâneas. A noção de “Crise do Século III”, antes de ser aceita ou rejeitada, deve ser entendida como um produto historiográfico situado, moldado por tradições intelectuais específicas e por determinadas leituras das fontes antigas.</w:t>
      </w:r>
    </w:p>
    <w:p w14:paraId="294C68E2" w14:textId="77777777" w:rsidR="00681D00" w:rsidRDefault="00681D00"/>
    <w:p w14:paraId="73606078" w14:textId="77777777" w:rsidR="00681D00" w:rsidRDefault="00000000">
      <w:pPr>
        <w:ind w:firstLine="0"/>
        <w:rPr>
          <w:b/>
          <w:bCs/>
        </w:rPr>
      </w:pPr>
      <w:r>
        <w:rPr>
          <w:b/>
          <w:bCs/>
        </w:rPr>
        <w:t>O conceito de crise aplicado ao século III: teoria, usos e limites historiográficos</w:t>
      </w:r>
    </w:p>
    <w:p w14:paraId="5361C88A" w14:textId="77777777" w:rsidR="00681D00" w:rsidRDefault="00000000">
      <w:r>
        <w:t>A noção de “Crise do Século III” ocupa posição central nos debates contemporâneos sobre a história do Império Romano, não apenas como categoria descritiva, mas como conceito analítico carregado de pressupostos teóricos, heranças historiográficas e implicações interpretativas. A utilização do termo “crise” para caracterizar o período compreendido, de modo geral, entre a morte de Alexandre Severo (235) e a ascensão de Diocleciano (284) envolve escolhas conceituais que não são neutras. Trata-se de uma categoria moderna, inexistente no vocabulário político romano, aplicada retrospectivamente a um conjunto de fenômenos diversos, tais como a instabilidade política, a fragmentação territorial, as transformações econômicas, a militarização do poder e as mudanças culturais; cuja interpretação varia significativamente conforme o enquadramento teórico adotado.</w:t>
      </w:r>
    </w:p>
    <w:p w14:paraId="6957342A" w14:textId="77777777" w:rsidR="00681D00" w:rsidRDefault="00000000">
      <w:r>
        <w:t xml:space="preserve">Do ponto de vista teórico, o conceito de crise deriva de tradições intelectuais distintas. Em sua acepção clássica, herdada da medicina hipocrática, </w:t>
      </w:r>
      <w:proofErr w:type="spellStart"/>
      <w:r>
        <w:rPr>
          <w:i/>
          <w:iCs/>
        </w:rPr>
        <w:t>krisis</w:t>
      </w:r>
      <w:proofErr w:type="spellEnd"/>
      <w:r>
        <w:rPr>
          <w:i/>
          <w:iCs/>
        </w:rPr>
        <w:t xml:space="preserve"> </w:t>
      </w:r>
      <w:r>
        <w:t>designava um momento decisivo, no qual uma doença evolui para a cura ou para a morte. Esse sentido de ponto de inflexão foi apropriado pela filosofia da história moderna, sobretudo a partir do Iluminismo e do século XIX, quando passou a indicar rupturas estruturais em processos históricos de longa duração. No caso da análise da história romana, a crise foi frequentemente concebida como momento de colapso iminente, antecipando o fim do mundo antigo ou a transição inevitável para formas políticas e sociais radicalmente distintas.</w:t>
      </w:r>
    </w:p>
    <w:p w14:paraId="51792DE3" w14:textId="77777777" w:rsidR="00681D00" w:rsidRDefault="00000000">
      <w:r>
        <w:t xml:space="preserve">No entanto, essa interpretação </w:t>
      </w:r>
      <w:proofErr w:type="spellStart"/>
      <w:r>
        <w:t>colapsista</w:t>
      </w:r>
      <w:proofErr w:type="spellEnd"/>
      <w:r>
        <w:t xml:space="preserve"> tem sido amplamente questionada nas últimas décadas. A partir dos anos 1970 e, sobretudo, dos anos 1990, consolidou-se uma tendência historiográfica que propõe compreender o século III não como colapso, mas como processo de transformação estrutural. Nessa abordagem, defendida por autores como Cameron e Potter, as instabilidades do período são reinterpretadas como respostas adaptativas a desafios internos e </w:t>
      </w:r>
      <w:r>
        <w:lastRenderedPageBreak/>
        <w:t>externos, tais como a pressão militar nas fronteiras, o crescimento do exército, a complexificação administrativa e a necessidade de novas formas de legitimação do poder.</w:t>
      </w:r>
    </w:p>
    <w:p w14:paraId="30E23642" w14:textId="77777777" w:rsidR="00681D00" w:rsidRDefault="00000000">
      <w:r>
        <w:t xml:space="preserve">Segundo essa leitura, a multiplicação de imperadores não indica simplesmente anarquia, mas reflete a centralidade crescente do exército como agente político, bem como a redefinição dos critérios de autoridade imperial. Da mesma forma, as reformas monetárias, administrativas e militares não seriam sinais de colapso econômico, mas tentativas, ainda que desiguais, de reorganizar o funcionamento do Estado em um contexto de maior complexidade territorial e social. O século III, assim, aparece como laboratório de soluções que seriam sistematizadas no período </w:t>
      </w:r>
      <w:proofErr w:type="spellStart"/>
      <w:r>
        <w:t>tetrárquico</w:t>
      </w:r>
      <w:proofErr w:type="spellEnd"/>
      <w:r>
        <w:t xml:space="preserve"> e no chamado Dominato.</w:t>
      </w:r>
    </w:p>
    <w:p w14:paraId="71483ED1" w14:textId="77777777" w:rsidR="00681D00" w:rsidRDefault="00000000">
      <w:r>
        <w:t xml:space="preserve">Mais recentemente, tem ganhado força uma terceira abordagem, que propõe compreender o século III como um processo de reconfiguração, evitando tanto a linguagem do colapso quanto a ideia de simples transição funcional. Essa perspectiva, associada a autores </w:t>
      </w:r>
      <w:proofErr w:type="gramStart"/>
      <w:r>
        <w:t>como Ando</w:t>
      </w:r>
      <w:proofErr w:type="gramEnd"/>
      <w:r>
        <w:t xml:space="preserve"> (2012) e Lukas de Blois, enfatiza a coexistência de continuidade e mudança, destacando que diferentes esferas da vida imperial (política, econômica, religiosa e cultural) não responderam de modo homogêneo às tensões do período. Em vez de uma crise única e uniforme, haveria múltiplas crises localizadas, cujos impactos variaram conforme as regiões, os grupos sociais e os contextos institucionais.</w:t>
      </w:r>
    </w:p>
    <w:p w14:paraId="7B9EC4A5" w14:textId="77777777" w:rsidR="00681D00" w:rsidRDefault="00000000">
      <w:r>
        <w:t xml:space="preserve">Essa abordagem conduz diretamente ao problema do anacronismo conceitual. A utilização do termo “crise” implica a projeção de categorias modernas, como declínio, falência ou ruptura, sobre uma sociedade que não se percebia necessariamente nesses termos. As fontes antigas, sobretudo as produzidas por membros das elites senatoriais e administrativas, frequentemente expressam um sentimento de instabilidade, insegurança e perda de referenciais normativos. Autores como </w:t>
      </w:r>
      <w:proofErr w:type="spellStart"/>
      <w:r>
        <w:t>Herodiano</w:t>
      </w:r>
      <w:proofErr w:type="spellEnd"/>
      <w:r>
        <w:t xml:space="preserve"> e, posteriormente, os autores da </w:t>
      </w:r>
      <w:proofErr w:type="gramStart"/>
      <w:r>
        <w:rPr>
          <w:i/>
          <w:iCs/>
        </w:rPr>
        <w:t>Historia</w:t>
      </w:r>
      <w:proofErr w:type="gramEnd"/>
      <w:r>
        <w:rPr>
          <w:i/>
          <w:iCs/>
        </w:rPr>
        <w:t xml:space="preserve"> Augusta</w:t>
      </w:r>
      <w:r>
        <w:t>, constroem narrativas marcadas pela crítica moral aos imperadores e pela nostalgia de uma ordem idealizada. Contudo, essas representações não devem ser confundidas automaticamente com a experiência social global do Império.</w:t>
      </w:r>
    </w:p>
    <w:p w14:paraId="14EADD5D" w14:textId="77777777" w:rsidR="00681D00" w:rsidRDefault="00000000">
      <w:r>
        <w:t>A historiografia recente tem insistido na necessidade de distinguir entre percepção da elite e com a experiência social concreta. Enquanto as elites urbanas tradicionais, especialmente em Roma e em centros senatoriais da Itália, podem ter vivenciado o século III como período de declínio de seu prestígio e influência, outras regiões do Império apresentaram dinâmicas distintas. Evidências arqueológicas apontam, por exemplo, para uma continuidade e, em alguns casos, expansão da vida urbana em partes da África Proconsular, do Oriente romano e mesmo da Hispânia. A persistência de práticas epigráficas, a manutenção de circuitos comerciais regionais e a vitalidade de cultos locais sugerem que a experiência da “crise” foi profundamente desigual.</w:t>
      </w:r>
    </w:p>
    <w:p w14:paraId="113AF029" w14:textId="77777777" w:rsidR="00681D00" w:rsidRDefault="00000000">
      <w:r>
        <w:t>Assim, a historiografia contemporânea tende a tratar a “Crise do Século III” menos como um fato objetivo e mais como um problema historiográfico, cuja análise exige atenção aos pressupostos conceituais, às assimetrias regionais e às múltiplas temporalidades em jogo. A crise deixa de ser um evento único e passa a ser entendida como um conjunto de processos interligados, cujos significados variam conforme o observador, a fonte e o contexto social considerado. Esse deslocamento interpretativo não elimina a realidade das tensões do período, mas permite compreendê-las de modo mais complexo, evitando narrativas teleológicas que projetam no século III a inevitabilidade do fim do mundo romano.</w:t>
      </w:r>
    </w:p>
    <w:p w14:paraId="1D1C114A" w14:textId="77777777" w:rsidR="00681D00" w:rsidRDefault="00681D00">
      <w:pPr>
        <w:ind w:firstLine="0"/>
      </w:pPr>
    </w:p>
    <w:p w14:paraId="58D006CB" w14:textId="77777777" w:rsidR="00681D00" w:rsidRDefault="00000000">
      <w:pPr>
        <w:ind w:firstLine="0"/>
        <w:rPr>
          <w:b/>
          <w:bCs/>
        </w:rPr>
      </w:pPr>
      <w:r>
        <w:rPr>
          <w:b/>
          <w:bCs/>
        </w:rPr>
        <w:lastRenderedPageBreak/>
        <w:t>Historiografia contemporânea sobre o século III: da crise ao paradigma da transformação</w:t>
      </w:r>
    </w:p>
    <w:p w14:paraId="3FA17B74" w14:textId="77777777" w:rsidR="00681D00" w:rsidRDefault="00000000">
      <w:r>
        <w:t>A partir das últimas décadas do século XX, a historiografia europeia, especialmente inglesa e francesa, desempenhou papel decisivo na revisão crítica do paradigma tradicional da chamada “Crise do Século III”. Em oposição às narrativas de colapso sistêmico herdadas do século XIX e ainda influentes na primeira metade do século XX, historiadores anglo-saxões e franceses passaram a enfatizar a capacidade de adaptação, resiliência e reconfiguração do Império Romano diante das tensões do período. Essa inflexão interpretativa insere-se em um movimento historiográfico mais amplo, marcado pela crítica às leituras teleológicas da decadência, pela valorização das temporalidades múltiplas e pelo exame estrutural das continuidades institucionais e regionais.</w:t>
      </w:r>
    </w:p>
    <w:p w14:paraId="3109E596" w14:textId="77777777" w:rsidR="00681D00" w:rsidRDefault="00000000">
      <w:r>
        <w:t>De modo geral, essas abordagens concebem o século III não como um momento de ruptura irreversível, mas como uma fase de transição complexa, caracterizada por respostas administrativas, militares e sociais a desafios internos e externos. Assim, o foco desloca-se da ideia de “crise” como colapso para a compreensão do período como processo dinâmico de reorganização do poder imperial. A crise, nesse sentido, passa a ser entendida menos como decadência inevitável e mais como mutação estrutural, cujos desdobramentos contribuíram para a configuração do mundo da Antiguidade Tardia.</w:t>
      </w:r>
    </w:p>
    <w:p w14:paraId="63B97A2A" w14:textId="77777777" w:rsidR="00681D00" w:rsidRDefault="00000000">
      <w:r>
        <w:t xml:space="preserve">Na historiografia inglesa, autores como John </w:t>
      </w:r>
      <w:proofErr w:type="spellStart"/>
      <w:r>
        <w:t>Drinkwater</w:t>
      </w:r>
      <w:proofErr w:type="spellEnd"/>
      <w:r>
        <w:t xml:space="preserve"> (1987), Cameron (1993), Potter (2004) </w:t>
      </w:r>
      <w:proofErr w:type="gramStart"/>
      <w:r>
        <w:t>e Ando</w:t>
      </w:r>
      <w:proofErr w:type="gramEnd"/>
      <w:r>
        <w:t xml:space="preserve"> (2012) argumentam que, embora o século III tenha sido marcado por instabilidade política e militar, o Estado romano demonstrou notável capacidade de adaptação institucional. </w:t>
      </w:r>
      <w:proofErr w:type="spellStart"/>
      <w:r>
        <w:t>Drinkwater</w:t>
      </w:r>
      <w:proofErr w:type="spellEnd"/>
      <w:r>
        <w:t xml:space="preserve"> (1987), ao estudar o chamado Império Gálico, sustenta que essa entidade não deve ser interpretada como separatismo no sentido moderno, mas como solução regional temporária diante da incapacidade do centro imperial de responder rapidamente às ameaças no Ocidente. Longe de negar a </w:t>
      </w:r>
      <w:proofErr w:type="spellStart"/>
      <w:r>
        <w:t>romanidade</w:t>
      </w:r>
      <w:proofErr w:type="spellEnd"/>
      <w:r>
        <w:t>, seus governantes mantiveram títulos, símbolos e práticas administrativas romanas, reforçando a ideia de continuidade institucional mesmo em contextos de fragmentação.</w:t>
      </w:r>
    </w:p>
    <w:p w14:paraId="5D9092D2" w14:textId="77777777" w:rsidR="00681D00" w:rsidRDefault="00000000">
      <w:r>
        <w:t>Cameron (1993), por sua vez, propõe abandonar a linguagem de declínio em favor de categorias como transformação e transição. Para a autora, o século III deve ser compreendido como parte de um processo mais amplo de reconfiguração do mundo romano, no qual novas formas de poder, identidade e religiosidade começam a se articular sem que isso implique necessariamente decadência. Potter (2004) insiste na necessidade de inserir o período em uma história de longa duração do Principado: as dificuldades do século III, como as guerras civis, as pressões externas e as sucessões rápidas, não constituiriam ruptura radical, mas intensificação de fragilidades estruturais já presentes desde o século I, como a ausência de regras formais de sucessão, se alterando a frequência e visibilidade dessas tensões.</w:t>
      </w:r>
    </w:p>
    <w:p w14:paraId="0E5D5BE8" w14:textId="77777777" w:rsidR="00681D00" w:rsidRDefault="00000000">
      <w:r>
        <w:t>Ando (2012) desloca o debate para a esfera institucional e jurídica, destacando a persistência das categorias normativas romanas mesmo em contextos de instabilidade. Para o autor, o Império continuou a funcionar como espaço jurídico compartilhado, no qual leis, práticas administrativas e discursos de autoridade mantiveram eficácia simbólica. Tal resiliência sugere que o Estado não entrou em colapso, mas redefiniu suas formas de atuação.</w:t>
      </w:r>
    </w:p>
    <w:p w14:paraId="2E9B900D" w14:textId="77777777" w:rsidR="00681D00" w:rsidRDefault="00000000">
      <w:r>
        <w:t xml:space="preserve">Outro elemento fundamental dessas revisões é a reavaliação do impacto econômico e social do século III. A narrativa tradicional associava o período a um colapso econômico generalizado, marcado por retração comercial, declínio urbano e desvalorização monetária, contudo, evidências arqueológicas acumuladas nas últimas décadas têm levado historiadores a </w:t>
      </w:r>
      <w:r>
        <w:lastRenderedPageBreak/>
        <w:t xml:space="preserve">questionar essa visão homogênea. Potter (2004) </w:t>
      </w:r>
      <w:proofErr w:type="gramStart"/>
      <w:r>
        <w:t>e Ando</w:t>
      </w:r>
      <w:proofErr w:type="gramEnd"/>
      <w:r>
        <w:t xml:space="preserve"> (2012) ressaltam que algumas regiões enfrentaram dificuldades específicas, enquanto outras mantiveram e, em certos casos, ampliaram sua capacidade produtiva. A África Proconsular, por exemplo, continuou central no abastecimento de cereais, e regiões do Oriente romano apresentaram vitalidade urbana e comercial significativa (Potter, 2004).</w:t>
      </w:r>
    </w:p>
    <w:p w14:paraId="20F2021D" w14:textId="77777777" w:rsidR="00681D00" w:rsidRDefault="00000000">
      <w:r>
        <w:t xml:space="preserve">A diversidade regional tornou-se, assim, chave interpretativa, nas revisões historiográficas contemporâneas, demonstrando que o contraste entre Oriente e Ocidente não deve ser lido como simples decadência ocidental, mas como resultado de trajetórias históricas distintas: o Oriente, com economias </w:t>
      </w:r>
      <w:proofErr w:type="spellStart"/>
      <w:r>
        <w:t>monetarizadas</w:t>
      </w:r>
      <w:proofErr w:type="spellEnd"/>
      <w:r>
        <w:t xml:space="preserve"> e tradições urbanas antigas, demonstrou maior capacidade de absorver choques políticos, enquanto o Ocidente, mais dependente da redistribuição estatal e da presença militar, foi mais sensível às interrupções administrativas (Potter, 2004). Evidências de continuidade na construção pública e manutenção de infraestruturas sugerem que a vida urbana não entrou em declínio uniforme, mas passou por mudanças nos padrões de investimento e representação social (Ando, 2012).</w:t>
      </w:r>
    </w:p>
    <w:p w14:paraId="7F47DFA2" w14:textId="77777777" w:rsidR="00681D00" w:rsidRDefault="00000000">
      <w:r>
        <w:t>No plano social, a ascensão de elites provinciais e de indivíduos oriundos do meio militar tem sido reinterpretada como sinal de mobilidade e reconfiguração das bases do poder, e não como degeneração. A chamada “militarização” do Império aparece como resposta funcional a um ambiente geopolítico mais instável, no qual o exército se tornou mediador central entre centro e periferia (Potter, 2004).</w:t>
      </w:r>
    </w:p>
    <w:p w14:paraId="035B4689" w14:textId="77777777" w:rsidR="00681D00" w:rsidRDefault="00000000">
      <w:r>
        <w:t xml:space="preserve">A historiografia inglesa recente também se destaca por criticar a própria categoria de crise como construção retrospectiva. Cameron (1993) </w:t>
      </w:r>
      <w:proofErr w:type="gramStart"/>
      <w:r>
        <w:t>e Ando</w:t>
      </w:r>
      <w:proofErr w:type="gramEnd"/>
      <w:r>
        <w:t xml:space="preserve"> (2012) enfatizam que a percepção do século III como colapso deriva, em grande medida, do uso acrítico de fontes literárias tardias, muitas delas produzidas por elites senatoriais com agendas morais específicas. Textos como os de </w:t>
      </w:r>
      <w:proofErr w:type="spellStart"/>
      <w:r>
        <w:t>Herodiano</w:t>
      </w:r>
      <w:proofErr w:type="spellEnd"/>
      <w:r>
        <w:t xml:space="preserve"> e, sobretudo, a </w:t>
      </w:r>
      <w:proofErr w:type="spellStart"/>
      <w:proofErr w:type="gramStart"/>
      <w:r>
        <w:t>Historia</w:t>
      </w:r>
      <w:proofErr w:type="spellEnd"/>
      <w:proofErr w:type="gramEnd"/>
      <w:r>
        <w:t xml:space="preserve"> Augusta apresentam narrativas moralizantes, associando instabilidade política à decadência ética dos governantes. Essas fontes devem ser lidas como discursos situados, que expressam o mal-estar de determinados grupos diante da redefinição das formas de poder.</w:t>
      </w:r>
    </w:p>
    <w:p w14:paraId="5FADB2D6" w14:textId="77777777" w:rsidR="00681D00" w:rsidRDefault="00000000">
      <w:r>
        <w:t xml:space="preserve">A historiografia francesa, por sua vez, desempenhou papel igualmente decisivo na desconstrução do modelo catastrofista, enfatizando os processos de mutação estrutural e reorganização institucional. Inspirados direta ou indiretamente pela tradição dos Annales, autores como Claude </w:t>
      </w:r>
      <w:proofErr w:type="spellStart"/>
      <w:r>
        <w:t>Lepelley</w:t>
      </w:r>
      <w:proofErr w:type="spellEnd"/>
      <w:r>
        <w:t xml:space="preserve"> (1979), Michel </w:t>
      </w:r>
      <w:proofErr w:type="spellStart"/>
      <w:r>
        <w:t>Christol</w:t>
      </w:r>
      <w:proofErr w:type="spellEnd"/>
      <w:r>
        <w:t xml:space="preserve"> (1997), Jean-Michel </w:t>
      </w:r>
      <w:proofErr w:type="spellStart"/>
      <w:r>
        <w:t>Carrié</w:t>
      </w:r>
      <w:proofErr w:type="spellEnd"/>
      <w:r>
        <w:t xml:space="preserve"> e Aline </w:t>
      </w:r>
      <w:proofErr w:type="spellStart"/>
      <w:r>
        <w:t>Rousselle</w:t>
      </w:r>
      <w:proofErr w:type="spellEnd"/>
      <w:r>
        <w:t xml:space="preserve"> (1999) e Yann Le </w:t>
      </w:r>
      <w:proofErr w:type="spellStart"/>
      <w:r>
        <w:t>Bohec</w:t>
      </w:r>
      <w:proofErr w:type="spellEnd"/>
      <w:r>
        <w:t xml:space="preserve"> (2009) passaram a interpretar o século III como fase de transformação profunda, cujos desdobramentos conduziram à Antiguidade Tardia.</w:t>
      </w:r>
    </w:p>
    <w:p w14:paraId="25B29702" w14:textId="77777777" w:rsidR="00681D00" w:rsidRDefault="00000000">
      <w:proofErr w:type="spellStart"/>
      <w:r>
        <w:t>Lepelley</w:t>
      </w:r>
      <w:proofErr w:type="spellEnd"/>
      <w:r>
        <w:t xml:space="preserve"> (1979) contribui de modo decisivo ao demonstrar, com base em documentação epigráfica e arqueológica, a vitalidade de numerosas cidades africanas e orientais durante o século III. Seus estudos desafiam frontalmente a imagem de declínio urbano generalizado, evidenciando continuidade cívica e participação ativa das elites locais no financiamento de obras públicas.</w:t>
      </w:r>
    </w:p>
    <w:p w14:paraId="4F57E458" w14:textId="77777777" w:rsidR="00681D00" w:rsidRDefault="00000000">
      <w:r>
        <w:t xml:space="preserve">A noção de mutação constitui núcleo conceitual dessa abordagem, tendo </w:t>
      </w:r>
      <w:proofErr w:type="spellStart"/>
      <w:r>
        <w:t>Christol</w:t>
      </w:r>
      <w:proofErr w:type="spellEnd"/>
      <w:r>
        <w:t xml:space="preserve"> (1997) sustentando que o período não representa dissolução do Estado romano, mas emergência de novas formas de exercício do poder imperial, em resposta a desafios militares, fiscais e territoriais. </w:t>
      </w:r>
      <w:proofErr w:type="spellStart"/>
      <w:r>
        <w:t>Carrié</w:t>
      </w:r>
      <w:proofErr w:type="spellEnd"/>
      <w:r>
        <w:t xml:space="preserve"> e </w:t>
      </w:r>
      <w:proofErr w:type="spellStart"/>
      <w:r>
        <w:t>Rousselle</w:t>
      </w:r>
      <w:proofErr w:type="spellEnd"/>
      <w:r>
        <w:t xml:space="preserve"> (1999) enfatizam que o que se observa é uma reconfiguração das relações entre centro e periferia: o poder imperial torna-se mais presente e coercitivo, mas depende crescentemente das elites locais para sua operacionalização.</w:t>
      </w:r>
    </w:p>
    <w:p w14:paraId="79DFDBC8" w14:textId="77777777" w:rsidR="00681D00" w:rsidRDefault="00000000">
      <w:r>
        <w:lastRenderedPageBreak/>
        <w:t xml:space="preserve">Um ponto central da interpretação francesa reside na análise das transformações administrativas e fiscais. Ao contrário da ideia de desorganização estatal, </w:t>
      </w:r>
      <w:proofErr w:type="spellStart"/>
      <w:r>
        <w:t>Christol</w:t>
      </w:r>
      <w:proofErr w:type="spellEnd"/>
      <w:r>
        <w:t xml:space="preserve"> (1997) e </w:t>
      </w:r>
      <w:proofErr w:type="spellStart"/>
      <w:r>
        <w:t>Carrié</w:t>
      </w:r>
      <w:proofErr w:type="spellEnd"/>
      <w:r>
        <w:t xml:space="preserve"> e </w:t>
      </w:r>
      <w:proofErr w:type="spellStart"/>
      <w:r>
        <w:t>Rousselle</w:t>
      </w:r>
      <w:proofErr w:type="spellEnd"/>
      <w:r>
        <w:t xml:space="preserve"> (1999) argumentam que o período foi marcado por fortalecimento progressivo do poder imperial, visível na centralização militar, ampliação da fiscalidade e intensificação da presença estatal nas províncias. O aumento da tributação e das requisições, frequentemente interpretado como opressão nas fontes literárias, é compreendido como resposta pragmática a um ambiente de pressão militar constante.</w:t>
      </w:r>
    </w:p>
    <w:p w14:paraId="1BFF835E" w14:textId="77777777" w:rsidR="00681D00" w:rsidRDefault="00000000">
      <w:r>
        <w:t xml:space="preserve">Le </w:t>
      </w:r>
      <w:proofErr w:type="spellStart"/>
      <w:r>
        <w:t>Bohec</w:t>
      </w:r>
      <w:proofErr w:type="spellEnd"/>
      <w:r>
        <w:t xml:space="preserve"> (2009), ao estudar o exército romano, reforça essa leitura ao mostrar que a crescente importância dos militares não significou substituição das elites civis, mas coexistência tensa de diferentes bases de poder. A militarização é entendida como resposta estrutural, e não degeneração política.</w:t>
      </w:r>
    </w:p>
    <w:p w14:paraId="345F5C6E" w14:textId="77777777" w:rsidR="00681D00" w:rsidRDefault="00000000">
      <w:r>
        <w:t>Outro aporte decisivo da historiografia francesa é dissolver a fronteira rígida entre Principado e Antiguidade Tardia. O século III aparece como laboratório institucional, no qual soluções consolidadas no século IV já começam a ser experimentadas. Muitas reformas atribuídas a Diocleciano e Constantino possuem raízes profundas nesse período (</w:t>
      </w:r>
      <w:proofErr w:type="spellStart"/>
      <w:r>
        <w:t>Christol</w:t>
      </w:r>
      <w:proofErr w:type="spellEnd"/>
      <w:r>
        <w:t xml:space="preserve">, 1997; </w:t>
      </w:r>
      <w:proofErr w:type="spellStart"/>
      <w:r>
        <w:t>Carrié</w:t>
      </w:r>
      <w:proofErr w:type="spellEnd"/>
      <w:r>
        <w:t xml:space="preserve">; </w:t>
      </w:r>
      <w:proofErr w:type="spellStart"/>
      <w:r>
        <w:t>Rousselle</w:t>
      </w:r>
      <w:proofErr w:type="spellEnd"/>
      <w:r>
        <w:t>, 1999). Assim, a Antiguidade Tardia emerge não como antítese do Império, mas como reconfiguração histórica de suas estruturas.</w:t>
      </w:r>
    </w:p>
    <w:p w14:paraId="4969B30A" w14:textId="77777777" w:rsidR="00681D00" w:rsidRDefault="00000000">
      <w:r>
        <w:t xml:space="preserve">Uma contribuição mais recente é a de </w:t>
      </w:r>
      <w:proofErr w:type="spellStart"/>
      <w:r>
        <w:t>De</w:t>
      </w:r>
      <w:proofErr w:type="spellEnd"/>
      <w:r>
        <w:t xml:space="preserve"> Blois (2019), que propõe compreender a crise como conjunto de pressões simultâneas (militares, fiscais, administrativas e políticas) que afetaram a capacidade do Estado de manter equilíbrio entre recursos e demandas. Para o autor, o Império não entrou em colapso, mas atravessou a fase de stress estrutural, na qual soluções de curto prazo garantiram a sobrevivência do sistema ao custo de profundas transformações. De Blois reforça ainda a dimensão regional da crise, evidenciando a inadequação de modelos explicativos uniformes.</w:t>
      </w:r>
    </w:p>
    <w:p w14:paraId="7706609E" w14:textId="77777777" w:rsidR="00681D00" w:rsidRDefault="00000000">
      <w:r>
        <w:t>Em síntese, tanto a historiografia inglesa quanto a francesa convergem na recusa das interpretações focadas no declínio e queda para a valorização do século III como etapa fundamental de reconfiguração imperial. Ao enfatizar continuidade institucional, diversidade regional, mutações estruturais e crítica das fontes, esses autores deslocam o debate do colapso para a transformação, sendo crítica a visão do século III como momento terminal da história romana e passando a ser compreendido como fase decisiva de adaptação, cujas transformações prepararam o terreno para as reformas do final do século III e para o mundo da Antiguidade Tardia. Trata-se, portanto, menos de um dado incontestável da história antiga e mais de um problema historiográfico, cuja interpretação permanece central para a compreensão da dinâmica imperial romana.</w:t>
      </w:r>
    </w:p>
    <w:p w14:paraId="4AB5935F" w14:textId="77777777" w:rsidR="00681D00" w:rsidRDefault="00681D00"/>
    <w:p w14:paraId="32E374A9" w14:textId="77777777" w:rsidR="00681D00" w:rsidRDefault="00000000">
      <w:pPr>
        <w:ind w:firstLine="0"/>
        <w:rPr>
          <w:b/>
          <w:bCs/>
        </w:rPr>
      </w:pPr>
      <w:r>
        <w:rPr>
          <w:b/>
          <w:bCs/>
        </w:rPr>
        <w:t>Contribuições da Historiografia Brasileira: século III como inflexão histórica</w:t>
      </w:r>
    </w:p>
    <w:p w14:paraId="5AFF465E" w14:textId="77777777" w:rsidR="00681D00" w:rsidRDefault="00000000">
      <w:r>
        <w:t xml:space="preserve">Por sua vez, a historiografia brasileira, partindo principalmente da historiografia inglesa e francesa, avançaram sobre o assunto com análises inovadoras do período. Ana Teresa Marques Gonçalves (2006) afirma que a visão de “crise”, iniciada com os Severos, parte de uma historiografia depreciativa, oriunda da reprodução acrítica da opinião de membros da aristocracia senatorial contrários a imperadores do período, como Caracala e </w:t>
      </w:r>
      <w:proofErr w:type="spellStart"/>
      <w:r>
        <w:t>Heliogábalo</w:t>
      </w:r>
      <w:proofErr w:type="spellEnd"/>
      <w:r>
        <w:t xml:space="preserve">. Para esses autores, os Severos foram artífices de uma monarquia militar que seria o “pivô da crise” dos séculos seguintes, e apesar dos diversos problemas enfrentados, o sistema político </w:t>
      </w:r>
      <w:r>
        <w:lastRenderedPageBreak/>
        <w:t>permaneceu estável até 260 e a organização das cidades sem modificações fundamentais, devendo investir nos estudos de caso regionais relativizando a ideia de “crise”.</w:t>
      </w:r>
    </w:p>
    <w:p w14:paraId="0E3B6F39" w14:textId="77777777" w:rsidR="00681D00" w:rsidRDefault="00000000">
      <w:r>
        <w:t xml:space="preserve">Gilvan Ventura Silva (2009) analisa a chamada “anarquia militar” do século III a partir da trajetória dos chamados imperadores proscritos (banidos), propondo uma leitura que se afasta das interpretações tradicionais centradas na ideia de colapso político e desagregação institucional. O autor demonstra que a sucessão acelerada de imperadores, longe de representar ausência de ordem, expressa uma lógica específica de legitimação do poder imperial, profundamente vinculada ao papel do exército como instância decisória. A proscrição, a violência política e a instabilidade não são tratadas como exceções patológicas, mas como componentes estruturantes do sistema imperial, revelando um funcionamento político marcado pela competição e pela negociação armada da autoridade. Dessa forma, Silva (2009) reavalia o conceito de crise, deslocando o foco da decadência para a dinâmica do poder e os mecanismos de adaptação, </w:t>
      </w:r>
      <w:proofErr w:type="gramStart"/>
      <w:r>
        <w:t>sendo</w:t>
      </w:r>
      <w:proofErr w:type="gramEnd"/>
      <w:r>
        <w:t xml:space="preserve"> portanto, um momento de reconfiguração política fundamental para a transição entre o Principado e as formas posteriores do poder imperial. </w:t>
      </w:r>
    </w:p>
    <w:p w14:paraId="1926A6D7" w14:textId="77777777" w:rsidR="00681D00" w:rsidRDefault="00000000">
      <w:r>
        <w:t xml:space="preserve">Silva e Soares (2020) destacam que a concepção de “fim” do mundo antigo é um lugar de memória historiográfico baseado em juízos de valor normativos projetando categorias modernas sobre sociedades antigas. De mesma forma, as principais fontes do período, como </w:t>
      </w:r>
      <w:proofErr w:type="spellStart"/>
      <w:r>
        <w:t>Herodiano</w:t>
      </w:r>
      <w:proofErr w:type="spellEnd"/>
      <w:r>
        <w:t xml:space="preserve">, </w:t>
      </w:r>
      <w:proofErr w:type="spellStart"/>
      <w:r>
        <w:t>Díon</w:t>
      </w:r>
      <w:proofErr w:type="spellEnd"/>
      <w:r>
        <w:t xml:space="preserve"> Cássio, Eutrópio e </w:t>
      </w:r>
      <w:proofErr w:type="spellStart"/>
      <w:r>
        <w:t>Zósimo</w:t>
      </w:r>
      <w:proofErr w:type="spellEnd"/>
      <w:r>
        <w:t>, são marcados por uma retórica da decadência exprimindo posições sociais específicas (senatoriais, aristocráticas ou cristãs) e não devem ser confundidas como descrição objetiva da realidade histórica. As fontes, portanto, são uma experiência discursiva que busca dar sentido ao presente vivido como instável e analisando as transformações em curso como decadência ao comparar períodos anteriores. Por fim, os autores substituem o termo crise para inflexão histórica (</w:t>
      </w:r>
      <w:proofErr w:type="spellStart"/>
      <w:r>
        <w:t>turning</w:t>
      </w:r>
      <w:proofErr w:type="spellEnd"/>
      <w:r>
        <w:t xml:space="preserve"> point), caracterizado pela intensificação de tensões presentes desde o Principado, por reconfigurações políticas, administrativas e militares que são respostas adaptativas do poder imperial.</w:t>
      </w:r>
    </w:p>
    <w:p w14:paraId="7ADB445E" w14:textId="77777777" w:rsidR="00681D00" w:rsidRDefault="00000000">
      <w:r>
        <w:t xml:space="preserve">Renan </w:t>
      </w:r>
      <w:proofErr w:type="spellStart"/>
      <w:r>
        <w:t>Frighetto</w:t>
      </w:r>
      <w:proofErr w:type="spellEnd"/>
      <w:r>
        <w:t xml:space="preserve"> (2021), defensor da periodização da Antiguidade Tardia desde o século II, aborda o século III como momento de importantes mudanças político-institucionais que forjaram uma nova imagem ao mundo romano, sendo consolidada com as reformas de Diocleciano e os grupos familiares </w:t>
      </w:r>
      <w:proofErr w:type="spellStart"/>
      <w:r>
        <w:t>constantiniano</w:t>
      </w:r>
      <w:proofErr w:type="spellEnd"/>
      <w:r>
        <w:t xml:space="preserve">, </w:t>
      </w:r>
      <w:proofErr w:type="spellStart"/>
      <w:r>
        <w:t>valentiniano</w:t>
      </w:r>
      <w:proofErr w:type="spellEnd"/>
      <w:r>
        <w:t xml:space="preserve"> e </w:t>
      </w:r>
      <w:proofErr w:type="spellStart"/>
      <w:r>
        <w:t>teodosiano</w:t>
      </w:r>
      <w:proofErr w:type="spellEnd"/>
      <w:r>
        <w:t xml:space="preserve">. A monarquia imperial ganhou um formato autocrático amparado na força e no poder legionário e com prática política de partilha da autoridade imperial, como a tripartição de </w:t>
      </w:r>
      <w:proofErr w:type="spellStart"/>
      <w:r>
        <w:t>Galieno</w:t>
      </w:r>
      <w:proofErr w:type="spellEnd"/>
      <w:r>
        <w:t xml:space="preserve"> e a diarquia e tetrarquia de Diocleciano. Para o autor (2021), esse período é denominado como </w:t>
      </w:r>
      <w:proofErr w:type="spellStart"/>
      <w:r>
        <w:t>romanidade</w:t>
      </w:r>
      <w:proofErr w:type="spellEnd"/>
      <w:r>
        <w:t xml:space="preserve"> tardia, uma subdivisão da Antiguidade Tardia, substituindo a ideia de </w:t>
      </w:r>
      <w:proofErr w:type="spellStart"/>
      <w:r>
        <w:t>dominato</w:t>
      </w:r>
      <w:proofErr w:type="spellEnd"/>
      <w:r>
        <w:t>.</w:t>
      </w:r>
    </w:p>
    <w:p w14:paraId="48DAC82D" w14:textId="77777777" w:rsidR="00681D00" w:rsidRDefault="00000000">
      <w:r>
        <w:t xml:space="preserve">Na obra coletiva O Império Romano no século III, organizada por Semíramis Silva Corsi e Moisés </w:t>
      </w:r>
      <w:proofErr w:type="spellStart"/>
      <w:r>
        <w:t>Antiqueira</w:t>
      </w:r>
      <w:proofErr w:type="spellEnd"/>
      <w:r>
        <w:t xml:space="preserve"> (2021), pode-se observar a perspectiva de diversos historiadores brasileiros. Corsi (2021) analisa as representações de </w:t>
      </w:r>
      <w:proofErr w:type="spellStart"/>
      <w:r>
        <w:t>Heliogábalo</w:t>
      </w:r>
      <w:proofErr w:type="spellEnd"/>
      <w:r>
        <w:t xml:space="preserve">, imperador da dinastia Severa que, como já vista, foi interpretado como decadente e precursora da anarquia militar. Dessa forma, a ascensão de um imperador provincial, especificamente da Síria, torna-se um campo de disputa simbólica entre Roma e províncias orientais, entre tradição e identidades locais. </w:t>
      </w:r>
      <w:proofErr w:type="spellStart"/>
      <w:r>
        <w:t>Heliogábalo</w:t>
      </w:r>
      <w:proofErr w:type="spellEnd"/>
      <w:r>
        <w:t xml:space="preserve"> é descrito pelas fontes (</w:t>
      </w:r>
      <w:proofErr w:type="spellStart"/>
      <w:r>
        <w:t>Dião</w:t>
      </w:r>
      <w:proofErr w:type="spellEnd"/>
      <w:r>
        <w:t xml:space="preserve"> Cássio e </w:t>
      </w:r>
      <w:proofErr w:type="spellStart"/>
      <w:r>
        <w:t>Herodiano</w:t>
      </w:r>
      <w:proofErr w:type="spellEnd"/>
      <w:r>
        <w:t xml:space="preserve">) como utilizando roupas femininas, o que possivelmente se trataria do exercício como sacerdote do deus </w:t>
      </w:r>
      <w:proofErr w:type="spellStart"/>
      <w:r>
        <w:t>Elagabal</w:t>
      </w:r>
      <w:proofErr w:type="spellEnd"/>
      <w:r>
        <w:t xml:space="preserve">, trazido da Síria. Portanto, há uma construção discursiva por uma elite tradicional acerca de uma figura que performava, de forma não convencional, desestabilizando expectativas romanas sobre masculinidade, autoridade, autocontrole e moralidade. Sua memória foi moldada por </w:t>
      </w:r>
      <w:r>
        <w:lastRenderedPageBreak/>
        <w:t>discursos que associaram as diferenças culturas, performativas e rompimento com práticas tradicionais como ilegitimidade política, caracterizando-o com atributos femininos.</w:t>
      </w:r>
    </w:p>
    <w:p w14:paraId="0C3E5445" w14:textId="77777777" w:rsidR="00681D00" w:rsidRDefault="00000000">
      <w:r>
        <w:t>Da análise construída por Corsi (2021), percebemos que as fontes do período estão imbuídas de um contexto discursivo que transita entre verossimilhança, estereotipação e exagero na construção da dinastia severiana como decadente e imoral, contribuindo com a visão da “crise” do século III.</w:t>
      </w:r>
    </w:p>
    <w:p w14:paraId="4E33A073" w14:textId="77777777" w:rsidR="00681D00" w:rsidRDefault="00000000">
      <w:r>
        <w:t xml:space="preserve">Por sua vez, Moisés </w:t>
      </w:r>
      <w:proofErr w:type="spellStart"/>
      <w:r>
        <w:t>Antiqueira</w:t>
      </w:r>
      <w:proofErr w:type="spellEnd"/>
      <w:r>
        <w:t xml:space="preserve"> (2021) analisa as comemorações de um milênio da fundação de Roma em 248 por Felipe, o Árabe e na construção discursiva da noção de </w:t>
      </w:r>
      <w:proofErr w:type="spellStart"/>
      <w:r>
        <w:rPr>
          <w:i/>
          <w:iCs/>
        </w:rPr>
        <w:t>aeternitas</w:t>
      </w:r>
      <w:proofErr w:type="spellEnd"/>
      <w:r>
        <w:t xml:space="preserve">, no qual o passado é presentificado enquanto o futuro também era tornado presente. Segundo </w:t>
      </w:r>
      <w:proofErr w:type="spellStart"/>
      <w:r>
        <w:t>Antiqueira</w:t>
      </w:r>
      <w:proofErr w:type="spellEnd"/>
      <w:r>
        <w:t xml:space="preserve"> (2021), associa-se a perspectiva milenar da </w:t>
      </w:r>
      <w:proofErr w:type="spellStart"/>
      <w:r>
        <w:t>urbs</w:t>
      </w:r>
      <w:proofErr w:type="spellEnd"/>
      <w:r>
        <w:t xml:space="preserve"> com o reinado e dinastia de Felipe, buscando se legitimar diante uma aristocracia senatorial romana/itálica diante um imperador advindo de uma província. Simultaneamente, a eternidade de Roma deveria passar pela consolidação do domus de Felipe, almejando um longo período de estabilidade e prosperidade. Essa leitura demonstra como eventos importantes do século III são desconhecidos ou subestimados pelas fontes que depreciavam o período. Simultaneamente, demonstra que as estruturas tradicionais se mantinham pela amplitude dos jogos e comemorações como ênfase da </w:t>
      </w:r>
      <w:proofErr w:type="spellStart"/>
      <w:r>
        <w:rPr>
          <w:i/>
          <w:iCs/>
        </w:rPr>
        <w:t>pietas</w:t>
      </w:r>
      <w:proofErr w:type="spellEnd"/>
      <w:r>
        <w:rPr>
          <w:i/>
          <w:iCs/>
        </w:rPr>
        <w:t xml:space="preserve"> </w:t>
      </w:r>
      <w:r>
        <w:t>do imperador, que promoveu iniciativas de aproximação com a aristocracia de Roma e construção diante as classes populares.</w:t>
      </w:r>
    </w:p>
    <w:p w14:paraId="2D9F3D43" w14:textId="77777777" w:rsidR="00681D00" w:rsidRDefault="00000000">
      <w:r>
        <w:t xml:space="preserve">Por fim, ainda na coletânea citada, Otávio Luiz Vieira Pinto (2021) propõe uma leitura mais global do agitado século III. Ao analisar o Império Sassânida, com a ascensão de </w:t>
      </w:r>
      <w:proofErr w:type="spellStart"/>
      <w:r>
        <w:t>Artaxes</w:t>
      </w:r>
      <w:proofErr w:type="spellEnd"/>
      <w:r>
        <w:t xml:space="preserve"> em 224, e sob reinado de </w:t>
      </w:r>
      <w:proofErr w:type="spellStart"/>
      <w:r>
        <w:t>Sapor</w:t>
      </w:r>
      <w:proofErr w:type="spellEnd"/>
      <w:r>
        <w:t xml:space="preserve">, o autor evidencia que, enquanto Roma passava por um período de transformação e reestruturação, a Pérsia ascendia no cenário Afro-Eurasiático, vencendo forças romanas, capturando o imperador Valeriano e saqueando a Síria. Nesse sentido, o autor destaca que o século III foi, talvez, o século mais bem-sucedido do período sassânida, com conquistas militares, revitalização urbana e estabilidade com o reinado de 30 anos de </w:t>
      </w:r>
      <w:proofErr w:type="spellStart"/>
      <w:r>
        <w:t>Sapor</w:t>
      </w:r>
      <w:proofErr w:type="spellEnd"/>
      <w:r>
        <w:t>.</w:t>
      </w:r>
    </w:p>
    <w:p w14:paraId="50FDF2E1" w14:textId="77777777" w:rsidR="00681D00" w:rsidRDefault="00000000">
      <w:r>
        <w:t>A visão de Pinto (2021), contribui com um olhar mais global dos acontecimentos da Antiguidade e um cenário mais complexo com as interações entre os dois impérios com uma balança entre prosperidade por um e “crise” para outro.</w:t>
      </w:r>
    </w:p>
    <w:p w14:paraId="395B7CC7" w14:textId="77777777" w:rsidR="00681D00" w:rsidRDefault="00681D00"/>
    <w:p w14:paraId="05CEAC5F" w14:textId="77777777" w:rsidR="00681D00" w:rsidRDefault="00000000">
      <w:pPr>
        <w:ind w:firstLine="0"/>
        <w:rPr>
          <w:b/>
          <w:bCs/>
        </w:rPr>
      </w:pPr>
      <w:r>
        <w:rPr>
          <w:b/>
          <w:bCs/>
        </w:rPr>
        <w:t>As transformações do Século III como antessala ou transição para a Antiguidade Tardia e o retorno da “crise”</w:t>
      </w:r>
    </w:p>
    <w:p w14:paraId="64B77653" w14:textId="77777777" w:rsidR="00681D00" w:rsidRDefault="00000000">
      <w:r>
        <w:t>O debate historiográfico acerca da chamada crise do século III está profundamente associado às discussões sobre a periodização da Antiguidade Tardia e sobre os critérios utilizados para definir rupturas e continuidades na história do Império Romano. Desde a segunda metade do século XX, a historiografia tem progressivamente abandonado leituras centradas na ideia de colapso abrupto do mundo romano clássico, substituindo-as por interpretações que enfatizam processos de transformação estrutural de longa duração. Nesse contexto, consolidaram-se duas grandes linhas interpretativas: a historiografia francesa, que tende a compreender o século III como um laboratório prévio das estruturas tardo-antigas, e a historiografia inglesa, que frequentemente inclui o próprio século III no campo da Antiguidade Tardia.</w:t>
      </w:r>
    </w:p>
    <w:p w14:paraId="6D4348BC" w14:textId="77777777" w:rsidR="00681D00" w:rsidRDefault="00000000">
      <w:r>
        <w:t xml:space="preserve">Como visto, a historiografia francesa, fortemente influenciada pela tradição dos Annales, caracteriza-se por uma atenção sistemática às estruturas sociais, econômicas e institucionais, bem como às diferentes temporalidades históricas. Autores como </w:t>
      </w:r>
      <w:proofErr w:type="spellStart"/>
      <w:r>
        <w:t>Lepelley</w:t>
      </w:r>
      <w:proofErr w:type="spellEnd"/>
      <w:r>
        <w:t xml:space="preserve"> </w:t>
      </w:r>
      <w:r>
        <w:lastRenderedPageBreak/>
        <w:t xml:space="preserve">(1979), </w:t>
      </w:r>
      <w:proofErr w:type="spellStart"/>
      <w:r>
        <w:t>Christol</w:t>
      </w:r>
      <w:proofErr w:type="spellEnd"/>
      <w:r>
        <w:t xml:space="preserve"> (1997) e </w:t>
      </w:r>
      <w:proofErr w:type="spellStart"/>
      <w:r>
        <w:t>Carrié</w:t>
      </w:r>
      <w:proofErr w:type="spellEnd"/>
      <w:r>
        <w:t xml:space="preserve"> (2005) defendem que o século III deve ser interpretado como um período de mutações progressivas, no qual se ensaiam soluções políticas, administrativas e militares que apenas se consolidariam plenamente a partir das reformas de Diocleciano e Constantino. Para esses autores, a Antiguidade Tardia propriamente dita inicia-se no final do século III ou no início do século IV, ainda que suas bases estruturais estejam em gestação durante a crise.</w:t>
      </w:r>
    </w:p>
    <w:p w14:paraId="494A346E" w14:textId="77777777" w:rsidR="00681D00" w:rsidRDefault="00000000">
      <w:r>
        <w:t xml:space="preserve">Michel </w:t>
      </w:r>
      <w:proofErr w:type="spellStart"/>
      <w:r>
        <w:t>Christol</w:t>
      </w:r>
      <w:proofErr w:type="spellEnd"/>
      <w:r>
        <w:t xml:space="preserve"> (1997) adota posição semelhante ao distinguir claramente entre a instabilidade política do século III e a continuidade administrativa do Império. Embora reconheça a gravidade das guerras civis, das usurpações e da fragmentação do poder central, </w:t>
      </w:r>
      <w:proofErr w:type="spellStart"/>
      <w:r>
        <w:t>Christol</w:t>
      </w:r>
      <w:proofErr w:type="spellEnd"/>
      <w:r>
        <w:t xml:space="preserve"> enfatiza que o funcionamento cotidiano das estruturas imperiais manteve significativa regularidade. A Antiguidade Tardia, em sua perspectiva, começa com a estabilização promovida por Diocleciano, quando essas experiências acumuladas são sistematizadas em um novo modelo político. Assim, o século III aparece como laboratório de soluções, e não como parte plena da nova periodização.</w:t>
      </w:r>
    </w:p>
    <w:p w14:paraId="3ECA3B99" w14:textId="77777777" w:rsidR="00681D00" w:rsidRDefault="00000000">
      <w:proofErr w:type="spellStart"/>
      <w:r>
        <w:t>Carrié</w:t>
      </w:r>
      <w:proofErr w:type="spellEnd"/>
      <w:r>
        <w:t xml:space="preserve"> (2005) argumenta que o século III não pode ser reduzido a uma fase de desintegração, mas deve ser compreendido como momento de reorganização do sistema imperial, marcado pela adaptação às novas condições geopolíticas e econômicas. A intensificação da fiscalidade, a regionalização econômica e o fortalecimento do papel do exército não são vistos como sintomas de decadência, mas como respostas funcionais às pressões internas e externas. Contudo, para </w:t>
      </w:r>
      <w:proofErr w:type="spellStart"/>
      <w:r>
        <w:t>Carrié</w:t>
      </w:r>
      <w:proofErr w:type="spellEnd"/>
      <w:r>
        <w:t>, essas transformações ainda pertencem ao horizonte do Alto Império tardio, funcionando como experiências institucionais que preparam o surgimento do Estado romano tardo-antigo. Assim, a historiografia francesa tende a situar o início da Antiguidade Tardia em torno de 284 d.C., preservando o século III como fase preparatória e experimental.</w:t>
      </w:r>
    </w:p>
    <w:p w14:paraId="6F5D3C0A" w14:textId="77777777" w:rsidR="00681D00" w:rsidRDefault="00000000">
      <w:r>
        <w:t>Em contraste, a historiografia inglesa, especialmente a partir da obra de Peter Brown, adota uma periodização mais ampla e fluida, na qual o século III é frequentemente integrado ao próprio campo da Antiguidade Tardia. Brown (1971; 1981) redefine esse período não como época de decadência, mas como fase de profundas transformações culturais, religiosas e sociais, cuja emergência remonta ao final do século II e se torna estrutural no século III. Embora Brown recorra analiticamente ao recorte a partir de 150 d.C., ele localiza o início efetivo da Antiguidade Tardia no século III, quando novas formas de autoridade, religiosidade e organização social passam a moldar o mundo romano.</w:t>
      </w:r>
    </w:p>
    <w:p w14:paraId="66D53534" w14:textId="77777777" w:rsidR="00681D00" w:rsidRDefault="00000000">
      <w:r>
        <w:t xml:space="preserve">Essa perspectiva é aprofundada por </w:t>
      </w:r>
      <w:proofErr w:type="spellStart"/>
      <w:r>
        <w:t>Averil</w:t>
      </w:r>
      <w:proofErr w:type="spellEnd"/>
      <w:r>
        <w:t xml:space="preserve"> Cameron (1993), que rejeita a ideia de um marco político rígido para inaugurar a Antiguidade Tardia. Para Cameron, o século III já apresenta características centrais do mundo tardo-antigo, como a sacralização crescente do poder imperial, a redefinição das elites e a intensificação da dimensão religiosa da política. Diocleciano, nesse quadro, não inaugura uma nova época, mas consolida tendências já em curso, portanto, a chamada anarquia militar é integrada à narrativa da Antiguidade Tardia como fase inicial instável, mas constitutiva.</w:t>
      </w:r>
    </w:p>
    <w:p w14:paraId="1C67098C" w14:textId="77777777" w:rsidR="00681D00" w:rsidRDefault="00000000">
      <w:r>
        <w:t xml:space="preserve">David Potter (2004) também adota uma abordagem de longa duração ao tratar o período entre 180 e 395 d.C. como um continuum histórico. Embora reconheça a gravidade das crises políticas e militares do século III, Potter argumenta que essas tensões não destruíram as bases do Império. Ao contrário, estimularam adaptações que garantiram sua sobrevivência por </w:t>
      </w:r>
      <w:r>
        <w:lastRenderedPageBreak/>
        <w:t>mais dois séculos, nessa perspectiva, o século III pertence plenamente à Antiguidade Tardia, entendida como processo histórico, e não como categoria cronológica rígida.</w:t>
      </w:r>
    </w:p>
    <w:p w14:paraId="37E60ACA" w14:textId="77777777" w:rsidR="00681D00" w:rsidRDefault="00000000">
      <w:r>
        <w:t>Ando (2012) reforça essa leitura ao analisar o período entre 193 e 284 d.C. como momento decisivo na reformulação da autoridade imperial. Para Ando, a produção normativa, jurídica e simbólica do século III revela uma continuidade funcional que atravessa o suposto divisor entre Principado e Antiguidade Tardia. A instabilidade política não rompe a legitimidade do poder imperial, mas promove novas formas de sua articulação, assim, o século III não é um intervalo anômalo, mas parte integrante da história tardo-antiga.</w:t>
      </w:r>
    </w:p>
    <w:p w14:paraId="0F38B370" w14:textId="77777777" w:rsidR="00681D00" w:rsidRDefault="00000000">
      <w:r>
        <w:t>A distinção entre essas duas tradições historiográficas não é meramente cronológica, mas conceitual. Enquanto a historiografia francesa preserva uma separação analítica entre o laboratório do século III e a Antiguidade Tardia propriamente dita, iniciada com Diocleciano, a historiografia inglesa tende a dissolver essa fronteira, integrando a crise do século III ao próprio campo tardo-antigo. Ambas as abordagens, contudo, convergem na rejeição da narrativa de colapso e na valorização das continuidades estruturais.</w:t>
      </w:r>
    </w:p>
    <w:p w14:paraId="0D48912E" w14:textId="77777777" w:rsidR="00681D00" w:rsidRDefault="00000000">
      <w:r>
        <w:t>Contudo, historiadores recentes têm retomado a ideia de crise e queda do Império Romano propondo uma ressignificação da noção de crise, entendendo-a não como colapso súbito, mas como um processo cumulativo de perda de capacidades estruturais. Nesse movimento, autores como Bryan Ward-Perkins (2005), Peter Heather (2005) e Kyle Harper (2017) recuperam o conceito de crise para descrever transformações profundas nos planos material, político-militar e ambiental, deslocando o debate da oposição simplista entre “decadência” e “continuidade” para uma análise mais complexa dos limites da resiliência imperial ao longo do século III.</w:t>
      </w:r>
    </w:p>
    <w:p w14:paraId="33F63BBF" w14:textId="77777777" w:rsidR="00681D00" w:rsidRDefault="00000000">
      <w:r>
        <w:t>Para Ward-Perkins (2005), a crise do século III deve ser entendida como um momento-chave de deterioração material que comprometeu, sobretudo no Ocidente, a complexa infraestrutura econômica do Império. Embora seu foco principal seja o século V, Ward-Perkins argumenta que os processos de declínio começam muito antes, e o século III ocupa posição central nesse percurso. Segundo o autor, a instabilidade política crônica, a inflação monetária, as guerras civis e a pressão militar externa minaram a capacidade do Estado romano de manter redes de produção, distribuição e consumo em larga escala. Evidências arqueológicas, como a queda na qualidade da cerâmica, a redução da circulação monetária e o abandono de edifícios públicos, indicariam que, em várias regiões, a crise do século III já produziu uma retração real dos padrões de vida, não apenas uma crise discursiva. Assim, Ward-Perkins rejeita leituras excessivamente “otimistas” da continuidade e insiste que o século III marca o início de um declínio econômico cumulativo, cujos efeitos só se tornariam irreversíveis nos séculos seguintes.</w:t>
      </w:r>
    </w:p>
    <w:p w14:paraId="085EE468" w14:textId="77777777" w:rsidR="00681D00" w:rsidRDefault="00000000">
      <w:r>
        <w:t>Heather (2005), por sua vez, também atribui grande peso à crise do século III, mas a partir de uma análise centrada na política imperial e no sistema militar. Para ele, o período de “anarquia militar” revelou vulnerabilidades estruturais profundas do modelo romano de poder, especialmente no equilíbrio entre centro e periferia. O autor argumenta que a multiplicação de usurpações, a fragmentação do comando militar e a crescente dependência do exército como base de legitimidade política enfraqueceram a capacidade do Estado de responder de forma coordenada às ameaças externas. O século III, nesse sentido, representa o momento em que o Império entra em um ciclo de militarização defensiva, no qual a necessidade constante de recursos para sustentar o exército comprometeu a estabilidade fiscal e política de longo prazo.</w:t>
      </w:r>
    </w:p>
    <w:p w14:paraId="3B6D3157" w14:textId="77777777" w:rsidR="00681D00" w:rsidRDefault="00000000">
      <w:r>
        <w:lastRenderedPageBreak/>
        <w:t>Embora reconheça a eficácia das reformas de Diocleciano e Constantino, Heather (2005) sustenta que elas foram medidas paliativas, incapazes de restaurar plenamente a resiliência do sistema republicano-imperial clássico. Assim, o século III é visto como o ponto em que o Império deixa de ser estruturalmente robusto e passa a depender de equilíbrios cada vez mais frágeis.</w:t>
      </w:r>
    </w:p>
    <w:p w14:paraId="670A9BFD" w14:textId="77777777" w:rsidR="00681D00" w:rsidRDefault="00000000">
      <w:r>
        <w:t xml:space="preserve">A contribuição de Harper </w:t>
      </w:r>
      <w:proofErr w:type="gramStart"/>
      <w:r>
        <w:t>( 2017</w:t>
      </w:r>
      <w:proofErr w:type="gramEnd"/>
      <w:r>
        <w:t>) introduz uma dimensão inovadora ao debate, ao interpretar a crise do século III à luz de fatores ambientais e epidemiológicos. Harper argumenta que o Império Romano enfrentou, a partir do século II e intensificando-se no século III, uma sucessão de choques biológicos, tais como pandemias, mudanças climáticas e eventos ambientais extremos, que fragilizaram profundamente sua base demográfica e produtiva.</w:t>
      </w:r>
    </w:p>
    <w:p w14:paraId="1D0F1A65" w14:textId="77777777" w:rsidR="00681D00" w:rsidRDefault="00000000">
      <w:r>
        <w:t>No caso específico do século III, Harper (2017) destaca a recorrência de epidemias e a instabilidade climática como fatores que amplificaram crises políticas e militares já existentes. A queda populacional, combinada com pressões fiscais e militares, teria reduzido a capacidade do Estado de mobilizar recursos humanos e econômicos, tornando-o mais vulnerável a conflitos internos e invasões externas. Diferentemente de abordagens puramente políticas ou econômicas, Harper defende que a crise do século III não pode ser plenamente compreendida sem considerar a interação entre natureza e sociedade, deslocando o debate da esfera exclusivamente institucional para um quadro sistêmico mais amplo.</w:t>
      </w:r>
    </w:p>
    <w:p w14:paraId="6774543B" w14:textId="77777777" w:rsidR="00681D00" w:rsidRDefault="00681D00"/>
    <w:p w14:paraId="74D03678" w14:textId="77777777" w:rsidR="00681D00" w:rsidRDefault="00000000">
      <w:pPr>
        <w:ind w:firstLine="0"/>
        <w:rPr>
          <w:b/>
          <w:bCs/>
        </w:rPr>
      </w:pPr>
      <w:r>
        <w:rPr>
          <w:b/>
          <w:bCs/>
        </w:rPr>
        <w:t>Conclusão</w:t>
      </w:r>
    </w:p>
    <w:p w14:paraId="72C68E08" w14:textId="77777777" w:rsidR="00681D00" w:rsidRDefault="00000000">
      <w:r>
        <w:t>A análise historiográfica do chamado “século III” demonstra que o debate contemporâneo não se organiza mais em torno de uma oposição rígida entre crise e continuidade, mas sim em torno da pluralidade de escalas, temporalidades e critérios analíticos mobilizados para compreender o período. A rejeição do termo crise por parte de parte da historiografia inglesa e francesa cumpriu um papel decisivo ao desmontar leituras teleológicas e moralizantes, evidenciando a persistência de instituições, a adaptação administrativa, a diversidade regional e a vitalidade de numerosos contextos provinciais. Ao mesmo tempo, as abordagens que ressignificam o conceito de crise, sem retornar aos modelos clássicos de decadência inevitável, recolocam no centro do debate as perdas acumulativas de capacidade fiscal, militar e produtiva, bem como os impactos conjugados da instabilidade política, das pressões externas e das transformações ambientais e sanitárias.</w:t>
      </w:r>
    </w:p>
    <w:p w14:paraId="4643AD3C" w14:textId="77777777" w:rsidR="00681D00" w:rsidRDefault="00000000">
      <w:r>
        <w:t>Nesse sentido, o século III emerge menos como um momento homogêneo de colapso ou de simples transição e mais como um campo de tensões, no qual resiliência e fragilidade coexistiram de maneira desigual. As leituras que o entendem como laboratório da Antiguidade Tardia destacam a experimentação institucional e a reconfiguração das bases do poder imperial; aquelas que o integram plenamente à Antiguidade Tardia enfatizam a profundidade das rupturas estruturais que já antecipam formas políticas, sociais e culturais do mundo pós-clássico. Assim, o debate historiográfico atual revela que a questão central não é decidir se houve ou não uma crise, mas compreender que tipo de crise, para quem, em que regiões e em que ritmos.</w:t>
      </w:r>
    </w:p>
    <w:p w14:paraId="2D59B908" w14:textId="77777777" w:rsidR="00681D00" w:rsidRDefault="00000000">
      <w:r>
        <w:t xml:space="preserve">Conclui-se, portanto, que o conceito de “crise do século III” permanece heurístico desde que utilizado de forma crítica, relacional e contextualizada. Longe de ser um rótulo explicativo fechado, ele funciona como ferramenta interpretativa para articular mudanças de longa duração, experiências regionais diferenciadas e disputas narrativas entre elites antigas e historiadores modernos. Portanto, torna-se mais complexo as análises historiográficas com a </w:t>
      </w:r>
      <w:r>
        <w:lastRenderedPageBreak/>
        <w:t>absorção de métodos e conceitos de áreas como Antropologia, Sociologia entre outras. Em especial, para a História Antiga é o diálogo com a Arqueologia, Epigrafia e Numismática.</w:t>
      </w:r>
    </w:p>
    <w:p w14:paraId="661C2066" w14:textId="77777777" w:rsidR="00681D00" w:rsidRDefault="00000000">
      <w:r>
        <w:t>Assim é que termos como "decadência", "queda", "ruína" e "crise", outrora onipresentes na historiografia, vêm sendo há algum tempo substituídos pelo conceito de Antiguidade Tardia, que, a despeito de não ser propriamente uma novidade, ainda parece traduzir melhor, em certo sentido, a situação de Roma entre os séculos III e V. Não obstante a importância do conceito de Antiguidade Tardia para o realce e valorização das transformações operadas em Roma na época tardia, despojando-as da sua aura de fatalidade e dissipando a atmosfera trágica e sombria que rondava as monarquias germânicas, erigidas sobre os "escombros" fumegantes de um velho império, é necessário assinalar que o conceito não leva em conta todos os aspectos envolvidos na passagem da Antiguidade à Idade Média, pois, mesmo diante da reelaboração cultural que se produz, e para a qual os influxos germânicos e cristãos foram determinantes, subsiste o fato de que o Império Romano do Ocidente, em termos políticos e econômicos, passou por um processo de dissolução irreversível, o que assinala uma perda evidente de complexidade social ou, dito em outros termos, de colapso, expresso pela incapacidade de o sistema imperial romano.</w:t>
      </w:r>
    </w:p>
    <w:p w14:paraId="6013E79B" w14:textId="77777777" w:rsidR="00681D00" w:rsidRDefault="00000000">
      <w:r>
        <w:t>Uma realidade como essa não é descrita pelo conceito de Antiguidade Tardia, que, ao enfatizar a originalidade das mudanças ocorridas a partir do século III e a sua conexão com o passado clássico, não explica as razões pelas quais um mundo tão pulsante e criativo experimentou uma fragmentação tão intensa no decorrer do século V. Em face disso é que alguns autores contemporâneos têm se dedicado a revisitar o tema da "queda" do Império Romano sob outra perspectiva, na qual os testemunhos arqueológicos são tratados como protagonistas e não como coadjuvantes da explicação histórica.</w:t>
      </w:r>
    </w:p>
    <w:p w14:paraId="76A91D7E" w14:textId="77777777" w:rsidR="00681D00" w:rsidRDefault="00000000">
      <w:r>
        <w:t>Portanto, assim como os conceitos de Alto e Baixo Império caíram em desuso por sua lógica de ascensão e queda, e o de crise foi reformulado para transformações e mutações, os novos conceitos como Antiguidade Tardia também é contestado por sua ênfase nas permanências e transformações, relativizando os conflitos dramáticos que levaram a dissolução do Império Romano do Ocidente. Concordando com grande parcela da historiografia brasileira, o conceito de Antiguidade Tardia ainda nos parece beneficiar a análise do período englobando realidades sociais e culturais, além das tradicionais áreas da política e economia. E por fim, tal como Hobsbawn intitula o século XX de breve século, talvez possamos caracterizar o período conhecido tradicionalmente como crise ou anarquia, por breve século III (Silva, 2017).</w:t>
      </w:r>
    </w:p>
    <w:p w14:paraId="50DD5219" w14:textId="77777777" w:rsidR="00681D00" w:rsidRDefault="00000000">
      <w:r>
        <w:br w:type="page"/>
      </w:r>
    </w:p>
    <w:p w14:paraId="55A37581" w14:textId="77777777" w:rsidR="00681D00" w:rsidRDefault="00000000">
      <w:pPr>
        <w:pStyle w:val="Ttulo1"/>
        <w:rPr>
          <w:b w:val="0"/>
          <w:bCs w:val="0"/>
        </w:rPr>
      </w:pPr>
      <w:bookmarkStart w:id="8" w:name="_ynrso0l9vng5" w:colFirst="0" w:colLast="0"/>
      <w:bookmarkEnd w:id="8"/>
      <w:r>
        <w:lastRenderedPageBreak/>
        <w:t xml:space="preserve">INFRAESTRUTURAS FILOLÓGICAS INTELIGENTES: uma Análise Comparativa do </w:t>
      </w:r>
      <w:proofErr w:type="spellStart"/>
      <w:r>
        <w:rPr>
          <w:i/>
          <w:iCs/>
        </w:rPr>
        <w:t>Plinius</w:t>
      </w:r>
      <w:proofErr w:type="spellEnd"/>
      <w:r>
        <w:rPr>
          <w:i/>
          <w:iCs/>
        </w:rPr>
        <w:t xml:space="preserve"> Scriptorium </w:t>
      </w:r>
      <w:r>
        <w:t xml:space="preserve">e do CPEP no Estudo do Corpus </w:t>
      </w:r>
      <w:proofErr w:type="spellStart"/>
      <w:r>
        <w:t>Pliniano</w:t>
      </w:r>
      <w:proofErr w:type="spellEnd"/>
    </w:p>
    <w:p w14:paraId="7ADFA955" w14:textId="77777777" w:rsidR="00681D00" w:rsidRDefault="00681D00">
      <w:pPr>
        <w:ind w:firstLine="0"/>
        <w:rPr>
          <w:b/>
          <w:bCs/>
        </w:rPr>
      </w:pPr>
    </w:p>
    <w:p w14:paraId="7170090D" w14:textId="27C023DF" w:rsidR="00681D00" w:rsidRDefault="004947EA">
      <w:pPr>
        <w:jc w:val="right"/>
      </w:pPr>
      <w:r>
        <w:t xml:space="preserve">Andrea Lucia </w:t>
      </w:r>
      <w:proofErr w:type="spellStart"/>
      <w:r>
        <w:t>Dorini</w:t>
      </w:r>
      <w:proofErr w:type="spellEnd"/>
      <w:r>
        <w:t xml:space="preserve"> de Oliveira Carvalho Rossi</w:t>
      </w:r>
    </w:p>
    <w:p w14:paraId="00F86339" w14:textId="09F9F561" w:rsidR="004947EA" w:rsidRDefault="004947EA">
      <w:pPr>
        <w:jc w:val="right"/>
        <w:rPr>
          <w:b/>
          <w:bCs/>
        </w:rPr>
      </w:pPr>
      <w:r>
        <w:t>UNESP-Assis/SP</w:t>
      </w:r>
    </w:p>
    <w:p w14:paraId="72183C91" w14:textId="77777777" w:rsidR="00681D00" w:rsidRDefault="00681D00">
      <w:pPr>
        <w:ind w:firstLine="0"/>
        <w:rPr>
          <w:b/>
          <w:bCs/>
        </w:rPr>
      </w:pPr>
    </w:p>
    <w:p w14:paraId="26D888D4" w14:textId="77777777" w:rsidR="00681D00" w:rsidRDefault="00000000">
      <w:pPr>
        <w:ind w:firstLine="0"/>
        <w:rPr>
          <w:b/>
          <w:bCs/>
        </w:rPr>
      </w:pPr>
      <w:r>
        <w:rPr>
          <w:b/>
          <w:bCs/>
        </w:rPr>
        <w:t>Introdução</w:t>
      </w:r>
    </w:p>
    <w:p w14:paraId="5C05F41F" w14:textId="77777777" w:rsidR="00681D00" w:rsidRDefault="00000000">
      <w:r>
        <w:t xml:space="preserve">O corpus </w:t>
      </w:r>
      <w:proofErr w:type="spellStart"/>
      <w:r>
        <w:t>pliniano</w:t>
      </w:r>
      <w:proofErr w:type="spellEnd"/>
      <w:r>
        <w:t xml:space="preserve">, que abrange a monumental </w:t>
      </w:r>
      <w:proofErr w:type="spellStart"/>
      <w:r>
        <w:t>Naturalis</w:t>
      </w:r>
      <w:proofErr w:type="spellEnd"/>
      <w:r>
        <w:t xml:space="preserve"> </w:t>
      </w:r>
      <w:proofErr w:type="spellStart"/>
      <w:proofErr w:type="gramStart"/>
      <w:r>
        <w:t>Historia</w:t>
      </w:r>
      <w:proofErr w:type="spellEnd"/>
      <w:proofErr w:type="gramEnd"/>
      <w:r>
        <w:t xml:space="preserve"> de Plínio, o Velho, e a refinada obra epistolar e panegírica de seu sobrinho, Plínio, o Jovem, constitui um dos mais ricos e complexos conjuntos documentais para a compreensão do Alto Império Romano. A análise dialógica dessas duas obras oferece uma visão multifacetada da sociedade, da cultura letrada e do poder imperial, mas, simultaneamente, impõe desafios metodológicos significativos à filologia clássica e à historiografia contemporânea. É nesse contexto de crescente complexidade e renovação metodológica que as Humanidades Digitais emergem como um campo promissor, oferecendo novas abordagens para a exploração e interpretação de vastos acervos textuais.</w:t>
      </w:r>
    </w:p>
    <w:p w14:paraId="6B73318F" w14:textId="77777777" w:rsidR="00681D00" w:rsidRDefault="00000000">
      <w:r>
        <w:t xml:space="preserve">É neste cenário de transformação metodológica que o presente artigo se insere. Nosso objetivo central é analisar a formação de um ecossistema filológico inteligente, concebido para enfrentar a complexidade inerente ao estudo do </w:t>
      </w:r>
      <w:r>
        <w:rPr>
          <w:i/>
          <w:iCs/>
        </w:rPr>
        <w:t xml:space="preserve">corpus </w:t>
      </w:r>
      <w:proofErr w:type="spellStart"/>
      <w:r>
        <w:rPr>
          <w:i/>
          <w:iCs/>
        </w:rPr>
        <w:t>pliniano</w:t>
      </w:r>
      <w:proofErr w:type="spellEnd"/>
      <w:r>
        <w:t xml:space="preserve">. Este ecossistema se fundamenta na interação sinérgica entre duas infraestruturas digitais complementares: o </w:t>
      </w:r>
      <w:proofErr w:type="spellStart"/>
      <w:r>
        <w:rPr>
          <w:i/>
          <w:iCs/>
        </w:rPr>
        <w:t>Plinius</w:t>
      </w:r>
      <w:proofErr w:type="spellEnd"/>
      <w:r>
        <w:rPr>
          <w:i/>
          <w:iCs/>
        </w:rPr>
        <w:t xml:space="preserve"> Scriptorium, </w:t>
      </w:r>
      <w:r>
        <w:t xml:space="preserve">um modelo teórico-operacional que integra agentes de inteligência artificial generativa treinados para análise e heurística documental, e o Centro de Pesquisas e Estudos </w:t>
      </w:r>
      <w:proofErr w:type="spellStart"/>
      <w:r>
        <w:t>Plinianos</w:t>
      </w:r>
      <w:proofErr w:type="spellEnd"/>
      <w:r>
        <w:t xml:space="preserve"> (CPEP), um grupo de pesquisa cuja produção resultou em uma robusta infraestrutura de conhecimento humano-curada, materializada em seu repositório digital.</w:t>
      </w:r>
    </w:p>
    <w:p w14:paraId="3D413528" w14:textId="77777777" w:rsidR="00681D00" w:rsidRDefault="00000000">
      <w:r>
        <w:t xml:space="preserve">Argumentamos que a convergência entre a </w:t>
      </w:r>
      <w:r>
        <w:rPr>
          <w:i/>
          <w:iCs/>
        </w:rPr>
        <w:t>inteligência curatorial</w:t>
      </w:r>
      <w:r>
        <w:t xml:space="preserve"> rigorosa do CPEP e a </w:t>
      </w:r>
      <w:r>
        <w:rPr>
          <w:i/>
          <w:iCs/>
        </w:rPr>
        <w:t>inteligência computacional</w:t>
      </w:r>
      <w:r>
        <w:t xml:space="preserve"> expressa na capacidade de processamento em larga escala e heurística do </w:t>
      </w:r>
      <w:proofErr w:type="spellStart"/>
      <w:r>
        <w:rPr>
          <w:i/>
          <w:iCs/>
        </w:rPr>
        <w:t>Plinius</w:t>
      </w:r>
      <w:proofErr w:type="spellEnd"/>
      <w:r>
        <w:rPr>
          <w:i/>
          <w:iCs/>
        </w:rPr>
        <w:t xml:space="preserve"> Scriptorium</w:t>
      </w:r>
      <w:r>
        <w:t xml:space="preserve"> não apenas otimiza a pesquisa, mas inaugura um novo paradigma para as Humanidades Digitais. Neste paradigma, a colaboração entre a </w:t>
      </w:r>
      <w:r>
        <w:rPr>
          <w:i/>
          <w:iCs/>
        </w:rPr>
        <w:t>expertise</w:t>
      </w:r>
      <w:r>
        <w:t xml:space="preserve"> humana e a capacidade analítica da inteligência artificial potencializa a produção de conhecimento, transformando repositórios estáticos em dinâmicos laboratórios digitais. Contudo, a implementação e a plena realização de tal ecossistema não estão isentas de desafios técnicos, institucionais e, fundamentalmente, epistemológicos, os quais serão discutidos em profundidade nas seções finais deste artigo.</w:t>
      </w:r>
    </w:p>
    <w:p w14:paraId="09A12344" w14:textId="77777777" w:rsidR="00681D00" w:rsidRDefault="00000000">
      <w:r>
        <w:t xml:space="preserve">Para desenvolver esta tese, o percurso argumentativo do artigo está estruturado da seguinte forma: inicialmente, contextualizamos o debate sobre a aplicação de inteligência artificial nas Humanidades Digitais e a reconfiguração da filologia clássica. Em seguida, exploramos a arquitetura técnica e conceitual do </w:t>
      </w:r>
      <w:proofErr w:type="spellStart"/>
      <w:r>
        <w:rPr>
          <w:i/>
          <w:iCs/>
        </w:rPr>
        <w:t>Plinius</w:t>
      </w:r>
      <w:proofErr w:type="spellEnd"/>
      <w:r>
        <w:rPr>
          <w:i/>
          <w:iCs/>
        </w:rPr>
        <w:t xml:space="preserve"> Scriptorium</w:t>
      </w:r>
      <w:r>
        <w:t xml:space="preserve"> como um </w:t>
      </w:r>
      <w:r>
        <w:rPr>
          <w:i/>
          <w:iCs/>
        </w:rPr>
        <w:t>framework</w:t>
      </w:r>
      <w:r>
        <w:t xml:space="preserve"> analítico para ecossistemas filológicos. A terceira seção é dedicada a detalhar a missão acadêmica e a infraestrutura digital do CPEP. Posteriormente, aprofundamos a análise comparativa, focando nas convergências e complementaridades metodológicas entre as duas plataformas, e as situamos em diálogo com iniciativas internacionais proeminentes. Por fim, a conclusão sintetiza como este ecossistema integrado contribui para uma abordagem mais holística e digitalmente informada dos estudos </w:t>
      </w:r>
      <w:proofErr w:type="spellStart"/>
      <w:r>
        <w:t>plinianos</w:t>
      </w:r>
      <w:proofErr w:type="spellEnd"/>
      <w:r>
        <w:t>, apontando caminhos para futuras pesquisas e reflexões sobre os desafios epistemológicos da pesquisa histórica digital.</w:t>
      </w:r>
    </w:p>
    <w:p w14:paraId="05D2921E" w14:textId="77777777" w:rsidR="00681D00" w:rsidRDefault="00681D00"/>
    <w:p w14:paraId="7A3C3507" w14:textId="77777777" w:rsidR="00681D00" w:rsidRDefault="00000000">
      <w:pPr>
        <w:ind w:firstLine="0"/>
        <w:rPr>
          <w:b/>
          <w:bCs/>
        </w:rPr>
      </w:pPr>
      <w:r>
        <w:rPr>
          <w:b/>
          <w:bCs/>
        </w:rPr>
        <w:t>1. As Humanidades Digitais e a Reconfiguração da Filologia Clássica</w:t>
      </w:r>
    </w:p>
    <w:p w14:paraId="72CB4D38" w14:textId="77777777" w:rsidR="00681D00" w:rsidRDefault="00000000">
      <w:pPr>
        <w:pStyle w:val="Ttulo1"/>
        <w:ind w:firstLine="850"/>
        <w:jc w:val="both"/>
      </w:pPr>
      <w:r>
        <w:t xml:space="preserve"> </w:t>
      </w:r>
    </w:p>
    <w:p w14:paraId="7C5E4AF6" w14:textId="77777777" w:rsidR="00681D00" w:rsidRDefault="00000000">
      <w:r>
        <w:t xml:space="preserve">A gênese das Humanidades Digitais (HD), embora o termo seja mais recente, remonta a meados do século XX. O marco fundacional é frequentemente atribuído ao trabalho do padre jesuíta Roberto </w:t>
      </w:r>
      <w:proofErr w:type="spellStart"/>
      <w:r>
        <w:t>Busa</w:t>
      </w:r>
      <w:proofErr w:type="spellEnd"/>
      <w:r>
        <w:t xml:space="preserve">, que, a partir de 1949, iniciou o projeto do </w:t>
      </w:r>
      <w:r>
        <w:rPr>
          <w:i/>
          <w:iCs/>
        </w:rPr>
        <w:t xml:space="preserve">Index </w:t>
      </w:r>
      <w:proofErr w:type="spellStart"/>
      <w:r>
        <w:rPr>
          <w:i/>
          <w:iCs/>
        </w:rPr>
        <w:t>Thomisticus</w:t>
      </w:r>
      <w:proofErr w:type="spellEnd"/>
      <w:r>
        <w:t xml:space="preserve">, uma ambiciosa concordância lematizada da obra de Tomás de Aquino. Este esforço monumental, que envolveu a colaboração com a IBM, é considerado "o evento que marca o início das humanidades digitais" (SCHREIBMAN; SIEMENS; UNSWORTH, 2004, p. </w:t>
      </w:r>
      <w:proofErr w:type="spellStart"/>
      <w:r>
        <w:t>xvii</w:t>
      </w:r>
      <w:proofErr w:type="spellEnd"/>
      <w:r>
        <w:t>), pois demonstrou pela primeira vez a viabilidade de aplicar métodos computacionais à análise de textos complexos em larga escala.</w:t>
      </w:r>
    </w:p>
    <w:p w14:paraId="486EB5AE" w14:textId="77777777" w:rsidR="00681D00" w:rsidRDefault="00000000">
      <w:r>
        <w:t>A transição do que era conhecido como "Humanidades Computacionais" (</w:t>
      </w:r>
      <w:proofErr w:type="spellStart"/>
      <w:r>
        <w:rPr>
          <w:i/>
          <w:iCs/>
        </w:rPr>
        <w:t>Humanities</w:t>
      </w:r>
      <w:proofErr w:type="spellEnd"/>
      <w:r>
        <w:rPr>
          <w:i/>
          <w:iCs/>
        </w:rPr>
        <w:t xml:space="preserve"> </w:t>
      </w:r>
      <w:proofErr w:type="spellStart"/>
      <w:r>
        <w:rPr>
          <w:i/>
          <w:iCs/>
        </w:rPr>
        <w:t>Computing</w:t>
      </w:r>
      <w:proofErr w:type="spellEnd"/>
      <w:r>
        <w:t xml:space="preserve">) para o campo mais amplo das "Humanidades Digitais" representou mais do que uma mudança de nomenclatura; foi uma evolução conceitual. Willard </w:t>
      </w:r>
      <w:proofErr w:type="spellStart"/>
      <w:r>
        <w:t>McCarty</w:t>
      </w:r>
      <w:proofErr w:type="spellEnd"/>
      <w:r>
        <w:t xml:space="preserve"> (2005), um dos principais teóricos dessa transição, argumenta que o cerne da prática não está no uso de ferramentas digitais como um fim em si, mas na modelagem (</w:t>
      </w:r>
      <w:proofErr w:type="spellStart"/>
      <w:r>
        <w:rPr>
          <w:i/>
          <w:iCs/>
        </w:rPr>
        <w:t>modelling</w:t>
      </w:r>
      <w:proofErr w:type="spellEnd"/>
      <w:r>
        <w:t xml:space="preserve">). Para </w:t>
      </w:r>
      <w:proofErr w:type="spellStart"/>
      <w:r>
        <w:t>McCarty</w:t>
      </w:r>
      <w:proofErr w:type="spellEnd"/>
      <w:r>
        <w:t>, a modelagem é "o processo heurístico de construir e manipular modelos de nossas questões de pesquisa" (MCCARTY, 2005, p. 24), transformando o computador em um laboratório para testar interpretações e explorar ambiguidades inerentes aos objetos de estudo das humanidades.</w:t>
      </w:r>
    </w:p>
    <w:p w14:paraId="5A3CA6DB" w14:textId="77777777" w:rsidR="00681D00" w:rsidRDefault="00000000">
      <w:r>
        <w:t xml:space="preserve">Essa perspectiva expandiu o horizonte do campo, que passou a ser visto não apenas como uma área de serviço técnico, mas como um espaço intelectual autônomo. Patrik Svensson (2016) aprofunda essa visão ao propor o conceito de </w:t>
      </w:r>
      <w:r>
        <w:rPr>
          <w:i/>
          <w:iCs/>
        </w:rPr>
        <w:t xml:space="preserve">Big Digital </w:t>
      </w:r>
      <w:proofErr w:type="spellStart"/>
      <w:r>
        <w:rPr>
          <w:i/>
          <w:iCs/>
        </w:rPr>
        <w:t>Humanities</w:t>
      </w:r>
      <w:proofErr w:type="spellEnd"/>
      <w:r>
        <w:t>, um "ponto de encontro" (SVENSSON, 2016, p. 15) que promove a convergência entre as humanidades, as ciências da computação, as bibliotecas e os arquivos. Nesse espaço, a colaboração interdisciplinar e a construção de infraestruturas compartilhadas tornam-se centrais.</w:t>
      </w:r>
    </w:p>
    <w:p w14:paraId="63DA06CF" w14:textId="77777777" w:rsidR="00681D00" w:rsidRDefault="00000000">
      <w:r>
        <w:t>No âmbito dos Estudos Clássicos, essa reconfiguração deu origem à Filologia Digital. Longe de ser uma mera digitalização de práticas tradicionais, a filologia digital repensa a própria natureza da edição e da análise textual.</w:t>
      </w:r>
    </w:p>
    <w:p w14:paraId="3E441894" w14:textId="77777777" w:rsidR="00681D00" w:rsidRDefault="00000000">
      <w:r>
        <w:t xml:space="preserve">Como define Elena </w:t>
      </w:r>
      <w:proofErr w:type="spellStart"/>
      <w:r>
        <w:t>Pierazzo</w:t>
      </w:r>
      <w:proofErr w:type="spellEnd"/>
      <w:r>
        <w:t>, uma edição acadêmica digital não é um produto estático, mas um processo dinâmico:</w:t>
      </w:r>
    </w:p>
    <w:p w14:paraId="556FB663" w14:textId="77777777" w:rsidR="00681D00" w:rsidRDefault="00681D00">
      <w:pPr>
        <w:ind w:left="2267" w:firstLine="0"/>
      </w:pPr>
    </w:p>
    <w:p w14:paraId="39B4DEE3" w14:textId="77777777" w:rsidR="00681D00" w:rsidRDefault="00000000">
      <w:pPr>
        <w:ind w:left="2267" w:firstLine="0"/>
        <w:rPr>
          <w:sz w:val="20"/>
          <w:szCs w:val="20"/>
        </w:rPr>
      </w:pPr>
      <w:r>
        <w:rPr>
          <w:sz w:val="20"/>
          <w:szCs w:val="20"/>
        </w:rPr>
        <w:t>Uma edição acadêmica digital é um paradigma interpretativo e um modelo de um texto ou de um conjunto de textos. Não é uma cópia de um objeto pré-existente, como um livro ou um manuscrito, mas sim uma nova entidade acadêmica, original e autônoma, que deve ser avaliada por seus próprios méritos. (PIERAZZO, 2015, p. 18, tradução nossa).</w:t>
      </w:r>
    </w:p>
    <w:p w14:paraId="6AD78C05" w14:textId="77777777" w:rsidR="00681D00" w:rsidRDefault="00681D00">
      <w:pPr>
        <w:ind w:left="2267" w:firstLine="0"/>
        <w:rPr>
          <w:sz w:val="20"/>
          <w:szCs w:val="20"/>
        </w:rPr>
      </w:pPr>
    </w:p>
    <w:p w14:paraId="6A2388AF" w14:textId="77777777" w:rsidR="00681D00" w:rsidRDefault="00000000">
      <w:r>
        <w:t xml:space="preserve">Essa nova concepção de edição textual é sustentada por infraestruturas de conhecimento (BODARD; MAHDAY, 2010), que integram dados, ferramentas e padrões metodológicos. Projetos como o </w:t>
      </w:r>
      <w:proofErr w:type="spellStart"/>
      <w:r>
        <w:rPr>
          <w:i/>
          <w:iCs/>
        </w:rPr>
        <w:t>Perseus</w:t>
      </w:r>
      <w:proofErr w:type="spellEnd"/>
      <w:r>
        <w:rPr>
          <w:i/>
          <w:iCs/>
        </w:rPr>
        <w:t xml:space="preserve"> Digital Library</w:t>
      </w:r>
      <w:r>
        <w:t xml:space="preserve"> e o </w:t>
      </w:r>
      <w:r>
        <w:rPr>
          <w:i/>
          <w:iCs/>
        </w:rPr>
        <w:t xml:space="preserve">Thesaurus Linguae </w:t>
      </w:r>
      <w:proofErr w:type="spellStart"/>
      <w:r>
        <w:rPr>
          <w:i/>
          <w:iCs/>
        </w:rPr>
        <w:t>Graecae</w:t>
      </w:r>
      <w:proofErr w:type="spellEnd"/>
      <w:r>
        <w:t xml:space="preserve"> (TLG) são exemplos paradigmáticos de como essas infraestruturas podem transformar o acesso e a análise das fontes clássicas. Eles não são apenas repositórios, mas verdadeiros ecossistemas filológicos, onde os textos são enriquecidos com anotações, traduções, análises morfológicas e </w:t>
      </w:r>
      <w:r>
        <w:rPr>
          <w:i/>
          <w:iCs/>
        </w:rPr>
        <w:t>links</w:t>
      </w:r>
      <w:r>
        <w:t xml:space="preserve"> para outros recursos, criando uma rede densa de conhecimento interconectado. </w:t>
      </w:r>
    </w:p>
    <w:p w14:paraId="703F9EED" w14:textId="77777777" w:rsidR="00681D00" w:rsidRDefault="00000000">
      <w:r>
        <w:lastRenderedPageBreak/>
        <w:t xml:space="preserve">Nesse contexto de reconfiguração, é imperativo também explicitar a compreensão de linguagem que permeia a Filologia Digital e, em particular, a emergente Linguística Digital. Longe de se restringir à análise da língua como sistema ou fenômeno cognitivo-social, a Linguística Digital frequentemente aborda a linguagem como um </w:t>
      </w:r>
      <w:r>
        <w:rPr>
          <w:i/>
          <w:iCs/>
        </w:rPr>
        <w:t>dado computável</w:t>
      </w:r>
      <w:r>
        <w:t xml:space="preserve">, passível de processamento em larga escala e análise algorítmica. Essa perspectiva abre caminho para o estudo de novas formas de comunicação digital e para a exploração de padrões linguísticos em </w:t>
      </w:r>
      <w:r>
        <w:rPr>
          <w:i/>
          <w:iCs/>
        </w:rPr>
        <w:t>corpora</w:t>
      </w:r>
      <w:r>
        <w:t xml:space="preserve"> massivos, redefinindo a relação do pesquisador com o objeto linguístico e as ferramentas de investigação. O modelo </w:t>
      </w:r>
      <w:proofErr w:type="spellStart"/>
      <w:r>
        <w:t>Plinius</w:t>
      </w:r>
      <w:proofErr w:type="spellEnd"/>
      <w:r>
        <w:t xml:space="preserve"> Scriptorium, ao integrar ferramentas de Processamento de Linguagem Natural e análise de dados, alinha-se intrinsecamente a essa visão de linguagem como um fenômeno multifacetado e computacionalmente explorável.</w:t>
      </w:r>
    </w:p>
    <w:p w14:paraId="53C0E5E1" w14:textId="77777777" w:rsidR="00681D00" w:rsidRDefault="00000000">
      <w:r>
        <w:t xml:space="preserve">Para que esses ecossistemas funcionem de maneira colaborativa e sustentável, a </w:t>
      </w:r>
      <w:r>
        <w:rPr>
          <w:i/>
          <w:iCs/>
        </w:rPr>
        <w:t>interoperabilidade</w:t>
      </w:r>
      <w:r>
        <w:t xml:space="preserve"> é um princípio técnico e metodológico indispensável. Ela se refere à capacidade de diferentes sistemas, ferramentas e conjuntos de dados "se comunicarem" e trocarem informações de forma padronizada e eficiente. Padrões como a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(TEI) são fundamentais para garantir essa interoperabilidade, permitindo que um texto codificado em um projeto possa ser compreendido, reutilizado e enriquecido por outros pesquisadores e sistemas. A interoperabilidade, portanto, é um critério fundamental para a avaliação da maturidade e do potencial de colaboração de uma infraestrutura filológica digital, distinguindo projetos isolados de contribuições duradouras para a comunidade acadêmica global.</w:t>
      </w:r>
    </w:p>
    <w:p w14:paraId="2A3FC547" w14:textId="77777777" w:rsidR="00681D00" w:rsidRDefault="00000000">
      <w:r>
        <w:t xml:space="preserve">A garantia da interoperabilidade em infraestruturas filológicas digitais repousa, em grande medida, na adoção de um padrão consensual: a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(TEI). Mais do que um simples formato, a TEI é um conjunto robusto de diretrizes que utiliza a linguagem XML para aplicar uma "marcação" semântica ao texto, descrevendo sua estrutura e significado em vez de apenas sua aparência visual. O processo de codificação consiste em inserir etiquetas (</w:t>
      </w:r>
      <w:proofErr w:type="spellStart"/>
      <w:r>
        <w:t>tags</w:t>
      </w:r>
      <w:proofErr w:type="spellEnd"/>
      <w:r>
        <w:t>) que explicitam a função de cada elemento textual, transformando o documento em uma base de dados legível por máquina.</w:t>
      </w:r>
    </w:p>
    <w:p w14:paraId="6B7FF4C8" w14:textId="77777777" w:rsidR="00681D00" w:rsidRDefault="00000000">
      <w:r>
        <w:t xml:space="preserve">Por exemplo, uma simples frase como "O historiador Fábio </w:t>
      </w:r>
      <w:proofErr w:type="spellStart"/>
      <w:r>
        <w:t>Pictor</w:t>
      </w:r>
      <w:proofErr w:type="spellEnd"/>
      <w:r>
        <w:t xml:space="preserve"> relata que a primeira estátua foi erguida em Roma" seria enriquecida no padrão TEI da seguinte forma:</w:t>
      </w:r>
    </w:p>
    <w:p w14:paraId="26DE7B25" w14:textId="77777777" w:rsidR="00681D00" w:rsidRDefault="00681D00">
      <w:pPr>
        <w:ind w:left="2267" w:firstLine="0"/>
      </w:pPr>
    </w:p>
    <w:p w14:paraId="4026EFDE" w14:textId="77777777" w:rsidR="00681D00" w:rsidRDefault="00000000">
      <w:pPr>
        <w:ind w:left="2267" w:firstLine="0"/>
        <w:rPr>
          <w:sz w:val="20"/>
          <w:szCs w:val="20"/>
        </w:rPr>
      </w:pPr>
      <w:r>
        <w:rPr>
          <w:sz w:val="20"/>
          <w:szCs w:val="20"/>
        </w:rPr>
        <w:t>O historiador &lt;</w:t>
      </w:r>
      <w:proofErr w:type="spellStart"/>
      <w:r>
        <w:rPr>
          <w:color w:val="D86DCB"/>
          <w:sz w:val="20"/>
          <w:szCs w:val="20"/>
        </w:rPr>
        <w:t>persName</w:t>
      </w:r>
      <w:proofErr w:type="spellEnd"/>
      <w:r>
        <w:rPr>
          <w:sz w:val="20"/>
          <w:szCs w:val="20"/>
        </w:rPr>
        <w:t xml:space="preserve"> </w:t>
      </w:r>
      <w:proofErr w:type="spellStart"/>
      <w:r>
        <w:rPr>
          <w:color w:val="3A7C22"/>
          <w:sz w:val="20"/>
          <w:szCs w:val="20"/>
        </w:rPr>
        <w:t>ref</w:t>
      </w:r>
      <w:proofErr w:type="spellEnd"/>
      <w:r>
        <w:rPr>
          <w:sz w:val="20"/>
          <w:szCs w:val="20"/>
        </w:rPr>
        <w:t>="</w:t>
      </w:r>
      <w:r>
        <w:rPr>
          <w:color w:val="FFC000"/>
          <w:sz w:val="20"/>
          <w:szCs w:val="20"/>
        </w:rPr>
        <w:t xml:space="preserve">[URI para Fábio </w:t>
      </w:r>
      <w:proofErr w:type="spellStart"/>
      <w:r>
        <w:rPr>
          <w:color w:val="FFC000"/>
          <w:sz w:val="20"/>
          <w:szCs w:val="20"/>
        </w:rPr>
        <w:t>Pictor</w:t>
      </w:r>
      <w:proofErr w:type="spellEnd"/>
      <w:r>
        <w:rPr>
          <w:color w:val="FFC000"/>
          <w:sz w:val="20"/>
          <w:szCs w:val="20"/>
        </w:rPr>
        <w:t>]</w:t>
      </w:r>
      <w:r>
        <w:rPr>
          <w:sz w:val="20"/>
          <w:szCs w:val="20"/>
        </w:rPr>
        <w:t xml:space="preserve">"&gt;Fábio </w:t>
      </w:r>
      <w:proofErr w:type="spellStart"/>
      <w:r>
        <w:rPr>
          <w:sz w:val="20"/>
          <w:szCs w:val="20"/>
        </w:rPr>
        <w:t>Pictor</w:t>
      </w:r>
      <w:proofErr w:type="spellEnd"/>
      <w:r>
        <w:rPr>
          <w:sz w:val="20"/>
          <w:szCs w:val="20"/>
        </w:rPr>
        <w:t>&lt;</w:t>
      </w:r>
      <w:r>
        <w:rPr>
          <w:color w:val="D86DCB"/>
          <w:sz w:val="20"/>
          <w:szCs w:val="20"/>
        </w:rPr>
        <w:t>/</w:t>
      </w:r>
      <w:proofErr w:type="spellStart"/>
      <w:r>
        <w:rPr>
          <w:color w:val="D86DCB"/>
          <w:sz w:val="20"/>
          <w:szCs w:val="20"/>
        </w:rPr>
        <w:t>persName</w:t>
      </w:r>
      <w:proofErr w:type="spellEnd"/>
      <w:r>
        <w:rPr>
          <w:sz w:val="20"/>
          <w:szCs w:val="20"/>
        </w:rPr>
        <w:t>&gt; relata que a primeira estátua foi erguida em &lt;</w:t>
      </w:r>
      <w:proofErr w:type="spellStart"/>
      <w:r>
        <w:rPr>
          <w:color w:val="D86DCB"/>
          <w:sz w:val="20"/>
          <w:szCs w:val="20"/>
        </w:rPr>
        <w:t>placeName</w:t>
      </w:r>
      <w:proofErr w:type="spellEnd"/>
      <w:r>
        <w:rPr>
          <w:color w:val="D86DCB"/>
          <w:sz w:val="20"/>
          <w:szCs w:val="20"/>
        </w:rPr>
        <w:t xml:space="preserve"> </w:t>
      </w:r>
      <w:proofErr w:type="spellStart"/>
      <w:r>
        <w:rPr>
          <w:color w:val="3A7C22"/>
          <w:sz w:val="20"/>
          <w:szCs w:val="20"/>
        </w:rPr>
        <w:t>ref</w:t>
      </w:r>
      <w:proofErr w:type="spellEnd"/>
      <w:r>
        <w:rPr>
          <w:sz w:val="20"/>
          <w:szCs w:val="20"/>
        </w:rPr>
        <w:t>="</w:t>
      </w:r>
      <w:r>
        <w:rPr>
          <w:color w:val="FFC000"/>
          <w:sz w:val="20"/>
          <w:szCs w:val="20"/>
        </w:rPr>
        <w:t>[URI para Roma]</w:t>
      </w:r>
      <w:r>
        <w:rPr>
          <w:sz w:val="20"/>
          <w:szCs w:val="20"/>
        </w:rPr>
        <w:t>"&gt;Roma&lt;</w:t>
      </w:r>
      <w:r>
        <w:rPr>
          <w:color w:val="D86DCB"/>
          <w:sz w:val="20"/>
          <w:szCs w:val="20"/>
        </w:rPr>
        <w:t>/</w:t>
      </w:r>
      <w:proofErr w:type="spellStart"/>
      <w:r>
        <w:rPr>
          <w:color w:val="D86DCB"/>
          <w:sz w:val="20"/>
          <w:szCs w:val="20"/>
        </w:rPr>
        <w:t>placeName</w:t>
      </w:r>
      <w:proofErr w:type="spellEnd"/>
      <w:r>
        <w:rPr>
          <w:sz w:val="20"/>
          <w:szCs w:val="20"/>
        </w:rPr>
        <w:t>&gt;.</w:t>
      </w:r>
    </w:p>
    <w:p w14:paraId="30CCDEAF" w14:textId="77777777" w:rsidR="00681D00" w:rsidRDefault="00681D00">
      <w:pPr>
        <w:ind w:left="2267" w:firstLine="0"/>
        <w:rPr>
          <w:sz w:val="20"/>
          <w:szCs w:val="20"/>
        </w:rPr>
      </w:pPr>
    </w:p>
    <w:p w14:paraId="3E879A8B" w14:textId="77777777" w:rsidR="00681D00" w:rsidRDefault="00000000">
      <w:pPr>
        <w:ind w:firstLine="720"/>
      </w:pPr>
      <w:r>
        <w:t>Neste exemplo, as etiquetas (</w:t>
      </w:r>
      <w:proofErr w:type="spellStart"/>
      <w:r>
        <w:t>tags</w:t>
      </w:r>
      <w:proofErr w:type="spellEnd"/>
      <w:r>
        <w:t xml:space="preserve">) </w:t>
      </w:r>
      <w:r>
        <w:rPr>
          <w:color w:val="D86DCB"/>
        </w:rPr>
        <w:t>&lt;</w:t>
      </w:r>
      <w:proofErr w:type="spellStart"/>
      <w:r>
        <w:rPr>
          <w:color w:val="D86DCB"/>
        </w:rPr>
        <w:t>persName</w:t>
      </w:r>
      <w:proofErr w:type="spellEnd"/>
      <w:r>
        <w:rPr>
          <w:color w:val="D86DCB"/>
        </w:rPr>
        <w:t xml:space="preserve">&gt; </w:t>
      </w:r>
      <w:r>
        <w:t xml:space="preserve">e </w:t>
      </w:r>
      <w:r>
        <w:rPr>
          <w:color w:val="D86DCB"/>
        </w:rPr>
        <w:t>&lt;</w:t>
      </w:r>
      <w:proofErr w:type="spellStart"/>
      <w:r>
        <w:rPr>
          <w:color w:val="D86DCB"/>
        </w:rPr>
        <w:t>placeName</w:t>
      </w:r>
      <w:proofErr w:type="spellEnd"/>
      <w:r>
        <w:rPr>
          <w:color w:val="D86DCB"/>
        </w:rPr>
        <w:t xml:space="preserve">&gt; </w:t>
      </w:r>
      <w:r>
        <w:t xml:space="preserve">não apenas identificam um nome de pessoa e um lugar, mas o atributo </w:t>
      </w:r>
      <w:proofErr w:type="spellStart"/>
      <w:r>
        <w:rPr>
          <w:i/>
          <w:iCs/>
          <w:color w:val="3A7C22"/>
        </w:rPr>
        <w:t>ref</w:t>
      </w:r>
      <w:proofErr w:type="spellEnd"/>
      <w:r>
        <w:rPr>
          <w:i/>
          <w:iCs/>
          <w:color w:val="3A7C22"/>
        </w:rPr>
        <w:t xml:space="preserve"> </w:t>
      </w:r>
      <w:r>
        <w:t>pode vinculá-los a um identificador único (</w:t>
      </w:r>
      <w:r>
        <w:rPr>
          <w:color w:val="FFC000"/>
        </w:rPr>
        <w:t>URI</w:t>
      </w:r>
      <w:r>
        <w:t>) em uma base de dados externa, como o</w:t>
      </w:r>
      <w:hyperlink r:id="rId10">
        <w:r w:rsidR="00681D00">
          <w:t xml:space="preserve"> </w:t>
        </w:r>
      </w:hyperlink>
      <w:hyperlink r:id="rId11">
        <w:r w:rsidR="00681D00">
          <w:rPr>
            <w:color w:val="1155CC"/>
            <w:u w:val="single"/>
          </w:rPr>
          <w:t>pleiades.stoa.org</w:t>
        </w:r>
      </w:hyperlink>
      <w:r>
        <w:t xml:space="preserve"> para lugares antigos. Essa granularidade converte o texto de uma sequência estática de caracteres em uma rede de dados interconectados, garantindo sua preservação a longo prazo e permitindo análises complexas que são o cerne das Humanidades Digitais.</w:t>
      </w:r>
    </w:p>
    <w:p w14:paraId="73409E76" w14:textId="77777777" w:rsidR="00681D00" w:rsidRDefault="00681D00">
      <w:pPr>
        <w:ind w:firstLine="0"/>
        <w:rPr>
          <w:b/>
          <w:bCs/>
        </w:rPr>
      </w:pPr>
    </w:p>
    <w:p w14:paraId="110BF826" w14:textId="77777777" w:rsidR="00681D00" w:rsidRDefault="00000000">
      <w:pPr>
        <w:ind w:firstLine="0"/>
        <w:rPr>
          <w:b/>
          <w:bCs/>
          <w:i/>
          <w:iCs/>
        </w:rPr>
      </w:pPr>
      <w:r>
        <w:rPr>
          <w:b/>
          <w:bCs/>
        </w:rPr>
        <w:t xml:space="preserve">2. Um Framework Analítico para Ecossistemas Filológicos: o Modelo </w:t>
      </w:r>
      <w:proofErr w:type="spellStart"/>
      <w:r>
        <w:rPr>
          <w:b/>
          <w:bCs/>
          <w:i/>
          <w:iCs/>
        </w:rPr>
        <w:t>Plinius</w:t>
      </w:r>
      <w:proofErr w:type="spellEnd"/>
      <w:r>
        <w:rPr>
          <w:b/>
          <w:bCs/>
          <w:i/>
          <w:iCs/>
        </w:rPr>
        <w:t xml:space="preserve"> Scriptorium</w:t>
      </w:r>
    </w:p>
    <w:p w14:paraId="133B9735" w14:textId="77777777" w:rsidR="00681D00" w:rsidRDefault="00000000">
      <w:pPr>
        <w:ind w:firstLine="720"/>
      </w:pPr>
      <w:r>
        <w:t xml:space="preserve">A avaliação de ecossistemas filológicos digitais, como o </w:t>
      </w:r>
      <w:proofErr w:type="spellStart"/>
      <w:r>
        <w:rPr>
          <w:i/>
          <w:iCs/>
        </w:rPr>
        <w:t>Plinius</w:t>
      </w:r>
      <w:proofErr w:type="spellEnd"/>
      <w:r>
        <w:rPr>
          <w:i/>
          <w:iCs/>
        </w:rPr>
        <w:t xml:space="preserve"> Scriptorium</w:t>
      </w:r>
      <w:r>
        <w:t xml:space="preserve">, demanda um arcabouço analítico que transcenda a mera descrição de funcionalidades. Tais plataformas </w:t>
      </w:r>
      <w:r>
        <w:lastRenderedPageBreak/>
        <w:t>não são repositórios neutros de dados, mas "infraestruturas de conhecimento" que moldam ativamente as práticas de pesquisa e as formas de interpretação (DRUCKER, 2014). Nesse sentido, a análise deve investigar a arquitetura conceitual que sustenta o ecossistema, examinando como suas escolhas técnicas, metodológicas e teóricas se alinham aos debates contemporâneos da filologia digital e da historiografia. A transição do arquivo estático para o ambiente digital dinâmico representa uma mudança fundamental na prática historiográfica, exigindo novas formas de crítica e validação (ROSENZWEIG, 2011).</w:t>
      </w:r>
    </w:p>
    <w:p w14:paraId="70249814" w14:textId="77777777" w:rsidR="00681D00" w:rsidRDefault="00000000">
      <w:pPr>
        <w:ind w:firstLine="720"/>
      </w:pPr>
      <w:r>
        <w:t xml:space="preserve">O modelo teórico-operacional </w:t>
      </w:r>
      <w:proofErr w:type="spellStart"/>
      <w:r>
        <w:rPr>
          <w:i/>
          <w:iCs/>
        </w:rPr>
        <w:t>Plinius</w:t>
      </w:r>
      <w:proofErr w:type="spellEnd"/>
      <w:r>
        <w:rPr>
          <w:i/>
          <w:iCs/>
        </w:rPr>
        <w:t xml:space="preserve"> Scriptorium</w:t>
      </w:r>
      <w:r>
        <w:t xml:space="preserve">, aqui detalhado, não se restringe ao plano conceitual, encontrando sua materialização em agentes de inteligência artificial generativa, como o GPT </w:t>
      </w:r>
      <w:proofErr w:type="spellStart"/>
      <w:r>
        <w:rPr>
          <w:i/>
          <w:iCs/>
        </w:rPr>
        <w:t>Plinius</w:t>
      </w:r>
      <w:proofErr w:type="spellEnd"/>
      <w:r>
        <w:rPr>
          <w:i/>
          <w:iCs/>
        </w:rPr>
        <w:t xml:space="preserve"> Scriptorium</w:t>
      </w:r>
      <w:r>
        <w:t xml:space="preserve"> disponível na OpenAI </w:t>
      </w:r>
      <w:proofErr w:type="spellStart"/>
      <w:r>
        <w:t>GPTs</w:t>
      </w:r>
      <w:proofErr w:type="spellEnd"/>
      <w:r>
        <w:t xml:space="preserve"> e o expert </w:t>
      </w:r>
      <w:proofErr w:type="spellStart"/>
      <w:r>
        <w:rPr>
          <w:i/>
          <w:iCs/>
        </w:rPr>
        <w:t>Plinius</w:t>
      </w:r>
      <w:proofErr w:type="spellEnd"/>
      <w:r>
        <w:rPr>
          <w:i/>
          <w:iCs/>
        </w:rPr>
        <w:t xml:space="preserve"> Scriptorium</w:t>
      </w:r>
      <w:r>
        <w:t xml:space="preserve"> no </w:t>
      </w:r>
      <w:proofErr w:type="gramStart"/>
      <w:r>
        <w:t>hub Adapta/</w:t>
      </w:r>
      <w:proofErr w:type="spellStart"/>
      <w:r>
        <w:t>One</w:t>
      </w:r>
      <w:proofErr w:type="spellEnd"/>
      <w:proofErr w:type="gramEnd"/>
      <w:r>
        <w:t xml:space="preserve"> </w:t>
      </w:r>
      <w:proofErr w:type="gramStart"/>
      <w:r>
        <w:t>Pro, que</w:t>
      </w:r>
      <w:proofErr w:type="gramEnd"/>
      <w:r>
        <w:t xml:space="preserve"> buscam aplicar os princípios e funcionalidades aqui discutidos para potencializar a pesquisa filológica e historiográfica.</w:t>
      </w:r>
    </w:p>
    <w:p w14:paraId="46EB3093" w14:textId="77777777" w:rsidR="00681D00" w:rsidRDefault="00000000">
      <w:pPr>
        <w:ind w:firstLine="720"/>
      </w:pPr>
      <w:r>
        <w:t xml:space="preserve">O modelo do </w:t>
      </w:r>
      <w:proofErr w:type="spellStart"/>
      <w:r>
        <w:t>Plinius</w:t>
      </w:r>
      <w:proofErr w:type="spellEnd"/>
      <w:r>
        <w:t xml:space="preserve"> Scriptorium propõe uma estrutura de análise organizada em três eixos interdependentes, que refletem uma concepção da edição digital não como um produto finalizado, mas como um processo contínuo e aberto. Conforme argumenta Patrick Sahle, uma das vozes centrais na teoria da edição digital:</w:t>
      </w:r>
    </w:p>
    <w:p w14:paraId="47B3543D" w14:textId="77777777" w:rsidR="00681D00" w:rsidRDefault="00681D00">
      <w:pPr>
        <w:ind w:left="2267" w:firstLine="0"/>
        <w:rPr>
          <w:sz w:val="20"/>
          <w:szCs w:val="20"/>
        </w:rPr>
      </w:pPr>
    </w:p>
    <w:p w14:paraId="45B38406" w14:textId="77777777" w:rsidR="00681D00" w:rsidRDefault="00000000">
      <w:pPr>
        <w:ind w:left="2267" w:firstLine="0"/>
        <w:rPr>
          <w:sz w:val="20"/>
          <w:szCs w:val="20"/>
        </w:rPr>
      </w:pPr>
      <w:r>
        <w:rPr>
          <w:sz w:val="20"/>
          <w:szCs w:val="20"/>
        </w:rPr>
        <w:t>Uma edição acadêmica digital não é algo que se possa saber o que é sem uma compreensão de seus múltiplos aspectos. Ela é um processo tanto quanto um produto. É guiada por um paradigma digital que explora plenamente as capacidades do meio eletrônico. Ela oferece uma representação crítica do documento histórico e fornece uma justificativa para essa representação (SAHLE, 2016, p. 28, tradução nossa).</w:t>
      </w:r>
    </w:p>
    <w:p w14:paraId="12DCA82F" w14:textId="77777777" w:rsidR="00681D00" w:rsidRDefault="00681D00">
      <w:pPr>
        <w:ind w:left="2267" w:firstLine="0"/>
        <w:rPr>
          <w:sz w:val="20"/>
          <w:szCs w:val="20"/>
        </w:rPr>
      </w:pPr>
    </w:p>
    <w:p w14:paraId="362CC9EC" w14:textId="77777777" w:rsidR="00681D00" w:rsidRDefault="00000000">
      <w:pPr>
        <w:ind w:firstLine="720"/>
      </w:pPr>
      <w:r>
        <w:t>Essa visão processual e crítica fundamenta os três eixos do arcabouço:</w:t>
      </w:r>
    </w:p>
    <w:p w14:paraId="6F4B3B13" w14:textId="77777777" w:rsidR="00681D00" w:rsidRDefault="00000000">
      <w:pPr>
        <w:pStyle w:val="Ttulo1"/>
        <w:ind w:firstLine="850"/>
        <w:jc w:val="both"/>
        <w:rPr>
          <w:b w:val="0"/>
          <w:bCs w:val="0"/>
        </w:rPr>
      </w:pPr>
      <w:r>
        <w:rPr>
          <w:b w:val="0"/>
          <w:bCs w:val="0"/>
        </w:rPr>
        <w:t xml:space="preserve"> </w:t>
      </w:r>
    </w:p>
    <w:p w14:paraId="342627A9" w14:textId="77777777" w:rsidR="00681D00" w:rsidRDefault="00000000">
      <w:pPr>
        <w:numPr>
          <w:ilvl w:val="0"/>
          <w:numId w:val="21"/>
        </w:numPr>
        <w:ind w:firstLine="130"/>
      </w:pPr>
      <w:r>
        <w:rPr>
          <w:b/>
          <w:bCs/>
        </w:rPr>
        <w:t>Eixo Técnico-Filológico</w:t>
      </w:r>
      <w:r>
        <w:t>: Este eixo avalia a robustez da infraestrutura tecnológica. A adoção de padrões abertos, como o XML-TEI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é um pré-requisito para a sustentabilidade e a interoperabilidade. A codificação de um texto não é uma tarefa mecânica, mas um "ato de modelagem acadêmica" (ROBINSON, 2005, p. 42), que embute interpretações sobre a estrutura, a gênese e o significado do documento. Portanto, a análise neste eixo verifica a granularidade da codificação, a transparência da documentação do esquema (ODD - </w:t>
      </w:r>
      <w:proofErr w:type="spellStart"/>
      <w:r>
        <w:rPr>
          <w:i/>
          <w:iCs/>
        </w:rPr>
        <w:t>One</w:t>
      </w:r>
      <w:proofErr w:type="spellEnd"/>
      <w:r>
        <w:rPr>
          <w:i/>
          <w:iCs/>
        </w:rPr>
        <w:t xml:space="preserve"> </w:t>
      </w:r>
      <w:proofErr w:type="spellStart"/>
      <w:r>
        <w:rPr>
          <w:i/>
          <w:iCs/>
        </w:rPr>
        <w:t>Document</w:t>
      </w:r>
      <w:proofErr w:type="spellEnd"/>
      <w:r>
        <w:rPr>
          <w:i/>
          <w:iCs/>
        </w:rPr>
        <w:t xml:space="preserve"> Does it </w:t>
      </w:r>
      <w:proofErr w:type="spellStart"/>
      <w:r>
        <w:rPr>
          <w:i/>
          <w:iCs/>
        </w:rPr>
        <w:t>all</w:t>
      </w:r>
      <w:proofErr w:type="spellEnd"/>
      <w:r>
        <w:t>) e a capacidade da plataforma de processar e visualizar essa riqueza semântica.</w:t>
      </w:r>
    </w:p>
    <w:p w14:paraId="36CC5DA1" w14:textId="77777777" w:rsidR="00681D00" w:rsidRDefault="00000000">
      <w:pPr>
        <w:ind w:left="720" w:firstLine="130"/>
      </w:pPr>
      <w:r>
        <w:t xml:space="preserve"> </w:t>
      </w:r>
    </w:p>
    <w:p w14:paraId="5930BE28" w14:textId="77777777" w:rsidR="00681D00" w:rsidRDefault="00000000">
      <w:pPr>
        <w:numPr>
          <w:ilvl w:val="0"/>
          <w:numId w:val="17"/>
        </w:numPr>
        <w:ind w:firstLine="130"/>
      </w:pPr>
      <w:r>
        <w:rPr>
          <w:b/>
          <w:bCs/>
        </w:rPr>
        <w:t>Eixo Epistemológico-Historiográfico</w:t>
      </w:r>
      <w:r>
        <w:t xml:space="preserve">: Aqui, o foco se desloca da tecnologia para a teoria do conhecimento que ela viabiliza. Um ecossistema filológico digital deve ser mais do que um leitor de textos; ele deve funcionar como um laboratório para a formulação de novas questões de pesquisa. A modelagem de dados, conforme aponta Willard </w:t>
      </w:r>
      <w:proofErr w:type="spellStart"/>
      <w:r>
        <w:t>McCarty</w:t>
      </w:r>
      <w:proofErr w:type="spellEnd"/>
      <w:r>
        <w:t xml:space="preserve"> (2005), é uma forma de experimentação e descoberta. Este eixo questiona: como a plataforma permite ao historiador ou filólogo ir além da leitura e realizar análises complexas, como a comparação de versões textuais (colação), a anotação colaborativa de entidades (pessoas, locais, conceitos) e a visualização de redes de relações? A infraestrutura apoia uma historiografia que é, por natureza, exploratória e multifacetada?</w:t>
      </w:r>
    </w:p>
    <w:p w14:paraId="3DFBE81D" w14:textId="77777777" w:rsidR="00681D00" w:rsidRDefault="00000000">
      <w:pPr>
        <w:ind w:left="720" w:firstLine="130"/>
      </w:pPr>
      <w:r>
        <w:t xml:space="preserve"> </w:t>
      </w:r>
    </w:p>
    <w:p w14:paraId="04046360" w14:textId="77777777" w:rsidR="00681D00" w:rsidRDefault="00000000">
      <w:pPr>
        <w:numPr>
          <w:ilvl w:val="0"/>
          <w:numId w:val="10"/>
        </w:numPr>
        <w:ind w:firstLine="130"/>
      </w:pPr>
      <w:r>
        <w:rPr>
          <w:b/>
          <w:bCs/>
        </w:rPr>
        <w:lastRenderedPageBreak/>
        <w:t>Eixo Pedagógico-Comunitário</w:t>
      </w:r>
      <w:r>
        <w:t>: Este eixo avalia o potencial do ecossistema para fomentar a colaboração e a formação de novos pesquisadores. Uma infraestrutura de conhecimento verdadeiramente eficaz deve promover a ciência aberta, permitindo não apenas o acesso aos dados, mas também a compreensão e a replicação dos métodos utilizados para produzi-los. A análise investiga a existência de APIs (</w:t>
      </w:r>
      <w:proofErr w:type="spellStart"/>
      <w:r>
        <w:rPr>
          <w:i/>
          <w:iCs/>
        </w:rPr>
        <w:t>Application</w:t>
      </w:r>
      <w:proofErr w:type="spellEnd"/>
      <w:r>
        <w:rPr>
          <w:i/>
          <w:iCs/>
        </w:rPr>
        <w:t xml:space="preserve"> </w:t>
      </w:r>
      <w:proofErr w:type="spellStart"/>
      <w:r>
        <w:rPr>
          <w:i/>
          <w:iCs/>
        </w:rPr>
        <w:t>Programming</w:t>
      </w:r>
      <w:proofErr w:type="spellEnd"/>
      <w:r>
        <w:rPr>
          <w:i/>
          <w:iCs/>
        </w:rPr>
        <w:t xml:space="preserve"> Interfaces</w:t>
      </w:r>
      <w:r>
        <w:t xml:space="preserve">) abertas, a clareza dos tutoriais e a capacidade da plataforma de se integrar a outras ferramentas do ecossistema das humanidades digitais, como o </w:t>
      </w:r>
      <w:proofErr w:type="spellStart"/>
      <w:r>
        <w:rPr>
          <w:i/>
          <w:iCs/>
        </w:rPr>
        <w:t>Recogito</w:t>
      </w:r>
      <w:proofErr w:type="spellEnd"/>
      <w:r>
        <w:t xml:space="preserve"> para anotação semântica ou o </w:t>
      </w:r>
      <w:proofErr w:type="spellStart"/>
      <w:r>
        <w:rPr>
          <w:i/>
          <w:iCs/>
        </w:rPr>
        <w:t>Voyant</w:t>
      </w:r>
      <w:proofErr w:type="spellEnd"/>
      <w:r>
        <w:rPr>
          <w:i/>
          <w:iCs/>
        </w:rPr>
        <w:t xml:space="preserve"> Tools</w:t>
      </w:r>
      <w:r>
        <w:t xml:space="preserve"> para análise textual.</w:t>
      </w:r>
    </w:p>
    <w:p w14:paraId="37650E40" w14:textId="77777777" w:rsidR="00681D00" w:rsidRDefault="00000000">
      <w:pPr>
        <w:pStyle w:val="Ttulo1"/>
        <w:ind w:firstLine="850"/>
        <w:jc w:val="both"/>
        <w:rPr>
          <w:b w:val="0"/>
          <w:bCs w:val="0"/>
        </w:rPr>
      </w:pPr>
      <w:r>
        <w:rPr>
          <w:b w:val="0"/>
          <w:bCs w:val="0"/>
        </w:rPr>
        <w:t xml:space="preserve"> </w:t>
      </w:r>
    </w:p>
    <w:p w14:paraId="3AE085D1" w14:textId="77777777" w:rsidR="00681D00" w:rsidRDefault="00000000">
      <w:r>
        <w:t>A coesão entre esses três eixos define a maturidade do ecossistema. A interoperabilidade, neste contexto, deixa de ser um jargão técnico para se tornar um princípio metodológico e ético. Ela representa a capacidade de um sistema "não apenas de trocar dados, mas de tornar esses dados compreensíveis e utilizáveis por outras plataformas e, mais importante, por outras comunidades de pesquisa" (SCHREIBMAN; SIEMENS; UNSWORTH, 2016, p. 12). Portanto, a interoperabilidade é o critério fundamental para avaliar o potencial de um ecossistema filológico digital para transcender seus limites iniciais e contribuir de forma significativa para o avanço colaborativo do conhecimento.</w:t>
      </w:r>
    </w:p>
    <w:p w14:paraId="527A713A" w14:textId="77777777" w:rsidR="00681D00" w:rsidRDefault="00000000">
      <w:r>
        <w:t xml:space="preserve">Para examinar o estado da arte da filologia digital, tomando o site do </w:t>
      </w:r>
      <w:r>
        <w:rPr>
          <w:i/>
          <w:iCs/>
        </w:rPr>
        <w:t xml:space="preserve">Centro de Pesquisas e Estudos </w:t>
      </w:r>
      <w:proofErr w:type="spellStart"/>
      <w:r>
        <w:rPr>
          <w:i/>
          <w:iCs/>
        </w:rPr>
        <w:t>Plinianos</w:t>
      </w:r>
      <w:proofErr w:type="spellEnd"/>
      <w:r>
        <w:rPr>
          <w:i/>
          <w:iCs/>
        </w:rPr>
        <w:t xml:space="preserve"> (CPEP)</w:t>
      </w:r>
      <w:r>
        <w:t xml:space="preserve"> como estudo de caso, propõe-se aqui um modelo teórico de ecossistema filológico inteligente, denominado </w:t>
      </w:r>
      <w:proofErr w:type="spellStart"/>
      <w:r>
        <w:rPr>
          <w:i/>
          <w:iCs/>
        </w:rPr>
        <w:t>Plinius</w:t>
      </w:r>
      <w:proofErr w:type="spellEnd"/>
      <w:r>
        <w:rPr>
          <w:i/>
          <w:iCs/>
        </w:rPr>
        <w:t xml:space="preserve"> Scriptorium</w:t>
      </w:r>
      <w:r>
        <w:t xml:space="preserve">. Este modelo não descreve um projeto concluído, mas estabelece um conjunto de princípios e funcionalidades que definem uma infraestrutura de "próxima geração", servindo como lente para a análise crítica do cenário atual e para a identificação de lacunas e potencialidades. Um ecossistema filológico digital é um ambiente dinâmico e interconectado onde fontes textuais (o </w:t>
      </w:r>
      <w:r>
        <w:rPr>
          <w:i/>
          <w:iCs/>
        </w:rPr>
        <w:t>corpus</w:t>
      </w:r>
      <w:r>
        <w:t xml:space="preserve">), ferramentas de análise (o </w:t>
      </w:r>
      <w:r>
        <w:rPr>
          <w:i/>
          <w:iCs/>
        </w:rPr>
        <w:t>software</w:t>
      </w:r>
      <w:r>
        <w:t>), dados de pesquisa (as anotações e metadados) e comunidades de estudiosos (os pesquisadores) interagem, se influenciam mutuamente e coevoluem. Ele transcende a ideia de um repositório estático, funcionando como um sistema vivo que facilita e gera novos ciclos de interpretação e descoberta.</w:t>
      </w:r>
    </w:p>
    <w:p w14:paraId="3E5690CB" w14:textId="77777777" w:rsidR="00681D00" w:rsidRDefault="00000000">
      <w:r>
        <w:t>A metodologia adotada para esta análise comparativa baseia-se na avaliação de duas camadas fundamentais que constituem um laboratório digital: a Camada de Dados, que se refere à qualidade, curadoria, estruturação e acessibilidade do acervo; e a Camada de Inteligência, que engloba as ferramentas analíticas, as funcionalidades de anotação colaborativa e os recursos de interoperabilidade que permitem a geração de novo conhecimento.</w:t>
      </w:r>
    </w:p>
    <w:p w14:paraId="19FD839B" w14:textId="77777777" w:rsidR="00681D00" w:rsidRDefault="00000000">
      <w:pPr>
        <w:pStyle w:val="Ttulo1"/>
        <w:ind w:firstLine="850"/>
        <w:jc w:val="both"/>
        <w:rPr>
          <w:b w:val="0"/>
          <w:bCs w:val="0"/>
        </w:rPr>
      </w:pPr>
      <w:r>
        <w:rPr>
          <w:b w:val="0"/>
          <w:bCs w:val="0"/>
        </w:rPr>
        <w:t xml:space="preserve"> </w:t>
      </w:r>
    </w:p>
    <w:p w14:paraId="2DAE8C34" w14:textId="77777777" w:rsidR="00681D00" w:rsidRDefault="00000000">
      <w:pPr>
        <w:ind w:firstLine="0"/>
        <w:rPr>
          <w:b/>
          <w:bCs/>
        </w:rPr>
      </w:pPr>
      <w:r>
        <w:rPr>
          <w:b/>
          <w:bCs/>
        </w:rPr>
        <w:t>2.1. O Modelo Heurístico: A Camada de Dados Estruturados</w:t>
      </w:r>
    </w:p>
    <w:p w14:paraId="1C4577E4" w14:textId="77777777" w:rsidR="00681D00" w:rsidRDefault="00000000">
      <w:r>
        <w:t xml:space="preserve"> A base de qualquer ecossistema filológico avançado, conforme proposto pelo modelo </w:t>
      </w:r>
      <w:proofErr w:type="spellStart"/>
      <w:r>
        <w:rPr>
          <w:i/>
          <w:iCs/>
        </w:rPr>
        <w:t>Plinius</w:t>
      </w:r>
      <w:proofErr w:type="spellEnd"/>
      <w:r>
        <w:rPr>
          <w:i/>
          <w:iCs/>
        </w:rPr>
        <w:t xml:space="preserve"> Scriptorium</w:t>
      </w:r>
      <w:r>
        <w:t>, reside em uma camada de dados (</w:t>
      </w:r>
      <w:r>
        <w:rPr>
          <w:i/>
          <w:iCs/>
        </w:rPr>
        <w:t xml:space="preserve">data </w:t>
      </w:r>
      <w:proofErr w:type="spellStart"/>
      <w:r>
        <w:rPr>
          <w:i/>
          <w:iCs/>
        </w:rPr>
        <w:t>layer</w:t>
      </w:r>
      <w:proofErr w:type="spellEnd"/>
      <w:r>
        <w:t>) robusta e meticulosamente estruturada. Esta camada transcende a função de um mero repositório de arquivos, configurando-se como uma verdadeira base de conhecimento onde os objetos digitais são semanticamente enriquecidos para serem legíveis e operáveis por máquina (</w:t>
      </w:r>
      <w:r>
        <w:rPr>
          <w:i/>
          <w:iCs/>
        </w:rPr>
        <w:t>machine-</w:t>
      </w:r>
      <w:proofErr w:type="spellStart"/>
      <w:r>
        <w:rPr>
          <w:i/>
          <w:iCs/>
        </w:rPr>
        <w:t>readable</w:t>
      </w:r>
      <w:proofErr w:type="spellEnd"/>
      <w:r>
        <w:t xml:space="preserve">). Isso significa que as informações são formatadas de maneira que os sistemas computacionais possam facilmente processar, interpretar e estabelecer relações, indo muito além da simples recuperação de texto. Inspirada em iniciativas de curadoria rigorosa como o acervo do CPEP, </w:t>
      </w:r>
      <w:r>
        <w:lastRenderedPageBreak/>
        <w:t xml:space="preserve">mas concebida em sua plenitude ideal, esta camada é a </w:t>
      </w:r>
      <w:r>
        <w:rPr>
          <w:i/>
          <w:iCs/>
        </w:rPr>
        <w:t xml:space="preserve">condição </w:t>
      </w:r>
      <w:proofErr w:type="spellStart"/>
      <w:r>
        <w:rPr>
          <w:i/>
          <w:iCs/>
        </w:rPr>
        <w:t>sine</w:t>
      </w:r>
      <w:proofErr w:type="spellEnd"/>
      <w:r>
        <w:rPr>
          <w:i/>
          <w:iCs/>
        </w:rPr>
        <w:t xml:space="preserve"> </w:t>
      </w:r>
      <w:proofErr w:type="spellStart"/>
      <w:r>
        <w:rPr>
          <w:i/>
          <w:iCs/>
        </w:rPr>
        <w:t>qua</w:t>
      </w:r>
      <w:proofErr w:type="spellEnd"/>
      <w:r>
        <w:rPr>
          <w:i/>
          <w:iCs/>
        </w:rPr>
        <w:t xml:space="preserve"> non</w:t>
      </w:r>
      <w:r>
        <w:t xml:space="preserve"> para a funcionalidade e a inteligência do ecossistema.</w:t>
      </w:r>
    </w:p>
    <w:p w14:paraId="301526DE" w14:textId="77777777" w:rsidR="00681D00" w:rsidRDefault="00000000">
      <w:r>
        <w:t>Os componentes essenciais desta camada, que servem como critérios para a análise e o desenvolvimento de infraestruturas filológicas inteligentes, são:</w:t>
      </w:r>
    </w:p>
    <w:p w14:paraId="3680DF9A" w14:textId="77777777" w:rsidR="00681D00" w:rsidRDefault="00000000">
      <w:r>
        <w:t xml:space="preserve"> </w:t>
      </w:r>
    </w:p>
    <w:p w14:paraId="090EDF54" w14:textId="77777777" w:rsidR="00681D00" w:rsidRDefault="00000000">
      <w:pPr>
        <w:numPr>
          <w:ilvl w:val="0"/>
          <w:numId w:val="23"/>
        </w:numPr>
        <w:ind w:firstLine="130"/>
      </w:pPr>
      <w:r>
        <w:rPr>
          <w:b/>
          <w:bCs/>
        </w:rPr>
        <w:t>Fontes Primárias Codificadas (TEI)</w:t>
      </w:r>
      <w:r>
        <w:t xml:space="preserve">: Digitalizações em alta resolução de manuscritos e edições </w:t>
      </w:r>
      <w:r>
        <w:rPr>
          <w:i/>
          <w:iCs/>
        </w:rPr>
        <w:t>princeps</w:t>
      </w:r>
      <w:r>
        <w:t xml:space="preserve"> de obras clássicas. Cada texto deve ser codificado seguindo o padrão TEI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 um padrão internacional para codificação de textos digitais, que permite marcar e descrever a estrutura e características de um documento (como parágrafos, nomes de pessoas, </w:t>
      </w:r>
      <w:proofErr w:type="gramStart"/>
      <w:r>
        <w:t>datas, etc.</w:t>
      </w:r>
      <w:proofErr w:type="gramEnd"/>
      <w:r>
        <w:t>) –, habilitando a análise computacional profunda e a interoperabilidade (TEI CONSORTIUM, 2024).</w:t>
      </w:r>
    </w:p>
    <w:p w14:paraId="1A9A5ED4" w14:textId="77777777" w:rsidR="00681D00" w:rsidRDefault="00000000">
      <w:pPr>
        <w:ind w:left="720" w:firstLine="130"/>
      </w:pPr>
      <w:r>
        <w:t xml:space="preserve"> </w:t>
      </w:r>
    </w:p>
    <w:p w14:paraId="2F349F2B" w14:textId="77777777" w:rsidR="00681D00" w:rsidRDefault="00000000">
      <w:pPr>
        <w:numPr>
          <w:ilvl w:val="0"/>
          <w:numId w:val="12"/>
        </w:numPr>
        <w:ind w:firstLine="130"/>
      </w:pPr>
      <w:r>
        <w:rPr>
          <w:b/>
          <w:bCs/>
        </w:rPr>
        <w:t>Edições Críticas e Traduções Alinhadas</w:t>
      </w:r>
      <w:r>
        <w:t>: Um compêndio de edições críticas modernas (</w:t>
      </w:r>
      <w:r>
        <w:rPr>
          <w:i/>
          <w:iCs/>
        </w:rPr>
        <w:t>e.g.</w:t>
      </w:r>
      <w:r>
        <w:t xml:space="preserve">, </w:t>
      </w:r>
      <w:proofErr w:type="spellStart"/>
      <w:r>
        <w:rPr>
          <w:i/>
          <w:iCs/>
        </w:rPr>
        <w:t>Budé</w:t>
      </w:r>
      <w:proofErr w:type="spellEnd"/>
      <w:r>
        <w:t xml:space="preserve">, </w:t>
      </w:r>
      <w:proofErr w:type="spellStart"/>
      <w:r>
        <w:rPr>
          <w:i/>
          <w:iCs/>
        </w:rPr>
        <w:t>Teubner</w:t>
      </w:r>
      <w:proofErr w:type="spellEnd"/>
      <w:r>
        <w:t xml:space="preserve">, </w:t>
      </w:r>
      <w:r>
        <w:rPr>
          <w:i/>
          <w:iCs/>
        </w:rPr>
        <w:t>Loeb</w:t>
      </w:r>
      <w:r>
        <w:t>) e traduções para diversas línguas, que devem ser alinhadas palavra a palavra ou frase a frase aos textos originais latinos. Essa granularidade possibilita a consulta comparativa e a análise linguística interlínguas, enriquecendo a compreensão do texto em suas múltiplas camadas interpretativas.</w:t>
      </w:r>
    </w:p>
    <w:p w14:paraId="10CAF849" w14:textId="77777777" w:rsidR="00681D00" w:rsidRDefault="00000000">
      <w:pPr>
        <w:ind w:left="720" w:firstLine="130"/>
      </w:pPr>
      <w:r>
        <w:t xml:space="preserve"> </w:t>
      </w:r>
    </w:p>
    <w:p w14:paraId="55A3BCD2" w14:textId="77777777" w:rsidR="00681D00" w:rsidRDefault="00000000">
      <w:pPr>
        <w:numPr>
          <w:ilvl w:val="0"/>
          <w:numId w:val="9"/>
        </w:numPr>
        <w:ind w:firstLine="130"/>
      </w:pPr>
      <w:r>
        <w:rPr>
          <w:b/>
          <w:bCs/>
        </w:rPr>
        <w:t>Fontes Secundárias Indexadas</w:t>
      </w:r>
      <w:r>
        <w:t>: Uma biblioteca digital abrangente de artigos, teses, dissertações e capítulos de livros sobre a obra e o contexto histórico dos autores estudados. Este acervo deve ser integralmente indexado e dotado de metadados ricos (informações descritivas sobre os dados, como autor, título, data), permitindo não apenas a busca textual, mas também a busca semântica e a descoberta de relações conceituais.</w:t>
      </w:r>
    </w:p>
    <w:p w14:paraId="058F95E4" w14:textId="77777777" w:rsidR="00681D00" w:rsidRDefault="00000000">
      <w:pPr>
        <w:ind w:left="720" w:firstLine="130"/>
      </w:pPr>
      <w:r>
        <w:t xml:space="preserve"> </w:t>
      </w:r>
    </w:p>
    <w:p w14:paraId="7075F7E2" w14:textId="77777777" w:rsidR="00681D00" w:rsidRDefault="00000000">
      <w:pPr>
        <w:numPr>
          <w:ilvl w:val="0"/>
          <w:numId w:val="6"/>
        </w:numPr>
        <w:ind w:firstLine="130"/>
      </w:pPr>
      <w:r>
        <w:rPr>
          <w:b/>
          <w:bCs/>
        </w:rPr>
        <w:t>Dados Auxiliares Conectados</w:t>
      </w:r>
      <w:r>
        <w:t xml:space="preserve">: Bancos de dados de evidências epigráficas (inscrições), numismáticas (moedas), arqueológicas e </w:t>
      </w:r>
      <w:proofErr w:type="spellStart"/>
      <w:r>
        <w:t>prosopográficas</w:t>
      </w:r>
      <w:proofErr w:type="spellEnd"/>
      <w:r>
        <w:t xml:space="preserve"> (informações sobre indivíduos) relacionadas às personagens, locais e eventos mencionados nos textos. Esses dados devem ser georreferenciados (associados a coordenadas geográficas) e possuir referências cruzadas com o </w:t>
      </w:r>
      <w:r>
        <w:rPr>
          <w:i/>
          <w:iCs/>
        </w:rPr>
        <w:t>corpus</w:t>
      </w:r>
      <w:r>
        <w:t xml:space="preserve"> textual, permitindo a integração de diferentes tipos de fontes e a construção de uma visão holística do objeto de estudo.</w:t>
      </w:r>
    </w:p>
    <w:p w14:paraId="78B391CF" w14:textId="77777777" w:rsidR="00681D00" w:rsidRDefault="00000000">
      <w:pPr>
        <w:pStyle w:val="Ttulo1"/>
        <w:ind w:firstLine="850"/>
        <w:jc w:val="both"/>
        <w:rPr>
          <w:b w:val="0"/>
          <w:bCs w:val="0"/>
        </w:rPr>
      </w:pPr>
      <w:r>
        <w:rPr>
          <w:b w:val="0"/>
          <w:bCs w:val="0"/>
        </w:rPr>
        <w:t xml:space="preserve"> </w:t>
      </w:r>
    </w:p>
    <w:p w14:paraId="1BEDA405" w14:textId="77777777" w:rsidR="00681D00" w:rsidRDefault="00000000">
      <w:r>
        <w:t xml:space="preserve">A organização meticulosa desta camada como um repositório de dados estruturados e legíveis por máquina é, no modelo </w:t>
      </w:r>
      <w:proofErr w:type="spellStart"/>
      <w:r>
        <w:t>Plinius</w:t>
      </w:r>
      <w:proofErr w:type="spellEnd"/>
      <w:r>
        <w:t xml:space="preserve"> Scriptorium, a condição de possibilidade para a camada de inteligência que opera sobre ele. É a partir dessa fundação sólida e semanticamente rica que as análises complexas e os </w:t>
      </w:r>
      <w:r>
        <w:rPr>
          <w:i/>
          <w:iCs/>
        </w:rPr>
        <w:t>insights</w:t>
      </w:r>
      <w:r>
        <w:t xml:space="preserve"> heurísticos se tornam viáveis.</w:t>
      </w:r>
    </w:p>
    <w:p w14:paraId="06BA0400" w14:textId="77777777" w:rsidR="00681D00" w:rsidRDefault="00000000">
      <w:r>
        <w:t xml:space="preserve"> </w:t>
      </w:r>
    </w:p>
    <w:p w14:paraId="29381F9C" w14:textId="77777777" w:rsidR="00681D00" w:rsidRDefault="00000000">
      <w:pPr>
        <w:ind w:firstLine="0"/>
        <w:rPr>
          <w:b/>
          <w:bCs/>
        </w:rPr>
      </w:pPr>
      <w:r>
        <w:rPr>
          <w:b/>
          <w:bCs/>
        </w:rPr>
        <w:t>2.2. O Modelo Heurístico: A Camada de Inteligência (</w:t>
      </w:r>
      <w:proofErr w:type="spellStart"/>
      <w:r>
        <w:rPr>
          <w:b/>
          <w:bCs/>
          <w:i/>
          <w:iCs/>
        </w:rPr>
        <w:t>Plinius</w:t>
      </w:r>
      <w:proofErr w:type="spellEnd"/>
      <w:r>
        <w:rPr>
          <w:b/>
          <w:bCs/>
          <w:i/>
          <w:iCs/>
        </w:rPr>
        <w:t xml:space="preserve"> Scriptorium</w:t>
      </w:r>
      <w:r>
        <w:rPr>
          <w:b/>
          <w:bCs/>
        </w:rPr>
        <w:t>)</w:t>
      </w:r>
    </w:p>
    <w:p w14:paraId="69217292" w14:textId="77777777" w:rsidR="00681D00" w:rsidRDefault="00000000">
      <w:r>
        <w:t xml:space="preserve"> </w:t>
      </w:r>
    </w:p>
    <w:p w14:paraId="43352F25" w14:textId="77777777" w:rsidR="00681D00" w:rsidRDefault="00000000">
      <w:r>
        <w:t xml:space="preserve">Sobre esta camada de dados idealmente estruturada, o modelo </w:t>
      </w:r>
      <w:proofErr w:type="spellStart"/>
      <w:r>
        <w:rPr>
          <w:i/>
          <w:iCs/>
        </w:rPr>
        <w:t>Plinius</w:t>
      </w:r>
      <w:proofErr w:type="spellEnd"/>
      <w:r>
        <w:rPr>
          <w:i/>
          <w:iCs/>
        </w:rPr>
        <w:t xml:space="preserve"> Scriptorium </w:t>
      </w:r>
      <w:r>
        <w:t>propõe uma interface de análise e uma camada de inteligência (</w:t>
      </w:r>
      <w:proofErr w:type="spellStart"/>
      <w:r>
        <w:rPr>
          <w:i/>
          <w:iCs/>
        </w:rPr>
        <w:t>intelligence</w:t>
      </w:r>
      <w:proofErr w:type="spellEnd"/>
      <w:r>
        <w:rPr>
          <w:i/>
          <w:iCs/>
        </w:rPr>
        <w:t xml:space="preserve"> </w:t>
      </w:r>
      <w:proofErr w:type="spellStart"/>
      <w:r>
        <w:rPr>
          <w:i/>
          <w:iCs/>
        </w:rPr>
        <w:t>layer</w:t>
      </w:r>
      <w:proofErr w:type="spellEnd"/>
      <w:r>
        <w:t xml:space="preserve">) – a parte do sistema que processa e analisa os dados, fornecendo </w:t>
      </w:r>
      <w:r>
        <w:rPr>
          <w:i/>
          <w:iCs/>
        </w:rPr>
        <w:t>insights</w:t>
      </w:r>
      <w:r>
        <w:t xml:space="preserve"> e possibilitando a formulação de novas questões de pesquisa. Concebida como uma aplicação web que consome dinamicamente </w:t>
      </w:r>
      <w:r>
        <w:lastRenderedPageBreak/>
        <w:t>os dados da camada subjacente por meio de APIs (</w:t>
      </w:r>
      <w:proofErr w:type="spellStart"/>
      <w:r>
        <w:rPr>
          <w:i/>
          <w:iCs/>
        </w:rPr>
        <w:t>Application</w:t>
      </w:r>
      <w:proofErr w:type="spellEnd"/>
      <w:r>
        <w:rPr>
          <w:i/>
          <w:iCs/>
        </w:rPr>
        <w:t xml:space="preserve"> </w:t>
      </w:r>
      <w:proofErr w:type="spellStart"/>
      <w:r>
        <w:rPr>
          <w:i/>
          <w:iCs/>
        </w:rPr>
        <w:t>Programming</w:t>
      </w:r>
      <w:proofErr w:type="spellEnd"/>
      <w:r>
        <w:rPr>
          <w:i/>
          <w:iCs/>
        </w:rPr>
        <w:t xml:space="preserve"> Interfaces</w:t>
      </w:r>
      <w:r>
        <w:t xml:space="preserve">) – conjuntos de regras e protocolos que permitem que diferentes </w:t>
      </w:r>
      <w:r>
        <w:rPr>
          <w:i/>
          <w:iCs/>
        </w:rPr>
        <w:t>softwares</w:t>
      </w:r>
      <w:r>
        <w:t xml:space="preserve"> se comuniquem entre si –, sua arquitetura modular oferece um conjunto de ferramentas integradas para a investigação filológica e historiográfica. Estas funcionalidades representam os critérios para avaliar o grau de "inteligência" e interatividade de uma infraestrutura filológica digital, transformando-a em um verdadeiro laboratório de pesquisa:</w:t>
      </w:r>
    </w:p>
    <w:p w14:paraId="6A5E6BB1" w14:textId="77777777" w:rsidR="00681D00" w:rsidRDefault="00000000">
      <w:r>
        <w:t xml:space="preserve"> </w:t>
      </w:r>
    </w:p>
    <w:p w14:paraId="4356498E" w14:textId="77777777" w:rsidR="00681D00" w:rsidRDefault="00000000">
      <w:pPr>
        <w:numPr>
          <w:ilvl w:val="0"/>
          <w:numId w:val="20"/>
        </w:numPr>
        <w:ind w:firstLine="130"/>
      </w:pPr>
      <w:r>
        <w:rPr>
          <w:b/>
          <w:bCs/>
        </w:rPr>
        <w:t>Busca Semântica e Facetada</w:t>
      </w:r>
      <w:r>
        <w:t>: Superando a busca por palavras-chave, o modelo prevê consultas complexas que permitem ao usuário pesquisar por lemas (a forma dicionarizada de uma palavra, como "ir" para "fui", "vou", "iremos"), por construções morfossintáticas específicas (relacionadas à forma e função das palavras nas frases, como "todos os verbos no passado") ou por entidades nomeadas (nomes próprios de pessoas, lugares, organizações, etc.), utilizando ontologias (representações formais de um conjunto de conceitos e as relações entre eles em um domínio específico) e vocabulários controlados (listas padronizadas de termos usados para indexar e organizar informações, garantindo consistência).</w:t>
      </w:r>
    </w:p>
    <w:p w14:paraId="6050A7C6" w14:textId="77777777" w:rsidR="00681D00" w:rsidRDefault="00000000">
      <w:pPr>
        <w:ind w:left="720" w:firstLine="130"/>
      </w:pPr>
      <w:r>
        <w:t xml:space="preserve"> </w:t>
      </w:r>
    </w:p>
    <w:p w14:paraId="114132F2" w14:textId="77777777" w:rsidR="00681D00" w:rsidRDefault="00000000">
      <w:pPr>
        <w:numPr>
          <w:ilvl w:val="0"/>
          <w:numId w:val="26"/>
        </w:numPr>
        <w:ind w:firstLine="130"/>
      </w:pPr>
      <w:r>
        <w:rPr>
          <w:b/>
          <w:bCs/>
        </w:rPr>
        <w:t>Ferramentas de Colação e Anotação</w:t>
      </w:r>
      <w:r>
        <w:t>: O modelo inclui um ambiente para a colação de códices (</w:t>
      </w:r>
      <w:proofErr w:type="spellStart"/>
      <w:r>
        <w:rPr>
          <w:i/>
          <w:iCs/>
        </w:rPr>
        <w:t>collatio</w:t>
      </w:r>
      <w:proofErr w:type="spellEnd"/>
      <w:r>
        <w:rPr>
          <w:i/>
          <w:iCs/>
        </w:rPr>
        <w:t xml:space="preserve"> </w:t>
      </w:r>
      <w:proofErr w:type="spellStart"/>
      <w:r>
        <w:rPr>
          <w:i/>
          <w:iCs/>
        </w:rPr>
        <w:t>codicum</w:t>
      </w:r>
      <w:proofErr w:type="spellEnd"/>
      <w:r>
        <w:t>) digital – o processo de comparar diferentes manuscritos ou edições de um texto para identificar variantes e estabelecer a versão mais provável. Um sistema de anotação colaborativo possibilita que usuários autorizados adicionem comentários, hipóteses de emenda (</w:t>
      </w:r>
      <w:proofErr w:type="spellStart"/>
      <w:r>
        <w:rPr>
          <w:i/>
          <w:iCs/>
        </w:rPr>
        <w:t>emendatio</w:t>
      </w:r>
      <w:proofErr w:type="spellEnd"/>
      <w:r>
        <w:t xml:space="preserve"> – correção proposta para um texto) e referências cruzadas diretamente no texto, enriquecendo o </w:t>
      </w:r>
      <w:r>
        <w:rPr>
          <w:i/>
          <w:iCs/>
        </w:rPr>
        <w:t>corpus</w:t>
      </w:r>
      <w:r>
        <w:t xml:space="preserve"> de forma contínua e colaborativa.</w:t>
      </w:r>
    </w:p>
    <w:p w14:paraId="0D4C237E" w14:textId="77777777" w:rsidR="00681D00" w:rsidRDefault="00000000">
      <w:pPr>
        <w:ind w:left="720" w:firstLine="130"/>
      </w:pPr>
      <w:r>
        <w:t xml:space="preserve"> </w:t>
      </w:r>
    </w:p>
    <w:p w14:paraId="3CFA4761" w14:textId="77777777" w:rsidR="00681D00" w:rsidRDefault="00000000">
      <w:pPr>
        <w:numPr>
          <w:ilvl w:val="0"/>
          <w:numId w:val="14"/>
        </w:numPr>
        <w:ind w:firstLine="130"/>
      </w:pPr>
      <w:r>
        <w:rPr>
          <w:b/>
          <w:bCs/>
        </w:rPr>
        <w:t>Análise Lexical e Intertextual</w:t>
      </w:r>
      <w:r>
        <w:t xml:space="preserve">: Integra ferramentas de PLN (Processamento de Linguagem Natural) – um campo da inteligência artificial que permite aos computadores entender, interpretar e gerar linguagem humana – para gerar concordâncias (listas de todas as ocorrências de uma palavra em um texto, com seu contexto imediato), analisar frequências de termos e identificar padrões de </w:t>
      </w:r>
      <w:proofErr w:type="spellStart"/>
      <w:r>
        <w:t>coocorrência</w:t>
      </w:r>
      <w:proofErr w:type="spellEnd"/>
      <w:r>
        <w:t xml:space="preserve"> (a frequência com que duas ou mais palavras aparecem juntas em um texto). Um algoritmo de detecção de similaridade textual (um conjunto de instruções computacionais para identificar quão semelhantes são dois trechos de texto) permite identificar passagens paralelas, alusões e citações não apenas dentro de um </w:t>
      </w:r>
      <w:r>
        <w:rPr>
          <w:i/>
          <w:iCs/>
        </w:rPr>
        <w:t>corpus</w:t>
      </w:r>
      <w:r>
        <w:t xml:space="preserve"> específico, mas também em relação a outros autores e tradições textuais, revelando redes de intertextualidade.</w:t>
      </w:r>
    </w:p>
    <w:p w14:paraId="68912D53" w14:textId="77777777" w:rsidR="00681D00" w:rsidRDefault="00000000">
      <w:pPr>
        <w:ind w:left="720" w:firstLine="130"/>
      </w:pPr>
      <w:r>
        <w:t xml:space="preserve"> </w:t>
      </w:r>
    </w:p>
    <w:p w14:paraId="2484C83C" w14:textId="77777777" w:rsidR="00681D00" w:rsidRDefault="00000000">
      <w:pPr>
        <w:numPr>
          <w:ilvl w:val="0"/>
          <w:numId w:val="13"/>
        </w:numPr>
        <w:ind w:firstLine="130"/>
      </w:pPr>
      <w:r>
        <w:rPr>
          <w:b/>
          <w:bCs/>
        </w:rPr>
        <w:t>Visualização de Dados</w:t>
      </w:r>
      <w:r>
        <w:t xml:space="preserve">: Módulos de visualização transformam dados textuais e contextuais em gráficos interativos, como redes de relações entre personagens (Análise de Redes Sociais - SNA, um método para estudar as relações entre entidades e visualizar essas conexões), mapas geográficos dos locais citados (GIS - </w:t>
      </w:r>
      <w:proofErr w:type="spellStart"/>
      <w:r>
        <w:rPr>
          <w:i/>
          <w:iCs/>
        </w:rPr>
        <w:t>Geographic</w:t>
      </w:r>
      <w:proofErr w:type="spellEnd"/>
      <w:r>
        <w:rPr>
          <w:i/>
          <w:iCs/>
        </w:rPr>
        <w:t xml:space="preserve"> </w:t>
      </w:r>
      <w:proofErr w:type="spellStart"/>
      <w:r>
        <w:rPr>
          <w:i/>
          <w:iCs/>
        </w:rPr>
        <w:t>Information</w:t>
      </w:r>
      <w:proofErr w:type="spellEnd"/>
      <w:r>
        <w:rPr>
          <w:i/>
          <w:iCs/>
        </w:rPr>
        <w:t xml:space="preserve"> System</w:t>
      </w:r>
      <w:r>
        <w:t xml:space="preserve">, um sistema de informação geográfica que permite criar, gerenciar, analisar e mapear dados geográficos) e linhas do tempo de eventos. Essas visualizações facilitam </w:t>
      </w:r>
      <w:r>
        <w:lastRenderedPageBreak/>
        <w:t>a identificação de padrões, a exploração de grandes volumes de dados e a formulação de novas hipóteses de pesquisa.</w:t>
      </w:r>
    </w:p>
    <w:p w14:paraId="15025BAC" w14:textId="77777777" w:rsidR="00681D00" w:rsidRDefault="00000000">
      <w:r>
        <w:t xml:space="preserve"> </w:t>
      </w:r>
    </w:p>
    <w:p w14:paraId="16839FF7" w14:textId="77777777" w:rsidR="00681D00" w:rsidRDefault="00000000">
      <w:r>
        <w:t xml:space="preserve">No modelo </w:t>
      </w:r>
      <w:proofErr w:type="spellStart"/>
      <w:r>
        <w:rPr>
          <w:i/>
          <w:iCs/>
        </w:rPr>
        <w:t>Plinius</w:t>
      </w:r>
      <w:proofErr w:type="spellEnd"/>
      <w:r>
        <w:rPr>
          <w:i/>
          <w:iCs/>
        </w:rPr>
        <w:t xml:space="preserve"> Scriptorium</w:t>
      </w:r>
      <w:r>
        <w:t xml:space="preserve">, esta camada de inteligência atua como o “cérebro” do ecossistema, transformando um acervo de dados em um laboratório de pesquisa dinâmico e interativo, capaz de gerar </w:t>
      </w:r>
      <w:r>
        <w:rPr>
          <w:i/>
          <w:iCs/>
        </w:rPr>
        <w:t>insights</w:t>
      </w:r>
      <w:r>
        <w:t xml:space="preserve"> heurísticos e fomentar a descoberta.</w:t>
      </w:r>
    </w:p>
    <w:p w14:paraId="529C8F56" w14:textId="77777777" w:rsidR="00681D00" w:rsidRDefault="00000000">
      <w:pPr>
        <w:pStyle w:val="Ttulo1"/>
        <w:ind w:firstLine="850"/>
        <w:jc w:val="both"/>
        <w:rPr>
          <w:b w:val="0"/>
          <w:bCs w:val="0"/>
        </w:rPr>
      </w:pPr>
      <w:r>
        <w:rPr>
          <w:b w:val="0"/>
          <w:bCs w:val="0"/>
        </w:rPr>
        <w:t xml:space="preserve"> </w:t>
      </w:r>
    </w:p>
    <w:p w14:paraId="5B33B074" w14:textId="77777777" w:rsidR="00681D00" w:rsidRDefault="00000000">
      <w:pPr>
        <w:ind w:firstLine="0"/>
        <w:rPr>
          <w:b/>
          <w:bCs/>
        </w:rPr>
      </w:pPr>
      <w:r>
        <w:rPr>
          <w:b/>
          <w:bCs/>
        </w:rPr>
        <w:t>2.3. A Interoperabilidade como Princípio Estruturante do Modelo</w:t>
      </w:r>
    </w:p>
    <w:p w14:paraId="690546A7" w14:textId="77777777" w:rsidR="00681D00" w:rsidRDefault="00000000">
      <w:r>
        <w:t xml:space="preserve"> A coesão do ecossistema, no modelo </w:t>
      </w:r>
      <w:proofErr w:type="spellStart"/>
      <w:r>
        <w:t>Plinius</w:t>
      </w:r>
      <w:proofErr w:type="spellEnd"/>
      <w:r>
        <w:t xml:space="preserve"> Scriptorium, é garantida pelo princípio da </w:t>
      </w:r>
      <w:r>
        <w:rPr>
          <w:b/>
          <w:bCs/>
        </w:rPr>
        <w:t xml:space="preserve">interoperabilidade </w:t>
      </w:r>
      <w:r>
        <w:t xml:space="preserve">– a capacidade de diferentes sistemas e </w:t>
      </w:r>
      <w:r>
        <w:rPr>
          <w:i/>
          <w:iCs/>
        </w:rPr>
        <w:t>softwares</w:t>
      </w:r>
      <w:r>
        <w:t xml:space="preserve"> funcionarem juntos e trocarem informações de forma eficaz. A comunicação entre a camada de dados e a camada de inteligência não é uma mera transferência de arquivos, mas um diálogo constante mediado por APIs </w:t>
      </w:r>
      <w:proofErr w:type="spellStart"/>
      <w:r>
        <w:t>RESTful</w:t>
      </w:r>
      <w:proofErr w:type="spellEnd"/>
      <w:r>
        <w:t xml:space="preserve"> – um estilo de arquitetura para APIs que facilita a comunicação entre sistemas na web, tornando-a mais flexível e padronizada. O uso de padrões abertos, como o TEI-XML para os textos e esquemas de metadados como o Dublin Core (um conjunto de elementos de metadados padrão para descrever recursos digitais) para a catalogação, assegura que os dados sejam compreensíveis por máquina e facilmente integráveis por outras ferramentas e plataformas.</w:t>
      </w:r>
    </w:p>
    <w:p w14:paraId="0A745FD2" w14:textId="77777777" w:rsidR="00681D00" w:rsidRDefault="00000000">
      <w:r>
        <w:t xml:space="preserve">Essa arquitetura desacoplada, inerente ao modelo, oferece vantagens significativas: </w:t>
      </w:r>
      <w:r>
        <w:rPr>
          <w:b/>
          <w:bCs/>
        </w:rPr>
        <w:t xml:space="preserve">escalabilidade </w:t>
      </w:r>
      <w:r>
        <w:t xml:space="preserve">(a capacidade de um sistema de lidar com um volume crescente de trabalho ou de ser expandido facilmente), </w:t>
      </w:r>
      <w:r>
        <w:rPr>
          <w:b/>
          <w:bCs/>
        </w:rPr>
        <w:t xml:space="preserve">manutenibilidade </w:t>
      </w:r>
      <w:r>
        <w:t xml:space="preserve">(a facilidade com que um sistema pode ser modificado, corrigido ou aprimorado) e </w:t>
      </w:r>
      <w:r>
        <w:rPr>
          <w:b/>
          <w:bCs/>
        </w:rPr>
        <w:t xml:space="preserve">extensibilidade </w:t>
      </w:r>
      <w:r>
        <w:t>(a capacidade de um sistema de ser ampliado com novas funcionalidades ou de se conectar a outros sistemas). A interoperabilidade, portanto, é o critério fundamental para a avaliação da maturidade e do potencial de colaboração de uma infraestrutura filológica digital, permitindo que o conhecimento gerado seja amplamente disseminado e reutilizado pela comunidade acadêmica global.</w:t>
      </w:r>
    </w:p>
    <w:p w14:paraId="2D8CA507" w14:textId="77777777" w:rsidR="00681D00" w:rsidRDefault="00000000">
      <w:pPr>
        <w:pStyle w:val="Ttulo1"/>
        <w:ind w:firstLine="850"/>
        <w:jc w:val="both"/>
        <w:rPr>
          <w:b w:val="0"/>
          <w:bCs w:val="0"/>
        </w:rPr>
      </w:pPr>
      <w:r>
        <w:rPr>
          <w:b w:val="0"/>
          <w:bCs w:val="0"/>
        </w:rPr>
        <w:t xml:space="preserve"> </w:t>
      </w:r>
    </w:p>
    <w:p w14:paraId="07A3B7B1" w14:textId="77777777" w:rsidR="00681D00" w:rsidRDefault="00000000">
      <w:pPr>
        <w:ind w:firstLine="0"/>
        <w:rPr>
          <w:b/>
          <w:bCs/>
        </w:rPr>
      </w:pPr>
      <w:r>
        <w:rPr>
          <w:b/>
          <w:bCs/>
        </w:rPr>
        <w:t xml:space="preserve">3. O Ecossistema de Pesquisa </w:t>
      </w:r>
      <w:r>
        <w:rPr>
          <w:b/>
          <w:bCs/>
          <w:i/>
          <w:iCs/>
        </w:rPr>
        <w:t>CPEP/#Veredas_Digitais</w:t>
      </w:r>
      <w:r>
        <w:rPr>
          <w:b/>
          <w:bCs/>
        </w:rPr>
        <w:t>: um Ator Brasileiro nas Humanidades Digitais Clássicas</w:t>
      </w:r>
    </w:p>
    <w:p w14:paraId="2ECAB2FB" w14:textId="77777777" w:rsidR="00681D00" w:rsidRDefault="00000000">
      <w:r>
        <w:t xml:space="preserve"> A análise do </w:t>
      </w:r>
      <w:r>
        <w:rPr>
          <w:i/>
          <w:iCs/>
        </w:rPr>
        <w:t xml:space="preserve">Centro de Pesquisas e Estudos </w:t>
      </w:r>
      <w:proofErr w:type="spellStart"/>
      <w:r>
        <w:rPr>
          <w:i/>
          <w:iCs/>
        </w:rPr>
        <w:t>Plinianos</w:t>
      </w:r>
      <w:proofErr w:type="spellEnd"/>
      <w:r>
        <w:rPr>
          <w:i/>
          <w:iCs/>
        </w:rPr>
        <w:t xml:space="preserve"> (CPEP)</w:t>
      </w:r>
      <w:r>
        <w:t xml:space="preserve"> exige que se transcenda a sua dimensão de plataforma digital para compreendê-lo em sua totalidade como um grupo de pesquisa consolidado. Originado com o objetivo de desenvolver estudos aprofundados sobre a obra de Plínio, o Velho, e sua recepção, o </w:t>
      </w:r>
      <w:r>
        <w:rPr>
          <w:i/>
          <w:iCs/>
        </w:rPr>
        <w:t>CPEP</w:t>
      </w:r>
      <w:r>
        <w:t xml:space="preserve"> é composto por um corpo de pesquisadores dedicados à intersecção entre História Antiga, Filologia e análise historiográfica.</w:t>
      </w:r>
    </w:p>
    <w:p w14:paraId="31410B12" w14:textId="77777777" w:rsidR="00681D00" w:rsidRDefault="00000000">
      <w:r>
        <w:t xml:space="preserve">Um marco fundamental na trajetória do grupo ocorreu em 2020, com sua integração a uma iniciativa acadêmica mais ampla: o </w:t>
      </w:r>
      <w:r>
        <w:rPr>
          <w:i/>
          <w:iCs/>
        </w:rPr>
        <w:t>#Veredas</w:t>
      </w:r>
      <w:proofErr w:type="gramStart"/>
      <w:r>
        <w:rPr>
          <w:i/>
          <w:iCs/>
        </w:rPr>
        <w:t>_Digitais</w:t>
      </w:r>
      <w:proofErr w:type="gramEnd"/>
      <w:r>
        <w:rPr>
          <w:i/>
          <w:iCs/>
        </w:rPr>
        <w:t xml:space="preserve"> – Laboratório de Tecnologia e Humanidades</w:t>
      </w:r>
      <w:r>
        <w:t>. Sediado na Faculdade de Ciências e Letras de Assis, da Universidade Estadual Paulista (UNESP), o</w:t>
      </w:r>
      <w:r>
        <w:rPr>
          <w:i/>
          <w:iCs/>
        </w:rPr>
        <w:t xml:space="preserve"> #Veredas</w:t>
      </w:r>
      <w:proofErr w:type="gramStart"/>
      <w:r>
        <w:rPr>
          <w:i/>
          <w:iCs/>
        </w:rPr>
        <w:t>_Digitais</w:t>
      </w:r>
      <w:proofErr w:type="gramEnd"/>
      <w:r>
        <w:rPr>
          <w:i/>
          <w:iCs/>
        </w:rPr>
        <w:t xml:space="preserve"> </w:t>
      </w:r>
      <w:r>
        <w:t xml:space="preserve">funciona como um </w:t>
      </w:r>
      <w:r>
        <w:rPr>
          <w:i/>
          <w:iCs/>
        </w:rPr>
        <w:t>hub</w:t>
      </w:r>
      <w:r>
        <w:t xml:space="preserve"> para projetos que exploram o potencial das tecnologias digitais na pesquisa e no ensino de Humanidades. Sob a coordenação da Profa. Dra. Andrea Lúcia </w:t>
      </w:r>
      <w:proofErr w:type="spellStart"/>
      <w:r>
        <w:t>Dorini</w:t>
      </w:r>
      <w:proofErr w:type="spellEnd"/>
      <w:r>
        <w:t xml:space="preserve"> de Oliveira Carvalho Rossi, tanto o CPEP quanto o #Veredas</w:t>
      </w:r>
      <w:proofErr w:type="gramStart"/>
      <w:r>
        <w:t>_Digitais</w:t>
      </w:r>
      <w:proofErr w:type="gramEnd"/>
      <w:r>
        <w:t xml:space="preserve"> articulam uma agenda de pesquisa focada na produção de conhecimento em formato aberto e colaborativo. Essa filiação institucional e intelectual posiciona o CPEP de maneira inequívoca no campo das Humanidades Digitais, alinhando suas práticas às discussões metodológicas e teóricas que definem esta área em escala global.</w:t>
      </w:r>
    </w:p>
    <w:p w14:paraId="27527ABF" w14:textId="77777777" w:rsidR="00681D00" w:rsidRDefault="00000000">
      <w:r>
        <w:lastRenderedPageBreak/>
        <w:t>Nesse contexto, a plataforma digital do CPEP não é um fim em si mesma, mas o principal instrumento e produto da agenda de pesquisa do grupo. Ela materializa os esforços de:</w:t>
      </w:r>
    </w:p>
    <w:p w14:paraId="223BB69F" w14:textId="77777777" w:rsidR="00681D00" w:rsidRDefault="00000000">
      <w:r>
        <w:t xml:space="preserve"> </w:t>
      </w:r>
    </w:p>
    <w:p w14:paraId="67D9C54E" w14:textId="77777777" w:rsidR="00681D00" w:rsidRDefault="00000000">
      <w:pPr>
        <w:numPr>
          <w:ilvl w:val="0"/>
          <w:numId w:val="2"/>
        </w:numPr>
        <w:ind w:firstLine="130"/>
      </w:pPr>
      <w:r>
        <w:rPr>
          <w:b/>
          <w:bCs/>
        </w:rPr>
        <w:t>Curadoria Digital</w:t>
      </w:r>
      <w:r>
        <w:t>: Seleção, organização e disponibilização de fontes primárias e secundárias.</w:t>
      </w:r>
    </w:p>
    <w:p w14:paraId="28732F7B" w14:textId="77777777" w:rsidR="00681D00" w:rsidRDefault="00000000">
      <w:pPr>
        <w:ind w:left="720" w:firstLine="130"/>
      </w:pPr>
      <w:r>
        <w:t xml:space="preserve"> </w:t>
      </w:r>
    </w:p>
    <w:p w14:paraId="65F15BF8" w14:textId="77777777" w:rsidR="00681D00" w:rsidRDefault="00000000">
      <w:pPr>
        <w:numPr>
          <w:ilvl w:val="0"/>
          <w:numId w:val="7"/>
        </w:numPr>
        <w:ind w:firstLine="130"/>
      </w:pPr>
      <w:r>
        <w:rPr>
          <w:b/>
          <w:bCs/>
        </w:rPr>
        <w:t>Análise Textual Assistida por Computador</w:t>
      </w:r>
      <w:r>
        <w:t xml:space="preserve">: Desenvolvimento de ferramentas para a exploração filológica e historiográfica do </w:t>
      </w:r>
      <w:r>
        <w:rPr>
          <w:i/>
          <w:iCs/>
        </w:rPr>
        <w:t xml:space="preserve">corpus </w:t>
      </w:r>
      <w:proofErr w:type="spellStart"/>
      <w:r>
        <w:rPr>
          <w:i/>
          <w:iCs/>
        </w:rPr>
        <w:t>pliniano</w:t>
      </w:r>
      <w:proofErr w:type="spellEnd"/>
      <w:r>
        <w:t>.</w:t>
      </w:r>
    </w:p>
    <w:p w14:paraId="77623493" w14:textId="77777777" w:rsidR="00681D00" w:rsidRDefault="00000000">
      <w:r>
        <w:t xml:space="preserve"> </w:t>
      </w:r>
    </w:p>
    <w:p w14:paraId="0D87D26F" w14:textId="77777777" w:rsidR="00681D00" w:rsidRDefault="00000000">
      <w:pPr>
        <w:numPr>
          <w:ilvl w:val="0"/>
          <w:numId w:val="28"/>
        </w:numPr>
        <w:ind w:firstLine="130"/>
      </w:pPr>
      <w:r>
        <w:rPr>
          <w:b/>
          <w:bCs/>
        </w:rPr>
        <w:t>Visualização de Dados</w:t>
      </w:r>
      <w:r>
        <w:t>: Criação de representações gráficas que facilitam a compreensão de redes de conceitos e a circulação de conhecimento.</w:t>
      </w:r>
    </w:p>
    <w:p w14:paraId="2EA09683" w14:textId="77777777" w:rsidR="00681D00" w:rsidRDefault="00000000">
      <w:r>
        <w:t xml:space="preserve"> </w:t>
      </w:r>
    </w:p>
    <w:p w14:paraId="61BADD2E" w14:textId="77777777" w:rsidR="00681D00" w:rsidRDefault="00000000">
      <w:pPr>
        <w:ind w:left="720" w:firstLine="130"/>
      </w:pPr>
      <w:r>
        <w:t xml:space="preserve"> </w:t>
      </w:r>
    </w:p>
    <w:p w14:paraId="58C41363" w14:textId="77777777" w:rsidR="00681D00" w:rsidRDefault="00000000">
      <w:pPr>
        <w:numPr>
          <w:ilvl w:val="0"/>
          <w:numId w:val="8"/>
        </w:numPr>
        <w:ind w:firstLine="130"/>
      </w:pPr>
      <w:r>
        <w:rPr>
          <w:b/>
          <w:bCs/>
        </w:rPr>
        <w:t>Ciência Aberta</w:t>
      </w:r>
      <w:r>
        <w:t>: Compromisso com o acesso livre aos dados e resultados da pesquisa, fomentando a reprodutibilidade e o diálogo com a comunidade acadêmica.</w:t>
      </w:r>
    </w:p>
    <w:p w14:paraId="7528A975" w14:textId="77777777" w:rsidR="00681D00" w:rsidRDefault="00000000">
      <w:r>
        <w:t xml:space="preserve"> </w:t>
      </w:r>
    </w:p>
    <w:p w14:paraId="33F9EE4F" w14:textId="77777777" w:rsidR="00681D00" w:rsidRDefault="00000000">
      <w:r>
        <w:t>Portanto, ao apresentar o CPEP, apresentamos um ator relevante no cenário brasileiro das Humanidades Digitais Clássicas. Ele não apenas oferece uma solução tecnológica para o estudo de Plínio, mas representa um modelo de pesquisa colaborativa e institucionalizada que dialoga diretamente com os desafios e as oportunidades da investigação histórica no século XXI, contribuindo com uma perspectiva singular do Sul Global para este campo do saber.</w:t>
      </w:r>
    </w:p>
    <w:p w14:paraId="16380978" w14:textId="77777777" w:rsidR="00681D00" w:rsidRDefault="00000000">
      <w:pPr>
        <w:pStyle w:val="Ttulo1"/>
        <w:ind w:firstLine="850"/>
        <w:jc w:val="both"/>
        <w:rPr>
          <w:b w:val="0"/>
          <w:bCs w:val="0"/>
        </w:rPr>
      </w:pPr>
      <w:r>
        <w:rPr>
          <w:b w:val="0"/>
          <w:bCs w:val="0"/>
        </w:rPr>
        <w:t xml:space="preserve"> </w:t>
      </w:r>
    </w:p>
    <w:p w14:paraId="7ECFFFFB" w14:textId="77777777" w:rsidR="00681D00" w:rsidRDefault="00000000">
      <w:pPr>
        <w:ind w:firstLine="0"/>
        <w:rPr>
          <w:b/>
          <w:bCs/>
        </w:rPr>
      </w:pPr>
      <w:r>
        <w:rPr>
          <w:b/>
          <w:bCs/>
        </w:rPr>
        <w:t xml:space="preserve">3.1 O CPEP/FEMA como Estudo de Caso: Análise à Luz do Modelo </w:t>
      </w:r>
      <w:proofErr w:type="spellStart"/>
      <w:r>
        <w:rPr>
          <w:b/>
          <w:bCs/>
        </w:rPr>
        <w:t>Plinius</w:t>
      </w:r>
      <w:proofErr w:type="spellEnd"/>
      <w:r>
        <w:rPr>
          <w:b/>
          <w:bCs/>
        </w:rPr>
        <w:t xml:space="preserve"> Scriptorium</w:t>
      </w:r>
    </w:p>
    <w:p w14:paraId="0C9C33A7" w14:textId="77777777" w:rsidR="00681D00" w:rsidRDefault="00000000">
      <w:r>
        <w:t xml:space="preserve"> </w:t>
      </w:r>
    </w:p>
    <w:p w14:paraId="5F763DB2" w14:textId="77777777" w:rsidR="00681D00" w:rsidRDefault="00000000">
      <w:r>
        <w:t xml:space="preserve">O Centro de Pesquisas e Estudos </w:t>
      </w:r>
      <w:proofErr w:type="spellStart"/>
      <w:r>
        <w:t>Plinianos</w:t>
      </w:r>
      <w:proofErr w:type="spellEnd"/>
      <w:r>
        <w:t xml:space="preserve"> (CPEP/FEMA) representa um esforço notável no cenário brasileiro para democratizar o acesso às fontes </w:t>
      </w:r>
      <w:proofErr w:type="spellStart"/>
      <w:r>
        <w:t>plinianas</w:t>
      </w:r>
      <w:proofErr w:type="spellEnd"/>
      <w:r>
        <w:t xml:space="preserve">, conforme analisado anteriormente. Sua infraestrutura atual, acessível via portal web (cpep.fema.edu.br), funciona primordialmente como um repositório digital de textos e materiais de apoio. Ao aplicar o modelo </w:t>
      </w:r>
      <w:proofErr w:type="spellStart"/>
      <w:r>
        <w:t>Plinius</w:t>
      </w:r>
      <w:proofErr w:type="spellEnd"/>
      <w:r>
        <w:t xml:space="preserve"> Scriptorium a esta iniciativa, podemos discernir seus méritos consolidados e as oportunidades para sua evolução em direção a um ecossistema filológico mais inteligente e interativo.</w:t>
      </w:r>
    </w:p>
    <w:p w14:paraId="5629C010" w14:textId="77777777" w:rsidR="00681D00" w:rsidRDefault="00000000">
      <w:r>
        <w:t xml:space="preserve"> </w:t>
      </w:r>
    </w:p>
    <w:p w14:paraId="1AB9FCF5" w14:textId="77777777" w:rsidR="00681D00" w:rsidRDefault="00000000">
      <w:pPr>
        <w:ind w:firstLine="0"/>
        <w:rPr>
          <w:b/>
          <w:bCs/>
        </w:rPr>
      </w:pPr>
      <w:r>
        <w:rPr>
          <w:b/>
          <w:bCs/>
        </w:rPr>
        <w:t>3.1.1 Alinhamento com a Camada de Dados Estruturados do Modelo</w:t>
      </w:r>
    </w:p>
    <w:p w14:paraId="6C29FFFE" w14:textId="77777777" w:rsidR="00681D00" w:rsidRDefault="00000000">
      <w:r>
        <w:t xml:space="preserve"> </w:t>
      </w:r>
    </w:p>
    <w:p w14:paraId="224EADEF" w14:textId="77777777" w:rsidR="00681D00" w:rsidRDefault="00000000">
      <w:r>
        <w:t xml:space="preserve">O CPEP/FEMA demonstra um alinhamento significativo com os princípios da camada de dados estruturados do modelo </w:t>
      </w:r>
      <w:proofErr w:type="spellStart"/>
      <w:r>
        <w:t>Plinius</w:t>
      </w:r>
      <w:proofErr w:type="spellEnd"/>
      <w:r>
        <w:t xml:space="preserve"> Scriptorium (Seção 3.1) em diversos aspectos, evidenciando uma sólida base para o desenvolvimento de um ecossistema filológico inteligente:</w:t>
      </w:r>
    </w:p>
    <w:p w14:paraId="3F736AA3" w14:textId="77777777" w:rsidR="00681D00" w:rsidRDefault="00000000">
      <w:r>
        <w:t xml:space="preserve"> </w:t>
      </w:r>
    </w:p>
    <w:p w14:paraId="49CECDA0" w14:textId="77777777" w:rsidR="00681D00" w:rsidRDefault="00000000">
      <w:pPr>
        <w:numPr>
          <w:ilvl w:val="0"/>
          <w:numId w:val="22"/>
        </w:numPr>
        <w:ind w:firstLine="130"/>
      </w:pPr>
      <w:r>
        <w:rPr>
          <w:b/>
          <w:bCs/>
        </w:rPr>
        <w:t>Curadoria e Disponibilização de Fontes Primárias</w:t>
      </w:r>
      <w:r>
        <w:t xml:space="preserve">: O portal oferece acesso direto às cartas de Plínio, o Jovem, em latim e com traduções para o português e inglês. Isso atende ao requisito fundamental de disponibilização de fontes primárias, essencial para qualquer infraestrutura filológica. A existência de traduções em português é um </w:t>
      </w:r>
      <w:r>
        <w:lastRenderedPageBreak/>
        <w:t xml:space="preserve">diferencial importante para o público lusófono, superando barreiras linguísticas e democratizando o acesso ao </w:t>
      </w:r>
      <w:r>
        <w:rPr>
          <w:i/>
          <w:iCs/>
        </w:rPr>
        <w:t>corpus</w:t>
      </w:r>
      <w:r>
        <w:t>.</w:t>
      </w:r>
    </w:p>
    <w:p w14:paraId="1DB347DF" w14:textId="77777777" w:rsidR="00681D00" w:rsidRDefault="00000000">
      <w:pPr>
        <w:ind w:left="720" w:firstLine="130"/>
      </w:pPr>
      <w:r>
        <w:t xml:space="preserve"> </w:t>
      </w:r>
    </w:p>
    <w:p w14:paraId="01D8FA33" w14:textId="77777777" w:rsidR="00681D00" w:rsidRDefault="00000000">
      <w:pPr>
        <w:numPr>
          <w:ilvl w:val="0"/>
          <w:numId w:val="4"/>
        </w:numPr>
        <w:ind w:firstLine="130"/>
      </w:pPr>
      <w:r>
        <w:rPr>
          <w:b/>
          <w:bCs/>
        </w:rPr>
        <w:t>Organização e Acessibilidade</w:t>
      </w:r>
      <w:r>
        <w:t>: A interface do site é clara e intuitiva, permitindo que o usuário navegue pelo acervo e acesse os textos de forma organizada. Embora não utilize explicitamente o padrão TEI-XML para a codificação granular dos textos na interface pública, a organização dos textos em latim e suas respectivas traduções já representa um esforço de estruturação que facilita a leitura comparativa e a recuperação da informação.</w:t>
      </w:r>
    </w:p>
    <w:p w14:paraId="7C03353D" w14:textId="77777777" w:rsidR="00681D00" w:rsidRDefault="00000000">
      <w:pPr>
        <w:ind w:left="720" w:firstLine="130"/>
      </w:pPr>
      <w:r>
        <w:t xml:space="preserve"> </w:t>
      </w:r>
    </w:p>
    <w:p w14:paraId="221E66A4" w14:textId="77777777" w:rsidR="00681D00" w:rsidRDefault="00000000">
      <w:pPr>
        <w:numPr>
          <w:ilvl w:val="0"/>
          <w:numId w:val="3"/>
        </w:numPr>
        <w:ind w:firstLine="130"/>
      </w:pPr>
      <w:r>
        <w:rPr>
          <w:b/>
          <w:bCs/>
        </w:rPr>
        <w:t>Iniciativa Institucional e Sustentabilidade</w:t>
      </w:r>
      <w:r>
        <w:t>: O vínculo com a FEMA e a UNESP confere ao CPEP uma base institucional sólida, crucial para a sustentabilidade a longo prazo do acervo. A existência de um corpo de pesquisadores e a promoção de eventos e notícias (conforme observado na análise do site) indicam um compromisso contínuo com a curadoria e o enriquecimento do conteúdo, elementos vitais para a perenidade de uma infraestrutura de conhecimento.</w:t>
      </w:r>
    </w:p>
    <w:p w14:paraId="03546757" w14:textId="77777777" w:rsidR="00681D00" w:rsidRDefault="00000000">
      <w:pPr>
        <w:pStyle w:val="Ttulo1"/>
        <w:ind w:left="720" w:firstLine="130"/>
        <w:jc w:val="both"/>
        <w:rPr>
          <w:b w:val="0"/>
          <w:bCs w:val="0"/>
        </w:rPr>
      </w:pPr>
      <w:bookmarkStart w:id="9" w:name="_8eanpgefoa1z" w:colFirst="0" w:colLast="0"/>
      <w:bookmarkEnd w:id="9"/>
      <w:r>
        <w:rPr>
          <w:b w:val="0"/>
          <w:bCs w:val="0"/>
        </w:rPr>
        <w:t xml:space="preserve"> </w:t>
      </w:r>
    </w:p>
    <w:p w14:paraId="580D2C33" w14:textId="77777777" w:rsidR="00681D00" w:rsidRDefault="00000000">
      <w:pPr>
        <w:ind w:firstLine="0"/>
        <w:rPr>
          <w:b/>
          <w:bCs/>
        </w:rPr>
      </w:pPr>
      <w:r>
        <w:rPr>
          <w:b/>
          <w:bCs/>
        </w:rPr>
        <w:t>3.1.2 Lacunas e Oportunidades de Evolução em Relação à Camada de Inteligência</w:t>
      </w:r>
    </w:p>
    <w:p w14:paraId="0C659832" w14:textId="77777777" w:rsidR="00681D00" w:rsidRDefault="00000000">
      <w:r>
        <w:t xml:space="preserve"> Apesar de seus méritos como repositório, a análise do CPEP à luz da camada de inteligência do modelo </w:t>
      </w:r>
      <w:proofErr w:type="spellStart"/>
      <w:r>
        <w:t>Plinius</w:t>
      </w:r>
      <w:proofErr w:type="spellEnd"/>
      <w:r>
        <w:t xml:space="preserve"> Scriptorium (Seção 3.2) revela oportunidades significativas para sua evolução, transformando-o de um portal de consulta em um laboratório de pesquisa dinâmico e interativo:</w:t>
      </w:r>
    </w:p>
    <w:p w14:paraId="308C5D5A" w14:textId="77777777" w:rsidR="00681D00" w:rsidRDefault="00000000">
      <w:r>
        <w:t xml:space="preserve"> </w:t>
      </w:r>
    </w:p>
    <w:p w14:paraId="13E61F76" w14:textId="77777777" w:rsidR="00681D00" w:rsidRDefault="00000000">
      <w:pPr>
        <w:numPr>
          <w:ilvl w:val="0"/>
          <w:numId w:val="15"/>
        </w:numPr>
        <w:ind w:firstLine="130"/>
      </w:pPr>
      <w:r>
        <w:rPr>
          <w:b/>
          <w:bCs/>
        </w:rPr>
        <w:t>Busca e Análise Limitadas</w:t>
      </w:r>
      <w:r>
        <w:t xml:space="preserve">: A funcionalidade de busca atual do CPEP é primariamente textual e por metadados (período, temática, remetente). Já o modelo </w:t>
      </w:r>
      <w:proofErr w:type="spellStart"/>
      <w:r>
        <w:t>Plinius</w:t>
      </w:r>
      <w:proofErr w:type="spellEnd"/>
      <w:r>
        <w:t xml:space="preserve"> Scriptorium propõe uma busca semântica e facetada, que permitiria consultas por lemas, construções morfossintáticas ou entidades nomeadas (pessoas, lugares), o que não está presente na versão atual do CPEP. A ausência de ferramentas de PLN (</w:t>
      </w:r>
      <w:r>
        <w:rPr>
          <w:i/>
          <w:iCs/>
        </w:rPr>
        <w:t>Processamento de Linguagem Natural</w:t>
      </w:r>
      <w:r>
        <w:t xml:space="preserve">) integradas impede análises mais sofisticadas de frequência, </w:t>
      </w:r>
      <w:proofErr w:type="spellStart"/>
      <w:r>
        <w:t>coocorrência</w:t>
      </w:r>
      <w:proofErr w:type="spellEnd"/>
      <w:r>
        <w:t xml:space="preserve"> ou modelagem de tópicos, limitando o potencial heurístico da plataforma.</w:t>
      </w:r>
    </w:p>
    <w:p w14:paraId="7E51BC91" w14:textId="77777777" w:rsidR="00681D00" w:rsidRDefault="00000000">
      <w:pPr>
        <w:ind w:left="720" w:firstLine="130"/>
      </w:pPr>
      <w:r>
        <w:t xml:space="preserve"> </w:t>
      </w:r>
    </w:p>
    <w:p w14:paraId="20BC0A8D" w14:textId="77777777" w:rsidR="00681D00" w:rsidRDefault="00000000">
      <w:pPr>
        <w:numPr>
          <w:ilvl w:val="0"/>
          <w:numId w:val="24"/>
        </w:numPr>
        <w:ind w:firstLine="130"/>
      </w:pPr>
      <w:r>
        <w:rPr>
          <w:b/>
          <w:bCs/>
        </w:rPr>
        <w:t>Ausência de Ferramentas de Colação e Anotação Colaborativa</w:t>
      </w:r>
      <w:r>
        <w:t xml:space="preserve">: O CPEP não oferece um ambiente para a </w:t>
      </w:r>
      <w:proofErr w:type="spellStart"/>
      <w:r>
        <w:rPr>
          <w:i/>
          <w:iCs/>
        </w:rPr>
        <w:t>collatio</w:t>
      </w:r>
      <w:proofErr w:type="spellEnd"/>
      <w:r>
        <w:rPr>
          <w:i/>
          <w:iCs/>
        </w:rPr>
        <w:t xml:space="preserve"> </w:t>
      </w:r>
      <w:proofErr w:type="spellStart"/>
      <w:r>
        <w:rPr>
          <w:i/>
          <w:iCs/>
        </w:rPr>
        <w:t>codicum</w:t>
      </w:r>
      <w:proofErr w:type="spellEnd"/>
      <w:r>
        <w:t xml:space="preserve"> digital, nem um sistema de anotação colaborativa que permita aos pesquisadores registrar variantes textuais, propor emendas (</w:t>
      </w:r>
      <w:proofErr w:type="spellStart"/>
      <w:r>
        <w:rPr>
          <w:i/>
          <w:iCs/>
        </w:rPr>
        <w:t>emendatio</w:t>
      </w:r>
      <w:proofErr w:type="spellEnd"/>
      <w:r>
        <w:t xml:space="preserve">) ou adicionar comentários diretamente no texto de forma compartilhada. Essa funcionalidade é central no modelo </w:t>
      </w:r>
      <w:proofErr w:type="spellStart"/>
      <w:r>
        <w:t>Plinius</w:t>
      </w:r>
      <w:proofErr w:type="spellEnd"/>
      <w:r>
        <w:t xml:space="preserve"> Scriptorium para o enriquecimento contínuo do </w:t>
      </w:r>
      <w:r>
        <w:rPr>
          <w:i/>
          <w:iCs/>
        </w:rPr>
        <w:t>corpus</w:t>
      </w:r>
      <w:r>
        <w:t xml:space="preserve"> e para a promoção da pesquisa filológica colaborativa.</w:t>
      </w:r>
    </w:p>
    <w:p w14:paraId="68ED9112" w14:textId="77777777" w:rsidR="00681D00" w:rsidRDefault="00000000">
      <w:pPr>
        <w:ind w:left="720" w:firstLine="130"/>
      </w:pPr>
      <w:r>
        <w:t xml:space="preserve"> </w:t>
      </w:r>
    </w:p>
    <w:p w14:paraId="7CE3552C" w14:textId="77777777" w:rsidR="00681D00" w:rsidRDefault="00000000">
      <w:pPr>
        <w:numPr>
          <w:ilvl w:val="0"/>
          <w:numId w:val="1"/>
        </w:numPr>
        <w:ind w:firstLine="130"/>
      </w:pPr>
      <w:r>
        <w:rPr>
          <w:b/>
          <w:bCs/>
        </w:rPr>
        <w:t>Visualização de Dados Restrita</w:t>
      </w:r>
      <w:r>
        <w:t xml:space="preserve">: Embora o CPEP disponibilize textos, não há módulos de visualização interativa de dados, como redes de relações entre personagens, mapas geográficos dos locais mencionados ou linhas do tempo de eventos. A capacidade de transformar dados textuais em representações visuais é um pilar da camada de </w:t>
      </w:r>
      <w:r>
        <w:lastRenderedPageBreak/>
        <w:t>inteligência do nosso modelo, facilitando a identificação de padrões e a exploração de grandes volumes de informações de maneira intuitiva.</w:t>
      </w:r>
    </w:p>
    <w:p w14:paraId="38477FEE" w14:textId="77777777" w:rsidR="00681D00" w:rsidRDefault="00000000">
      <w:pPr>
        <w:ind w:left="720" w:firstLine="130"/>
      </w:pPr>
      <w:r>
        <w:t xml:space="preserve"> </w:t>
      </w:r>
    </w:p>
    <w:p w14:paraId="2A03AC8C" w14:textId="77777777" w:rsidR="00681D00" w:rsidRDefault="00000000">
      <w:pPr>
        <w:numPr>
          <w:ilvl w:val="0"/>
          <w:numId w:val="25"/>
        </w:numPr>
        <w:ind w:firstLine="130"/>
      </w:pPr>
      <w:r>
        <w:rPr>
          <w:b/>
          <w:bCs/>
        </w:rPr>
        <w:t>Interoperabilidade e APIs</w:t>
      </w:r>
      <w:r>
        <w:t>: A análise do site não indica a presença de APIs (</w:t>
      </w:r>
      <w:proofErr w:type="spellStart"/>
      <w:r>
        <w:rPr>
          <w:i/>
          <w:iCs/>
        </w:rPr>
        <w:t>Application</w:t>
      </w:r>
      <w:proofErr w:type="spellEnd"/>
      <w:r>
        <w:rPr>
          <w:i/>
          <w:iCs/>
        </w:rPr>
        <w:t xml:space="preserve"> </w:t>
      </w:r>
      <w:proofErr w:type="spellStart"/>
      <w:r>
        <w:rPr>
          <w:i/>
          <w:iCs/>
        </w:rPr>
        <w:t>Programming</w:t>
      </w:r>
      <w:proofErr w:type="spellEnd"/>
      <w:r>
        <w:rPr>
          <w:i/>
          <w:iCs/>
        </w:rPr>
        <w:t xml:space="preserve"> Interfaces</w:t>
      </w:r>
      <w:r>
        <w:t xml:space="preserve">) abertas que permitam a outras ferramentas ou projetos consumir os dados do CPEP de forma programática. A interoperabilidade via APIs </w:t>
      </w:r>
      <w:proofErr w:type="spellStart"/>
      <w:r>
        <w:t>RESTful</w:t>
      </w:r>
      <w:proofErr w:type="spellEnd"/>
      <w:r>
        <w:t xml:space="preserve"> é um princípio estruturante do modelo </w:t>
      </w:r>
      <w:proofErr w:type="spellStart"/>
      <w:r>
        <w:t>Plinius</w:t>
      </w:r>
      <w:proofErr w:type="spellEnd"/>
      <w:r>
        <w:t xml:space="preserve"> Scriptorium, essencial para a escalabilidade e extensibilidade do ecossistema, permitindo que o CPEP se integre a uma rede mais ampla de recursos digitais e contribua para a ciência aberta.</w:t>
      </w:r>
    </w:p>
    <w:p w14:paraId="69FF3D97" w14:textId="77777777" w:rsidR="00681D00" w:rsidRDefault="00000000">
      <w:r>
        <w:t xml:space="preserve"> </w:t>
      </w:r>
    </w:p>
    <w:p w14:paraId="7FEAB5AC" w14:textId="77777777" w:rsidR="00681D00" w:rsidRDefault="00000000">
      <w:r>
        <w:t xml:space="preserve">Em síntese, o CPEP/FEMA cumpre com excelência a função de um repositório digital acessível e curado, estabelecendo uma base sólida para a camada de dados. Contudo, para se aproximar do modelo de um ecossistema filológico inteligente proposto pelo </w:t>
      </w:r>
      <w:proofErr w:type="spellStart"/>
      <w:r>
        <w:t>Plinius</w:t>
      </w:r>
      <w:proofErr w:type="spellEnd"/>
      <w:r>
        <w:t xml:space="preserve"> Scriptorium, seria necessário um investimento na camada de inteligência, incorporando ferramentas de análise computacional avançada, funcionalidades colaborativas e mecanismos robustos de interoperabilidade. Essa evolução transformaria o CPEP de um portal de consulta em um laboratório de pesquisa dinâmico, capaz de gerar novos </w:t>
      </w:r>
      <w:r>
        <w:rPr>
          <w:i/>
          <w:iCs/>
        </w:rPr>
        <w:t>insights</w:t>
      </w:r>
      <w:r>
        <w:t xml:space="preserve"> a partir do </w:t>
      </w:r>
      <w:r>
        <w:rPr>
          <w:i/>
          <w:iCs/>
        </w:rPr>
        <w:t xml:space="preserve">corpus </w:t>
      </w:r>
      <w:proofErr w:type="spellStart"/>
      <w:r>
        <w:rPr>
          <w:i/>
          <w:iCs/>
        </w:rPr>
        <w:t>pliniano</w:t>
      </w:r>
      <w:proofErr w:type="spellEnd"/>
      <w:r>
        <w:t>.</w:t>
      </w:r>
    </w:p>
    <w:p w14:paraId="6A48964C" w14:textId="77777777" w:rsidR="00681D00" w:rsidRDefault="00000000">
      <w:r>
        <w:t xml:space="preserve"> </w:t>
      </w:r>
    </w:p>
    <w:p w14:paraId="7DBAC38A" w14:textId="77777777" w:rsidR="00681D00" w:rsidRDefault="00000000">
      <w:pPr>
        <w:ind w:firstLine="0"/>
        <w:rPr>
          <w:b/>
          <w:bCs/>
        </w:rPr>
      </w:pPr>
      <w:r>
        <w:rPr>
          <w:b/>
          <w:bCs/>
        </w:rPr>
        <w:t xml:space="preserve">3.2 Comparativo com Iniciativas Internacionais: </w:t>
      </w:r>
      <w:proofErr w:type="spellStart"/>
      <w:r>
        <w:rPr>
          <w:b/>
          <w:bCs/>
        </w:rPr>
        <w:t>Perseus</w:t>
      </w:r>
      <w:proofErr w:type="spellEnd"/>
      <w:r>
        <w:rPr>
          <w:b/>
          <w:bCs/>
        </w:rPr>
        <w:t xml:space="preserve">, </w:t>
      </w:r>
      <w:proofErr w:type="spellStart"/>
      <w:r>
        <w:rPr>
          <w:b/>
          <w:bCs/>
        </w:rPr>
        <w:t>Europeana</w:t>
      </w:r>
      <w:proofErr w:type="spellEnd"/>
      <w:r>
        <w:rPr>
          <w:b/>
          <w:bCs/>
        </w:rPr>
        <w:t xml:space="preserve"> e </w:t>
      </w:r>
      <w:proofErr w:type="spellStart"/>
      <w:r>
        <w:rPr>
          <w:b/>
          <w:bCs/>
        </w:rPr>
        <w:t>Perseids</w:t>
      </w:r>
      <w:proofErr w:type="spellEnd"/>
    </w:p>
    <w:p w14:paraId="00EC6E7C" w14:textId="77777777" w:rsidR="00681D00" w:rsidRDefault="00000000">
      <w:r>
        <w:t xml:space="preserve"> </w:t>
      </w:r>
    </w:p>
    <w:p w14:paraId="09574D83" w14:textId="77777777" w:rsidR="00681D00" w:rsidRDefault="00000000">
      <w:r>
        <w:t xml:space="preserve">Para contextualizar a análise do CPEP/FEMA e validar a abrangência do modelo </w:t>
      </w:r>
      <w:proofErr w:type="spellStart"/>
      <w:r>
        <w:t>Plinius</w:t>
      </w:r>
      <w:proofErr w:type="spellEnd"/>
      <w:r>
        <w:t xml:space="preserve"> Scriptorium, é fundamental compará-lo com iniciativas internacionais que há anos exploram as fronteiras das Humanidades Digitais nos Estudos Clássicos. Essas plataformas, embora com escopos e focos distintos, oferecem exemplos de como as camadas de dados e inteligência podem ser implementadas, revelando a diversidade de abordagens e os desafios comuns.</w:t>
      </w:r>
    </w:p>
    <w:p w14:paraId="7545527C" w14:textId="77777777" w:rsidR="00681D00" w:rsidRDefault="00000000">
      <w:r>
        <w:t xml:space="preserve"> </w:t>
      </w:r>
    </w:p>
    <w:p w14:paraId="7F7A57B7" w14:textId="77777777" w:rsidR="00681D00" w:rsidRDefault="00000000">
      <w:pPr>
        <w:ind w:firstLine="0"/>
        <w:rPr>
          <w:b/>
          <w:bCs/>
          <w:i/>
          <w:iCs/>
        </w:rPr>
      </w:pPr>
      <w:r>
        <w:rPr>
          <w:b/>
          <w:bCs/>
        </w:rPr>
        <w:t xml:space="preserve">3.2.1 </w:t>
      </w:r>
      <w:proofErr w:type="spellStart"/>
      <w:r>
        <w:rPr>
          <w:b/>
          <w:bCs/>
          <w:i/>
          <w:iCs/>
        </w:rPr>
        <w:t>Perseus</w:t>
      </w:r>
      <w:proofErr w:type="spellEnd"/>
      <w:r>
        <w:rPr>
          <w:b/>
          <w:bCs/>
          <w:i/>
          <w:iCs/>
        </w:rPr>
        <w:t xml:space="preserve"> Digital Library</w:t>
      </w:r>
    </w:p>
    <w:p w14:paraId="13840909" w14:textId="77777777" w:rsidR="00681D00" w:rsidRDefault="00000000">
      <w:r>
        <w:t xml:space="preserve"> A </w:t>
      </w:r>
      <w:proofErr w:type="spellStart"/>
      <w:r>
        <w:rPr>
          <w:i/>
          <w:iCs/>
        </w:rPr>
        <w:t>Perseus</w:t>
      </w:r>
      <w:proofErr w:type="spellEnd"/>
      <w:r>
        <w:rPr>
          <w:i/>
          <w:iCs/>
        </w:rPr>
        <w:t xml:space="preserve"> Digital Library</w:t>
      </w:r>
      <w:r>
        <w:t xml:space="preserve">, criada em 1987 por Gregory Crane na </w:t>
      </w:r>
      <w:proofErr w:type="spellStart"/>
      <w:r>
        <w:t>Tufts</w:t>
      </w:r>
      <w:proofErr w:type="spellEnd"/>
      <w:r>
        <w:t xml:space="preserve"> </w:t>
      </w:r>
      <w:proofErr w:type="spellStart"/>
      <w:r>
        <w:t>University</w:t>
      </w:r>
      <w:proofErr w:type="spellEnd"/>
      <w:r>
        <w:t>, é um dos projetos pioneiros e mais influentes das Humanidades Digitais. Ela disponibiliza um vasto acervo de textos literários em grego e latim, acompanhados de imagens de artefatos greco-romanos.</w:t>
      </w:r>
    </w:p>
    <w:p w14:paraId="4B5B53FE" w14:textId="77777777" w:rsidR="00681D00" w:rsidRDefault="00000000">
      <w:r>
        <w:t xml:space="preserve"> </w:t>
      </w:r>
    </w:p>
    <w:p w14:paraId="09B21A2F" w14:textId="77777777" w:rsidR="00681D00" w:rsidRDefault="00000000">
      <w:pPr>
        <w:numPr>
          <w:ilvl w:val="0"/>
          <w:numId w:val="18"/>
        </w:numPr>
        <w:ind w:firstLine="130"/>
      </w:pPr>
      <w:r>
        <w:rPr>
          <w:b/>
          <w:bCs/>
        </w:rPr>
        <w:t xml:space="preserve">Alinhamento com o Modelo </w:t>
      </w:r>
      <w:proofErr w:type="spellStart"/>
      <w:r>
        <w:rPr>
          <w:b/>
          <w:bCs/>
          <w:i/>
          <w:iCs/>
        </w:rPr>
        <w:t>Plinius</w:t>
      </w:r>
      <w:proofErr w:type="spellEnd"/>
      <w:r>
        <w:rPr>
          <w:b/>
          <w:bCs/>
          <w:i/>
          <w:iCs/>
        </w:rPr>
        <w:t xml:space="preserve"> Scriptorium</w:t>
      </w:r>
      <w:r>
        <w:t xml:space="preserve">: A </w:t>
      </w:r>
      <w:proofErr w:type="spellStart"/>
      <w:r>
        <w:rPr>
          <w:i/>
          <w:iCs/>
        </w:rPr>
        <w:t>Perseus</w:t>
      </w:r>
      <w:proofErr w:type="spellEnd"/>
      <w:r>
        <w:t xml:space="preserve"> se alinha fortemente com ambas as camadas do nosso modelo.</w:t>
      </w:r>
      <w:r>
        <w:br/>
      </w:r>
    </w:p>
    <w:p w14:paraId="10A32790" w14:textId="77777777" w:rsidR="00681D00" w:rsidRDefault="00000000">
      <w:pPr>
        <w:numPr>
          <w:ilvl w:val="1"/>
          <w:numId w:val="18"/>
        </w:numPr>
      </w:pPr>
      <w:r>
        <w:rPr>
          <w:b/>
          <w:bCs/>
        </w:rPr>
        <w:t>Camada de Dados</w:t>
      </w:r>
      <w:r>
        <w:t>: Possui uma robusta camada de dados, com textos codificados e interconectados, servindo como um repositório fundamental para os Estudos Clássicos. A qualidade de sua curadoria e a abrangência de seu acervo são exemplares.</w:t>
      </w:r>
      <w:r>
        <w:br/>
      </w:r>
    </w:p>
    <w:p w14:paraId="5E317269" w14:textId="77777777" w:rsidR="00681D00" w:rsidRDefault="00000000">
      <w:pPr>
        <w:numPr>
          <w:ilvl w:val="1"/>
          <w:numId w:val="18"/>
        </w:numPr>
      </w:pPr>
      <w:r>
        <w:t xml:space="preserve">Camada de Inteligência: A </w:t>
      </w:r>
      <w:proofErr w:type="spellStart"/>
      <w:r>
        <w:rPr>
          <w:i/>
          <w:iCs/>
        </w:rPr>
        <w:t>Perseus</w:t>
      </w:r>
      <w:proofErr w:type="spellEnd"/>
      <w:r>
        <w:t xml:space="preserve"> foi uma precursora na implementação de ferramentas de inteligência. Ela oferece análises morfológicas (identificação da </w:t>
      </w:r>
      <w:r>
        <w:lastRenderedPageBreak/>
        <w:t>forma e função gramatical das palavras), gráficos lexicais (visualizações de relações entre palavras) e interconexões hipertextuais entre fontes primárias e secundárias. Isso demonstra uma camada de inteligência altamente desenvolvida, que permite ao usuário interrogar o texto de formas complexas, indo muito além de uma simples busca.</w:t>
      </w:r>
    </w:p>
    <w:p w14:paraId="29FF21B4" w14:textId="77777777" w:rsidR="00681D00" w:rsidRDefault="00000000">
      <w:pPr>
        <w:ind w:left="1440" w:hanging="589"/>
      </w:pPr>
      <w:r>
        <w:t xml:space="preserve"> </w:t>
      </w:r>
    </w:p>
    <w:p w14:paraId="3BBCBE06" w14:textId="77777777" w:rsidR="00681D00" w:rsidRDefault="00000000">
      <w:pPr>
        <w:numPr>
          <w:ilvl w:val="0"/>
          <w:numId w:val="19"/>
        </w:numPr>
        <w:ind w:firstLine="130"/>
      </w:pPr>
      <w:r>
        <w:rPr>
          <w:b/>
          <w:bCs/>
        </w:rPr>
        <w:t>Diferenciais e Contribuições</w:t>
      </w:r>
      <w:r>
        <w:t xml:space="preserve">: A </w:t>
      </w:r>
      <w:proofErr w:type="spellStart"/>
      <w:r>
        <w:rPr>
          <w:i/>
          <w:iCs/>
        </w:rPr>
        <w:t>Perseus</w:t>
      </w:r>
      <w:proofErr w:type="spellEnd"/>
      <w:r>
        <w:t xml:space="preserve"> redefiniu a interação entre pesquisadores e fontes clássicas, combinando tradição filológica e inovações digitais (CRANE, 1998). Seu escopo é global, atendendo principalmente ao público anglófono, e ela exemplifica os princípios de acessibilidade, interdisciplinaridade e inovação tecnológica. Em comparação com o CPEP, a </w:t>
      </w:r>
      <w:proofErr w:type="spellStart"/>
      <w:r>
        <w:rPr>
          <w:i/>
          <w:iCs/>
        </w:rPr>
        <w:t>Perseus</w:t>
      </w:r>
      <w:proofErr w:type="spellEnd"/>
      <w:r>
        <w:t xml:space="preserve"> representa um estágio muito mais avançado na camada de inteligência, servindo como um </w:t>
      </w:r>
      <w:r>
        <w:rPr>
          <w:i/>
          <w:iCs/>
        </w:rPr>
        <w:t>benchmark</w:t>
      </w:r>
      <w:r>
        <w:t xml:space="preserve"> para o que o </w:t>
      </w:r>
      <w:proofErr w:type="spellStart"/>
      <w:r>
        <w:rPr>
          <w:i/>
          <w:iCs/>
        </w:rPr>
        <w:t>Plinius</w:t>
      </w:r>
      <w:proofErr w:type="spellEnd"/>
      <w:r>
        <w:rPr>
          <w:i/>
          <w:iCs/>
        </w:rPr>
        <w:t xml:space="preserve"> Scriptorium</w:t>
      </w:r>
      <w:r>
        <w:t xml:space="preserve"> idealiza.</w:t>
      </w:r>
    </w:p>
    <w:p w14:paraId="52D2B888" w14:textId="77777777" w:rsidR="00681D00" w:rsidRDefault="00000000">
      <w:pPr>
        <w:ind w:left="720" w:firstLine="130"/>
      </w:pPr>
      <w:r>
        <w:t xml:space="preserve"> </w:t>
      </w:r>
    </w:p>
    <w:p w14:paraId="78FE16C4" w14:textId="77777777" w:rsidR="00681D00" w:rsidRDefault="00000000">
      <w:pPr>
        <w:ind w:firstLine="0"/>
        <w:rPr>
          <w:b/>
          <w:bCs/>
          <w:i/>
          <w:iCs/>
        </w:rPr>
      </w:pPr>
      <w:r>
        <w:rPr>
          <w:b/>
          <w:bCs/>
        </w:rPr>
        <w:t xml:space="preserve">3.2.2 </w:t>
      </w:r>
      <w:proofErr w:type="spellStart"/>
      <w:r>
        <w:rPr>
          <w:b/>
          <w:bCs/>
          <w:i/>
          <w:iCs/>
        </w:rPr>
        <w:t>Europeana</w:t>
      </w:r>
      <w:proofErr w:type="spellEnd"/>
    </w:p>
    <w:p w14:paraId="46BC437B" w14:textId="77777777" w:rsidR="00681D00" w:rsidRDefault="00000000">
      <w:r>
        <w:t xml:space="preserve"> A </w:t>
      </w:r>
      <w:proofErr w:type="spellStart"/>
      <w:r>
        <w:rPr>
          <w:i/>
          <w:iCs/>
        </w:rPr>
        <w:t>Europeana</w:t>
      </w:r>
      <w:proofErr w:type="spellEnd"/>
      <w:r>
        <w:t xml:space="preserve"> é uma biblioteca digital europeia que agrega recursos culturais de milhares de instituições do continente, incluindo museus, galerias, bibliotecas e arquivos.</w:t>
      </w:r>
    </w:p>
    <w:p w14:paraId="3F759D46" w14:textId="77777777" w:rsidR="00681D00" w:rsidRDefault="00000000">
      <w:r>
        <w:t xml:space="preserve"> </w:t>
      </w:r>
    </w:p>
    <w:p w14:paraId="1E1F6D3C" w14:textId="77777777" w:rsidR="00681D00" w:rsidRDefault="00000000">
      <w:pPr>
        <w:numPr>
          <w:ilvl w:val="0"/>
          <w:numId w:val="27"/>
        </w:numPr>
        <w:ind w:firstLine="130"/>
      </w:pPr>
      <w:r>
        <w:t xml:space="preserve">Alinhamento com o Modelo </w:t>
      </w:r>
      <w:proofErr w:type="spellStart"/>
      <w:r>
        <w:t>Plinius</w:t>
      </w:r>
      <w:proofErr w:type="spellEnd"/>
      <w:r>
        <w:t xml:space="preserve"> Scriptorium: A </w:t>
      </w:r>
      <w:proofErr w:type="spellStart"/>
      <w:r>
        <w:rPr>
          <w:i/>
          <w:iCs/>
        </w:rPr>
        <w:t>Europeana</w:t>
      </w:r>
      <w:proofErr w:type="spellEnd"/>
      <w:r>
        <w:t xml:space="preserve"> se alinha primariamente com a camada de dados do nosso modelo, mas em uma escala muito mais ampla e diversificada.</w:t>
      </w:r>
    </w:p>
    <w:p w14:paraId="36AE525E" w14:textId="77777777" w:rsidR="00681D00" w:rsidRDefault="00000000">
      <w:pPr>
        <w:numPr>
          <w:ilvl w:val="1"/>
          <w:numId w:val="27"/>
        </w:numPr>
      </w:pPr>
      <w:r>
        <w:rPr>
          <w:b/>
          <w:bCs/>
        </w:rPr>
        <w:t>Camada de Dados</w:t>
      </w:r>
      <w:r>
        <w:t>: Seu foco é a agregação massiva de acervos culturais digitalizados (livros, vídeos, obras de arte), promovendo a colaboração internacional e a democratização do acesso ao patrimônio cultural europeu (292600.docx, Os Estudos Clássicos e as Humanidades Digitais). Ela é um exemplo de como a interoperabilidade em larga escala pode criar um vasto repositório de dados.</w:t>
      </w:r>
      <w:r>
        <w:br/>
      </w:r>
    </w:p>
    <w:p w14:paraId="589AA322" w14:textId="77777777" w:rsidR="00681D00" w:rsidRDefault="00000000">
      <w:pPr>
        <w:numPr>
          <w:ilvl w:val="1"/>
          <w:numId w:val="27"/>
        </w:numPr>
      </w:pPr>
      <w:r>
        <w:rPr>
          <w:b/>
          <w:bCs/>
        </w:rPr>
        <w:t>Camada de Inteligência</w:t>
      </w:r>
      <w:r>
        <w:t xml:space="preserve">: Embora não seja específica para Estudos Clássicos e não ofereça as ferramentas filológicas de análise profunda como a </w:t>
      </w:r>
      <w:proofErr w:type="spellStart"/>
      <w:r>
        <w:rPr>
          <w:i/>
          <w:iCs/>
        </w:rPr>
        <w:t>Perseus</w:t>
      </w:r>
      <w:proofErr w:type="spellEnd"/>
      <w:r>
        <w:t xml:space="preserve"> ou o </w:t>
      </w:r>
      <w:proofErr w:type="spellStart"/>
      <w:r>
        <w:t>Plinius</w:t>
      </w:r>
      <w:proofErr w:type="spellEnd"/>
      <w:r>
        <w:t xml:space="preserve"> Scriptorium ideal, a </w:t>
      </w:r>
      <w:proofErr w:type="spellStart"/>
      <w:r>
        <w:rPr>
          <w:i/>
          <w:iCs/>
        </w:rPr>
        <w:t>Europeana</w:t>
      </w:r>
      <w:proofErr w:type="spellEnd"/>
      <w:r>
        <w:t xml:space="preserve"> facilita a exploração de materiais históricos em formatos integrados, permitindo análises interdisciplinares e ampliando a disseminação de fontes antigas (292600.docx, Os Estudos Clássicos e as Humanidades Digitais). Sua "inteligência" reside mais na capacidade de conectar e apresentar dados de diversas fontes e formatos.</w:t>
      </w:r>
    </w:p>
    <w:p w14:paraId="3F713807" w14:textId="77777777" w:rsidR="00681D00" w:rsidRDefault="00000000">
      <w:pPr>
        <w:ind w:left="1440" w:hanging="589"/>
      </w:pPr>
      <w:r>
        <w:t xml:space="preserve"> </w:t>
      </w:r>
    </w:p>
    <w:p w14:paraId="757F34DD" w14:textId="77777777" w:rsidR="00681D00" w:rsidRDefault="00000000">
      <w:pPr>
        <w:numPr>
          <w:ilvl w:val="0"/>
          <w:numId w:val="11"/>
        </w:numPr>
        <w:ind w:firstLine="130"/>
      </w:pPr>
      <w:r>
        <w:rPr>
          <w:b/>
          <w:bCs/>
        </w:rPr>
        <w:t>Diferenciais e Contribuições</w:t>
      </w:r>
      <w:r>
        <w:t xml:space="preserve">: A </w:t>
      </w:r>
      <w:proofErr w:type="spellStart"/>
      <w:r>
        <w:rPr>
          <w:i/>
          <w:iCs/>
        </w:rPr>
        <w:t>Europeana</w:t>
      </w:r>
      <w:proofErr w:type="spellEnd"/>
      <w:r>
        <w:t xml:space="preserve"> reflete princípios das Humanidades Digitais ao combinar ampliação do acesso com preservação cultural, oferecendo um modelo sustentável para digitalização e compartilhamento de acervos históricos (292600.docx, Os Estudos Clássicos e as Humanidades Digitais). Em contraste com o foco especializado do CPEP nas cartas de Plínio, a </w:t>
      </w:r>
      <w:proofErr w:type="spellStart"/>
      <w:r>
        <w:rPr>
          <w:i/>
          <w:iCs/>
        </w:rPr>
        <w:t>Europeana</w:t>
      </w:r>
      <w:proofErr w:type="spellEnd"/>
      <w:r>
        <w:t xml:space="preserve"> demonstra o potencial da agregação de dados em uma escala macro, servindo como um exemplo de interoperabilidade entre instituições.</w:t>
      </w:r>
    </w:p>
    <w:p w14:paraId="2C1BF7B3" w14:textId="77777777" w:rsidR="00681D00" w:rsidRDefault="00000000">
      <w:pPr>
        <w:ind w:left="720" w:firstLine="130"/>
      </w:pPr>
      <w:r>
        <w:t xml:space="preserve"> </w:t>
      </w:r>
    </w:p>
    <w:p w14:paraId="47FA59C8" w14:textId="77777777" w:rsidR="00681D00" w:rsidRDefault="00000000">
      <w:pPr>
        <w:ind w:firstLine="0"/>
        <w:rPr>
          <w:b/>
          <w:bCs/>
          <w:i/>
          <w:iCs/>
        </w:rPr>
      </w:pPr>
      <w:r>
        <w:rPr>
          <w:b/>
          <w:bCs/>
        </w:rPr>
        <w:lastRenderedPageBreak/>
        <w:t xml:space="preserve">3.2.3 </w:t>
      </w:r>
      <w:proofErr w:type="spellStart"/>
      <w:r>
        <w:rPr>
          <w:b/>
          <w:bCs/>
          <w:i/>
          <w:iCs/>
        </w:rPr>
        <w:t>Perseids</w:t>
      </w:r>
      <w:proofErr w:type="spellEnd"/>
      <w:r>
        <w:rPr>
          <w:b/>
          <w:bCs/>
          <w:i/>
          <w:iCs/>
        </w:rPr>
        <w:t xml:space="preserve"> Project</w:t>
      </w:r>
      <w:r>
        <w:rPr>
          <w:b/>
          <w:bCs/>
        </w:rPr>
        <w:t xml:space="preserve"> e </w:t>
      </w:r>
      <w:proofErr w:type="spellStart"/>
      <w:r>
        <w:rPr>
          <w:b/>
          <w:bCs/>
          <w:i/>
          <w:iCs/>
        </w:rPr>
        <w:t>Arethusa</w:t>
      </w:r>
      <w:proofErr w:type="spellEnd"/>
    </w:p>
    <w:p w14:paraId="6A5319A2" w14:textId="77777777" w:rsidR="00681D00" w:rsidRDefault="00000000">
      <w:r>
        <w:t xml:space="preserve"> O </w:t>
      </w:r>
      <w:proofErr w:type="spellStart"/>
      <w:r>
        <w:rPr>
          <w:i/>
          <w:iCs/>
        </w:rPr>
        <w:t>Perseids</w:t>
      </w:r>
      <w:proofErr w:type="spellEnd"/>
      <w:r>
        <w:rPr>
          <w:i/>
          <w:iCs/>
        </w:rPr>
        <w:t xml:space="preserve"> Project</w:t>
      </w:r>
      <w:r>
        <w:t xml:space="preserve"> é uma plataforma que integra a filologia clássica com ferramentas digitais, permitindo a criação colaborativa de edições anotadas de textos antigos. Ele oferece recursos como árvores sintáticas (representações visuais da estrutura gramatical de uma frase) e alinhamento de traduções. O </w:t>
      </w:r>
      <w:proofErr w:type="spellStart"/>
      <w:r>
        <w:rPr>
          <w:i/>
          <w:iCs/>
        </w:rPr>
        <w:t>Arethusa</w:t>
      </w:r>
      <w:proofErr w:type="spellEnd"/>
      <w:r>
        <w:t xml:space="preserve"> é uma ferramenta de anotação linguística integrada ao </w:t>
      </w:r>
      <w:proofErr w:type="spellStart"/>
      <w:r>
        <w:rPr>
          <w:i/>
          <w:iCs/>
        </w:rPr>
        <w:t>Perseids</w:t>
      </w:r>
      <w:proofErr w:type="spellEnd"/>
      <w:r>
        <w:t>, desenvolvida para facilitar análises linguísticas detalhadas, como marcações morfológicas e sintáticas.</w:t>
      </w:r>
    </w:p>
    <w:p w14:paraId="110B3CBD" w14:textId="77777777" w:rsidR="00681D00" w:rsidRDefault="00000000">
      <w:r>
        <w:t xml:space="preserve"> </w:t>
      </w:r>
    </w:p>
    <w:p w14:paraId="7725CCD0" w14:textId="77777777" w:rsidR="00681D00" w:rsidRDefault="00000000">
      <w:pPr>
        <w:numPr>
          <w:ilvl w:val="0"/>
          <w:numId w:val="16"/>
        </w:numPr>
        <w:ind w:firstLine="130"/>
      </w:pPr>
      <w:r>
        <w:t xml:space="preserve">Alinhamento com o Modelo </w:t>
      </w:r>
      <w:proofErr w:type="spellStart"/>
      <w:r>
        <w:rPr>
          <w:i/>
          <w:iCs/>
        </w:rPr>
        <w:t>Plinius</w:t>
      </w:r>
      <w:proofErr w:type="spellEnd"/>
      <w:r>
        <w:rPr>
          <w:i/>
          <w:iCs/>
        </w:rPr>
        <w:t xml:space="preserve"> Scriptorium</w:t>
      </w:r>
      <w:r>
        <w:t xml:space="preserve">: O </w:t>
      </w:r>
      <w:proofErr w:type="spellStart"/>
      <w:r>
        <w:rPr>
          <w:i/>
          <w:iCs/>
        </w:rPr>
        <w:t>Perseids</w:t>
      </w:r>
      <w:proofErr w:type="spellEnd"/>
      <w:r>
        <w:t xml:space="preserve"> e o </w:t>
      </w:r>
      <w:proofErr w:type="spellStart"/>
      <w:r>
        <w:rPr>
          <w:i/>
          <w:iCs/>
        </w:rPr>
        <w:t>Arethusa</w:t>
      </w:r>
      <w:proofErr w:type="spellEnd"/>
      <w:r>
        <w:t xml:space="preserve"> se alinham fortemente com a camada de inteligência do nosso modelo, com um foco particular na colaboração e na análise filológica aprofundada.</w:t>
      </w:r>
    </w:p>
    <w:p w14:paraId="002F4393" w14:textId="77777777" w:rsidR="00681D00" w:rsidRDefault="00000000">
      <w:pPr>
        <w:numPr>
          <w:ilvl w:val="1"/>
          <w:numId w:val="16"/>
        </w:numPr>
      </w:pPr>
      <w:r>
        <w:rPr>
          <w:b/>
          <w:bCs/>
        </w:rPr>
        <w:t>Camada de Dados</w:t>
      </w:r>
      <w:r>
        <w:t xml:space="preserve">: Embora não sejam primariamente repositórios de grandes acervos como a </w:t>
      </w:r>
      <w:proofErr w:type="spellStart"/>
      <w:r>
        <w:rPr>
          <w:i/>
          <w:iCs/>
        </w:rPr>
        <w:t>Perseus</w:t>
      </w:r>
      <w:proofErr w:type="spellEnd"/>
      <w:r>
        <w:t>, eles operam sobre textos estruturados, muitas vezes importados de outras fontes, para permitir a anotação e edição.</w:t>
      </w:r>
      <w:r>
        <w:br/>
      </w:r>
    </w:p>
    <w:p w14:paraId="30400332" w14:textId="77777777" w:rsidR="00681D00" w:rsidRDefault="00000000">
      <w:pPr>
        <w:numPr>
          <w:ilvl w:val="1"/>
          <w:numId w:val="16"/>
        </w:numPr>
      </w:pPr>
      <w:r>
        <w:rPr>
          <w:b/>
          <w:bCs/>
        </w:rPr>
        <w:t>Camada de Inteligência</w:t>
      </w:r>
      <w:r>
        <w:t xml:space="preserve">: O </w:t>
      </w:r>
      <w:proofErr w:type="spellStart"/>
      <w:r>
        <w:rPr>
          <w:i/>
          <w:iCs/>
        </w:rPr>
        <w:t>Perseids</w:t>
      </w:r>
      <w:proofErr w:type="spellEnd"/>
      <w:r>
        <w:t xml:space="preserve"> fomenta a interação prática com textos em grego e latim, promovendo uma abordagem inovadora e colaborativa (SMITH; BLACKWELL, 2015). O </w:t>
      </w:r>
      <w:proofErr w:type="spellStart"/>
      <w:r>
        <w:rPr>
          <w:i/>
          <w:iCs/>
        </w:rPr>
        <w:t>Arethusa</w:t>
      </w:r>
      <w:proofErr w:type="spellEnd"/>
      <w:r>
        <w:t xml:space="preserve">, por sua vez, atende a um público técnico, permitindo análises detalhadas e a conexão de diferentes fontes e sistemas linguísticos. A ênfase na construção colaborativa do conhecimento e nas ferramentas de anotação é um ponto forte que o </w:t>
      </w:r>
      <w:proofErr w:type="spellStart"/>
      <w:r>
        <w:t>Plinius</w:t>
      </w:r>
      <w:proofErr w:type="spellEnd"/>
      <w:r>
        <w:t xml:space="preserve"> Scriptorium idealiza.</w:t>
      </w:r>
    </w:p>
    <w:p w14:paraId="22C74FC3" w14:textId="77777777" w:rsidR="00681D00" w:rsidRDefault="00000000">
      <w:pPr>
        <w:ind w:left="1440" w:hanging="589"/>
      </w:pPr>
      <w:r>
        <w:t xml:space="preserve"> </w:t>
      </w:r>
    </w:p>
    <w:p w14:paraId="534BAF59" w14:textId="77777777" w:rsidR="00681D00" w:rsidRDefault="00000000">
      <w:pPr>
        <w:numPr>
          <w:ilvl w:val="0"/>
          <w:numId w:val="5"/>
        </w:numPr>
        <w:ind w:firstLine="130"/>
      </w:pPr>
      <w:r>
        <w:rPr>
          <w:b/>
          <w:bCs/>
        </w:rPr>
        <w:t>Diferenciais e Contribuições</w:t>
      </w:r>
      <w:r>
        <w:t xml:space="preserve">: O </w:t>
      </w:r>
      <w:proofErr w:type="spellStart"/>
      <w:r>
        <w:rPr>
          <w:i/>
          <w:iCs/>
        </w:rPr>
        <w:t>Perseids</w:t>
      </w:r>
      <w:proofErr w:type="spellEnd"/>
      <w:r>
        <w:t xml:space="preserve"> exemplifica os princípios de colaboração e inovação, centrais às Humanidades Digitais. Ele promove a acessibilidade ao disponibilizar ferramentas que conectam práticas filológicas tradicionais a tecnologias digitais avançadas. Diferentemente do CPEP, que disponibiliza textos prontos, o </w:t>
      </w:r>
      <w:proofErr w:type="spellStart"/>
      <w:r>
        <w:rPr>
          <w:i/>
          <w:iCs/>
        </w:rPr>
        <w:t>Perseids</w:t>
      </w:r>
      <w:proofErr w:type="spellEnd"/>
      <w:r>
        <w:t xml:space="preserve"> é voltado para especialistas que produzem edições críticas, o que o torna um modelo para a funcionalidade de "reconstrução textual" e "anotação colaborativa" do </w:t>
      </w:r>
      <w:proofErr w:type="spellStart"/>
      <w:r>
        <w:t>Plinius</w:t>
      </w:r>
      <w:proofErr w:type="spellEnd"/>
      <w:r>
        <w:t xml:space="preserve"> Scriptorium.</w:t>
      </w:r>
    </w:p>
    <w:p w14:paraId="1992DC6D" w14:textId="77777777" w:rsidR="00681D00" w:rsidRDefault="00000000">
      <w:pPr>
        <w:ind w:left="360" w:firstLine="490"/>
      </w:pPr>
      <w:r>
        <w:t xml:space="preserve"> </w:t>
      </w:r>
    </w:p>
    <w:p w14:paraId="321EF513" w14:textId="77777777" w:rsidR="00681D00" w:rsidRDefault="00000000">
      <w:pPr>
        <w:ind w:firstLine="0"/>
        <w:rPr>
          <w:b/>
          <w:bCs/>
        </w:rPr>
      </w:pPr>
      <w:r>
        <w:rPr>
          <w:b/>
          <w:bCs/>
        </w:rPr>
        <w:t xml:space="preserve">3.2.4 Análise Linguística Comparativa: O </w:t>
      </w:r>
      <w:r>
        <w:rPr>
          <w:b/>
          <w:bCs/>
          <w:i/>
          <w:iCs/>
        </w:rPr>
        <w:t xml:space="preserve">Thesaurus Linguae </w:t>
      </w:r>
      <w:proofErr w:type="spellStart"/>
      <w:r>
        <w:rPr>
          <w:b/>
          <w:bCs/>
          <w:i/>
          <w:iCs/>
        </w:rPr>
        <w:t>Latinae</w:t>
      </w:r>
      <w:proofErr w:type="spellEnd"/>
      <w:r>
        <w:rPr>
          <w:b/>
          <w:bCs/>
        </w:rPr>
        <w:t xml:space="preserve"> como Paradigma Lexicográfico Digital</w:t>
      </w:r>
    </w:p>
    <w:p w14:paraId="68ACAB92" w14:textId="77777777" w:rsidR="00681D00" w:rsidRDefault="00000000">
      <w:r>
        <w:t xml:space="preserve"> A análise de ecossistemas digitais para a pesquisa histórica requer a distinção entre plataformas de agregação de metadados, como a </w:t>
      </w:r>
      <w:proofErr w:type="spellStart"/>
      <w:r>
        <w:rPr>
          <w:i/>
          <w:iCs/>
        </w:rPr>
        <w:t>Europeana</w:t>
      </w:r>
      <w:proofErr w:type="spellEnd"/>
      <w:r>
        <w:t xml:space="preserve">, e repositórios de fontes primárias com ferramentas de análise textual, como a </w:t>
      </w:r>
      <w:proofErr w:type="spellStart"/>
      <w:r>
        <w:rPr>
          <w:i/>
          <w:iCs/>
        </w:rPr>
        <w:t>Perseus</w:t>
      </w:r>
      <w:proofErr w:type="spellEnd"/>
      <w:r>
        <w:rPr>
          <w:i/>
          <w:iCs/>
        </w:rPr>
        <w:t xml:space="preserve"> Digital Library</w:t>
      </w:r>
      <w:r>
        <w:t xml:space="preserve">. No entanto, para uma tipologia completa, é imperativo incluir um terceiro paradigma: o do léxico digital de alta especialização, cujo principal expoente no campo dos estudos clássicos é o </w:t>
      </w:r>
      <w:r>
        <w:rPr>
          <w:i/>
          <w:iCs/>
        </w:rPr>
        <w:t xml:space="preserve">Thesaurus Linguae </w:t>
      </w:r>
      <w:proofErr w:type="spellStart"/>
      <w:r>
        <w:rPr>
          <w:i/>
          <w:iCs/>
        </w:rPr>
        <w:t>Latinae</w:t>
      </w:r>
      <w:proofErr w:type="spellEnd"/>
      <w:r>
        <w:t xml:space="preserve"> (TLL). Este recurso, embora digital em sua acessibilidade, representa a culminação de uma tradição filológica e lexicográfica que antecede a própria computação (MÜLLER, 2018).</w:t>
      </w:r>
    </w:p>
    <w:p w14:paraId="433EFFCB" w14:textId="77777777" w:rsidR="00681D00" w:rsidRDefault="00000000">
      <w:r>
        <w:t xml:space="preserve">O TLL não se propõe a ser um portal de descoberta de objetos culturais ou um ambiente para análise sintática de um </w:t>
      </w:r>
      <w:r>
        <w:rPr>
          <w:i/>
          <w:iCs/>
        </w:rPr>
        <w:t>corpus</w:t>
      </w:r>
      <w:r>
        <w:t xml:space="preserve"> fechado. Sua finalidade, como monumento da lexicografia, é oferecer uma análise diacrônica e semântica exaustiva de cada verbete da língua latina, desde suas origens até o ano de 600 d.C. A "camada de inteligência" do TLL, portanto, não é primariamente algorítmica, mas sim o resultado de mais de um século de trabalho </w:t>
      </w:r>
      <w:r>
        <w:lastRenderedPageBreak/>
        <w:t>filológico humano, meticulosamente curado e estruturado. Conforme aponta a literatura sobre humanidades digitais, existe uma distinção fundamental entre a inteligência computacional e a inteligência curatorial:</w:t>
      </w:r>
    </w:p>
    <w:p w14:paraId="62E7DCF8" w14:textId="77777777" w:rsidR="00681D00" w:rsidRDefault="00000000">
      <w:r>
        <w:t xml:space="preserve">A digitalização de um recurso como o </w:t>
      </w:r>
      <w:r>
        <w:rPr>
          <w:i/>
          <w:iCs/>
        </w:rPr>
        <w:t>Thesaurus</w:t>
      </w:r>
      <w:r>
        <w:t xml:space="preserve"> não visa substituir a erudição humana por processamento </w:t>
      </w:r>
      <w:proofErr w:type="spellStart"/>
      <w:r>
        <w:t>maquínico</w:t>
      </w:r>
      <w:proofErr w:type="spellEnd"/>
      <w:r>
        <w:t xml:space="preserve">, mas sim potencializar o acesso a um conhecimento já estruturado. A inteligência da plataforma não reside em sua capacidade de </w:t>
      </w:r>
      <w:proofErr w:type="spellStart"/>
      <w:r>
        <w:rPr>
          <w:i/>
          <w:iCs/>
        </w:rPr>
        <w:t>parsing</w:t>
      </w:r>
      <w:proofErr w:type="spellEnd"/>
      <w:r>
        <w:t xml:space="preserve"> ou de visualização de dados, mas na profundidade e na confiabilidade da informação filológica que ela veicula. Trata-se de um modelo de "conhecimento como serviço" (</w:t>
      </w:r>
      <w:proofErr w:type="spellStart"/>
      <w:r>
        <w:rPr>
          <w:i/>
          <w:iCs/>
        </w:rPr>
        <w:t>Knowledge</w:t>
      </w:r>
      <w:proofErr w:type="spellEnd"/>
      <w:r>
        <w:rPr>
          <w:i/>
          <w:iCs/>
        </w:rPr>
        <w:t xml:space="preserve"> as a Service</w:t>
      </w:r>
      <w:r>
        <w:t>), em oposição ao modelo de "dados como serviço" (</w:t>
      </w:r>
      <w:r>
        <w:rPr>
          <w:i/>
          <w:iCs/>
        </w:rPr>
        <w:t>Data as a Service</w:t>
      </w:r>
      <w:r>
        <w:t>) de outros repositórios (BAUMAN; BODE, 2014, p. 87, tradução nossa).</w:t>
      </w:r>
    </w:p>
    <w:p w14:paraId="74150835" w14:textId="77777777" w:rsidR="00681D00" w:rsidRDefault="00000000">
      <w:r>
        <w:t xml:space="preserve">Essa distinção é metodologicamente crucial. Enquanto a </w:t>
      </w:r>
      <w:proofErr w:type="spellStart"/>
      <w:r>
        <w:rPr>
          <w:i/>
          <w:iCs/>
        </w:rPr>
        <w:t>Perseus</w:t>
      </w:r>
      <w:proofErr w:type="spellEnd"/>
      <w:r>
        <w:t xml:space="preserve"> permite ao pesquisador investigar a frequência e o contexto de um termo dentro de uma obra específica – uma análise sincrônica e contextual –, o TLL permite compreender a genealogia completa desse mesmo termo, seus múltiplos significados, suas nuances e sua evolução ao longo de séculos. A </w:t>
      </w:r>
      <w:proofErr w:type="spellStart"/>
      <w:r>
        <w:rPr>
          <w:i/>
          <w:iCs/>
        </w:rPr>
        <w:t>Europeana</w:t>
      </w:r>
      <w:proofErr w:type="spellEnd"/>
      <w:r>
        <w:t>, por sua vez, poderia, hipoteticamente, conectar o pesquisador a um manuscrito que contém o termo, mas não oferece ferramentas para sua análise linguística intrínseca.</w:t>
      </w:r>
    </w:p>
    <w:p w14:paraId="65E8CB98" w14:textId="77777777" w:rsidR="00681D00" w:rsidRDefault="00000000">
      <w:r>
        <w:t xml:space="preserve">A complementaridade entre as três plataformas define um fluxo de trabalho ideal para o historiador ou classicista digital. Um projeto de pesquisa poderia iniciar-se na </w:t>
      </w:r>
      <w:proofErr w:type="spellStart"/>
      <w:r>
        <w:rPr>
          <w:i/>
          <w:iCs/>
        </w:rPr>
        <w:t>Europeana</w:t>
      </w:r>
      <w:proofErr w:type="spellEnd"/>
      <w:r>
        <w:t xml:space="preserve"> para a descoberta de fontes primárias dispersas. Subsequentemente, a </w:t>
      </w:r>
      <w:proofErr w:type="spellStart"/>
      <w:r>
        <w:rPr>
          <w:i/>
          <w:iCs/>
        </w:rPr>
        <w:t>Perseus</w:t>
      </w:r>
      <w:proofErr w:type="spellEnd"/>
      <w:r>
        <w:t xml:space="preserve"> seria empregada para a leitura e análise estrutural dos textos encontrados. Finalmente, para a exegese de conceitos-chave e termos polissêmicos, o TLL serviria como a autoridade final, oferecendo uma densidade semântica inatingível pelas outras ferramentas. Este ecossistema tripartido demonstra que a maturidade da pesquisa digital não reside na existência de uma única ferramenta onipotente, mas na interoperabilidade funcional entre plataformas com diferentes vocações epistemológicas (FLICK, 2009).</w:t>
      </w:r>
    </w:p>
    <w:p w14:paraId="2ED76741" w14:textId="77777777" w:rsidR="00681D00" w:rsidRDefault="00000000">
      <w:r>
        <w:t xml:space="preserve"> </w:t>
      </w:r>
    </w:p>
    <w:p w14:paraId="18A0E4B5" w14:textId="77777777" w:rsidR="00681D00" w:rsidRDefault="00000000">
      <w:pPr>
        <w:ind w:firstLine="0"/>
        <w:rPr>
          <w:b/>
          <w:bCs/>
        </w:rPr>
      </w:pPr>
      <w:r>
        <w:rPr>
          <w:b/>
          <w:bCs/>
        </w:rPr>
        <w:t>3.2.4 Síntese Comparativa</w:t>
      </w:r>
    </w:p>
    <w:p w14:paraId="6F72C127" w14:textId="77777777" w:rsidR="00681D00" w:rsidRDefault="00000000">
      <w:r>
        <w:t xml:space="preserve"> A análise comparativa, estruturada a partir do modelo </w:t>
      </w:r>
      <w:proofErr w:type="spellStart"/>
      <w:r>
        <w:t>Plinius</w:t>
      </w:r>
      <w:proofErr w:type="spellEnd"/>
      <w:r>
        <w:t xml:space="preserve"> Scriptorium, permite situar o ecossistema digital </w:t>
      </w:r>
      <w:proofErr w:type="spellStart"/>
      <w:r>
        <w:t>pliniano</w:t>
      </w:r>
      <w:proofErr w:type="spellEnd"/>
      <w:r>
        <w:t xml:space="preserve"> em um diálogo crítico com as principais iniciativas internacionais de Humanidades Digitais. Cada plataforma avaliada revela diferentes ênfases e graus de maturidade nas camadas de dados e inteligência, validando a pertinência deste modelo como ferramenta de diagnóstico. A </w:t>
      </w:r>
      <w:proofErr w:type="spellStart"/>
      <w:r>
        <w:rPr>
          <w:i/>
          <w:iCs/>
        </w:rPr>
        <w:t>Perseus</w:t>
      </w:r>
      <w:proofErr w:type="spellEnd"/>
      <w:r>
        <w:rPr>
          <w:i/>
          <w:iCs/>
        </w:rPr>
        <w:t xml:space="preserve"> Digital Library</w:t>
      </w:r>
      <w:r>
        <w:t xml:space="preserve"> exemplifica a integração madura de ambas as camadas, com notável profundidade na inteligência analítica. A </w:t>
      </w:r>
      <w:proofErr w:type="spellStart"/>
      <w:r>
        <w:rPr>
          <w:i/>
          <w:iCs/>
        </w:rPr>
        <w:t>Europeana</w:t>
      </w:r>
      <w:proofErr w:type="spellEnd"/>
      <w:r>
        <w:t xml:space="preserve"> demonstra a potência da agregação massiva e da interoperabilidade semântica em escala macro. O </w:t>
      </w:r>
      <w:r>
        <w:rPr>
          <w:i/>
          <w:iCs/>
        </w:rPr>
        <w:t xml:space="preserve">Thesaurus Linguae </w:t>
      </w:r>
      <w:proofErr w:type="spellStart"/>
      <w:r>
        <w:rPr>
          <w:i/>
          <w:iCs/>
        </w:rPr>
        <w:t>Latinae</w:t>
      </w:r>
      <w:proofErr w:type="spellEnd"/>
      <w:r>
        <w:t xml:space="preserve"> (TLL) representa a cristalização da inteligência filológica em uma estrutura de dados altamente especializada, servindo como um pilar de autoridade lexicográfica. Por fim, iniciativas como </w:t>
      </w:r>
      <w:proofErr w:type="spellStart"/>
      <w:r>
        <w:rPr>
          <w:i/>
          <w:iCs/>
        </w:rPr>
        <w:t>Perseids</w:t>
      </w:r>
      <w:proofErr w:type="spellEnd"/>
      <w:r>
        <w:t xml:space="preserve"> e </w:t>
      </w:r>
      <w:proofErr w:type="spellStart"/>
      <w:r>
        <w:rPr>
          <w:i/>
          <w:iCs/>
        </w:rPr>
        <w:t>Arethusa</w:t>
      </w:r>
      <w:proofErr w:type="spellEnd"/>
      <w:r>
        <w:t xml:space="preserve"> ilustram o dinamismo da camada de inteligência por meio de ferramentas de anotação colaborativa.</w:t>
      </w:r>
    </w:p>
    <w:p w14:paraId="2068E75C" w14:textId="77777777" w:rsidR="00681D00" w:rsidRDefault="00000000">
      <w:r>
        <w:t xml:space="preserve">Nesse panorama, o </w:t>
      </w:r>
      <w:proofErr w:type="spellStart"/>
      <w:r>
        <w:rPr>
          <w:i/>
          <w:iCs/>
        </w:rPr>
        <w:t>Plinius</w:t>
      </w:r>
      <w:proofErr w:type="spellEnd"/>
      <w:r>
        <w:rPr>
          <w:i/>
          <w:iCs/>
        </w:rPr>
        <w:t xml:space="preserve"> Scriptorium</w:t>
      </w:r>
      <w:r>
        <w:t xml:space="preserve"> não é apenas um modelo teórico, mas uma ferramenta de diagnóstico que posiciona o </w:t>
      </w:r>
      <w:r>
        <w:rPr>
          <w:i/>
          <w:iCs/>
        </w:rPr>
        <w:t xml:space="preserve">Centro </w:t>
      </w:r>
      <w:proofErr w:type="spellStart"/>
      <w:r>
        <w:rPr>
          <w:i/>
          <w:iCs/>
        </w:rPr>
        <w:t>Pliniano</w:t>
      </w:r>
      <w:proofErr w:type="spellEnd"/>
      <w:r>
        <w:rPr>
          <w:i/>
          <w:iCs/>
        </w:rPr>
        <w:t xml:space="preserve"> de Estudos e Pesquisas </w:t>
      </w:r>
      <w:r>
        <w:t xml:space="preserve">(CPEP/FEMA) como um projeto com uma camada de dados robusta e curada, mas com um horizonte claro para o desenvolvimento de sua camada de inteligência. A articulação entre o </w:t>
      </w:r>
      <w:proofErr w:type="spellStart"/>
      <w:r>
        <w:t>Plinius</w:t>
      </w:r>
      <w:proofErr w:type="spellEnd"/>
      <w:r>
        <w:t xml:space="preserve"> Scriptorium como arcabouço conceitual e o CPEP como sua aplicação prática beneficia-se diretamente da observação dessas iniciativas. A meta é integrar a profundidade analítica da </w:t>
      </w:r>
      <w:proofErr w:type="spellStart"/>
      <w:r>
        <w:rPr>
          <w:i/>
          <w:iCs/>
        </w:rPr>
        <w:lastRenderedPageBreak/>
        <w:t>Perseus</w:t>
      </w:r>
      <w:proofErr w:type="spellEnd"/>
      <w:r>
        <w:t xml:space="preserve">, a interoperabilidade da </w:t>
      </w:r>
      <w:proofErr w:type="spellStart"/>
      <w:r>
        <w:rPr>
          <w:i/>
          <w:iCs/>
        </w:rPr>
        <w:t>Europeana</w:t>
      </w:r>
      <w:proofErr w:type="spellEnd"/>
      <w:r>
        <w:t xml:space="preserve"> e a autoridade filológica do TLL para consolidar um ecossistema digital de referência para os estudos </w:t>
      </w:r>
      <w:proofErr w:type="spellStart"/>
      <w:r>
        <w:t>plinianos</w:t>
      </w:r>
      <w:proofErr w:type="spellEnd"/>
      <w:r>
        <w:t>.</w:t>
      </w:r>
    </w:p>
    <w:p w14:paraId="7380875D" w14:textId="77777777" w:rsidR="00681D00" w:rsidRDefault="00681D00"/>
    <w:p w14:paraId="24D5FDE9" w14:textId="77777777" w:rsidR="00681D00" w:rsidRDefault="00000000">
      <w:r>
        <w:t xml:space="preserve"> </w:t>
      </w:r>
    </w:p>
    <w:p w14:paraId="407AA8B0" w14:textId="77777777" w:rsidR="00681D00" w:rsidRDefault="00000000">
      <w:pPr>
        <w:ind w:firstLine="0"/>
        <w:rPr>
          <w:b/>
          <w:bCs/>
        </w:rPr>
      </w:pPr>
      <w:r>
        <w:rPr>
          <w:b/>
          <w:bCs/>
        </w:rPr>
        <w:t>4. Desafios Epistemológicos e Horizontes da Pesquisa Histórica Digital</w:t>
      </w:r>
    </w:p>
    <w:p w14:paraId="3CA647FF" w14:textId="77777777" w:rsidR="00681D00" w:rsidRDefault="00000000">
      <w:r>
        <w:t xml:space="preserve"> A transição para o paradigma digital na pesquisa dos estudos clássicos, embora promissora, impõe desafios estruturais que transcendem a mera aplicação de novas tecnologias. Tais desafios são de natureza técnica, institucional e, fundamentalmente, epistemológica, exigindo uma reflexão crítica sobre os próprios fundamentos do conhecimento histórico na era digital. Esta seção aborda três eixos críticos: a interoperabilidade e curadoria de dados, a sustentabilidade dos projetos digitais e as implicações metodológicas para o ofício do historiador.</w:t>
      </w:r>
    </w:p>
    <w:p w14:paraId="5224D63B" w14:textId="77777777" w:rsidR="00681D00" w:rsidRDefault="00000000">
      <w:r>
        <w:t xml:space="preserve"> </w:t>
      </w:r>
    </w:p>
    <w:p w14:paraId="6A3B720B" w14:textId="77777777" w:rsidR="00681D00" w:rsidRDefault="00000000">
      <w:pPr>
        <w:ind w:firstLine="0"/>
        <w:rPr>
          <w:b/>
          <w:bCs/>
        </w:rPr>
      </w:pPr>
      <w:r>
        <w:rPr>
          <w:b/>
          <w:bCs/>
        </w:rPr>
        <w:t>4.1 O Imperativo da Interoperabilidade e da Curadoria de Dados</w:t>
      </w:r>
    </w:p>
    <w:p w14:paraId="0592FD52" w14:textId="77777777" w:rsidR="00681D00" w:rsidRDefault="00000000">
      <w:r>
        <w:t xml:space="preserve"> A proliferação de projetos digitais de alta qualidade, como o </w:t>
      </w:r>
      <w:r>
        <w:rPr>
          <w:i/>
          <w:iCs/>
        </w:rPr>
        <w:t xml:space="preserve">Thesaurus Linguae </w:t>
      </w:r>
      <w:proofErr w:type="spellStart"/>
      <w:r>
        <w:rPr>
          <w:i/>
          <w:iCs/>
        </w:rPr>
        <w:t>Latinae</w:t>
      </w:r>
      <w:proofErr w:type="spellEnd"/>
      <w:r>
        <w:t xml:space="preserve"> (TLL) e o site desenvolvido pelo </w:t>
      </w:r>
      <w:r>
        <w:rPr>
          <w:i/>
          <w:iCs/>
        </w:rPr>
        <w:t xml:space="preserve">Centro de Pesquisa e Estudos </w:t>
      </w:r>
      <w:proofErr w:type="spellStart"/>
      <w:r>
        <w:rPr>
          <w:i/>
          <w:iCs/>
        </w:rPr>
        <w:t>Plinianos</w:t>
      </w:r>
      <w:proofErr w:type="spellEnd"/>
      <w:r>
        <w:rPr>
          <w:i/>
          <w:iCs/>
        </w:rPr>
        <w:t xml:space="preserve"> (CPEP)</w:t>
      </w:r>
      <w:r>
        <w:t xml:space="preserve">, ilustra um paradoxo central: a excelência isolada gera "silos de dados". Cada projeto, desenvolvido com sua própria arquitetura, metadados e ontologia, constitui um ecossistema fechado. O TLL, com sua estrutura lexicográfica complexa, e o repositório do </w:t>
      </w:r>
      <w:r>
        <w:rPr>
          <w:i/>
          <w:iCs/>
        </w:rPr>
        <w:t>CPEP</w:t>
      </w:r>
      <w:r>
        <w:t xml:space="preserve">, focado no </w:t>
      </w:r>
      <w:r>
        <w:rPr>
          <w:i/>
          <w:iCs/>
        </w:rPr>
        <w:t xml:space="preserve">corpus </w:t>
      </w:r>
      <w:proofErr w:type="spellStart"/>
      <w:r>
        <w:rPr>
          <w:i/>
          <w:iCs/>
        </w:rPr>
        <w:t>pliniano</w:t>
      </w:r>
      <w:proofErr w:type="spellEnd"/>
      <w:r>
        <w:t>, são exemplos de recursos de valor inestimável que, contudo, não dialogam nativamente entre si.</w:t>
      </w:r>
    </w:p>
    <w:p w14:paraId="730CE6C9" w14:textId="77777777" w:rsidR="00681D00" w:rsidRDefault="00000000">
      <w:r>
        <w:t xml:space="preserve">O desafio, portanto, não é apenas técnico, mas semântico. A verdadeira fronteira da pesquisa histórica digital reside na construção de uma interoperabilidade semântica, que permita consultas cruzadas e análises comparativas em larga escala. Isso demanda a adoção de padrões de metadados (como </w:t>
      </w:r>
      <w:r>
        <w:rPr>
          <w:i/>
          <w:iCs/>
        </w:rPr>
        <w:t>Dublin Core</w:t>
      </w:r>
      <w:r>
        <w:t xml:space="preserve"> ou </w:t>
      </w:r>
      <w:r>
        <w:rPr>
          <w:i/>
          <w:iCs/>
        </w:rPr>
        <w:t>MODS</w:t>
      </w:r>
      <w:r>
        <w:t>), o desenvolvimento de ontologias de domínio histórico (modelos formais de conhecimento) e um compromisso com a curadoria de dados contínua. Sem essa infraestrutura conceitual e técnica compartilhada, corremos o risco de criar um arquipélago de ilhas digitais, ricas em informação, mas pobres em conhecimento conectivo.</w:t>
      </w:r>
    </w:p>
    <w:p w14:paraId="50FEAF78" w14:textId="77777777" w:rsidR="00681D00" w:rsidRDefault="00000000">
      <w:r>
        <w:t xml:space="preserve"> </w:t>
      </w:r>
    </w:p>
    <w:p w14:paraId="559E7193" w14:textId="77777777" w:rsidR="00681D00" w:rsidRDefault="00000000">
      <w:pPr>
        <w:ind w:firstLine="0"/>
        <w:rPr>
          <w:b/>
          <w:bCs/>
        </w:rPr>
      </w:pPr>
      <w:r>
        <w:rPr>
          <w:b/>
          <w:bCs/>
        </w:rPr>
        <w:t>4.2 A Questão da Sustentabilidade e da Preservação Digital</w:t>
      </w:r>
    </w:p>
    <w:p w14:paraId="3A77EC38" w14:textId="77777777" w:rsidR="00681D00" w:rsidRDefault="00000000">
      <w:r>
        <w:t xml:space="preserve"> A materialidade do livro garantiu a transmissão do conhecimento por séculos; a efemeridade dos suportes digitais apresenta uma ameaça existencial. A sustentabilidade de um projeto de humanidades digitais é um desafio multifacetado que engloba a obsolescência tecnológica (programas, formatos de arquivo), a degradação de </w:t>
      </w:r>
      <w:r>
        <w:rPr>
          <w:i/>
          <w:iCs/>
        </w:rPr>
        <w:t>hardware</w:t>
      </w:r>
      <w:r>
        <w:t xml:space="preserve"> e, crucialmente, a descontinuidade do financiamento e do suporte institucional.</w:t>
      </w:r>
    </w:p>
    <w:p w14:paraId="25ADF5B0" w14:textId="77777777" w:rsidR="00681D00" w:rsidRDefault="00000000">
      <w:r>
        <w:t xml:space="preserve">Um projeto digital não é um </w:t>
      </w:r>
      <w:proofErr w:type="gramStart"/>
      <w:r>
        <w:t>produto final</w:t>
      </w:r>
      <w:proofErr w:type="gramEnd"/>
      <w:r>
        <w:t>, como um livro impresso, mas um processo contínuo que exige manutenção, atualização e migração de dados. A ausência de um planejamento de longo prazo para a preservação digital pode condenar décadas de trabalho acadêmico ao desaparecimento. A comunidade historiográfica precisa, portanto, advogar por políticas institucionais robustas que reconheçam os repositórios digitais como patrimônio acadêmico, garantindo sua longevidade para além dos ciclos de financiamento de projetos e da carreira de seus idealizadores. O risco é a criação de um "passado perdido" digital, inacessível às futuras gerações de pesquisadores.</w:t>
      </w:r>
    </w:p>
    <w:p w14:paraId="1DB73682" w14:textId="77777777" w:rsidR="00681D00" w:rsidRDefault="00000000">
      <w:r>
        <w:lastRenderedPageBreak/>
        <w:t xml:space="preserve"> </w:t>
      </w:r>
    </w:p>
    <w:p w14:paraId="18B2DD57" w14:textId="77777777" w:rsidR="00681D00" w:rsidRDefault="00000000">
      <w:pPr>
        <w:ind w:firstLine="0"/>
        <w:rPr>
          <w:b/>
          <w:bCs/>
        </w:rPr>
      </w:pPr>
      <w:r>
        <w:rPr>
          <w:b/>
          <w:bCs/>
        </w:rPr>
        <w:t>4.3 Implicações Epistemológicas e o Novo Letramento Metodológico</w:t>
      </w:r>
    </w:p>
    <w:p w14:paraId="20E20A5B" w14:textId="77777777" w:rsidR="00681D00" w:rsidRDefault="00000000">
      <w:r>
        <w:t xml:space="preserve"> Talvez o desafio mais profundo seja o epistemológico. As ferramentas digitais não são meros instrumentos neutros; elas moldam as questões que formulamos, os métodos que empregamos e, em última instância, as narrativas que construímos sobre o passado. A passagem de uma heurística baseada na leitura atenta e linear (o </w:t>
      </w:r>
      <w:r>
        <w:rPr>
          <w:i/>
          <w:iCs/>
        </w:rPr>
        <w:t xml:space="preserve">close </w:t>
      </w:r>
      <w:proofErr w:type="spellStart"/>
      <w:r>
        <w:rPr>
          <w:i/>
          <w:iCs/>
        </w:rPr>
        <w:t>reading</w:t>
      </w:r>
      <w:proofErr w:type="spellEnd"/>
      <w:r>
        <w:t xml:space="preserve"> da hermenêutica tradicional) para uma análise que incorpora a mineração de dados e a visualização em larga escala (</w:t>
      </w:r>
      <w:proofErr w:type="spellStart"/>
      <w:r>
        <w:rPr>
          <w:i/>
          <w:iCs/>
        </w:rPr>
        <w:t>distant</w:t>
      </w:r>
      <w:proofErr w:type="spellEnd"/>
      <w:r>
        <w:rPr>
          <w:i/>
          <w:iCs/>
        </w:rPr>
        <w:t xml:space="preserve"> </w:t>
      </w:r>
      <w:proofErr w:type="spellStart"/>
      <w:r>
        <w:rPr>
          <w:i/>
          <w:iCs/>
        </w:rPr>
        <w:t>reading</w:t>
      </w:r>
      <w:proofErr w:type="spellEnd"/>
      <w:r>
        <w:t>) exige um novo letramento metodológico crítico.</w:t>
      </w:r>
    </w:p>
    <w:p w14:paraId="1AB3FDEF" w14:textId="77777777" w:rsidR="00681D00" w:rsidRDefault="00000000">
      <w:r>
        <w:t>O historiador do século XXI precisa ser capaz não apenas de usar ferramentas digitais, mas de compreender seus pressupostos algorítmicos, seus vieses intrínsecos e suas limitações. É fundamental questionar: como a estrutura de um banco de dados pré-determina as relações possíveis entre as fontes? Como um algoritmo de análise de tópicos pode reforçar ou ocultar certas vozes do passado? A superação deste desafio implica integrar as Humanidades Digitais não como uma subárea técnica, mas como um componente central da formação teórica e metodológica do historiador, fomentando uma prática reflexiva que combine o rigor filológico tradicional com a potência analítica do digital.</w:t>
      </w:r>
    </w:p>
    <w:p w14:paraId="06216822" w14:textId="77777777" w:rsidR="00681D00" w:rsidRDefault="00000000">
      <w:r>
        <w:t xml:space="preserve"> </w:t>
      </w:r>
    </w:p>
    <w:p w14:paraId="4AA49D91" w14:textId="77777777" w:rsidR="00681D00" w:rsidRDefault="00000000">
      <w:pPr>
        <w:ind w:firstLine="0"/>
        <w:rPr>
          <w:b/>
          <w:bCs/>
        </w:rPr>
      </w:pPr>
      <w:r>
        <w:rPr>
          <w:b/>
          <w:bCs/>
        </w:rPr>
        <w:t>Conclusão</w:t>
      </w:r>
    </w:p>
    <w:p w14:paraId="283DACE0" w14:textId="77777777" w:rsidR="00681D00" w:rsidRDefault="00000000">
      <w:r>
        <w:t xml:space="preserve"> Em síntese, o presente estudo propôs analisar a formação de um ecossistema filológico inteligente, concebido para enfrentar a complexidade inerente ao estudo do </w:t>
      </w:r>
      <w:r>
        <w:rPr>
          <w:i/>
          <w:iCs/>
        </w:rPr>
        <w:t xml:space="preserve">corpus </w:t>
      </w:r>
      <w:proofErr w:type="spellStart"/>
      <w:r>
        <w:rPr>
          <w:i/>
          <w:iCs/>
        </w:rPr>
        <w:t>pliniano</w:t>
      </w:r>
      <w:proofErr w:type="spellEnd"/>
      <w:r>
        <w:t xml:space="preserve"> e, por extensão, de outros acervos textuais nas Humanidades Digitais. Ao longo deste artigo, argumentou-se que a transição de repositórios estáticos para dinâmicos laboratórios digitais é imperativa, e que a sinergia entre a inteligência curatorial humana e a inteligência computacional da inteligência artificial é a chave para potencializar a produção de conhecimento nesse campo.</w:t>
      </w:r>
    </w:p>
    <w:p w14:paraId="611DE81D" w14:textId="77777777" w:rsidR="00681D00" w:rsidRDefault="00000000">
      <w:r>
        <w:t xml:space="preserve">Para materializar essa proposta, apresentamos o </w:t>
      </w:r>
      <w:proofErr w:type="spellStart"/>
      <w:r>
        <w:rPr>
          <w:i/>
          <w:iCs/>
        </w:rPr>
        <w:t>Plinius</w:t>
      </w:r>
      <w:proofErr w:type="spellEnd"/>
      <w:r>
        <w:rPr>
          <w:i/>
          <w:iCs/>
        </w:rPr>
        <w:t xml:space="preserve"> Scriptorium</w:t>
      </w:r>
      <w:r>
        <w:t xml:space="preserve"> como um modelo teórico-operacional e um arcabouço analítico estruturado em três eixos – Técnico-Filológico, Epistemológico-Historiográfico e Pedagógico-Comunitário – e duas camadas fundamentais: a Camada de Dados e a Camada de Inteligência. Demonstramos que a Camada de Dados, com sua organização meticulosa de fontes primárias codificadas, edições alinhadas e dados auxiliares conectados, é a condição de possibilidade para a Camada de Inteligência, que, por sua vez, oferece ferramentas avançadas de busca semântica, colação, análise lexical e visualização de dados.</w:t>
      </w:r>
    </w:p>
    <w:p w14:paraId="535E7919" w14:textId="77777777" w:rsidR="00681D00" w:rsidRDefault="00000000">
      <w:r>
        <w:t xml:space="preserve">A análise do </w:t>
      </w:r>
      <w:r>
        <w:rPr>
          <w:i/>
          <w:iCs/>
        </w:rPr>
        <w:t xml:space="preserve">Centro de Pesquisas e Estudos </w:t>
      </w:r>
      <w:proofErr w:type="spellStart"/>
      <w:r>
        <w:rPr>
          <w:i/>
          <w:iCs/>
        </w:rPr>
        <w:t>Plinianos</w:t>
      </w:r>
      <w:proofErr w:type="spellEnd"/>
      <w:r>
        <w:t xml:space="preserve"> (CPEP) à luz do modelo </w:t>
      </w:r>
      <w:proofErr w:type="spellStart"/>
      <w:r>
        <w:rPr>
          <w:i/>
          <w:iCs/>
        </w:rPr>
        <w:t>Plinius</w:t>
      </w:r>
      <w:proofErr w:type="spellEnd"/>
      <w:r>
        <w:rPr>
          <w:i/>
          <w:iCs/>
        </w:rPr>
        <w:t xml:space="preserve"> Scriptorium</w:t>
      </w:r>
      <w:r>
        <w:t xml:space="preserve"> revelou que, embora o CPEP já se destaque como um ator relevante no cenário brasileiro das Humanidades Digitais Clássicas, com uma robusta e curada Camada de Dados, existem oportunidades significativas para o desenvolvimento de sua Camada de Inteligência. A comparação com iniciativas internacionais proeminentes, como a </w:t>
      </w:r>
      <w:proofErr w:type="spellStart"/>
      <w:r>
        <w:rPr>
          <w:i/>
          <w:iCs/>
        </w:rPr>
        <w:t>Perseus</w:t>
      </w:r>
      <w:proofErr w:type="spellEnd"/>
      <w:r>
        <w:rPr>
          <w:i/>
          <w:iCs/>
        </w:rPr>
        <w:t xml:space="preserve"> Digital Library</w:t>
      </w:r>
      <w:r>
        <w:t xml:space="preserve">, a </w:t>
      </w:r>
      <w:proofErr w:type="spellStart"/>
      <w:r>
        <w:rPr>
          <w:i/>
          <w:iCs/>
        </w:rPr>
        <w:t>Europeana</w:t>
      </w:r>
      <w:proofErr w:type="spellEnd"/>
      <w:r>
        <w:t xml:space="preserve">, o </w:t>
      </w:r>
      <w:proofErr w:type="spellStart"/>
      <w:r>
        <w:rPr>
          <w:i/>
          <w:iCs/>
        </w:rPr>
        <w:t>Perseids</w:t>
      </w:r>
      <w:proofErr w:type="spellEnd"/>
      <w:r>
        <w:rPr>
          <w:i/>
          <w:iCs/>
        </w:rPr>
        <w:t xml:space="preserve"> Project</w:t>
      </w:r>
      <w:r>
        <w:t xml:space="preserve"> e o </w:t>
      </w:r>
      <w:r>
        <w:rPr>
          <w:i/>
          <w:iCs/>
        </w:rPr>
        <w:t xml:space="preserve">Thesaurus Linguae </w:t>
      </w:r>
      <w:proofErr w:type="spellStart"/>
      <w:r>
        <w:rPr>
          <w:i/>
          <w:iCs/>
        </w:rPr>
        <w:t>Latinae</w:t>
      </w:r>
      <w:proofErr w:type="spellEnd"/>
      <w:r>
        <w:t xml:space="preserve"> (TLL), validou a pertinência do modelo </w:t>
      </w:r>
      <w:proofErr w:type="spellStart"/>
      <w:r>
        <w:t>Plinius</w:t>
      </w:r>
      <w:proofErr w:type="spellEnd"/>
      <w:r>
        <w:t xml:space="preserve"> Scriptorium como ferramenta de diagnóstico, ao mesmo tempo em que situou o </w:t>
      </w:r>
      <w:r>
        <w:rPr>
          <w:i/>
          <w:iCs/>
        </w:rPr>
        <w:t>CPEP</w:t>
      </w:r>
      <w:r>
        <w:t xml:space="preserve"> em um diálogo crítico com as fronteiras da pesquisa digital global. Essa análise comparativa sublinhou que a maturidade da pesquisa digital reside não em uma única ferramenta onipotente, mas na interoperabilidade funcional entre plataformas com diferentes vocações epistemológicas.</w:t>
      </w:r>
    </w:p>
    <w:p w14:paraId="6A58A8BE" w14:textId="77777777" w:rsidR="00681D00" w:rsidRDefault="00000000">
      <w:r>
        <w:lastRenderedPageBreak/>
        <w:t>É fundamental reconhecer que a transição para esse paradigma digital não está isenta de desafios. Discutimos as complexidades da interoperabilidade semântica e da curadoria de dados, a questão crítica da sustentabilidade e preservação digital dos projetos, e as profundas implicações epistemológicas que exigem um novo letramento metodológico do historiador. A não-neutralidade das ferramentas digitais e a necessidade de compreender seus pressupostos algorítmicos são aspectos cruciais para uma prática historiográfica reflexiva e rigorosa na era digital.</w:t>
      </w:r>
    </w:p>
    <w:p w14:paraId="664E7A1B" w14:textId="77777777" w:rsidR="00681D00" w:rsidRDefault="00000000">
      <w:r>
        <w:t xml:space="preserve">A principal contribuição deste trabalho reside na proposição de um arcabouço teórico-operacional – o </w:t>
      </w:r>
      <w:proofErr w:type="spellStart"/>
      <w:r>
        <w:rPr>
          <w:i/>
          <w:iCs/>
        </w:rPr>
        <w:t>Plinius</w:t>
      </w:r>
      <w:proofErr w:type="spellEnd"/>
      <w:r>
        <w:rPr>
          <w:i/>
          <w:iCs/>
        </w:rPr>
        <w:t xml:space="preserve"> Scriptorium</w:t>
      </w:r>
      <w:r>
        <w:t xml:space="preserve"> – que não apenas conceitua um ecossistema filológico inteligente, mas também oferece uma ferramenta diagnóstica para a avaliação e o aprimoramento de iniciativas existentes. Ao evidenciar as potencialidades da colaboração entre a inteligência curatorial humana e a computacional, este estudo pavimenta novas avenidas para a pesquisa em Humanidades Digitais. Investigações futuras poderão aprofundar a adaptabilidade do modelo a diversos </w:t>
      </w:r>
      <w:r>
        <w:rPr>
          <w:i/>
          <w:iCs/>
        </w:rPr>
        <w:t>corpora</w:t>
      </w:r>
      <w:r>
        <w:t xml:space="preserve"> e contextos disciplinares, bem como explorar as complexas implicações éticas e epistemológicas da crescente integração da inteligência artificial na prática historiográfica. Em última análise, o desenvolvimento de infraestruturas que transformam dados em conhecimento dinâmico e acessível é crucial para uma historiografia digitalmente informada e criticamente engajada, capaz de fomentar uma compreensão mais rica e multifacetada do passado.</w:t>
      </w:r>
    </w:p>
    <w:p w14:paraId="6BAF4C07" w14:textId="77777777" w:rsidR="00681D00" w:rsidRDefault="00681D00">
      <w:pPr>
        <w:pStyle w:val="Ttulo1"/>
        <w:ind w:firstLine="720"/>
        <w:jc w:val="both"/>
        <w:rPr>
          <w:b w:val="0"/>
          <w:bCs w:val="0"/>
        </w:rPr>
      </w:pPr>
      <w:bookmarkStart w:id="10" w:name="_566nlv9urrjs" w:colFirst="0" w:colLast="0"/>
      <w:bookmarkEnd w:id="10"/>
    </w:p>
    <w:p w14:paraId="3F0489CD" w14:textId="77777777" w:rsidR="00681D00" w:rsidRDefault="00000000">
      <w:pPr>
        <w:pStyle w:val="Ttulo1"/>
        <w:ind w:firstLine="720"/>
        <w:jc w:val="both"/>
      </w:pPr>
      <w:bookmarkStart w:id="11" w:name="_86q6rznoeps2" w:colFirst="0" w:colLast="0"/>
      <w:bookmarkEnd w:id="11"/>
      <w:r>
        <w:br w:type="page"/>
      </w:r>
    </w:p>
    <w:p w14:paraId="2C274E9F" w14:textId="77777777" w:rsidR="00681D00" w:rsidRDefault="00000000">
      <w:pPr>
        <w:pStyle w:val="Ttulo1"/>
      </w:pPr>
      <w:bookmarkStart w:id="12" w:name="_u0tfev1cjrn6" w:colFirst="0" w:colLast="0"/>
      <w:bookmarkEnd w:id="12"/>
      <w:r>
        <w:lastRenderedPageBreak/>
        <w:t>A HISTORICIZAÇÃO DA DISCIPLINA DE HISTÓRIA ANTIGA:</w:t>
      </w:r>
      <w:r>
        <w:br/>
        <w:t>da institucionalização ao debate no Ensino de História</w:t>
      </w:r>
    </w:p>
    <w:p w14:paraId="7AFFF8BC" w14:textId="77777777" w:rsidR="00681D00" w:rsidRDefault="00681D00">
      <w:pPr>
        <w:pStyle w:val="Ttulo1"/>
        <w:ind w:firstLine="720"/>
        <w:jc w:val="left"/>
        <w:rPr>
          <w:b w:val="0"/>
          <w:bCs w:val="0"/>
        </w:rPr>
      </w:pPr>
      <w:bookmarkStart w:id="13" w:name="_9uq6var31t35" w:colFirst="0" w:colLast="0"/>
      <w:bookmarkEnd w:id="13"/>
    </w:p>
    <w:p w14:paraId="55472DC1" w14:textId="77777777" w:rsidR="004947EA" w:rsidRDefault="004947EA" w:rsidP="004947EA">
      <w:pPr>
        <w:jc w:val="right"/>
      </w:pPr>
      <w:r>
        <w:t>Abner Alexandre Nogueira</w:t>
      </w:r>
    </w:p>
    <w:p w14:paraId="26B322B3" w14:textId="77777777" w:rsidR="004947EA" w:rsidRDefault="004947EA" w:rsidP="004947EA">
      <w:pPr>
        <w:jc w:val="right"/>
      </w:pPr>
      <w:r>
        <w:t>UNIFAL-Alfenas/MG</w:t>
      </w:r>
    </w:p>
    <w:p w14:paraId="278418B8" w14:textId="77777777" w:rsidR="00681D00" w:rsidRDefault="00681D00"/>
    <w:p w14:paraId="11B51015" w14:textId="77777777" w:rsidR="00681D00" w:rsidRDefault="00000000">
      <w:pPr>
        <w:ind w:firstLine="0"/>
        <w:rPr>
          <w:b/>
          <w:bCs/>
        </w:rPr>
      </w:pPr>
      <w:r>
        <w:rPr>
          <w:b/>
          <w:bCs/>
        </w:rPr>
        <w:t>Introdução</w:t>
      </w:r>
    </w:p>
    <w:p w14:paraId="6A36A2CF" w14:textId="77777777" w:rsidR="00681D00" w:rsidRDefault="00000000">
      <w:r>
        <w:t xml:space="preserve">Nas últimas décadas, a História Antiga no Brasil experimentou um duplo movimento de consolidação e reconfiguração: de um lado, a institucionalização e diversificação do campo nas universidades; de outro, a intensificação do debate sobre sua função social e pedagógica no âmbito da educação básica. A formação de grupos de pesquisa, a ampliação da pós-graduação e a inserção de novas agendas — como cultura material, gênero, identidades, recepção e história global — transformaram significativamente o perfil da disciplina, afastando-a de modelos </w:t>
      </w:r>
      <w:proofErr w:type="spellStart"/>
      <w:r>
        <w:t>factualistas</w:t>
      </w:r>
      <w:proofErr w:type="spellEnd"/>
      <w:r>
        <w:t xml:space="preserve"> e de narrativas civilizacionais lineares. Esse processo, impulsionado por pesquisadores como Pedro Paulo Abreu Funari, acompanhou as inflexões da historiografia internacional, incorporando críticas ao eurocentrismo, ao evolucionismo e às categorias herdadas do século XIX, ao mesmo tempo em que buscava consolidar um campo autônomo de produção científica no país.</w:t>
      </w:r>
    </w:p>
    <w:p w14:paraId="4D10CD58" w14:textId="77777777" w:rsidR="00681D00" w:rsidRDefault="00000000">
      <w:r>
        <w:t>Entretanto, a consolidação acadêmica não ocorreu de forma dissociada das disputas públicas em torno do ensino e do currículo. A controvérsia desencadeada pela primeira versão da Base Nacional Comum Curricular, em 2015, ao praticamente excluir a História Antiga da educação básica, tornou evidente que a permanência do campo não depende apenas de sua vitalidade universitária, mas também de sua legitimação social. A reação da comunidade acadêmica revelou um deslocamento importante: se anteriormente predominavam discussões sobre conteúdos e atualização temática, a partir desse momento intensificaram-se reflexões acerca do porquê ensinar Antiguidade, quais competências ela mobiliza e que tipo de formação histórica promove. Assim, o debate passou a articular historiografia, teoria da história e pedagogia, reposicionando o campo diante das demandas contemporâneas.</w:t>
      </w:r>
    </w:p>
    <w:p w14:paraId="18A28343" w14:textId="77777777" w:rsidR="00681D00" w:rsidRDefault="00000000">
      <w:r>
        <w:t xml:space="preserve">Nesse contexto, contribuições como as de Semíramis Corsi Silva, </w:t>
      </w:r>
      <w:proofErr w:type="spellStart"/>
      <w:r>
        <w:t>Adriene</w:t>
      </w:r>
      <w:proofErr w:type="spellEnd"/>
      <w:r>
        <w:t xml:space="preserve"> Baron Tacla e Guilherme </w:t>
      </w:r>
      <w:proofErr w:type="spellStart"/>
      <w:r>
        <w:t>Moerbeck</w:t>
      </w:r>
      <w:proofErr w:type="spellEnd"/>
      <w:r>
        <w:t xml:space="preserve"> aprofundaram o diálogo com perspectivas pós-coloniais e decoloniais, enfatizando a necessidade de superar leituras centradas na “herança clássica” e de problematizar conceitos como civilização, barbárie, Ocidente e Oriente. A Antiguidade deixou de ser apresentada como origem normativa da modernidade ocidental para ser compreendida como campo plural, atravessado por contatos, hibridizações e disputas simbólicas. Essa inflexão converge com as reflexões de </w:t>
      </w:r>
      <w:proofErr w:type="spellStart"/>
      <w:r>
        <w:t>Jörn</w:t>
      </w:r>
      <w:proofErr w:type="spellEnd"/>
      <w:r>
        <w:t xml:space="preserve"> </w:t>
      </w:r>
      <w:proofErr w:type="spellStart"/>
      <w:r>
        <w:t>Rüsen</w:t>
      </w:r>
      <w:proofErr w:type="spellEnd"/>
      <w:r>
        <w:t xml:space="preserve"> acerca da consciência histórica e dos usos do passado, deslocando o ensino da mera transmissão de </w:t>
      </w:r>
      <w:proofErr w:type="spellStart"/>
      <w:r>
        <w:t>conteúdos</w:t>
      </w:r>
      <w:proofErr w:type="spellEnd"/>
      <w:r>
        <w:t xml:space="preserve"> para a formação de competências interpretativas capazes de relacionar experiência, narrativa e orientação prática no tempo.</w:t>
      </w:r>
    </w:p>
    <w:p w14:paraId="2D925019" w14:textId="77777777" w:rsidR="00681D00" w:rsidRDefault="00000000">
      <w:r>
        <w:t xml:space="preserve">É nesse horizonte que se insere a análise da cultura histórica contemporânea. Ao examinar o filme Fúria de Titãs como objeto pedagógico, o artigo propõe articular a produção acadêmica sobre Antiguidade com os modos pelos quais o passado é apropriado, estetizado e </w:t>
      </w:r>
      <w:proofErr w:type="spellStart"/>
      <w:r>
        <w:t>resignificado</w:t>
      </w:r>
      <w:proofErr w:type="spellEnd"/>
      <w:r>
        <w:t xml:space="preserve"> na indústria cultural. A recepção da mitologia grega na narrativa cinematográfica evidencia permanências de imaginários eurocêntricos, construções orientalistas, criticamente analisadas a partir de Edward Said, e reconfigurações contemporâneas de gênero e poder. Confrontar tais representações com a historiografia atual permite transformar o produto </w:t>
      </w:r>
      <w:r>
        <w:lastRenderedPageBreak/>
        <w:t>midiático em instrumento didático, favorecendo a construção de uma consciência histórica crítica que articule passado e presente.</w:t>
      </w:r>
    </w:p>
    <w:p w14:paraId="61178FBE" w14:textId="77777777" w:rsidR="00681D00" w:rsidRDefault="00000000">
      <w:r>
        <w:t>Assim, ao unificar a trajetória institucional da História Antiga nas universidades brasileiras com o debate sobre seu ensino e sua presença na cultura histórica, este artigo sustenta que a vitalidade do campo depende da articulação entre pesquisa, teoria e prática pedagógica. Ensinar Antiguidade no século XXI não significa preservar uma tradição imobilizada, mas historicizar suas apropriações, tensionar seus usos e afirmar sua relevância formativa em uma sociedade marcada por disputas identitárias, desigualdades e desafios democráticos.</w:t>
      </w:r>
    </w:p>
    <w:p w14:paraId="5FF262DC" w14:textId="77777777" w:rsidR="00681D00" w:rsidRDefault="00681D00"/>
    <w:p w14:paraId="70C76EE8" w14:textId="77777777" w:rsidR="00681D00" w:rsidRDefault="00000000">
      <w:pPr>
        <w:ind w:firstLine="0"/>
        <w:rPr>
          <w:b/>
          <w:bCs/>
        </w:rPr>
      </w:pPr>
      <w:r>
        <w:rPr>
          <w:b/>
          <w:bCs/>
        </w:rPr>
        <w:t>A institucionalização da História Antiga na Universidade brasileira</w:t>
      </w:r>
    </w:p>
    <w:p w14:paraId="2DF6A415" w14:textId="77777777" w:rsidR="00681D00" w:rsidRDefault="00000000">
      <w:pPr>
        <w:ind w:firstLine="720"/>
      </w:pPr>
      <w:r>
        <w:t>A constituição da História Antiga como disciplina universitária no Brasil insere-se no processo mais amplo de institucionalização das ciências humanas a partir da década de 1930, tendo a Universidade de São Paulo como marco fundador. A criação da cadeira de História da Civilização Antiga e Medieval, em 1936, sob a liderança de Eurípides Simões de Paula, representa não apenas a introdução formal do campo no ensino superior, mas também sua vinculação inicial a um projeto de formação erudita moldado pelos padrões europeus de especialização (</w:t>
      </w:r>
      <w:proofErr w:type="spellStart"/>
      <w:r>
        <w:t>Lomônaco</w:t>
      </w:r>
      <w:proofErr w:type="spellEnd"/>
      <w:r>
        <w:t xml:space="preserve">, 2000, p. 5-6). A trajetória acadêmica de </w:t>
      </w:r>
      <w:proofErr w:type="spellStart"/>
      <w:r>
        <w:t>De</w:t>
      </w:r>
      <w:proofErr w:type="spellEnd"/>
      <w:r>
        <w:t xml:space="preserve"> Paula, com tese sobre o comércio </w:t>
      </w:r>
      <w:proofErr w:type="spellStart"/>
      <w:r>
        <w:t>varegue</w:t>
      </w:r>
      <w:proofErr w:type="spellEnd"/>
      <w:r>
        <w:t xml:space="preserve"> e o grão-principado de Kiev (1942) e posterior cátedra com estudo sobre o Marrocos antigo (1946), já indicava um esforço de inserção internacional e uma abertura temática que escapava ao classicismo estritamente greco-romano (Carvalho; Funari, 2007, p. 12).</w:t>
      </w:r>
    </w:p>
    <w:p w14:paraId="6A017F63" w14:textId="77777777" w:rsidR="00681D00" w:rsidRDefault="00000000">
      <w:pPr>
        <w:ind w:firstLine="720"/>
      </w:pPr>
      <w:r>
        <w:t>A partir da década de 40, houve a expansão dos cursos de história tendo como primeiras cadeiras nas universidades de São Paulo, Rio de Janeiro e Minas Gerais (Silva, 2010, p. 145), contudo a especialidade de História Antiga foi pouco difundida sendo deixada a cargo de não especialistas, permanecendo, por décadas, limitada e concentrada. Entre 1951 e 1973, das 83 teses defendidas na USP, apenas nove versaram sobre História Antiga (</w:t>
      </w:r>
      <w:proofErr w:type="spellStart"/>
      <w:r>
        <w:t>Capelato</w:t>
      </w:r>
      <w:proofErr w:type="spellEnd"/>
      <w:r>
        <w:t xml:space="preserve">; Glezer; Ferlini, 1994, p. 352), evidenciando um crescimento lento, ainda marcado pela conjugação com a História Medieval. A defesa da autonomia disciplinar realizada por De Paula (1961, p. 83-84) e da separação das cadeiras de História Antiga e Medieval, baseava-se nos avanços da arqueologia e da ampliação documental e do seu acesso, argumento que ecoava debates internacionais sobre a crescente </w:t>
      </w:r>
      <w:proofErr w:type="spellStart"/>
      <w:r>
        <w:t>tecnicização</w:t>
      </w:r>
      <w:proofErr w:type="spellEnd"/>
      <w:r>
        <w:t xml:space="preserve"> do campo (</w:t>
      </w:r>
      <w:proofErr w:type="spellStart"/>
      <w:r>
        <w:t>Momigliano</w:t>
      </w:r>
      <w:proofErr w:type="spellEnd"/>
      <w:r>
        <w:t>, 1984, p. 15). A separação progressiva entre Antiga e Medieval, consolidada nos anos 1970, acompanhou uma tendência global de especialização e profissionalização historiográfica.</w:t>
      </w:r>
    </w:p>
    <w:p w14:paraId="5680D6ED" w14:textId="77777777" w:rsidR="00681D00" w:rsidRDefault="00000000">
      <w:pPr>
        <w:ind w:firstLine="720"/>
      </w:pPr>
      <w:r>
        <w:t>O contexto autoritário da Ditadura Civil-Militar (1964-1985) influenciou significativamente a configuração da disciplina. A Antiguidade foi frequentemente mobilizada como repertório civilizacional legitimador, reforçando perspectivas eurocêntricas e elitistas (Silva, 2011, p. 8). Paradoxalmente, a carga horária destinada à História Antiga e Medieval, com 240 horas, superava a de Moderna e Contemporânea em 1971, com 150 e 180 horas (Lourenço, 2007, p. 4-5), revelando a permanência simbólica da “herança clássica” como elemento formativo. Como observam Carvalho e Funari (2007, p. 14), tal configuração resultava em uma Antiguidade apresentada de forma maniqueísta e descontextualizada, distanciada das problemáticas contemporâneas.</w:t>
      </w:r>
    </w:p>
    <w:p w14:paraId="27C21366" w14:textId="77777777" w:rsidR="00681D00" w:rsidRDefault="00000000">
      <w:pPr>
        <w:ind w:firstLine="720"/>
      </w:pPr>
      <w:r>
        <w:t xml:space="preserve">Na década de 70, a disciplina de História Antiga se encontra autônoma e subdividida em História do Oriente, História da Grécia e História de Roma, destacando nomes como Ciro </w:t>
      </w:r>
      <w:r>
        <w:lastRenderedPageBreak/>
        <w:t xml:space="preserve">Flamarion Cardoso (UFF), Neyde </w:t>
      </w:r>
      <w:proofErr w:type="spellStart"/>
      <w:r>
        <w:t>Thelm</w:t>
      </w:r>
      <w:proofErr w:type="spellEnd"/>
      <w:r>
        <w:t xml:space="preserve"> (UFRJ) e </w:t>
      </w:r>
      <w:proofErr w:type="spellStart"/>
      <w:r>
        <w:t>Haiganuch</w:t>
      </w:r>
      <w:proofErr w:type="spellEnd"/>
      <w:r>
        <w:t xml:space="preserve"> </w:t>
      </w:r>
      <w:proofErr w:type="spellStart"/>
      <w:r>
        <w:t>Sarian</w:t>
      </w:r>
      <w:proofErr w:type="spellEnd"/>
      <w:r>
        <w:t xml:space="preserve"> (MAE-USP) sendo seguidos por Norberto </w:t>
      </w:r>
      <w:proofErr w:type="spellStart"/>
      <w:r>
        <w:t>Guarinello</w:t>
      </w:r>
      <w:proofErr w:type="spellEnd"/>
      <w:r>
        <w:t xml:space="preserve"> (USP), Maria Beatriz Borba Florenzano (MAE-USP) e Pedro Paulo Abreu Funari (UNICAMP), para citar apenas alguns nomes.</w:t>
      </w:r>
    </w:p>
    <w:p w14:paraId="5B6EE69A" w14:textId="77777777" w:rsidR="00681D00" w:rsidRDefault="00000000">
      <w:pPr>
        <w:ind w:firstLine="720"/>
      </w:pPr>
      <w:r>
        <w:t>A renovação teórica intensificou-se nos anos 1980, especialmente com a incorporação crítica do marxismo e o diálogo com a historiografia anglo-saxã e francesa. A recepção da obra de Moses Finley foi decisiva ao tensionar os modelos estruturalistas e economicistas predominantes, introduzindo categorias como status e ordem, inspiradas em Max Weber, em detrimento de leituras rígidas baseadas exclusivamente na noção de classe (Finley, 1983, p. 24; Carvalho; Funari, 2007, p. 15). Simultaneamente, a ampliação do domínio de línguas estrangeiras e clássicas permitiu maior interlocução internacional, contribuindo para a superação de um isolamento bibliográfico.</w:t>
      </w:r>
    </w:p>
    <w:p w14:paraId="489184C7" w14:textId="77777777" w:rsidR="00681D00" w:rsidRDefault="00000000">
      <w:pPr>
        <w:ind w:firstLine="720"/>
      </w:pPr>
      <w:r>
        <w:t xml:space="preserve">No final dos anos 1980, Pedro Paulo Abreu Funari (1987/88, p. 262) identificou três vertentes dominantes: o factual tradicionalista com a história oficial e informações sobre os acontecimentos ressaltando a grandeza da herança; a marxista </w:t>
      </w:r>
      <w:proofErr w:type="spellStart"/>
      <w:r>
        <w:t>esquematizante</w:t>
      </w:r>
      <w:proofErr w:type="spellEnd"/>
      <w:r>
        <w:t xml:space="preserve"> e “</w:t>
      </w:r>
      <w:proofErr w:type="spellStart"/>
      <w:r>
        <w:t>progressivista</w:t>
      </w:r>
      <w:proofErr w:type="spellEnd"/>
      <w:r>
        <w:t>” da exploração à liberdade com os modos de produção escravista, servilismo, capitalista e socialista a herança como suspiro de alívio; e o eruditismo elitista centrado nos centros de excelência produtores de conhecimento científico.</w:t>
      </w:r>
    </w:p>
    <w:p w14:paraId="119F902D" w14:textId="77777777" w:rsidR="00681D00" w:rsidRDefault="00000000">
      <w:pPr>
        <w:ind w:firstLine="720"/>
      </w:pPr>
      <w:r>
        <w:t xml:space="preserve">As três vertentes, para Funari (1987/1988), encaravam o futuro professor como mero reprodutor de conhecimentos adquiridos e produzidos por uma elite acadêmica, criticando sua incapacidade de formar sujeitos críticos e produtores de conhecimento. Sua proposta de uma práxis histórica voltada à desconstrução das narrativas de herança clássica e estruturar o curso de história a partir dos interesses dos alunos, antecipava debates que ganhariam centralidade nas décadas seguintes, especialmente com a ascensão da História Cultural e dos estudos sobre identidade, representação e usos do passado. Segundo ele, a disciplina de História Antiga deveria </w:t>
      </w:r>
    </w:p>
    <w:p w14:paraId="316AC592" w14:textId="77777777" w:rsidR="00681D00" w:rsidRDefault="00681D00">
      <w:pPr>
        <w:spacing w:line="240" w:lineRule="auto"/>
        <w:ind w:left="2267" w:firstLine="0"/>
        <w:rPr>
          <w:sz w:val="22"/>
          <w:szCs w:val="22"/>
        </w:rPr>
      </w:pPr>
    </w:p>
    <w:p w14:paraId="682A46DB" w14:textId="77777777" w:rsidR="00681D00" w:rsidRDefault="00000000">
      <w:pPr>
        <w:spacing w:line="240" w:lineRule="auto"/>
        <w:ind w:left="2267" w:firstLine="0"/>
        <w:rPr>
          <w:sz w:val="22"/>
          <w:szCs w:val="22"/>
        </w:rPr>
      </w:pPr>
      <w:r>
        <w:rPr>
          <w:sz w:val="22"/>
          <w:szCs w:val="22"/>
        </w:rPr>
        <w:t xml:space="preserve">desvendar </w:t>
      </w:r>
      <w:proofErr w:type="gramStart"/>
      <w:r>
        <w:rPr>
          <w:sz w:val="22"/>
          <w:szCs w:val="22"/>
        </w:rPr>
        <w:t>os mecanismo</w:t>
      </w:r>
      <w:proofErr w:type="gramEnd"/>
      <w:r>
        <w:rPr>
          <w:sz w:val="22"/>
          <w:szCs w:val="22"/>
        </w:rPr>
        <w:t xml:space="preserve"> de construção discursiva das elites sobre a Antiguidade e, em outro sentido, historicizar as relações sociais e ideológicas que se apresentam desvinculadas de suas matrizes clássicas. A compreensão das estruturas econômicas, sociais, políticas e ideológicas da Antiguidade, permite questionar a atemporalidade do presente pelo estudo da dissemelhança (Funari, 1987/88. p. 262)</w:t>
      </w:r>
    </w:p>
    <w:p w14:paraId="38ED3113" w14:textId="77777777" w:rsidR="00681D00" w:rsidRDefault="00681D00">
      <w:pPr>
        <w:spacing w:line="240" w:lineRule="auto"/>
        <w:ind w:left="2267" w:firstLine="0"/>
        <w:rPr>
          <w:sz w:val="22"/>
          <w:szCs w:val="22"/>
        </w:rPr>
      </w:pPr>
    </w:p>
    <w:p w14:paraId="7E8086DB" w14:textId="77777777" w:rsidR="00681D00" w:rsidRDefault="00000000">
      <w:pPr>
        <w:ind w:firstLine="720"/>
      </w:pPr>
      <w:r>
        <w:t>A partir da redemocratização, nos anos 1990, observa-se expansão quantitativa e qualitativa com uma grande diversificação temática. A incorporação de conceitos como alteridade, fronteiras, cultura material e gênero refletiu o impacto da terceira geração dos Annales e das críticas pós-estruturalistas (</w:t>
      </w:r>
      <w:proofErr w:type="spellStart"/>
      <w:r>
        <w:t>Dosse</w:t>
      </w:r>
      <w:proofErr w:type="spellEnd"/>
      <w:r>
        <w:t>, 1992, p. 211). Ocupada antes por uma tradição erudita e elitista, as universidades ganharam vigor tendo substituído por uma ampliação no universo social dos historiadores havendo uma modificação dos paradigmas interpretativos tradicionais da homogeneidade social e respeito às normas para visões contrapostas, multifacetadas e atentas ao conflito (Silva, Martins, 2008, p.9). Desvincula-se a uma fictícia história nacional passando para uma história problematizadora mais preocupada em compreender do que explicar (Silva, 2011, p. 9)</w:t>
      </w:r>
    </w:p>
    <w:p w14:paraId="23C28169" w14:textId="77777777" w:rsidR="00681D00" w:rsidRDefault="00000000">
      <w:pPr>
        <w:ind w:firstLine="720"/>
      </w:pPr>
      <w:r>
        <w:t xml:space="preserve">A influência de Edward Said (1990 [1978], p. 13) e de Martin Bernal (1987, p. 25) provocou inflexões significativas ao evidenciar a dimensão política e colonial dos estudos </w:t>
      </w:r>
      <w:r>
        <w:lastRenderedPageBreak/>
        <w:t xml:space="preserve">clássicos, questionando a suposta neutralidade epistemológica do campo. Said (1990) afirma que o Oriente foi uma construção </w:t>
      </w:r>
      <w:proofErr w:type="spellStart"/>
      <w:r>
        <w:t>européia</w:t>
      </w:r>
      <w:proofErr w:type="spellEnd"/>
      <w:r>
        <w:t>, de base acadêmica, marcada por uma política imperialista que auxiliou na criação da noção de inferioridade dos povos do Oriente, em contraposição a construção da identidade do Ocidente, como civilizatória e superior.</w:t>
      </w:r>
    </w:p>
    <w:p w14:paraId="77EB6ABD" w14:textId="77777777" w:rsidR="00681D00" w:rsidRDefault="00000000">
      <w:pPr>
        <w:ind w:firstLine="720"/>
      </w:pPr>
      <w:r>
        <w:t xml:space="preserve">Bernal (1987), por sua vez, propôs que as interpretações do mundo grego foram fundamentais para a construção de discurso de poder da Europa na virada do século XIX e para o XX, questionando a ideia de neutralidade e colocando os estudos clássicos que nunca foram isentos dos momentos históricos dos quais foram produzidos, constituindo e fazendo parte de discursos de dominação. Como destacam </w:t>
      </w:r>
      <w:proofErr w:type="spellStart"/>
      <w:r>
        <w:t>Garraffoni</w:t>
      </w:r>
      <w:proofErr w:type="spellEnd"/>
      <w:r>
        <w:t xml:space="preserve"> e Funari (2011), tais críticas impulsionaram a revisão de categorias como helenismo, romanização e civilização, incentivando abordagens mais plurais e conectadas a debates globais, superando e problematizando conceitos atravessados por noções colonialistas e imperialistas.</w:t>
      </w:r>
    </w:p>
    <w:p w14:paraId="1D6ACD72" w14:textId="77777777" w:rsidR="00681D00" w:rsidRDefault="00000000">
      <w:pPr>
        <w:ind w:firstLine="720"/>
      </w:pPr>
      <w:r>
        <w:t xml:space="preserve">A multiplicação de movimentos sociais desde a década de 1960, mas em especial a partir dos anos de 1990, levou à crítica aos modelos normativos o que foi acompanhada pela historiografia </w:t>
      </w:r>
      <w:proofErr w:type="spellStart"/>
      <w:r>
        <w:t>antiquista</w:t>
      </w:r>
      <w:proofErr w:type="spellEnd"/>
      <w:r>
        <w:t>, sempre inserida no contexto de produção internacional, com contribuições específicas, promovendo a inclusão de novos grupos sociais no interior da universidade e novas produções historiográficas com novas questões e visões teóricas.</w:t>
      </w:r>
    </w:p>
    <w:p w14:paraId="255860C3" w14:textId="77777777" w:rsidR="00681D00" w:rsidRDefault="00000000">
      <w:pPr>
        <w:ind w:firstLine="720"/>
      </w:pPr>
      <w:r>
        <w:t xml:space="preserve">O fortalecimento institucional acompanhou essa renovação, sendo perceptível na criação de associações, como a criação da Sociedade Brasileira de Estudos Clássicos (1985), do Grupo de Trabalho em História Antiga da ANPUH (2001-Associação Nacional de História), que contou com De Paula como membro fundador da ANPUH. Soma-se a multiplicação de periódicos especializados que consolidaram redes acadêmicas nacionais, com destaque para as revistas </w:t>
      </w:r>
      <w:proofErr w:type="spellStart"/>
      <w:r>
        <w:rPr>
          <w:i/>
          <w:iCs/>
        </w:rPr>
        <w:t>Phoînix</w:t>
      </w:r>
      <w:proofErr w:type="spellEnd"/>
      <w:r>
        <w:rPr>
          <w:i/>
          <w:iCs/>
        </w:rPr>
        <w:t xml:space="preserve"> </w:t>
      </w:r>
      <w:r>
        <w:t xml:space="preserve">(1995-atual), Laboratório de História Antiga (LHIA) da UFRJ; </w:t>
      </w:r>
      <w:proofErr w:type="spellStart"/>
      <w:r>
        <w:rPr>
          <w:i/>
          <w:iCs/>
        </w:rPr>
        <w:t>Hélade</w:t>
      </w:r>
      <w:proofErr w:type="spellEnd"/>
      <w:r>
        <w:rPr>
          <w:i/>
          <w:iCs/>
        </w:rPr>
        <w:t xml:space="preserve"> </w:t>
      </w:r>
      <w:r>
        <w:t xml:space="preserve">(2000-2005; 2015-2019) do Núcleo de Estudos de Representações e de Imagens da Antiguidade (NEREIDA) da UFF; o </w:t>
      </w:r>
      <w:r>
        <w:rPr>
          <w:i/>
          <w:iCs/>
        </w:rPr>
        <w:t>Boletim do CPA</w:t>
      </w:r>
      <w:r>
        <w:t xml:space="preserve">, atualmente </w:t>
      </w:r>
      <w:r>
        <w:rPr>
          <w:i/>
          <w:iCs/>
        </w:rPr>
        <w:t>Revista de Estudos Filosóficos e Históricos da Antiguidade</w:t>
      </w:r>
      <w:r>
        <w:t xml:space="preserve"> (2006-Atual) da Unicamp;  a </w:t>
      </w:r>
      <w:r>
        <w:rPr>
          <w:i/>
          <w:iCs/>
        </w:rPr>
        <w:t>Revista eletrônica de antiguidade e medievo do Núcleo de Estudos da Antiguidade</w:t>
      </w:r>
      <w:r>
        <w:t xml:space="preserve"> (2008-Atual) da UERJ; </w:t>
      </w:r>
      <w:proofErr w:type="spellStart"/>
      <w:r>
        <w:rPr>
          <w:i/>
          <w:iCs/>
        </w:rPr>
        <w:t>Alétheia</w:t>
      </w:r>
      <w:proofErr w:type="spellEnd"/>
      <w:r>
        <w:rPr>
          <w:i/>
          <w:iCs/>
        </w:rPr>
        <w:t xml:space="preserve"> </w:t>
      </w:r>
      <w:r>
        <w:t xml:space="preserve">(2008-Atual) inicialmente vinculada a UFG e, em 2016, a UNIPAMPA com três laboratórios: LAHME, LAPEHME e POIEMA; </w:t>
      </w:r>
      <w:proofErr w:type="spellStart"/>
      <w:r>
        <w:rPr>
          <w:i/>
          <w:iCs/>
        </w:rPr>
        <w:t>Romanitas</w:t>
      </w:r>
      <w:proofErr w:type="spellEnd"/>
      <w:r>
        <w:rPr>
          <w:i/>
          <w:iCs/>
        </w:rPr>
        <w:t xml:space="preserve"> </w:t>
      </w:r>
      <w:r>
        <w:t xml:space="preserve">(2013-atual) junto ao programa de pós graduação da UFES; </w:t>
      </w:r>
      <w:r>
        <w:rPr>
          <w:i/>
          <w:iCs/>
        </w:rPr>
        <w:t xml:space="preserve">Heródoto </w:t>
      </w:r>
      <w:r>
        <w:t xml:space="preserve">(2016-Atual) Revista do Grupo de Estudos e Pesquisa sobre a Antiguidade Clássica e suas conexões Afro-Asiáticas da Unifesp; </w:t>
      </w:r>
      <w:proofErr w:type="spellStart"/>
      <w:r>
        <w:rPr>
          <w:i/>
          <w:iCs/>
        </w:rPr>
        <w:t>Mythos</w:t>
      </w:r>
      <w:proofErr w:type="spellEnd"/>
      <w:r>
        <w:t xml:space="preserve">, Revista de História Antiga e Medieval (2017-Atual) do Núcleo de Estudos Multidisciplinares de História Antiga e Medieval da UEMASUL; e a </w:t>
      </w:r>
      <w:r>
        <w:rPr>
          <w:i/>
          <w:iCs/>
        </w:rPr>
        <w:t xml:space="preserve">Revista </w:t>
      </w:r>
      <w:proofErr w:type="spellStart"/>
      <w:r>
        <w:rPr>
          <w:i/>
          <w:iCs/>
        </w:rPr>
        <w:t>Gaîa</w:t>
      </w:r>
      <w:proofErr w:type="spellEnd"/>
      <w:r>
        <w:t xml:space="preserve"> (2019-Atual) da UFRJ.</w:t>
      </w:r>
    </w:p>
    <w:p w14:paraId="4A84E438" w14:textId="77777777" w:rsidR="00681D00" w:rsidRDefault="00000000">
      <w:pPr>
        <w:ind w:firstLine="720"/>
      </w:pPr>
      <w:r>
        <w:t xml:space="preserve"> A descentralização progressiva, ainda que incompleta, ampliou a presença da área para além do eixo Rio-São Paulo, como observado com a multiplicação das revistas e de eventos em diversas universidades espalhadas pelo Brasil. Entretanto, os dados de Santos </w:t>
      </w:r>
      <w:r>
        <w:rPr>
          <w:i/>
          <w:iCs/>
        </w:rPr>
        <w:t>et al.</w:t>
      </w:r>
      <w:r>
        <w:t xml:space="preserve"> (2017, p. 126-129) revelam persistente concentração regional e temática, com predominância de pesquisas sobre Grécia e Roma (68,71% das teses), evidenciando a necessidade de expansão para outras antiguidades.</w:t>
      </w:r>
    </w:p>
    <w:p w14:paraId="673407D7" w14:textId="77777777" w:rsidR="00681D00" w:rsidRDefault="00000000">
      <w:pPr>
        <w:ind w:firstLine="720"/>
      </w:pPr>
      <w:r>
        <w:t xml:space="preserve">O advento das humanidades digitais e a ampliação do acesso a bases como o </w:t>
      </w:r>
      <w:proofErr w:type="spellStart"/>
      <w:r>
        <w:rPr>
          <w:i/>
          <w:iCs/>
        </w:rPr>
        <w:t>Perseus</w:t>
      </w:r>
      <w:proofErr w:type="spellEnd"/>
      <w:r>
        <w:rPr>
          <w:i/>
          <w:iCs/>
        </w:rPr>
        <w:t xml:space="preserve"> Digital Library</w:t>
      </w:r>
      <w:r>
        <w:t>, o acesso aos</w:t>
      </w:r>
      <w:r>
        <w:rPr>
          <w:i/>
          <w:iCs/>
        </w:rPr>
        <w:t xml:space="preserve"> Corpus </w:t>
      </w:r>
      <w:proofErr w:type="spellStart"/>
      <w:r>
        <w:rPr>
          <w:i/>
          <w:iCs/>
        </w:rPr>
        <w:t>Inscriptionum</w:t>
      </w:r>
      <w:proofErr w:type="spellEnd"/>
      <w:r>
        <w:rPr>
          <w:i/>
          <w:iCs/>
        </w:rPr>
        <w:t xml:space="preserve"> </w:t>
      </w:r>
      <w:proofErr w:type="spellStart"/>
      <w:r>
        <w:rPr>
          <w:i/>
          <w:iCs/>
        </w:rPr>
        <w:t>Graecarum</w:t>
      </w:r>
      <w:proofErr w:type="spellEnd"/>
      <w:r>
        <w:t xml:space="preserve"> e o </w:t>
      </w:r>
      <w:r>
        <w:rPr>
          <w:i/>
          <w:iCs/>
        </w:rPr>
        <w:t xml:space="preserve">Corpus </w:t>
      </w:r>
      <w:proofErr w:type="spellStart"/>
      <w:r>
        <w:rPr>
          <w:i/>
          <w:iCs/>
        </w:rPr>
        <w:t>Inscriptionum</w:t>
      </w:r>
      <w:proofErr w:type="spellEnd"/>
      <w:r>
        <w:rPr>
          <w:i/>
          <w:iCs/>
        </w:rPr>
        <w:t xml:space="preserve"> </w:t>
      </w:r>
      <w:proofErr w:type="spellStart"/>
      <w:r>
        <w:rPr>
          <w:i/>
          <w:iCs/>
        </w:rPr>
        <w:t>Latinarum</w:t>
      </w:r>
      <w:proofErr w:type="spellEnd"/>
      <w:r>
        <w:t xml:space="preserve"> redefiniram práticas de pesquisa e ensino (Candido, 2009, p. 4), democratizando o acesso às fontes e favorecendo novas metodologias. </w:t>
      </w:r>
    </w:p>
    <w:p w14:paraId="521DB898" w14:textId="77777777" w:rsidR="00681D00" w:rsidRDefault="00000000">
      <w:pPr>
        <w:ind w:firstLine="720"/>
      </w:pPr>
      <w:r>
        <w:lastRenderedPageBreak/>
        <w:t xml:space="preserve">Contudo, em estudo realizado por Fábio </w:t>
      </w:r>
      <w:proofErr w:type="spellStart"/>
      <w:r>
        <w:t>Faversani</w:t>
      </w:r>
      <w:proofErr w:type="spellEnd"/>
      <w:r>
        <w:t xml:space="preserve"> (2001) que mapeia a disciplina de História Antiga nos cursos de graduação, constata que quase metade dos docentes das 44 instituições que responderam os questionários não possuem especialização na área. O autor constata também que a bibliografia principal utilizada nos cursos foi publicada entre 1986 e 1990, revelando a desatualização das discussões bibliográficas. Portanto, ainda há muito a avançar na disciplina de História Antiga com professores especializados na área ocupando seus devidos lugares.</w:t>
      </w:r>
    </w:p>
    <w:p w14:paraId="593F71DD" w14:textId="77777777" w:rsidR="00681D00" w:rsidRDefault="00000000">
      <w:pPr>
        <w:ind w:firstLine="720"/>
      </w:pPr>
      <w:r>
        <w:t xml:space="preserve">No início do ano de 2016, segundo Dominique Santos, Graziele </w:t>
      </w:r>
      <w:proofErr w:type="spellStart"/>
      <w:r>
        <w:t>Kolv</w:t>
      </w:r>
      <w:proofErr w:type="spellEnd"/>
      <w:r>
        <w:t xml:space="preserve"> e Juliano João Nazário (2017) havia 116 pesquisadores e professores em instituições de Ensino Superior vinculados à História Antiga, excluindo os professores aposentados, falecidos ou sem vinculação com o lattes. Destes, 50,86% estão na região sudeste, especificamente 28 em São Paulo, 23 no Rio de Janeiro, 6 em Minas Gerais e 2 no Espírito Santo, mostrando a permanência da força do eixo Rio-São Paulo, mas apresentando marcas da descentralização. Dos 116 docentes, 45 fizeram doutorado pleno (17), doutorado sanduíche (18) ou estágio pós-doutorado (10) no exterior o que indica, para o autor, a necessidade de maior investimento para esse tipo de formação, ao mesmo tempo que demonstra a internacionalização da área (Santos; </w:t>
      </w:r>
      <w:proofErr w:type="spellStart"/>
      <w:r>
        <w:t>Kolv</w:t>
      </w:r>
      <w:proofErr w:type="spellEnd"/>
      <w:r>
        <w:t>; Nazário, 2017, p. 126-129).</w:t>
      </w:r>
    </w:p>
    <w:p w14:paraId="72001289" w14:textId="77777777" w:rsidR="00681D00" w:rsidRDefault="00000000">
      <w:pPr>
        <w:ind w:firstLine="720"/>
      </w:pPr>
      <w:r>
        <w:t xml:space="preserve">Outro dado revelado pelo estudo de Santos, </w:t>
      </w:r>
      <w:proofErr w:type="spellStart"/>
      <w:r>
        <w:t>Kolv</w:t>
      </w:r>
      <w:proofErr w:type="spellEnd"/>
      <w:r>
        <w:t xml:space="preserve"> e Nazário (2017), são as áreas de pesquisa desses docentes com os temas de: Roma (44), Grécia (43), Egito (8), Judaísmo (6), História do Cristianismo (5), Mesopotâmia (2), Israel (2), Bizâncio (2), Culturas pré-romanas (1), China (1), Celtas (1), Visigodos (1). No que tange as dissertações de mestrados, de um total de 411 dissertações, a maioria continua sendo sobre Roma (38,68%) e Grécia (34,79%), totalizando 302 dissertações, seguidas pela História do Cristianismo (37 dissertações), Egito (18) e Judaísmo (10), outras temáticas apresentam 44 pesquisas. Por fim, das 163 teses, 59 versam sobre a Grécia e 53 sobre Roma somando 68,71%.</w:t>
      </w:r>
    </w:p>
    <w:p w14:paraId="07D3F727" w14:textId="77777777" w:rsidR="00681D00" w:rsidRDefault="00000000">
      <w:pPr>
        <w:ind w:firstLine="720"/>
      </w:pPr>
      <w:r>
        <w:t>Em síntese, a trajetória da História Antiga no Brasil revela um campo que passou de uma tradição erudita e eurocêntrica para uma disciplina plural, teórica e metodologicamente diversificada, inserida em debates internacionais e atenta às demandas contemporâneas. Se, por um lado, consolidou-se institucionalmente, por outro, enfrenta o desafio de ampliar seus horizontes temáticos, regionais e epistemológicos, articulando pesquisa, ensino e responsabilidade social na construção de uma Antiguidade criticamente historicizada.</w:t>
      </w:r>
    </w:p>
    <w:p w14:paraId="69BD3D80" w14:textId="77777777" w:rsidR="00681D00" w:rsidRDefault="00000000">
      <w:pPr>
        <w:ind w:firstLine="720"/>
      </w:pPr>
      <w:r>
        <w:t>Se, até aqui, delineamos o processo de institucionalização e consolidação da História Antiga no âmbito universitário brasileiro, impõe-se agora deslocar o foco para uma dimensão indissociável da própria configuração do campo: o Ensino de História Antiga. Com efeito, a constituição de linhas de pesquisa, a formação de especialistas e a circulação de referenciais internacionais não se esgotam na produção acadêmica stricto sensu, mas reverberam diretamente na organização curricular, na elaboração de materiais didáticos e na formação inicial e continuada de professores.</w:t>
      </w:r>
    </w:p>
    <w:p w14:paraId="1BED4965" w14:textId="77777777" w:rsidR="00681D00" w:rsidRDefault="00681D00">
      <w:pPr>
        <w:ind w:firstLine="720"/>
      </w:pPr>
    </w:p>
    <w:p w14:paraId="79255EC3" w14:textId="77777777" w:rsidR="00681D00" w:rsidRDefault="00000000">
      <w:pPr>
        <w:ind w:firstLine="0"/>
        <w:rPr>
          <w:b/>
          <w:bCs/>
        </w:rPr>
      </w:pPr>
      <w:r>
        <w:rPr>
          <w:b/>
          <w:bCs/>
        </w:rPr>
        <w:t>O Ensino de História Antiga</w:t>
      </w:r>
    </w:p>
    <w:p w14:paraId="29B14C16" w14:textId="77777777" w:rsidR="00681D00" w:rsidRDefault="00000000">
      <w:r>
        <w:t xml:space="preserve">O campo do Ensino de História Antiga no Brasil possui como marco inaugural as reflexões de Funari (1987; 1988; 1997), reconhecidas pelo levantamento do Grupo de Trabalho em História Antiga da Associação Nacional de História (ANPUH). Até o início dos anos 2000, a produção era esparsa e concentrava-se sobretudo na definição de </w:t>
      </w:r>
      <w:proofErr w:type="spellStart"/>
      <w:r>
        <w:t>conteúdos</w:t>
      </w:r>
      <w:proofErr w:type="spellEnd"/>
      <w:r>
        <w:t xml:space="preserve"> substantivos a </w:t>
      </w:r>
      <w:r>
        <w:lastRenderedPageBreak/>
        <w:t xml:space="preserve">serem ensinados na educação básica, com ênfase na atualização temática em consonância com os avanços da historiografia universitária. </w:t>
      </w:r>
    </w:p>
    <w:p w14:paraId="11C0BB8A" w14:textId="77777777" w:rsidR="00681D00" w:rsidRDefault="00000000">
      <w:r>
        <w:t xml:space="preserve">A inflexão decisiva ocorreu em 2015, com a divulgação da primeira versão da Base Nacional Comum Curricular (BNCC), que suprimiu os conteúdos de História Antiga e Medieval do currículo nacional. A controvérsia gerou intensa mobilização acadêmica, resultando em um crescimento significativo da produção especializada. A partir de então, o debate desloca-se da mera enumeração de </w:t>
      </w:r>
      <w:proofErr w:type="spellStart"/>
      <w:r>
        <w:t>conteúdos</w:t>
      </w:r>
      <w:proofErr w:type="spellEnd"/>
      <w:r>
        <w:t xml:space="preserve"> para uma reflexão epistemológica e política acerca das razões do ensino da Antiguidade. Currículo, cultura histórica, material didático, formação docente e fundamentos teóricos do ensino tornam-se eixos estruturantes das investigações. Propõe-se, assim, uma periodização do campo em dois momentos analíticos: o período anterior a 2015, marcado pela preocupação com atualização temática e metodológica, e o período posterior, caracterizado por uma problematização mais ampla acerca da função social e formativa da História Antiga.</w:t>
      </w:r>
    </w:p>
    <w:p w14:paraId="29E764EA" w14:textId="77777777" w:rsidR="00681D00" w:rsidRDefault="00000000">
      <w:r>
        <w:t xml:space="preserve">Nas formulações pioneiras de Funari (1988), o ensino da Antiguidade deveria ultrapassar a dimensão meramente informativa e promover a formação crítica por meio da reflexão e compreensão das estruturas sociais, políticas e culturais nas reminiscências da antiguidade na contemporaneidade. Dessa forma, deve-se verificar as presenças clássicas e as reminiscências nos diversos discursos sociais e compreender a historicidade antiga e suas heranças. Portanto, o conhecimento deve ser construído a partir da demanda dos próprios alunos, como visto anteriormente, e partindo do presente. </w:t>
      </w:r>
    </w:p>
    <w:p w14:paraId="2D173F4C" w14:textId="77777777" w:rsidR="00681D00" w:rsidRDefault="00000000">
      <w:r>
        <w:t xml:space="preserve"> Ao identificar as três vertentes dominantes, a factual-tradicionalista, a marxista </w:t>
      </w:r>
      <w:proofErr w:type="spellStart"/>
      <w:r>
        <w:t>esquematizante</w:t>
      </w:r>
      <w:proofErr w:type="spellEnd"/>
      <w:r>
        <w:t xml:space="preserve"> e o eruditismo elitista, como já analisado, Funari defende que, tais vertentes convergiam na concepção do estudante e do futuro professor como reprodutor de um conhecimento legitimado pela hierarquia acadêmica. Em contraposição, ele defende um ensino que parta das demandas do presente, desvele os mecanismos de construção discursiva das elites sobre a Antiguidade e compreenda as “heranças” como construções ideológicas. A análise das estruturas antigas, nessa perspectiva, não visa reafirmar continuidades civilizacionais, mas tensionar a suposta atemporalidade do presente por meio da dissemelhança histórica.</w:t>
      </w:r>
    </w:p>
    <w:p w14:paraId="6FE41BBA" w14:textId="77777777" w:rsidR="00681D00" w:rsidRDefault="00000000">
      <w:r>
        <w:t xml:space="preserve">A renovação teórica intensifica-se com a incorporação das críticas pós-coloniais e dos debates acerca da recepção da Antiguidade. Em diálogo com Edward Said e sua obra </w:t>
      </w:r>
      <w:r>
        <w:rPr>
          <w:i/>
          <w:iCs/>
        </w:rPr>
        <w:t>Orientalismo</w:t>
      </w:r>
      <w:r>
        <w:t xml:space="preserve">, bem como com Martin Bernal em </w:t>
      </w:r>
      <w:r>
        <w:rPr>
          <w:i/>
          <w:iCs/>
        </w:rPr>
        <w:t>Black Athena</w:t>
      </w:r>
      <w:r>
        <w:t xml:space="preserve">, Funari e </w:t>
      </w:r>
      <w:proofErr w:type="spellStart"/>
      <w:r>
        <w:t>Garraffoni</w:t>
      </w:r>
      <w:proofErr w:type="spellEnd"/>
      <w:r>
        <w:t xml:space="preserve"> (2003) historicizam categorias como “helenismo” e “romanização”, propondo sua revisão à luz de processos de contato, hibridação e negociação cultural. A Antiguidade deixa de ser concebida como gênese do “Ocidente” para ser analisada como construção historiográfica situada, atravessada por disputas de poder e por projetos imperiais modernos.</w:t>
      </w:r>
    </w:p>
    <w:p w14:paraId="1D089599" w14:textId="77777777" w:rsidR="00681D00" w:rsidRDefault="00000000">
      <w:r>
        <w:t xml:space="preserve">Semíramis Corsi Silva (2010) faz um rápido panorama da historiografia iniciando com a história factual durante os anos da Ditadura Civil Militar, com a abertura na década de 1980 há um </w:t>
      </w:r>
      <w:proofErr w:type="spellStart"/>
      <w:r>
        <w:t>aumenta</w:t>
      </w:r>
      <w:proofErr w:type="spellEnd"/>
      <w:r>
        <w:t xml:space="preserve"> da produção historiográfica com abordagens marxistas, sendo a principal contribuição a de Moses Finley que revoluciona a análise de História Antiga apresentando um modelo weberiano substituindo o conceito de classe por status e ordem. Na década de 1990 há o acompanhamento da Terceira Geração dos Annales com a Nova História com dissertações e teses a partir dos conceitos de representação, identidade, estudos de gênero e sexualidade, cultura material, literatura e história da vida privada. Há ainda a aproximação com a antropologia, arqueologia, retórica, análise do discurso e outras áreas e subáreas.</w:t>
      </w:r>
    </w:p>
    <w:p w14:paraId="6D5FDF21" w14:textId="77777777" w:rsidR="00681D00" w:rsidRDefault="00000000">
      <w:r>
        <w:lastRenderedPageBreak/>
        <w:t xml:space="preserve">Passando para um segundo momento, Silva (2010) analisa os materiais didáticos apontando a falta de conexão com a realidade do aluno buscando compreender o passado por ele mesmo e o presente como resultado de transformações, evitando uma busca das origens. Além disso o estudo comparativo em diversas temporalidades é propício nos temas de reforma agrária, escravidão, </w:t>
      </w:r>
      <w:proofErr w:type="spellStart"/>
      <w:r>
        <w:t>imperialimso</w:t>
      </w:r>
      <w:proofErr w:type="spellEnd"/>
      <w:r>
        <w:t xml:space="preserve">, democracia, mito, direito e outros. Alguns conceitos devem ser superados como classes sociais, linha contínua da história do Oriente para o Ocidente ou uma linha de causas e consequências, ideias evolucionistas, decadência, no qual prefere-se desagregação, entre outros. </w:t>
      </w:r>
    </w:p>
    <w:p w14:paraId="11FFD8F2" w14:textId="77777777" w:rsidR="00681D00" w:rsidRDefault="00000000">
      <w:r>
        <w:t xml:space="preserve">Outras questões como a temporalidade pela divisão de principado, </w:t>
      </w:r>
      <w:proofErr w:type="spellStart"/>
      <w:r>
        <w:t>dominato</w:t>
      </w:r>
      <w:proofErr w:type="spellEnd"/>
      <w:r>
        <w:t xml:space="preserve"> e Antiguidade tardia no lugar de Alto e Baixo Império. Combater o determinismo geográfico que levou a hipótese causal hidráulica nas civilizações do Oriente Próximo em prol de múltiplas causas e transformações. Por fim a autora defende o uso de recursos cartográficos, audiovisuais, imagéticos e até das fontes escritas aliadas aos livros e materiais didáticos. Dessa forma, deve-se encarar a antiguidade em sua pluralidade e diversidade de culturas e no uso de conceitos mais apropriados e a crítica dos estereótipos como o de bárbaro.</w:t>
      </w:r>
    </w:p>
    <w:p w14:paraId="1F327B61" w14:textId="77777777" w:rsidR="00681D00" w:rsidRDefault="00000000">
      <w:r>
        <w:t xml:space="preserve">No âmbito do diálogo com a teoria da consciência histórica, abrindo uma nova e profícua frente, Leandro </w:t>
      </w:r>
      <w:proofErr w:type="spellStart"/>
      <w:r>
        <w:t>Hecko</w:t>
      </w:r>
      <w:proofErr w:type="spellEnd"/>
      <w:r>
        <w:t xml:space="preserve"> (2015), apoiando-se em </w:t>
      </w:r>
      <w:proofErr w:type="spellStart"/>
      <w:r>
        <w:t>Jörn</w:t>
      </w:r>
      <w:proofErr w:type="spellEnd"/>
      <w:r>
        <w:t xml:space="preserve"> </w:t>
      </w:r>
      <w:proofErr w:type="spellStart"/>
      <w:r>
        <w:t>Rüsen</w:t>
      </w:r>
      <w:proofErr w:type="spellEnd"/>
      <w:r>
        <w:t xml:space="preserve"> (2001), enfatiza os usos do passado como elemento estruturante do pensamento histórico. A partir da “carência de orientação” no tempo, o ensino deve capacitar os estudantes a interpretar criticamente as narrativas sobre a Antiguidade que circulam na cultura histórica, da indústria cultural à produção midiática. Exemplos extraídos da música popular e do cinema evidenciam como o passado antigo é constantemente reapropriado, demandando mediação crítica do professor para evitar leituras presentistas ou legitimadoras de hierarquias contemporâneas.</w:t>
      </w:r>
    </w:p>
    <w:p w14:paraId="6EB40C4E" w14:textId="77777777" w:rsidR="00681D00" w:rsidRDefault="00000000">
      <w:r>
        <w:t>Com a polêmica da versão da BNCC, anunciada em setembro de 2015 e publicada em 2016, sem os componentes de história antiga e medieval, surge na área discussões mais preocupadas com a razão do ensino de história antiga e menos com os conteúdos substantivos, como os textos anteriores que se preocupavam em elencar temáticas e assuntos que poderiam ser abordados na educação básica em consonância com a historiografia mais atualizada do momento.</w:t>
      </w:r>
    </w:p>
    <w:p w14:paraId="0C4904E6" w14:textId="77777777" w:rsidR="00681D00" w:rsidRDefault="00000000">
      <w:r>
        <w:t xml:space="preserve">Os argumentos em defesa da permanência da História Antiga no currículo foram sistematizados por Dominique Santos (2019), que critica o viés </w:t>
      </w:r>
      <w:proofErr w:type="spellStart"/>
      <w:r>
        <w:t>brasilcêntrico</w:t>
      </w:r>
      <w:proofErr w:type="spellEnd"/>
      <w:r>
        <w:t xml:space="preserve"> e presentista da proposta inicial. Entre os fundamentos apresentados destacam-se: a formação para a alteridade; a compreensão das identidades como construções históricas; o acesso a experiências humanas em perspectiva global e transnacional; e o estudo de outras culturas como potencial descolonizador a partir da diversidade e alteridade. Outros argumentos reunidos por Santos (2019) são as permanências e rupturas de conceitos modernos que nasceram do contato com a antiguidade; compreensão do espaço e das temporalidades entre outros.</w:t>
      </w:r>
    </w:p>
    <w:p w14:paraId="684DA912" w14:textId="77777777" w:rsidR="00681D00" w:rsidRDefault="00000000">
      <w:proofErr w:type="spellStart"/>
      <w:r>
        <w:t>Adriene</w:t>
      </w:r>
      <w:proofErr w:type="spellEnd"/>
      <w:r>
        <w:t xml:space="preserve"> Baron Tacla (2019) reforça essa orientação ao propor uma História Antiga inserida nos marcos da História Global e transnacional, desvinculada da narrativa linear de sucessão de impérios, visão típica dos séculos XVII até a primeira metade do século XX. Mas compreender as construções e posturas acerca da antiguidade e não da antiguidade em si. Portanto, ela concorda com o princípio da alteridade para questionar conceitos étnicos e sociais de imagens tradicionais da Antiguidade como barbárie, civilizado, ocidente e oriente. </w:t>
      </w:r>
    </w:p>
    <w:p w14:paraId="065BF641" w14:textId="77777777" w:rsidR="00681D00" w:rsidRDefault="00000000">
      <w:r>
        <w:lastRenderedPageBreak/>
        <w:t xml:space="preserve">Compreender a Antiguidade em sua diversidade de culturas, modos de pensar, de agir e viver, são fundamentais para o que Ygor </w:t>
      </w:r>
      <w:proofErr w:type="spellStart"/>
      <w:r>
        <w:t>Klain</w:t>
      </w:r>
      <w:proofErr w:type="spellEnd"/>
      <w:r>
        <w:t xml:space="preserve"> Belchior (2021) defende ao articular o ensino da Antiguidade à promoção da dignidade humana. Criticando a tradição eurocêntrica, ufanista, branca, patriarcal advinda de um projeto racial, imperialista e eurocentrado que marcou a disciplina escolar por séculos. Desse modo, o Ensino de História Antiga deve promover a dignidade humana quebrando as barreiras ideológicas ao considerar a diversidade étnica, cultural, as práticas homoeróticas, o papel feminino, os de valores tidos como universais como virilidade e masculinidade são históricos. Dessa forma, busca-se a construção de narrativas sobre a antiguidade que sejam diversas e plurais.</w:t>
      </w:r>
    </w:p>
    <w:p w14:paraId="1102BF82" w14:textId="77777777" w:rsidR="00681D00" w:rsidRDefault="00000000">
      <w:r>
        <w:t xml:space="preserve">Ao enfatizar a necessidade de que o Ensino de História Antiga dialogue de modo consequente com os problemas, tensões e inquietações do tempo presente, Guilherme </w:t>
      </w:r>
      <w:proofErr w:type="spellStart"/>
      <w:r>
        <w:t>Moerbeck</w:t>
      </w:r>
      <w:proofErr w:type="spellEnd"/>
      <w:r>
        <w:t xml:space="preserve"> (2021) identifica nos estudos decoloniais um horizonte teórico particularmente fecundo, sobretudo quando articulado à categoria dos usos do passado. Partindo do diagnóstico de que a indústria cultural frequentemente mobiliza a Antiguidade de maneira superficial, presentista e marcada por referenciais brancos e eurocêntricos, o autor sustenta que compete ao ensino escolar problematizar tais apropriações, analisando criticamente os processos de produção e recepção dessas narrativas. Isso implica reconhecer a existência de comunidades interpretativas específicas, situadas histórica e socialmente, bem como os pactos de leitura que orientam a circulação de sentidos. Nesse quadro, o Ensino de História Antiga deve tensionar interpretações que naturalizam hierarquias e legitimam a manutenção de um status quo patriarcal, </w:t>
      </w:r>
      <w:proofErr w:type="spellStart"/>
      <w:r>
        <w:t>racializado</w:t>
      </w:r>
      <w:proofErr w:type="spellEnd"/>
      <w:r>
        <w:t xml:space="preserve"> e excludente, promovendo, em contrapartida, leituras comprometidas com a liberdade, a igualdade e a justiça social.</w:t>
      </w:r>
    </w:p>
    <w:p w14:paraId="317991EE" w14:textId="77777777" w:rsidR="00681D00" w:rsidRDefault="00000000">
      <w:r>
        <w:t xml:space="preserve">Para </w:t>
      </w:r>
      <w:proofErr w:type="spellStart"/>
      <w:r>
        <w:t>Moerbeck</w:t>
      </w:r>
      <w:proofErr w:type="spellEnd"/>
      <w:r>
        <w:t xml:space="preserve"> (2021), tal tarefa não se realiza mediante a simples substituição de conteúdos, mas requer a articulação entre o domínio do conhecimento produzido pela tradição historiográfica e o desenvolvimento das competências processuais próprias do ofício do historiador. Em termos pedagógicos, isso significa integrar conteúdos substantivos às operações do pensamento histórico — como problematização, contextualização, análise crítica de fontes e construção narrativa —, tomando as fontes como ponto de partida da aprendizagem e não como mera ilustração de verdades previamente estabelecidas. Nessa perspectiva, o estudante deixa de ocupar a posição de receptor passivo de informações e passa a ser concebido como sujeito ativo na produção do conhecimento histórico, exercitando procedimentos de investigação, interpretação e argumentação.</w:t>
      </w:r>
    </w:p>
    <w:p w14:paraId="1FE017AD" w14:textId="77777777" w:rsidR="00681D00" w:rsidRDefault="00000000">
      <w:r>
        <w:t xml:space="preserve">No âmbito de uma proposta explicitamente decolonial para o Ensino de História Antiga, </w:t>
      </w:r>
      <w:proofErr w:type="spellStart"/>
      <w:r>
        <w:t>Moerbeck</w:t>
      </w:r>
      <w:proofErr w:type="spellEnd"/>
      <w:r>
        <w:t xml:space="preserve"> (2021) defende a abertura a um diálogo plural com diferentes mitologias, culturas e sistemas de crenças, com vistas, entre outros objetivos, à promoção da tolerância religiosa e do reconhecimento da diversidade cultural. Uma História Antiga orientada para o século XXI, segundo o autor, deve assumir uma agenda capaz de enfrentar criticamente as desigualdades econômicas, as assimetrias de gênero, as discriminações étnico-religiosas e os riscos representados por projetos políticos autoritários. Trata-se, portanto, de mobilizar o estudo das sociedades antigas não como repositório de modelos civilizatórios a serem celebrados, mas como campo privilegiado para a reflexão sobre alteridade, conflito, dominação e resistência, contribuindo para a formação de sujeitos historicamente conscientes e eticamente comprometidos.</w:t>
      </w:r>
    </w:p>
    <w:p w14:paraId="72F914DF" w14:textId="77777777" w:rsidR="00681D00" w:rsidRDefault="00000000">
      <w:r>
        <w:lastRenderedPageBreak/>
        <w:t>Em consonância com os autores anteriormente discutidos, sustenta-se que o Ensino de História Antiga deve confrontar criticamente tanto a perspectiva etnocêntrica quanto a estrutura quadripartite e teleológica da chamada “história universal”, tradicionalmente organizada em Antiga, Medieval, Moderna e Contemporânea como se tal divisão correspondesse a um desenvolvimento linear e necessário da civilização ocidental. A superação desse paradigma implica a construção de uma abordagem multifacetada, plural e historicamente situada, capaz de dialogar com as demandas e problemáticas do presente. Nesse sentido, a alteridade deixa de ser mero recurso retórico e passa a constituir fundamento epistemológico do ensino: ao reconhecer a diversidade de experiências humanas no tempo, o estudo da Antiguidade pode contribuir para a formação de uma cultura histórica orientada ao respeito multicultural, multirreligioso e multiétnico, rompendo com narrativas que naturalizam hierarquias e exclusões.</w:t>
      </w:r>
    </w:p>
    <w:p w14:paraId="58A2A4B9" w14:textId="77777777" w:rsidR="00681D00" w:rsidRDefault="00000000">
      <w:r>
        <w:t xml:space="preserve">É nesse horizonte que se propõe a análise do filme </w:t>
      </w:r>
      <w:r>
        <w:rPr>
          <w:i/>
          <w:iCs/>
        </w:rPr>
        <w:t>Fúria de Titãs</w:t>
      </w:r>
      <w:r>
        <w:t xml:space="preserve">, tomando como referência capítulo anteriormente publicado (Nogueira, 2024), a fim de explorar suas potencialidades didáticas no Ensino de História Antiga. A partir das formulações teóricas de </w:t>
      </w:r>
      <w:proofErr w:type="spellStart"/>
      <w:r>
        <w:t>Jörn</w:t>
      </w:r>
      <w:proofErr w:type="spellEnd"/>
      <w:r>
        <w:t xml:space="preserve"> </w:t>
      </w:r>
      <w:proofErr w:type="spellStart"/>
      <w:r>
        <w:t>Rüsen</w:t>
      </w:r>
      <w:proofErr w:type="spellEnd"/>
      <w:r>
        <w:t xml:space="preserve"> acerca da consciência histórica e articulando-as ao conceito de recepção, busca-se compreender quais representações do passado são mobilizadas e difundidas pela cultura histórica em sua dimensão estética, no caso, a linguagem cinematográfica, e de que maneira tais representações podem ser problematizadas em sala de aula. O filme, assim, não é tratado como reconstituição fiel de um passado pretérito, mas como narrativa situada, atravessada por convenções do gênero épico-mítico e por expectativas do público contemporâneo. A mediação docente consiste, portanto, em confrontar essas imagens com o conhecimento historiográfico, oferecendo aos estudantes instrumentos para a construção de uma leitura crítica.</w:t>
      </w:r>
    </w:p>
    <w:p w14:paraId="729634D5" w14:textId="77777777" w:rsidR="00681D00" w:rsidRDefault="00000000">
      <w:r>
        <w:t xml:space="preserve">No plano imagético, a cidade de Argos, a única pólis explicitamente representada, é apresentada em seu máximo esplendor, com dimensões monumentais, arquitetura grandiosa e aparência de permanente renovação. Tal representação não é fortuita: o cinema de temática antiga tende a projetar as civilizações do passado em sua fase áurea, reforçando uma concepção progressista e cumulativa da história, na qual esses momentos de grandeza comporiam a “herança” do Ocidente. Mesmo quando a decadência é tematizada, como ocorre em </w:t>
      </w:r>
      <w:r>
        <w:rPr>
          <w:i/>
          <w:iCs/>
        </w:rPr>
        <w:t xml:space="preserve">Gladiador </w:t>
      </w:r>
      <w:r>
        <w:t>(2000), no qual a corrupção marca a Roma imperial, a monumentalidade estética permanece, preservando o fascínio visual associado ao poder e à centralidade civilizatória. Trata-se de uma operação simbólica que reafirma a ideia de excepcionalidade das sociedades clássicas e obscurece conflitos internos, desigualdades estruturais e dinâmicas de dominação.</w:t>
      </w:r>
    </w:p>
    <w:p w14:paraId="0775B13D" w14:textId="77777777" w:rsidR="00681D00" w:rsidRDefault="00000000">
      <w:r>
        <w:t>Entre os personagens, destaca-se a figura de Sheik Suleiman, representado como um hominídeo que teria transformado sua própria carne em pedra mediante conhecimentos esotéricos. Portando turbante e cajado, surgindo no deserto e, ao final, sacrificando-se por meio de uma explosão para proteger Perseu na luta contra Medusa, o personagem reúne elementos imagéticos que remetem imediatamente ao Oriente Médio contemporâneo. O nome “Sheik”, título associado a liderança religiosa ou tribal, e “Suleiman”, forma árabe de Salomão (</w:t>
      </w:r>
      <w:proofErr w:type="spellStart"/>
      <w:r>
        <w:t>Sulaymān</w:t>
      </w:r>
      <w:proofErr w:type="spellEnd"/>
      <w:r>
        <w:t xml:space="preserve">), somados à estética do deserto e à alusão ao “homem-bomba”, produzem uma associação simbólica entre alteridade oriental e exotismo místico, bem como entre Oriente e violência sacrificial. Tal construção pode ser analisada à luz das reflexões de Edward Said (1990), evidenciando a permanência de representações que configuram o “outro” como distante, enigmático e essencialmente diverso. Em sala de aula, essa leitura permite </w:t>
      </w:r>
      <w:r>
        <w:lastRenderedPageBreak/>
        <w:t>problematizar a persistência de estereótipos orientalistas e discutir como narrativas contemporâneas projetam tensões geopolíticas atuais sobre o passado mítico.</w:t>
      </w:r>
    </w:p>
    <w:p w14:paraId="491D2D54" w14:textId="77777777" w:rsidR="00681D00" w:rsidRDefault="00000000">
      <w:r>
        <w:t>No que concerne às personagens femininas, Io e Andrômeda ocupam posições centrais na economia narrativa. Io é apresentada como figura ativa: combate ao lado de Perseu, domina conhecimentos sobre sua origem e sobre a trajetória de Medusa, e participa das decisões estratégicas do grupo. Tal protagonismo dialoga com avanços recentes na indústria cinematográfica no que diz respeito à visibilidade feminina. Contudo, a trajetória da personagem revela ambivalências: ao final, sua inserção como par romântico do herói e sua representação estética, caracterizada com cabelos lisos, vestimenta elegante, postura domesticada, reintroduzem expectativas tradicionais de feminilidade associadas ao espaço doméstico e à complementaridade afetiva. A análise histórica dos papéis femininos na sociedade grega antiga, com suas restrições jurídicas e políticas, oferece contraponto fecundo para discutir a construção cultural dos gêneros, evitando tanto anacronismos quanto naturalizações.</w:t>
      </w:r>
    </w:p>
    <w:p w14:paraId="7F60C3E2" w14:textId="77777777" w:rsidR="00681D00" w:rsidRDefault="00000000">
      <w:r>
        <w:t>A princesa Andrômeda, por sua vez, é caracterizada como soberana compassiva, solidária à população faminta e crítica aos vícios da geração anterior. Sua representação visa legitimar sua ascensão ao trono, apresentando-a como governante moralmente apta a substituir os pais. Ainda assim, sua atuação permanece circunscrita a um modelo de liderança benevolente e passiva, aguardando a intervenção heroica de Perseu para a resolução do conflito central. Tal configuração aproxima-se do arquétipo da princesa virtuosa, cuja autoridade é mediada por atributos morais e não por agência política efetiva. A comparação com figuras trágicas como Antígona, nas peças de Sófocles, possibilita problematizar as formas de atuação feminina no mundo grego antigo, bem como refletir sobre as reinterpretações contemporâneas desses papéis.</w:t>
      </w:r>
    </w:p>
    <w:p w14:paraId="3E47A32C" w14:textId="77777777" w:rsidR="00681D00" w:rsidRDefault="00000000">
      <w:r>
        <w:t>Desse modo, a utilização de Fúria de Titãs no Ensino de História Antiga revela-se profícua não como ilustração de conteúdos mitológicos, mas como objeto de análise crítica da cultura histórica. Ao articular teoria da consciência histórica, estudos de recepção e crítica pós-colonial, o trabalho pedagógico pode transformar a narrativa cinematográfica em campo de investigação sobre representações, estereótipos e disputas de sentido, contribuindo para a formação de sujeitos capazes de interpretar o passado e suas reapropriações de maneira reflexiva e historicamente fundamentada.</w:t>
      </w:r>
    </w:p>
    <w:p w14:paraId="5D4BA261" w14:textId="77777777" w:rsidR="00681D00" w:rsidRDefault="00681D00">
      <w:pPr>
        <w:ind w:firstLine="0"/>
      </w:pPr>
    </w:p>
    <w:p w14:paraId="39A14372" w14:textId="77777777" w:rsidR="00681D00" w:rsidRDefault="00000000">
      <w:pPr>
        <w:ind w:firstLine="0"/>
        <w:rPr>
          <w:b/>
          <w:bCs/>
        </w:rPr>
      </w:pPr>
      <w:r>
        <w:rPr>
          <w:b/>
          <w:bCs/>
        </w:rPr>
        <w:t>Considerações finais</w:t>
      </w:r>
    </w:p>
    <w:p w14:paraId="7AA54EF1" w14:textId="77777777" w:rsidR="00681D00" w:rsidRDefault="00000000">
      <w:pPr>
        <w:ind w:firstLine="720"/>
      </w:pPr>
      <w:r>
        <w:t>As reflexões desenvolvidas ao longo deste texto permitem afirmar que a constituição da História Antiga como campo disciplinar no Brasil esteve intrinsecamente vinculada a processos institucionais, disputas teóricas e reconfigurações políticas mais amplas. Desde sua inserção pioneira na Universidade de São Paulo, ainda sob a forma de cátedra conjugada com a História Medieval, até sua consolidação como área autônoma com produção especializada e inserção internacional, a disciplina percorreu um caminho marcado por tensões entre tradição erudita, modelos explicativos totalizantes e, posteriormente, abordagens críticas orientadas pela renovação historiográfica. A expansão quantitativa de pesquisas, a criação de associações científicas, periódicos especializados e grupos de trabalho, bem como a descentralização gradual do eixo Rio–São Paulo, evidenciam o amadurecimento do campo e sua crescente complexificação temática e metodológica.</w:t>
      </w:r>
    </w:p>
    <w:p w14:paraId="32D26E49" w14:textId="77777777" w:rsidR="00681D00" w:rsidRDefault="00000000">
      <w:pPr>
        <w:ind w:firstLine="720"/>
      </w:pPr>
      <w:r>
        <w:lastRenderedPageBreak/>
        <w:t>Entretanto, a consolidação acadêmica não se deu de forma linear nem homogênea. A permanência de estruturas curriculares tradicionais, a concentração regional de especialistas e a centralidade persistente dos estudos sobre Grécia e Roma revelam que o processo de institucionalização ainda convive com desafios estruturais. Ao mesmo tempo, a incorporação de perspectivas oriundas da História Cultural, dos estudos de gênero, da arqueologia, da antropologia e, mais recentemente, das críticas pós-coloniais e decoloniais, redefiniu significativamente os marcos interpretativos da disciplina. A Antiguidade deixou de ser concebida prioritariamente como berço do Ocidente para ser problematizada como construção historiográfica situada, atravessada por relações de poder e por disputas de memória.</w:t>
      </w:r>
    </w:p>
    <w:p w14:paraId="4DDDAE60" w14:textId="77777777" w:rsidR="00681D00" w:rsidRDefault="00000000">
      <w:pPr>
        <w:ind w:firstLine="720"/>
      </w:pPr>
      <w:r>
        <w:t xml:space="preserve">Nesse cenário, o Ensino de História Antiga emerge não como instância secundária ou meramente transmissiva, mas como dimensão constitutiva do próprio campo. A controvérsia em torno da Base Nacional Comum Curricular, a partir de 2015, explicitou que a presença ou ausência da Antiguidade no currículo não é questão neutra, mas envolve concepções de história, identidade, cidadania e formação intelectual. O deslocamento do debate — da enumeração de </w:t>
      </w:r>
      <w:proofErr w:type="spellStart"/>
      <w:r>
        <w:t>conteúdos</w:t>
      </w:r>
      <w:proofErr w:type="spellEnd"/>
      <w:r>
        <w:t xml:space="preserve"> para a problematização das finalidades do ensino — representou um ponto de inflexão decisivo. Passou-se a defender a Antiguidade não apenas por seu lugar na tradição escolar, mas por sua capacidade de fomentar a alteridade, ampliar horizontes culturais, historicizar identidades e tensionar narrativas eurocêntricas e lineares.</w:t>
      </w:r>
    </w:p>
    <w:p w14:paraId="4C777A22" w14:textId="77777777" w:rsidR="00681D00" w:rsidRDefault="00000000">
      <w:pPr>
        <w:ind w:firstLine="720"/>
      </w:pPr>
      <w:r>
        <w:t>A articulação entre teoria da consciência histórica, usos do passado e abordagens decoloniais reforça a compreensão de que o ensino deve capacitar os estudantes a interpretar criticamente as múltiplas apropriações da Antiguidade na cultura contemporânea. Nesse sentido, a análise do filme Fúria de Titãs evidenciou como a indústria cultural reatualiza imagens monumentalizadas das sociedades antigas, reproduz estereótipos orientalistas e reinscreve papéis de gênero em moldes ambíguos entre inovação e conservadorismo. Ao transformar tais produtos em objeto de investigação, o professor desloca o filme da condição de ilustração para a de documento cultural, passível de contextualização, comparação e crítica.</w:t>
      </w:r>
    </w:p>
    <w:p w14:paraId="1E953B5A" w14:textId="77777777" w:rsidR="00681D00" w:rsidRDefault="00000000">
      <w:pPr>
        <w:ind w:firstLine="720"/>
      </w:pPr>
      <w:r>
        <w:t>A exemplificação cinematográfica demonstra, assim, que o Ensino de História Antiga pode operar como espaço privilegiado de mediação entre historiografia acadêmica e cultura histórica. Ao confrontar representações ficcionais com o conhecimento produzido pela pesquisa especializada, o processo pedagógico favorece a construção de competências interpretativas e de uma consciência histórica reflexiva. Não se trata de substituir narrativas hegemônicas por novas ortodoxias, mas de explicitar seus pressupostos, historicizar seus conceitos e ampliar o repertório analítico dos estudantes.</w:t>
      </w:r>
    </w:p>
    <w:p w14:paraId="5E12ACBB" w14:textId="77777777" w:rsidR="00681D00" w:rsidRDefault="00000000">
      <w:pPr>
        <w:ind w:firstLine="720"/>
      </w:pPr>
      <w:r>
        <w:t>Em síntese, a trajetória da disciplinarização da História Antiga no Brasil e os debates contemporâneos sobre seu ensino revelam um campo em permanente transformação. Se, no passado, a Antiguidade foi frequentemente mobilizada como legitimadora de hierarquias civilizatórias, hoje ela se apresenta como território fértil para a crítica dessas mesmas hierarquias. A consolidação acadêmica, aliada a uma prática pedagógica teoricamente fundamentada e socialmente comprometida, permite vislumbrar uma História Antiga que, longe de ser resquício erudito ou herança intocável, constitui instrumento analítico para compreender a diversidade das experiências humanas e enfrentar, com densidade histórica, os desafios do presente.</w:t>
      </w:r>
    </w:p>
    <w:p w14:paraId="0D797540" w14:textId="77777777" w:rsidR="00681D00" w:rsidRDefault="00681D00"/>
    <w:p w14:paraId="4F1D6C29" w14:textId="77777777" w:rsidR="00681D00" w:rsidRDefault="00000000">
      <w:pPr>
        <w:pStyle w:val="Ttulo1"/>
        <w:jc w:val="both"/>
      </w:pPr>
      <w:bookmarkStart w:id="14" w:name="_ba0zbsbjyus7" w:colFirst="0" w:colLast="0"/>
      <w:bookmarkStart w:id="15" w:name="_qntruhudo6hc" w:colFirst="0" w:colLast="0"/>
      <w:bookmarkEnd w:id="14"/>
      <w:bookmarkEnd w:id="15"/>
      <w:r>
        <w:lastRenderedPageBreak/>
        <w:t>REFERÊNCIAS</w:t>
      </w:r>
    </w:p>
    <w:p w14:paraId="717A90C3" w14:textId="77777777" w:rsidR="00026B08" w:rsidRDefault="00026B08">
      <w:pPr>
        <w:spacing w:line="240" w:lineRule="auto"/>
        <w:ind w:firstLine="0"/>
      </w:pPr>
      <w:r>
        <w:t xml:space="preserve">ALFÖLDY, </w:t>
      </w:r>
      <w:proofErr w:type="spellStart"/>
      <w:r>
        <w:t>Géza</w:t>
      </w:r>
      <w:proofErr w:type="spellEnd"/>
      <w:r>
        <w:t xml:space="preserve">. </w:t>
      </w:r>
      <w:r w:rsidRPr="00026B08">
        <w:rPr>
          <w:i/>
          <w:iCs/>
        </w:rPr>
        <w:t xml:space="preserve">The Social </w:t>
      </w:r>
      <w:proofErr w:type="spellStart"/>
      <w:r w:rsidRPr="00026B08">
        <w:rPr>
          <w:i/>
          <w:iCs/>
        </w:rPr>
        <w:t>History</w:t>
      </w:r>
      <w:proofErr w:type="spellEnd"/>
      <w:r w:rsidRPr="00026B08">
        <w:rPr>
          <w:i/>
          <w:iCs/>
        </w:rPr>
        <w:t xml:space="preserve"> of </w:t>
      </w:r>
      <w:proofErr w:type="spellStart"/>
      <w:r w:rsidRPr="00026B08">
        <w:rPr>
          <w:i/>
          <w:iCs/>
        </w:rPr>
        <w:t>Rome</w:t>
      </w:r>
      <w:proofErr w:type="spellEnd"/>
      <w:r>
        <w:t xml:space="preserve">. London: </w:t>
      </w:r>
      <w:proofErr w:type="spellStart"/>
      <w:r>
        <w:t>Routledge</w:t>
      </w:r>
      <w:proofErr w:type="spellEnd"/>
      <w:r>
        <w:t>, 1984.</w:t>
      </w:r>
    </w:p>
    <w:p w14:paraId="6470F3B6" w14:textId="77777777" w:rsidR="00026B08" w:rsidRDefault="00026B08">
      <w:pPr>
        <w:spacing w:line="240" w:lineRule="auto"/>
        <w:ind w:firstLine="0"/>
      </w:pPr>
    </w:p>
    <w:p w14:paraId="061078B6" w14:textId="04EBC854" w:rsidR="00026B08" w:rsidRDefault="00026B08">
      <w:pPr>
        <w:spacing w:line="240" w:lineRule="auto"/>
        <w:ind w:firstLine="0"/>
      </w:pPr>
      <w:r>
        <w:t xml:space="preserve">ALGAZE, Guillermo. </w:t>
      </w:r>
      <w:r w:rsidRPr="00026B08">
        <w:rPr>
          <w:i/>
          <w:iCs/>
        </w:rPr>
        <w:t>The Uruk World System</w:t>
      </w:r>
      <w:r>
        <w:t xml:space="preserve">: The Dynamics </w:t>
      </w:r>
      <w:proofErr w:type="spellStart"/>
      <w:r>
        <w:t>of</w:t>
      </w:r>
      <w:proofErr w:type="spellEnd"/>
      <w:r>
        <w:t xml:space="preserve"> </w:t>
      </w:r>
      <w:proofErr w:type="spellStart"/>
      <w:r>
        <w:t>Expansion</w:t>
      </w:r>
      <w:proofErr w:type="spellEnd"/>
      <w:r>
        <w:t xml:space="preserve"> </w:t>
      </w:r>
      <w:proofErr w:type="spellStart"/>
      <w:r>
        <w:t>of</w:t>
      </w:r>
      <w:proofErr w:type="spellEnd"/>
      <w:r>
        <w:t xml:space="preserve"> Early </w:t>
      </w:r>
      <w:proofErr w:type="spellStart"/>
      <w:r>
        <w:t>Mesopotamian</w:t>
      </w:r>
      <w:proofErr w:type="spellEnd"/>
      <w:r>
        <w:t xml:space="preserve"> </w:t>
      </w:r>
      <w:proofErr w:type="spellStart"/>
      <w:r>
        <w:t>Civilization</w:t>
      </w:r>
      <w:proofErr w:type="spellEnd"/>
      <w:r>
        <w:t xml:space="preserve">. 2. ed. Chicago: </w:t>
      </w:r>
      <w:proofErr w:type="spellStart"/>
      <w:r>
        <w:t>University</w:t>
      </w:r>
      <w:proofErr w:type="spellEnd"/>
      <w:r>
        <w:t xml:space="preserve"> </w:t>
      </w:r>
      <w:proofErr w:type="spellStart"/>
      <w:r>
        <w:t>of</w:t>
      </w:r>
      <w:proofErr w:type="spellEnd"/>
      <w:r>
        <w:t xml:space="preserve"> Chicago Press, 2008.</w:t>
      </w:r>
    </w:p>
    <w:p w14:paraId="000096CB" w14:textId="77777777" w:rsidR="00026B08" w:rsidRDefault="00026B08">
      <w:pPr>
        <w:spacing w:line="240" w:lineRule="auto"/>
        <w:ind w:firstLine="0"/>
      </w:pPr>
    </w:p>
    <w:p w14:paraId="40F398F0" w14:textId="77777777" w:rsidR="00026B08" w:rsidRDefault="00026B08">
      <w:pPr>
        <w:spacing w:line="240" w:lineRule="auto"/>
        <w:ind w:firstLine="0"/>
      </w:pPr>
      <w:r>
        <w:t xml:space="preserve">ANDO, Clifford. </w:t>
      </w:r>
      <w:r w:rsidRPr="00026B08">
        <w:rPr>
          <w:i/>
          <w:iCs/>
        </w:rPr>
        <w:t xml:space="preserve">Imperial </w:t>
      </w:r>
      <w:proofErr w:type="spellStart"/>
      <w:r w:rsidRPr="00026B08">
        <w:rPr>
          <w:i/>
          <w:iCs/>
        </w:rPr>
        <w:t>ideology</w:t>
      </w:r>
      <w:proofErr w:type="spellEnd"/>
      <w:r w:rsidRPr="00026B08">
        <w:rPr>
          <w:i/>
          <w:iCs/>
        </w:rPr>
        <w:t xml:space="preserve"> </w:t>
      </w:r>
      <w:proofErr w:type="spellStart"/>
      <w:r w:rsidRPr="00026B08">
        <w:rPr>
          <w:i/>
          <w:iCs/>
        </w:rPr>
        <w:t>and</w:t>
      </w:r>
      <w:proofErr w:type="spellEnd"/>
      <w:r w:rsidRPr="00026B08">
        <w:rPr>
          <w:i/>
          <w:iCs/>
        </w:rPr>
        <w:t xml:space="preserve"> provincial </w:t>
      </w:r>
      <w:proofErr w:type="spellStart"/>
      <w:r w:rsidRPr="00026B08">
        <w:rPr>
          <w:i/>
          <w:iCs/>
        </w:rPr>
        <w:t>loyalty</w:t>
      </w:r>
      <w:proofErr w:type="spellEnd"/>
      <w:r w:rsidRPr="00026B08">
        <w:rPr>
          <w:i/>
          <w:iCs/>
        </w:rPr>
        <w:t xml:space="preserve"> in </w:t>
      </w:r>
      <w:proofErr w:type="spellStart"/>
      <w:r w:rsidRPr="00026B08">
        <w:rPr>
          <w:i/>
          <w:iCs/>
        </w:rPr>
        <w:t>the</w:t>
      </w:r>
      <w:proofErr w:type="spellEnd"/>
      <w:r w:rsidRPr="00026B08">
        <w:rPr>
          <w:i/>
          <w:iCs/>
        </w:rPr>
        <w:t xml:space="preserve"> Roman Empire</w:t>
      </w:r>
      <w:r>
        <w:t xml:space="preserve">. Berkeley: </w:t>
      </w:r>
      <w:proofErr w:type="spellStart"/>
      <w:r>
        <w:t>University</w:t>
      </w:r>
      <w:proofErr w:type="spellEnd"/>
      <w:r>
        <w:t xml:space="preserve"> </w:t>
      </w:r>
      <w:proofErr w:type="spellStart"/>
      <w:r>
        <w:t>of</w:t>
      </w:r>
      <w:proofErr w:type="spellEnd"/>
      <w:r>
        <w:t xml:space="preserve"> California Press, 2000.</w:t>
      </w:r>
    </w:p>
    <w:p w14:paraId="391A6A8E" w14:textId="77777777" w:rsidR="00026B08" w:rsidRDefault="00026B08">
      <w:pPr>
        <w:spacing w:line="240" w:lineRule="auto"/>
        <w:ind w:firstLine="0"/>
      </w:pPr>
    </w:p>
    <w:p w14:paraId="5C3EF937" w14:textId="77777777" w:rsidR="00026B08" w:rsidRDefault="00026B08">
      <w:pPr>
        <w:spacing w:line="240" w:lineRule="auto"/>
        <w:ind w:firstLine="0"/>
      </w:pPr>
      <w:r>
        <w:t xml:space="preserve">ANDO, Clifford. </w:t>
      </w:r>
      <w:r w:rsidRPr="00026B08">
        <w:rPr>
          <w:i/>
          <w:iCs/>
        </w:rPr>
        <w:t xml:space="preserve">Imperial </w:t>
      </w:r>
      <w:proofErr w:type="spellStart"/>
      <w:r w:rsidRPr="00026B08">
        <w:rPr>
          <w:i/>
          <w:iCs/>
        </w:rPr>
        <w:t>Rome</w:t>
      </w:r>
      <w:proofErr w:type="spellEnd"/>
      <w:r w:rsidRPr="00026B08">
        <w:rPr>
          <w:i/>
          <w:iCs/>
        </w:rPr>
        <w:t xml:space="preserve"> AD 193 </w:t>
      </w:r>
      <w:proofErr w:type="spellStart"/>
      <w:r w:rsidRPr="00026B08">
        <w:rPr>
          <w:i/>
          <w:iCs/>
        </w:rPr>
        <w:t>to</w:t>
      </w:r>
      <w:proofErr w:type="spellEnd"/>
      <w:r w:rsidRPr="00026B08">
        <w:rPr>
          <w:i/>
          <w:iCs/>
        </w:rPr>
        <w:t xml:space="preserve"> 284</w:t>
      </w:r>
      <w:r>
        <w:t xml:space="preserve">: </w:t>
      </w:r>
      <w:proofErr w:type="spellStart"/>
      <w:r>
        <w:t>the</w:t>
      </w:r>
      <w:proofErr w:type="spellEnd"/>
      <w:r>
        <w:t xml:space="preserve"> </w:t>
      </w:r>
      <w:proofErr w:type="spellStart"/>
      <w:r>
        <w:t>critical</w:t>
      </w:r>
      <w:proofErr w:type="spellEnd"/>
      <w:r>
        <w:t xml:space="preserve"> </w:t>
      </w:r>
      <w:proofErr w:type="spellStart"/>
      <w:r>
        <w:t>century</w:t>
      </w:r>
      <w:proofErr w:type="spellEnd"/>
      <w:r>
        <w:t xml:space="preserve">. Edinburgh: Edinburgh </w:t>
      </w:r>
      <w:proofErr w:type="spellStart"/>
      <w:r>
        <w:t>University</w:t>
      </w:r>
      <w:proofErr w:type="spellEnd"/>
      <w:r>
        <w:t xml:space="preserve"> Press, 2012, </w:t>
      </w:r>
    </w:p>
    <w:p w14:paraId="715D35CE" w14:textId="77777777" w:rsidR="00026B08" w:rsidRDefault="00026B08">
      <w:pPr>
        <w:spacing w:line="240" w:lineRule="auto"/>
        <w:ind w:firstLine="0"/>
      </w:pPr>
    </w:p>
    <w:p w14:paraId="76EB9E80" w14:textId="77777777" w:rsidR="00026B08" w:rsidRDefault="00026B08">
      <w:pPr>
        <w:spacing w:line="240" w:lineRule="auto"/>
        <w:ind w:firstLine="0"/>
      </w:pPr>
      <w:r>
        <w:t>ARETHUSA. [S. l.: s. n.], [s.d.]. Disponível em: www.perseids.org. Acesso em: 29 jul. 2025.</w:t>
      </w:r>
    </w:p>
    <w:p w14:paraId="57C18FE6" w14:textId="77777777" w:rsidR="00026B08" w:rsidRDefault="00026B08">
      <w:pPr>
        <w:spacing w:line="240" w:lineRule="auto"/>
        <w:ind w:firstLine="0"/>
      </w:pPr>
    </w:p>
    <w:p w14:paraId="482C8771" w14:textId="1FE60E5C" w:rsidR="00026B08" w:rsidRDefault="00026B08">
      <w:pPr>
        <w:spacing w:line="240" w:lineRule="auto"/>
        <w:ind w:firstLine="0"/>
      </w:pPr>
      <w:r>
        <w:t xml:space="preserve">BAKOGIANNI, A. O que </w:t>
      </w:r>
      <w:proofErr w:type="spellStart"/>
      <w:r>
        <w:t>ha</w:t>
      </w:r>
      <w:proofErr w:type="spellEnd"/>
      <w:r>
        <w:t xml:space="preserve">́ de </w:t>
      </w:r>
      <w:proofErr w:type="spellStart"/>
      <w:r>
        <w:t>tão</w:t>
      </w:r>
      <w:proofErr w:type="spellEnd"/>
      <w:r>
        <w:t xml:space="preserve"> ‘</w:t>
      </w:r>
      <w:proofErr w:type="spellStart"/>
      <w:r>
        <w:t>clássico</w:t>
      </w:r>
      <w:proofErr w:type="spellEnd"/>
      <w:r>
        <w:t xml:space="preserve">’ na </w:t>
      </w:r>
      <w:proofErr w:type="spellStart"/>
      <w:r>
        <w:t>recepção</w:t>
      </w:r>
      <w:proofErr w:type="spellEnd"/>
      <w:r>
        <w:t xml:space="preserve"> dos </w:t>
      </w:r>
      <w:proofErr w:type="spellStart"/>
      <w:r>
        <w:t>clássicos</w:t>
      </w:r>
      <w:proofErr w:type="spellEnd"/>
      <w:r>
        <w:t xml:space="preserve">? Teorias, metodologias e perspectivas futuras. </w:t>
      </w:r>
      <w:r w:rsidRPr="00026B08">
        <w:rPr>
          <w:i/>
          <w:iCs/>
        </w:rPr>
        <w:t>Codex</w:t>
      </w:r>
      <w:r>
        <w:t>, v. 41, n. 1, p. 114‐131, 2016.</w:t>
      </w:r>
    </w:p>
    <w:p w14:paraId="02DE25D6" w14:textId="77777777" w:rsidR="00026B08" w:rsidRDefault="00026B08">
      <w:pPr>
        <w:spacing w:line="240" w:lineRule="auto"/>
        <w:ind w:firstLine="0"/>
      </w:pPr>
    </w:p>
    <w:p w14:paraId="6F54C61A" w14:textId="77777777" w:rsidR="00026B08" w:rsidRDefault="00026B08">
      <w:pPr>
        <w:spacing w:line="240" w:lineRule="auto"/>
        <w:ind w:firstLine="0"/>
      </w:pPr>
      <w:r>
        <w:t xml:space="preserve">BATSTONE, William W. </w:t>
      </w:r>
      <w:proofErr w:type="spellStart"/>
      <w:r>
        <w:t>Provocation</w:t>
      </w:r>
      <w:proofErr w:type="spellEnd"/>
      <w:r>
        <w:t xml:space="preserve">. The point </w:t>
      </w:r>
      <w:proofErr w:type="spellStart"/>
      <w:r>
        <w:t>of</w:t>
      </w:r>
      <w:proofErr w:type="spellEnd"/>
      <w:r>
        <w:t xml:space="preserve"> </w:t>
      </w:r>
      <w:proofErr w:type="spellStart"/>
      <w:r>
        <w:t>reception</w:t>
      </w:r>
      <w:proofErr w:type="spellEnd"/>
      <w:r>
        <w:t xml:space="preserve"> </w:t>
      </w:r>
      <w:proofErr w:type="spellStart"/>
      <w:r>
        <w:t>theory</w:t>
      </w:r>
      <w:proofErr w:type="spellEnd"/>
      <w:r>
        <w:t xml:space="preserve">. In.: MARTINDALE, Charles; THOMAS, Richard F. </w:t>
      </w:r>
      <w:proofErr w:type="spellStart"/>
      <w:r w:rsidRPr="00026B08">
        <w:rPr>
          <w:i/>
          <w:iCs/>
        </w:rPr>
        <w:t>Classics</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r w:rsidRPr="00026B08">
        <w:rPr>
          <w:i/>
          <w:iCs/>
        </w:rPr>
        <w:t>the</w:t>
      </w:r>
      <w:proofErr w:type="spellEnd"/>
      <w:r w:rsidRPr="00026B08">
        <w:rPr>
          <w:i/>
          <w:iCs/>
        </w:rPr>
        <w:t xml:space="preserve"> Uses </w:t>
      </w:r>
      <w:proofErr w:type="spellStart"/>
      <w:r w:rsidRPr="00026B08">
        <w:rPr>
          <w:i/>
          <w:iCs/>
        </w:rPr>
        <w:t>of</w:t>
      </w:r>
      <w:proofErr w:type="spellEnd"/>
      <w:r w:rsidRPr="00026B08">
        <w:rPr>
          <w:i/>
          <w:iCs/>
        </w:rPr>
        <w:t xml:space="preserve"> </w:t>
      </w:r>
      <w:proofErr w:type="spellStart"/>
      <w:r w:rsidRPr="00026B08">
        <w:rPr>
          <w:i/>
          <w:iCs/>
        </w:rPr>
        <w:t>Reception</w:t>
      </w:r>
      <w:proofErr w:type="spellEnd"/>
      <w:r>
        <w:t xml:space="preserve">. Oxford, UK: Blackwell </w:t>
      </w:r>
      <w:proofErr w:type="spellStart"/>
      <w:r>
        <w:t>publishing</w:t>
      </w:r>
      <w:proofErr w:type="spellEnd"/>
      <w:r>
        <w:t>, 2006, p. 14-20.</w:t>
      </w:r>
    </w:p>
    <w:p w14:paraId="7E161FB6" w14:textId="77777777" w:rsidR="00026B08" w:rsidRDefault="00026B08">
      <w:pPr>
        <w:spacing w:line="240" w:lineRule="auto"/>
        <w:ind w:firstLine="0"/>
      </w:pPr>
    </w:p>
    <w:p w14:paraId="2240BB4C" w14:textId="509A4265" w:rsidR="00026B08" w:rsidRDefault="00026B08">
      <w:pPr>
        <w:spacing w:line="240" w:lineRule="auto"/>
        <w:ind w:firstLine="0"/>
      </w:pPr>
      <w:r>
        <w:t xml:space="preserve">BAUMAN, Christian; BODE, Arvid. </w:t>
      </w:r>
      <w:proofErr w:type="spellStart"/>
      <w:r>
        <w:t>Knowledge</w:t>
      </w:r>
      <w:proofErr w:type="spellEnd"/>
      <w:r>
        <w:t xml:space="preserve"> as a Service: A New </w:t>
      </w:r>
      <w:proofErr w:type="spellStart"/>
      <w:r>
        <w:t>Paradigm</w:t>
      </w:r>
      <w:proofErr w:type="spellEnd"/>
      <w:r>
        <w:t xml:space="preserve"> for Digital </w:t>
      </w:r>
      <w:proofErr w:type="spellStart"/>
      <w:r>
        <w:t>Humanities</w:t>
      </w:r>
      <w:proofErr w:type="spellEnd"/>
      <w:r>
        <w:t xml:space="preserve">. </w:t>
      </w:r>
      <w:r w:rsidRPr="00071953">
        <w:rPr>
          <w:i/>
          <w:iCs/>
        </w:rPr>
        <w:t>In:</w:t>
      </w:r>
      <w:r>
        <w:t xml:space="preserve"> </w:t>
      </w:r>
      <w:r w:rsidRPr="00026B08">
        <w:rPr>
          <w:i/>
          <w:iCs/>
        </w:rPr>
        <w:t xml:space="preserve">Digital </w:t>
      </w:r>
      <w:proofErr w:type="spellStart"/>
      <w:r w:rsidRPr="00026B08">
        <w:rPr>
          <w:i/>
          <w:iCs/>
        </w:rPr>
        <w:t>Humanities</w:t>
      </w:r>
      <w:proofErr w:type="spellEnd"/>
      <w:r w:rsidRPr="00026B08">
        <w:rPr>
          <w:i/>
          <w:iCs/>
        </w:rPr>
        <w:t xml:space="preserve"> 2014</w:t>
      </w:r>
      <w:r>
        <w:t xml:space="preserve">: </w:t>
      </w:r>
      <w:proofErr w:type="spellStart"/>
      <w:r>
        <w:t>Conference</w:t>
      </w:r>
      <w:proofErr w:type="spellEnd"/>
      <w:r>
        <w:t xml:space="preserve"> Abstracts. Lausanne, </w:t>
      </w:r>
      <w:proofErr w:type="spellStart"/>
      <w:r>
        <w:t>Switzerland</w:t>
      </w:r>
      <w:proofErr w:type="spellEnd"/>
      <w:r>
        <w:t>, 2014. p. 87-88.</w:t>
      </w:r>
    </w:p>
    <w:p w14:paraId="04A59B6E" w14:textId="77777777" w:rsidR="00026B08" w:rsidRDefault="00026B08">
      <w:pPr>
        <w:spacing w:line="240" w:lineRule="auto"/>
        <w:ind w:firstLine="0"/>
      </w:pPr>
    </w:p>
    <w:p w14:paraId="285E2329" w14:textId="77777777" w:rsidR="00026B08" w:rsidRDefault="00026B08">
      <w:pPr>
        <w:spacing w:line="240" w:lineRule="auto"/>
        <w:ind w:firstLine="0"/>
      </w:pPr>
      <w:r>
        <w:t xml:space="preserve">BEARD, Mary. </w:t>
      </w:r>
      <w:r w:rsidRPr="00071953">
        <w:rPr>
          <w:i/>
          <w:iCs/>
        </w:rPr>
        <w:t>Mulheres e Poder</w:t>
      </w:r>
      <w:r>
        <w:t>: um manifesto. São Paulo: Planeta do Brasil, 2018.</w:t>
      </w:r>
    </w:p>
    <w:p w14:paraId="55C03C09" w14:textId="77777777" w:rsidR="00026B08" w:rsidRDefault="00026B08">
      <w:pPr>
        <w:spacing w:line="240" w:lineRule="auto"/>
        <w:ind w:firstLine="0"/>
      </w:pPr>
    </w:p>
    <w:p w14:paraId="3E77997C" w14:textId="60486E66" w:rsidR="00026B08" w:rsidRDefault="00026B08">
      <w:pPr>
        <w:spacing w:line="240" w:lineRule="auto"/>
        <w:ind w:firstLine="0"/>
      </w:pPr>
      <w:r>
        <w:t xml:space="preserve">BELCHIOR, Ygor </w:t>
      </w:r>
      <w:proofErr w:type="spellStart"/>
      <w:r>
        <w:t>Klain</w:t>
      </w:r>
      <w:proofErr w:type="spellEnd"/>
      <w:r>
        <w:t xml:space="preserve">. Por uma história antiga que promova dignidade humana: um ensaio/provocação. </w:t>
      </w:r>
      <w:proofErr w:type="spellStart"/>
      <w:r w:rsidRPr="00071953">
        <w:rPr>
          <w:i/>
          <w:iCs/>
        </w:rPr>
        <w:t>Brathair</w:t>
      </w:r>
      <w:proofErr w:type="spellEnd"/>
      <w:r>
        <w:t>, v. 21, n. 1, 2021, p. 92-106.</w:t>
      </w:r>
    </w:p>
    <w:p w14:paraId="2C18EFB8" w14:textId="77777777" w:rsidR="00026B08" w:rsidRDefault="00026B08">
      <w:pPr>
        <w:spacing w:line="240" w:lineRule="auto"/>
        <w:ind w:firstLine="0"/>
      </w:pPr>
    </w:p>
    <w:p w14:paraId="209018B5" w14:textId="07F70F77" w:rsidR="00026B08" w:rsidRDefault="00026B08">
      <w:pPr>
        <w:spacing w:line="240" w:lineRule="auto"/>
        <w:ind w:firstLine="0"/>
      </w:pPr>
      <w:r>
        <w:t xml:space="preserve">BERNAL, Martin. </w:t>
      </w:r>
      <w:r w:rsidRPr="00071953">
        <w:rPr>
          <w:i/>
          <w:iCs/>
        </w:rPr>
        <w:t>Black Athena</w:t>
      </w:r>
      <w:r>
        <w:t xml:space="preserve">. The </w:t>
      </w:r>
      <w:proofErr w:type="spellStart"/>
      <w:r>
        <w:t>afroasiatic</w:t>
      </w:r>
      <w:proofErr w:type="spellEnd"/>
      <w:r>
        <w:t xml:space="preserve"> roots </w:t>
      </w:r>
      <w:proofErr w:type="spellStart"/>
      <w:r>
        <w:t>of</w:t>
      </w:r>
      <w:proofErr w:type="spellEnd"/>
      <w:r>
        <w:t xml:space="preserve"> </w:t>
      </w:r>
      <w:proofErr w:type="spellStart"/>
      <w:r>
        <w:t>Classical</w:t>
      </w:r>
      <w:proofErr w:type="spellEnd"/>
      <w:r>
        <w:t xml:space="preserve"> </w:t>
      </w:r>
      <w:proofErr w:type="spellStart"/>
      <w:r>
        <w:t>Civilization</w:t>
      </w:r>
      <w:proofErr w:type="spellEnd"/>
      <w:r>
        <w:t xml:space="preserve">. Rutgers: New </w:t>
      </w:r>
      <w:proofErr w:type="spellStart"/>
      <w:r>
        <w:t>Brusnwick</w:t>
      </w:r>
      <w:proofErr w:type="spellEnd"/>
      <w:r>
        <w:t>, 1987.</w:t>
      </w:r>
    </w:p>
    <w:p w14:paraId="07CC8F0E" w14:textId="77777777" w:rsidR="00026B08" w:rsidRDefault="00026B08">
      <w:pPr>
        <w:spacing w:line="240" w:lineRule="auto"/>
        <w:ind w:firstLine="0"/>
      </w:pPr>
    </w:p>
    <w:p w14:paraId="53108BD4" w14:textId="0679C022" w:rsidR="00026B08" w:rsidRDefault="00026B08">
      <w:pPr>
        <w:spacing w:line="240" w:lineRule="auto"/>
        <w:ind w:firstLine="0"/>
      </w:pPr>
      <w:r>
        <w:t xml:space="preserve">BODARD, Gabriel; MAHDAY, Hamid (Org.). </w:t>
      </w:r>
      <w:r w:rsidRPr="00071953">
        <w:rPr>
          <w:i/>
          <w:iCs/>
        </w:rPr>
        <w:t xml:space="preserve">Digital </w:t>
      </w:r>
      <w:proofErr w:type="spellStart"/>
      <w:r w:rsidRPr="00071953">
        <w:rPr>
          <w:i/>
          <w:iCs/>
        </w:rPr>
        <w:t>Research</w:t>
      </w:r>
      <w:proofErr w:type="spellEnd"/>
      <w:r w:rsidRPr="00071953">
        <w:rPr>
          <w:i/>
          <w:iCs/>
        </w:rPr>
        <w:t xml:space="preserve"> in </w:t>
      </w:r>
      <w:proofErr w:type="spellStart"/>
      <w:r w:rsidRPr="00071953">
        <w:rPr>
          <w:i/>
          <w:iCs/>
        </w:rPr>
        <w:t>the</w:t>
      </w:r>
      <w:proofErr w:type="spellEnd"/>
      <w:r w:rsidRPr="00071953">
        <w:rPr>
          <w:i/>
          <w:iCs/>
        </w:rPr>
        <w:t xml:space="preserve"> </w:t>
      </w:r>
      <w:proofErr w:type="spellStart"/>
      <w:r w:rsidRPr="00071953">
        <w:rPr>
          <w:i/>
          <w:iCs/>
        </w:rPr>
        <w:t>Study</w:t>
      </w:r>
      <w:proofErr w:type="spellEnd"/>
      <w:r w:rsidRPr="00071953">
        <w:rPr>
          <w:i/>
          <w:iCs/>
        </w:rPr>
        <w:t xml:space="preserve"> </w:t>
      </w:r>
      <w:proofErr w:type="spellStart"/>
      <w:r w:rsidRPr="00071953">
        <w:rPr>
          <w:i/>
          <w:iCs/>
        </w:rPr>
        <w:t>of</w:t>
      </w:r>
      <w:proofErr w:type="spellEnd"/>
      <w:r w:rsidRPr="00071953">
        <w:rPr>
          <w:i/>
          <w:iCs/>
        </w:rPr>
        <w:t xml:space="preserve"> </w:t>
      </w:r>
      <w:proofErr w:type="spellStart"/>
      <w:r w:rsidRPr="00071953">
        <w:rPr>
          <w:i/>
          <w:iCs/>
        </w:rPr>
        <w:t>Classical</w:t>
      </w:r>
      <w:proofErr w:type="spellEnd"/>
      <w:r w:rsidRPr="00071953">
        <w:rPr>
          <w:i/>
          <w:iCs/>
        </w:rPr>
        <w:t xml:space="preserve"> </w:t>
      </w:r>
      <w:proofErr w:type="spellStart"/>
      <w:r w:rsidRPr="00071953">
        <w:rPr>
          <w:i/>
          <w:iCs/>
        </w:rPr>
        <w:t>Antiquity</w:t>
      </w:r>
      <w:proofErr w:type="spellEnd"/>
      <w:r>
        <w:t xml:space="preserve">. London: </w:t>
      </w:r>
      <w:proofErr w:type="spellStart"/>
      <w:r>
        <w:t>Routledge</w:t>
      </w:r>
      <w:proofErr w:type="spellEnd"/>
      <w:r>
        <w:t>, 2010.</w:t>
      </w:r>
    </w:p>
    <w:p w14:paraId="75A9A39F" w14:textId="77777777" w:rsidR="00026B08" w:rsidRDefault="00026B08">
      <w:pPr>
        <w:spacing w:line="240" w:lineRule="auto"/>
        <w:ind w:firstLine="0"/>
      </w:pPr>
    </w:p>
    <w:p w14:paraId="3CD12712" w14:textId="019F71D9" w:rsidR="00026B08" w:rsidRDefault="00026B08">
      <w:pPr>
        <w:spacing w:line="240" w:lineRule="auto"/>
        <w:ind w:firstLine="0"/>
      </w:pPr>
      <w:r>
        <w:t>BONDIOLI, N</w:t>
      </w:r>
      <w:r w:rsidR="00071953">
        <w:t>elson</w:t>
      </w:r>
      <w:r>
        <w:t>; TEXEIRA-BASTOS, M</w:t>
      </w:r>
      <w:r w:rsidR="00071953">
        <w:t>arcio</w:t>
      </w:r>
      <w:r>
        <w:t>; CARNEIRO, L</w:t>
      </w:r>
      <w:r w:rsidR="00071953">
        <w:t>uciano</w:t>
      </w:r>
      <w:r>
        <w:t xml:space="preserve"> C. </w:t>
      </w:r>
      <w:proofErr w:type="spellStart"/>
      <w:r>
        <w:t>History</w:t>
      </w:r>
      <w:proofErr w:type="spellEnd"/>
      <w:r>
        <w:t xml:space="preserve">, design </w:t>
      </w:r>
      <w:proofErr w:type="spellStart"/>
      <w:r>
        <w:t>and</w:t>
      </w:r>
      <w:proofErr w:type="spellEnd"/>
      <w:r>
        <w:t xml:space="preserve"> </w:t>
      </w:r>
      <w:proofErr w:type="spellStart"/>
      <w:r>
        <w:t>archaeology</w:t>
      </w:r>
      <w:proofErr w:type="spellEnd"/>
      <w:r>
        <w:t xml:space="preserve">: The </w:t>
      </w:r>
      <w:proofErr w:type="spellStart"/>
      <w:r>
        <w:t>reception</w:t>
      </w:r>
      <w:proofErr w:type="spellEnd"/>
      <w:r>
        <w:t xml:space="preserve"> </w:t>
      </w:r>
      <w:proofErr w:type="spellStart"/>
      <w:r>
        <w:t>of</w:t>
      </w:r>
      <w:proofErr w:type="spellEnd"/>
      <w:r>
        <w:t xml:space="preserve"> Julius Caesar </w:t>
      </w:r>
      <w:proofErr w:type="spellStart"/>
      <w:r>
        <w:t>and</w:t>
      </w:r>
      <w:proofErr w:type="spellEnd"/>
      <w:r>
        <w:t xml:space="preserve"> </w:t>
      </w:r>
      <w:proofErr w:type="spellStart"/>
      <w:r>
        <w:t>the</w:t>
      </w:r>
      <w:proofErr w:type="spellEnd"/>
      <w:r>
        <w:t xml:space="preserve"> </w:t>
      </w:r>
      <w:proofErr w:type="spellStart"/>
      <w:r>
        <w:t>representation</w:t>
      </w:r>
      <w:proofErr w:type="spellEnd"/>
      <w:r>
        <w:t xml:space="preserve"> </w:t>
      </w:r>
      <w:proofErr w:type="spellStart"/>
      <w:r>
        <w:t>of</w:t>
      </w:r>
      <w:proofErr w:type="spellEnd"/>
      <w:r>
        <w:t xml:space="preserve"> </w:t>
      </w:r>
      <w:proofErr w:type="spellStart"/>
      <w:r>
        <w:t>gender</w:t>
      </w:r>
      <w:proofErr w:type="spellEnd"/>
      <w:r>
        <w:t xml:space="preserve"> </w:t>
      </w:r>
      <w:proofErr w:type="spellStart"/>
      <w:r>
        <w:t>and</w:t>
      </w:r>
      <w:proofErr w:type="spellEnd"/>
      <w:r>
        <w:t xml:space="preserve"> </w:t>
      </w:r>
      <w:proofErr w:type="spellStart"/>
      <w:r>
        <w:t>agency</w:t>
      </w:r>
      <w:proofErr w:type="spellEnd"/>
      <w:r>
        <w:t xml:space="preserve"> in </w:t>
      </w:r>
      <w:proofErr w:type="spellStart"/>
      <w:r>
        <w:t>Assassin's</w:t>
      </w:r>
      <w:proofErr w:type="spellEnd"/>
      <w:r>
        <w:t xml:space="preserve"> </w:t>
      </w:r>
      <w:proofErr w:type="spellStart"/>
      <w:r>
        <w:t>Creed</w:t>
      </w:r>
      <w:proofErr w:type="spellEnd"/>
      <w:r>
        <w:t xml:space="preserve"> </w:t>
      </w:r>
      <w:proofErr w:type="spellStart"/>
      <w:r>
        <w:t>Origins</w:t>
      </w:r>
      <w:proofErr w:type="spellEnd"/>
      <w:r>
        <w:t xml:space="preserve">. </w:t>
      </w:r>
      <w:proofErr w:type="spellStart"/>
      <w:r w:rsidRPr="00071953">
        <w:rPr>
          <w:i/>
          <w:iCs/>
        </w:rPr>
        <w:t>Skriflig</w:t>
      </w:r>
      <w:proofErr w:type="spellEnd"/>
      <w:r>
        <w:t xml:space="preserve"> (Online), Pretória, v. 53, n. 2, p. 1-12, 2019.</w:t>
      </w:r>
    </w:p>
    <w:p w14:paraId="504FA07B" w14:textId="77777777" w:rsidR="00026B08" w:rsidRDefault="00026B08">
      <w:pPr>
        <w:spacing w:line="240" w:lineRule="auto"/>
        <w:ind w:firstLine="0"/>
      </w:pPr>
    </w:p>
    <w:p w14:paraId="3ED4BC53" w14:textId="53B1351E" w:rsidR="00026B08" w:rsidRDefault="00026B08">
      <w:pPr>
        <w:spacing w:line="240" w:lineRule="auto"/>
        <w:ind w:firstLine="0"/>
      </w:pPr>
      <w:r>
        <w:t xml:space="preserve">BOTTÉRO, Jean. </w:t>
      </w:r>
      <w:r w:rsidRPr="00071953">
        <w:rPr>
          <w:i/>
          <w:iCs/>
        </w:rPr>
        <w:t xml:space="preserve">La </w:t>
      </w:r>
      <w:proofErr w:type="spellStart"/>
      <w:r w:rsidRPr="00071953">
        <w:rPr>
          <w:i/>
          <w:iCs/>
        </w:rPr>
        <w:t>religión</w:t>
      </w:r>
      <w:proofErr w:type="spellEnd"/>
      <w:r w:rsidRPr="00071953">
        <w:rPr>
          <w:i/>
          <w:iCs/>
        </w:rPr>
        <w:t xml:space="preserve"> más </w:t>
      </w:r>
      <w:proofErr w:type="spellStart"/>
      <w:r w:rsidRPr="00071953">
        <w:rPr>
          <w:i/>
          <w:iCs/>
        </w:rPr>
        <w:t>antigua</w:t>
      </w:r>
      <w:proofErr w:type="spellEnd"/>
      <w:r w:rsidRPr="00071953">
        <w:rPr>
          <w:i/>
          <w:iCs/>
        </w:rPr>
        <w:t xml:space="preserve">: </w:t>
      </w:r>
      <w:proofErr w:type="spellStart"/>
      <w:r w:rsidRPr="00071953">
        <w:rPr>
          <w:i/>
          <w:iCs/>
        </w:rPr>
        <w:t>Mesopotamia</w:t>
      </w:r>
      <w:proofErr w:type="spellEnd"/>
      <w:r>
        <w:t>. Madrid: Trotta, 2001a.</w:t>
      </w:r>
    </w:p>
    <w:p w14:paraId="5299056D" w14:textId="77777777" w:rsidR="00026B08" w:rsidRDefault="00026B08">
      <w:pPr>
        <w:spacing w:line="240" w:lineRule="auto"/>
        <w:ind w:firstLine="0"/>
      </w:pPr>
    </w:p>
    <w:p w14:paraId="02498D61" w14:textId="19CC6DB2" w:rsidR="00026B08" w:rsidRDefault="00026B08">
      <w:pPr>
        <w:spacing w:line="240" w:lineRule="auto"/>
        <w:ind w:firstLine="0"/>
      </w:pPr>
      <w:r>
        <w:t xml:space="preserve">BOTTÉRO, Jean. </w:t>
      </w:r>
      <w:r w:rsidRPr="00071953">
        <w:rPr>
          <w:i/>
          <w:iCs/>
        </w:rPr>
        <w:t>No começo eram os deuses</w:t>
      </w:r>
      <w:r>
        <w:t>. Civilização Brasileira, 2001b.</w:t>
      </w:r>
    </w:p>
    <w:p w14:paraId="5AD79435" w14:textId="77777777" w:rsidR="00026B08" w:rsidRDefault="00026B08">
      <w:pPr>
        <w:spacing w:line="240" w:lineRule="auto"/>
        <w:ind w:firstLine="0"/>
      </w:pPr>
    </w:p>
    <w:p w14:paraId="5AC171D1" w14:textId="5372168A" w:rsidR="00026B08" w:rsidRDefault="00026B08">
      <w:pPr>
        <w:spacing w:line="240" w:lineRule="auto"/>
        <w:ind w:firstLine="0"/>
      </w:pPr>
      <w:r>
        <w:t xml:space="preserve">BROWN, Peter. </w:t>
      </w:r>
      <w:r w:rsidRPr="00071953">
        <w:rPr>
          <w:i/>
          <w:iCs/>
        </w:rPr>
        <w:t>O Fim do Mundo Clássico</w:t>
      </w:r>
      <w:r>
        <w:t xml:space="preserve">. De Marco Aurélio à Maomé. </w:t>
      </w:r>
      <w:proofErr w:type="spellStart"/>
      <w:r>
        <w:t>Lisboa:</w:t>
      </w:r>
      <w:proofErr w:type="gramStart"/>
      <w:r>
        <w:t>Verbo</w:t>
      </w:r>
      <w:proofErr w:type="spellEnd"/>
      <w:r>
        <w:t>,  1972</w:t>
      </w:r>
      <w:proofErr w:type="gramEnd"/>
      <w:r>
        <w:t>.</w:t>
      </w:r>
    </w:p>
    <w:p w14:paraId="70FF299A" w14:textId="77777777" w:rsidR="00026B08" w:rsidRDefault="00026B08">
      <w:pPr>
        <w:spacing w:line="240" w:lineRule="auto"/>
        <w:ind w:firstLine="0"/>
      </w:pPr>
    </w:p>
    <w:p w14:paraId="4A3845E1" w14:textId="1B5D9A8F" w:rsidR="00026B08" w:rsidRDefault="00026B08">
      <w:pPr>
        <w:spacing w:line="240" w:lineRule="auto"/>
        <w:ind w:firstLine="0"/>
      </w:pPr>
      <w:r>
        <w:t xml:space="preserve">CAMERON, </w:t>
      </w:r>
      <w:proofErr w:type="spellStart"/>
      <w:r>
        <w:t>Averil</w:t>
      </w:r>
      <w:proofErr w:type="spellEnd"/>
      <w:r>
        <w:t xml:space="preserve">. </w:t>
      </w:r>
      <w:r w:rsidRPr="00071953">
        <w:rPr>
          <w:i/>
          <w:iCs/>
        </w:rPr>
        <w:t>The later Roman Empire, AD 284–430</w:t>
      </w:r>
      <w:r>
        <w:t xml:space="preserve">. Cambridge: Harvard </w:t>
      </w:r>
      <w:proofErr w:type="spellStart"/>
      <w:r>
        <w:t>University</w:t>
      </w:r>
      <w:proofErr w:type="spellEnd"/>
      <w:r>
        <w:t xml:space="preserve"> Press, 1993.</w:t>
      </w:r>
    </w:p>
    <w:p w14:paraId="6BDDA93E" w14:textId="051F89E1" w:rsidR="00026B08" w:rsidRDefault="00026B08">
      <w:pPr>
        <w:spacing w:line="240" w:lineRule="auto"/>
        <w:ind w:firstLine="0"/>
      </w:pPr>
      <w:r>
        <w:lastRenderedPageBreak/>
        <w:t xml:space="preserve">CANDIDO, Maria Regina. A pesquisa de Antiguidade Clássica no Brasil. </w:t>
      </w:r>
      <w:r w:rsidRPr="00071953">
        <w:rPr>
          <w:i/>
          <w:iCs/>
        </w:rPr>
        <w:t>In:</w:t>
      </w:r>
      <w:r>
        <w:t xml:space="preserve"> </w:t>
      </w:r>
      <w:r w:rsidR="00071953">
        <w:t>ZIERER</w:t>
      </w:r>
      <w:r>
        <w:t xml:space="preserve">, Adriana; </w:t>
      </w:r>
      <w:r w:rsidR="00071953">
        <w:t>XIMENDES</w:t>
      </w:r>
      <w:r>
        <w:t xml:space="preserve">, Carlos Alberto. </w:t>
      </w:r>
      <w:r w:rsidRPr="00071953">
        <w:rPr>
          <w:i/>
          <w:iCs/>
        </w:rPr>
        <w:t>História antiga e medieval</w:t>
      </w:r>
      <w:r>
        <w:t>: cultura e ensino. São Luís: Editora UEMA, 2009</w:t>
      </w:r>
    </w:p>
    <w:p w14:paraId="002FB63F" w14:textId="77777777" w:rsidR="00026B08" w:rsidRDefault="00026B08">
      <w:pPr>
        <w:spacing w:line="240" w:lineRule="auto"/>
        <w:ind w:firstLine="0"/>
      </w:pPr>
    </w:p>
    <w:p w14:paraId="31B2ADEE" w14:textId="07EBE7FE" w:rsidR="00026B08" w:rsidRDefault="00026B08">
      <w:pPr>
        <w:spacing w:line="240" w:lineRule="auto"/>
        <w:ind w:firstLine="0"/>
      </w:pPr>
      <w:r>
        <w:t xml:space="preserve">CANFORA, Luciano. </w:t>
      </w:r>
      <w:r w:rsidRPr="00071953">
        <w:rPr>
          <w:i/>
          <w:iCs/>
        </w:rPr>
        <w:t>A democracia: uma história de uma ideologia</w:t>
      </w:r>
      <w:r>
        <w:t>. Edições 70, Lisboa, 2017.</w:t>
      </w:r>
    </w:p>
    <w:p w14:paraId="6409DEB1" w14:textId="77777777" w:rsidR="00026B08" w:rsidRDefault="00026B08">
      <w:pPr>
        <w:spacing w:line="240" w:lineRule="auto"/>
        <w:ind w:firstLine="0"/>
      </w:pPr>
    </w:p>
    <w:p w14:paraId="2EC7476C" w14:textId="6451F397" w:rsidR="00026B08" w:rsidRDefault="00026B08">
      <w:pPr>
        <w:spacing w:line="240" w:lineRule="auto"/>
        <w:ind w:firstLine="0"/>
      </w:pPr>
      <w:r>
        <w:t>CAPELATO, M</w:t>
      </w:r>
      <w:r w:rsidR="00071953">
        <w:t>aria</w:t>
      </w:r>
      <w:r>
        <w:t xml:space="preserve"> H</w:t>
      </w:r>
      <w:r w:rsidR="00071953">
        <w:t>elena Rolim;</w:t>
      </w:r>
      <w:r>
        <w:t xml:space="preserve"> GLEZER, R</w:t>
      </w:r>
      <w:r w:rsidR="00071953">
        <w:t>aquel;</w:t>
      </w:r>
      <w:r>
        <w:t xml:space="preserve"> FERLINI, V</w:t>
      </w:r>
      <w:r w:rsidR="00071953">
        <w:t>era</w:t>
      </w:r>
      <w:r>
        <w:t xml:space="preserve"> L</w:t>
      </w:r>
      <w:r w:rsidR="00071953">
        <w:t xml:space="preserve">úcia </w:t>
      </w:r>
      <w:r>
        <w:t>A</w:t>
      </w:r>
      <w:r w:rsidR="00071953">
        <w:t>maral.</w:t>
      </w:r>
      <w:r>
        <w:t xml:space="preserve"> Origens e atuais linhas de pesquisa em humanidades</w:t>
      </w:r>
      <w:r w:rsidR="00071953">
        <w:t>: Escola Uspiana de História.</w:t>
      </w:r>
      <w:r>
        <w:t xml:space="preserve"> </w:t>
      </w:r>
      <w:r w:rsidRPr="00071953">
        <w:rPr>
          <w:i/>
          <w:iCs/>
        </w:rPr>
        <w:t>Estudos Avançados</w:t>
      </w:r>
      <w:r>
        <w:t>, São Paulo, vol. 8, n. 22, p. 01-10, 1994.</w:t>
      </w:r>
    </w:p>
    <w:p w14:paraId="478D4184" w14:textId="77777777" w:rsidR="00026B08" w:rsidRDefault="00026B08">
      <w:pPr>
        <w:spacing w:line="240" w:lineRule="auto"/>
        <w:ind w:firstLine="0"/>
      </w:pPr>
    </w:p>
    <w:p w14:paraId="2E0BCA69" w14:textId="69B10803" w:rsidR="00026B08" w:rsidRDefault="00026B08">
      <w:pPr>
        <w:spacing w:line="240" w:lineRule="auto"/>
        <w:ind w:firstLine="0"/>
      </w:pPr>
      <w:r>
        <w:t xml:space="preserve">CARDOSO, Ciro Flamarion. </w:t>
      </w:r>
      <w:r w:rsidRPr="00071953">
        <w:rPr>
          <w:i/>
          <w:iCs/>
        </w:rPr>
        <w:t>Sete olhares sobre a Antiguidade</w:t>
      </w:r>
      <w:r>
        <w:t>. 2 ed. Brasília: Editora UNB, 1998.</w:t>
      </w:r>
    </w:p>
    <w:p w14:paraId="458E4F5F" w14:textId="77777777" w:rsidR="00026B08" w:rsidRDefault="00026B08">
      <w:pPr>
        <w:spacing w:line="240" w:lineRule="auto"/>
        <w:ind w:firstLine="0"/>
      </w:pPr>
    </w:p>
    <w:p w14:paraId="1560DF43" w14:textId="50048C91" w:rsidR="00026B08" w:rsidRDefault="00026B08">
      <w:pPr>
        <w:spacing w:line="240" w:lineRule="auto"/>
        <w:ind w:firstLine="0"/>
      </w:pPr>
      <w:r>
        <w:t>CARRIÉ, Jean</w:t>
      </w:r>
      <w:r w:rsidR="00071953">
        <w:t>-</w:t>
      </w:r>
      <w:r>
        <w:t xml:space="preserve">Michel; ROUSSELLE, Aline. </w:t>
      </w:r>
      <w:proofErr w:type="spellStart"/>
      <w:r w:rsidRPr="00071953">
        <w:rPr>
          <w:i/>
          <w:iCs/>
        </w:rPr>
        <w:t>L’Empire</w:t>
      </w:r>
      <w:proofErr w:type="spellEnd"/>
      <w:r w:rsidRPr="00071953">
        <w:rPr>
          <w:i/>
          <w:iCs/>
        </w:rPr>
        <w:t xml:space="preserve"> </w:t>
      </w:r>
      <w:proofErr w:type="spellStart"/>
      <w:r w:rsidRPr="00071953">
        <w:rPr>
          <w:i/>
          <w:iCs/>
        </w:rPr>
        <w:t>romain</w:t>
      </w:r>
      <w:proofErr w:type="spellEnd"/>
      <w:r w:rsidRPr="00071953">
        <w:rPr>
          <w:i/>
          <w:iCs/>
        </w:rPr>
        <w:t xml:space="preserve"> </w:t>
      </w:r>
      <w:proofErr w:type="spellStart"/>
      <w:r w:rsidRPr="00071953">
        <w:rPr>
          <w:i/>
          <w:iCs/>
        </w:rPr>
        <w:t>en</w:t>
      </w:r>
      <w:proofErr w:type="spellEnd"/>
      <w:r w:rsidRPr="00071953">
        <w:rPr>
          <w:i/>
          <w:iCs/>
        </w:rPr>
        <w:t xml:space="preserve"> </w:t>
      </w:r>
      <w:proofErr w:type="spellStart"/>
      <w:r w:rsidRPr="00071953">
        <w:rPr>
          <w:i/>
          <w:iCs/>
        </w:rPr>
        <w:t>mutation</w:t>
      </w:r>
      <w:proofErr w:type="spellEnd"/>
      <w:r w:rsidRPr="00071953">
        <w:rPr>
          <w:i/>
          <w:iCs/>
        </w:rPr>
        <w:t xml:space="preserve">, </w:t>
      </w:r>
      <w:proofErr w:type="spellStart"/>
      <w:r w:rsidRPr="00071953">
        <w:rPr>
          <w:i/>
          <w:iCs/>
        </w:rPr>
        <w:t>des</w:t>
      </w:r>
      <w:proofErr w:type="spellEnd"/>
      <w:r w:rsidRPr="00071953">
        <w:rPr>
          <w:i/>
          <w:iCs/>
        </w:rPr>
        <w:t xml:space="preserve"> </w:t>
      </w:r>
      <w:proofErr w:type="spellStart"/>
      <w:r w:rsidRPr="00071953">
        <w:rPr>
          <w:i/>
          <w:iCs/>
        </w:rPr>
        <w:t>Sévères</w:t>
      </w:r>
      <w:proofErr w:type="spellEnd"/>
      <w:r w:rsidRPr="00071953">
        <w:rPr>
          <w:i/>
          <w:iCs/>
        </w:rPr>
        <w:t xml:space="preserve"> à Constantin (192‐337)</w:t>
      </w:r>
      <w:r>
        <w:t xml:space="preserve">. Paris: </w:t>
      </w:r>
      <w:proofErr w:type="spellStart"/>
      <w:r>
        <w:t>Éditions</w:t>
      </w:r>
      <w:proofErr w:type="spellEnd"/>
      <w:r>
        <w:t xml:space="preserve"> </w:t>
      </w:r>
      <w:proofErr w:type="spellStart"/>
      <w:r>
        <w:t>du</w:t>
      </w:r>
      <w:proofErr w:type="spellEnd"/>
      <w:r>
        <w:t xml:space="preserve"> Seuil, 1999.</w:t>
      </w:r>
    </w:p>
    <w:p w14:paraId="19359CFF" w14:textId="77777777" w:rsidR="00026B08" w:rsidRDefault="00026B08">
      <w:pPr>
        <w:spacing w:line="240" w:lineRule="auto"/>
        <w:ind w:firstLine="0"/>
      </w:pPr>
    </w:p>
    <w:p w14:paraId="4061BAE6" w14:textId="7F87D64F" w:rsidR="00026B08" w:rsidRDefault="00026B08">
      <w:pPr>
        <w:spacing w:line="240" w:lineRule="auto"/>
        <w:ind w:firstLine="0"/>
      </w:pPr>
      <w:r>
        <w:t xml:space="preserve">CARVALHO, Margarida Maria de; FUNARI, Pedro Paulo A. Os avanços da História Antiga no Brasil: algumas ponderações. </w:t>
      </w:r>
      <w:r w:rsidRPr="00071953">
        <w:rPr>
          <w:i/>
          <w:iCs/>
        </w:rPr>
        <w:t>História</w:t>
      </w:r>
      <w:r>
        <w:t>, São Paulo, v. 26, n.1, p. 14-19, 2007.</w:t>
      </w:r>
    </w:p>
    <w:p w14:paraId="50E58D4E" w14:textId="77777777" w:rsidR="00026B08" w:rsidRDefault="00026B08">
      <w:pPr>
        <w:spacing w:line="240" w:lineRule="auto"/>
        <w:ind w:firstLine="0"/>
      </w:pPr>
    </w:p>
    <w:p w14:paraId="004BCDD2" w14:textId="38D4A5B3" w:rsidR="00026B08" w:rsidRDefault="00026B08">
      <w:pPr>
        <w:spacing w:line="240" w:lineRule="auto"/>
        <w:ind w:firstLine="0"/>
      </w:pPr>
      <w:r>
        <w:t xml:space="preserve">CENTRO DE PESQUISA E ESTUDOS PLINIANOS (CPEP). [S. l.: s. n.], [s.d.]. Disponível em: </w:t>
      </w:r>
      <w:proofErr w:type="gramStart"/>
      <w:r>
        <w:t>https://cpep.fema.edu.br .</w:t>
      </w:r>
      <w:proofErr w:type="gramEnd"/>
      <w:r>
        <w:t xml:space="preserve"> Acesso em: 29 jul. 2025.</w:t>
      </w:r>
    </w:p>
    <w:p w14:paraId="4B82FC57" w14:textId="77777777" w:rsidR="00026B08" w:rsidRDefault="00026B08">
      <w:pPr>
        <w:spacing w:line="240" w:lineRule="auto"/>
        <w:ind w:firstLine="0"/>
      </w:pPr>
    </w:p>
    <w:p w14:paraId="7723909B" w14:textId="116ADBE8" w:rsidR="00026B08" w:rsidRDefault="00026B08">
      <w:pPr>
        <w:spacing w:line="240" w:lineRule="auto"/>
        <w:ind w:firstLine="0"/>
      </w:pPr>
      <w:r>
        <w:t xml:space="preserve">CHARPIN, Dominique. </w:t>
      </w:r>
      <w:r w:rsidRPr="00071953">
        <w:rPr>
          <w:i/>
          <w:iCs/>
        </w:rPr>
        <w:t xml:space="preserve">Reading </w:t>
      </w:r>
      <w:proofErr w:type="spellStart"/>
      <w:r w:rsidRPr="00071953">
        <w:rPr>
          <w:i/>
          <w:iCs/>
        </w:rPr>
        <w:t>and</w:t>
      </w:r>
      <w:proofErr w:type="spellEnd"/>
      <w:r w:rsidRPr="00071953">
        <w:rPr>
          <w:i/>
          <w:iCs/>
        </w:rPr>
        <w:t xml:space="preserve"> </w:t>
      </w:r>
      <w:proofErr w:type="spellStart"/>
      <w:r w:rsidRPr="00071953">
        <w:rPr>
          <w:i/>
          <w:iCs/>
        </w:rPr>
        <w:t>Writing</w:t>
      </w:r>
      <w:proofErr w:type="spellEnd"/>
      <w:r w:rsidRPr="00071953">
        <w:rPr>
          <w:i/>
          <w:iCs/>
        </w:rPr>
        <w:t xml:space="preserve"> in </w:t>
      </w:r>
      <w:proofErr w:type="spellStart"/>
      <w:r w:rsidRPr="00071953">
        <w:rPr>
          <w:i/>
          <w:iCs/>
        </w:rPr>
        <w:t>Babylon</w:t>
      </w:r>
      <w:proofErr w:type="spellEnd"/>
      <w:r>
        <w:t xml:space="preserve">. Cambridge, MA: Harvard </w:t>
      </w:r>
      <w:proofErr w:type="spellStart"/>
      <w:r>
        <w:t>University</w:t>
      </w:r>
      <w:proofErr w:type="spellEnd"/>
      <w:r>
        <w:t xml:space="preserve"> Press, 2010.</w:t>
      </w:r>
    </w:p>
    <w:p w14:paraId="50349664" w14:textId="77777777" w:rsidR="00026B08" w:rsidRDefault="00026B08">
      <w:pPr>
        <w:spacing w:line="240" w:lineRule="auto"/>
        <w:ind w:firstLine="0"/>
      </w:pPr>
    </w:p>
    <w:p w14:paraId="2A6F87AB" w14:textId="7B17841F" w:rsidR="00026B08" w:rsidRDefault="00026B08">
      <w:pPr>
        <w:spacing w:line="240" w:lineRule="auto"/>
        <w:ind w:firstLine="0"/>
      </w:pPr>
      <w:r>
        <w:t xml:space="preserve">CHILDE, V. Gordon. A Revolução Urbana. </w:t>
      </w:r>
      <w:r w:rsidRPr="00071953">
        <w:rPr>
          <w:i/>
          <w:iCs/>
        </w:rPr>
        <w:t xml:space="preserve">In: </w:t>
      </w:r>
      <w:r>
        <w:t xml:space="preserve">CHILDE, V. Gordon. </w:t>
      </w:r>
      <w:r w:rsidRPr="00071953">
        <w:rPr>
          <w:i/>
          <w:iCs/>
        </w:rPr>
        <w:t>A evolução cultural do homem</w:t>
      </w:r>
      <w:r>
        <w:t>. 3 ed. Rio de Janeiro: Zahar, 1975, p. 142-175</w:t>
      </w:r>
    </w:p>
    <w:p w14:paraId="4DF5B088" w14:textId="77777777" w:rsidR="00026B08" w:rsidRDefault="00026B08">
      <w:pPr>
        <w:spacing w:line="240" w:lineRule="auto"/>
        <w:ind w:firstLine="0"/>
      </w:pPr>
    </w:p>
    <w:p w14:paraId="13B468A4" w14:textId="0C7A615C" w:rsidR="00026B08" w:rsidRDefault="00026B08">
      <w:pPr>
        <w:spacing w:line="240" w:lineRule="auto"/>
        <w:ind w:firstLine="0"/>
      </w:pPr>
      <w:r>
        <w:t xml:space="preserve">CHILDE, V. Gordon. </w:t>
      </w:r>
      <w:r w:rsidRPr="00071953">
        <w:rPr>
          <w:i/>
          <w:iCs/>
        </w:rPr>
        <w:t xml:space="preserve">Man Makes </w:t>
      </w:r>
      <w:proofErr w:type="spellStart"/>
      <w:r w:rsidRPr="00071953">
        <w:rPr>
          <w:i/>
          <w:iCs/>
        </w:rPr>
        <w:t>Himself</w:t>
      </w:r>
      <w:proofErr w:type="spellEnd"/>
      <w:r>
        <w:t>. London: Watts &amp; Co., 1936.</w:t>
      </w:r>
    </w:p>
    <w:p w14:paraId="4E3A9C20" w14:textId="77777777" w:rsidR="00026B08" w:rsidRDefault="00026B08">
      <w:pPr>
        <w:spacing w:line="240" w:lineRule="auto"/>
        <w:ind w:firstLine="0"/>
      </w:pPr>
    </w:p>
    <w:p w14:paraId="0B1F13EE" w14:textId="65822E64" w:rsidR="00026B08" w:rsidRDefault="00026B08">
      <w:pPr>
        <w:spacing w:line="240" w:lineRule="auto"/>
        <w:ind w:firstLine="0"/>
      </w:pPr>
      <w:r>
        <w:t xml:space="preserve">CHRISTOL, Michel. </w:t>
      </w:r>
      <w:proofErr w:type="spellStart"/>
      <w:r w:rsidRPr="00071953">
        <w:rPr>
          <w:i/>
          <w:iCs/>
        </w:rPr>
        <w:t>L’Empire</w:t>
      </w:r>
      <w:proofErr w:type="spellEnd"/>
      <w:r w:rsidRPr="00071953">
        <w:rPr>
          <w:i/>
          <w:iCs/>
        </w:rPr>
        <w:t xml:space="preserve"> </w:t>
      </w:r>
      <w:proofErr w:type="spellStart"/>
      <w:r w:rsidRPr="00071953">
        <w:rPr>
          <w:i/>
          <w:iCs/>
        </w:rPr>
        <w:t>romain</w:t>
      </w:r>
      <w:proofErr w:type="spellEnd"/>
      <w:r w:rsidRPr="00071953">
        <w:rPr>
          <w:i/>
          <w:iCs/>
        </w:rPr>
        <w:t xml:space="preserve"> </w:t>
      </w:r>
      <w:proofErr w:type="spellStart"/>
      <w:r w:rsidRPr="00071953">
        <w:rPr>
          <w:i/>
          <w:iCs/>
        </w:rPr>
        <w:t>du</w:t>
      </w:r>
      <w:proofErr w:type="spellEnd"/>
      <w:r w:rsidRPr="00071953">
        <w:rPr>
          <w:i/>
          <w:iCs/>
        </w:rPr>
        <w:t xml:space="preserve"> </w:t>
      </w:r>
      <w:proofErr w:type="spellStart"/>
      <w:r w:rsidRPr="00071953">
        <w:rPr>
          <w:i/>
          <w:iCs/>
        </w:rPr>
        <w:t>IIIe</w:t>
      </w:r>
      <w:proofErr w:type="spellEnd"/>
      <w:r w:rsidRPr="00071953">
        <w:rPr>
          <w:i/>
          <w:iCs/>
        </w:rPr>
        <w:t xml:space="preserve"> </w:t>
      </w:r>
      <w:proofErr w:type="spellStart"/>
      <w:r w:rsidRPr="00071953">
        <w:rPr>
          <w:i/>
          <w:iCs/>
        </w:rPr>
        <w:t>siècle</w:t>
      </w:r>
      <w:proofErr w:type="spellEnd"/>
      <w:r w:rsidRPr="00071953">
        <w:rPr>
          <w:i/>
          <w:iCs/>
        </w:rPr>
        <w:t xml:space="preserve">: </w:t>
      </w:r>
      <w:proofErr w:type="spellStart"/>
      <w:r w:rsidRPr="00071953">
        <w:rPr>
          <w:i/>
          <w:iCs/>
        </w:rPr>
        <w:t>histoire</w:t>
      </w:r>
      <w:proofErr w:type="spellEnd"/>
      <w:r w:rsidRPr="00071953">
        <w:rPr>
          <w:i/>
          <w:iCs/>
        </w:rPr>
        <w:t xml:space="preserve"> politique (192–325)</w:t>
      </w:r>
      <w:r>
        <w:t xml:space="preserve">. Paris: </w:t>
      </w:r>
      <w:proofErr w:type="spellStart"/>
      <w:r>
        <w:t>Errance</w:t>
      </w:r>
      <w:proofErr w:type="spellEnd"/>
      <w:r>
        <w:t>, 2006.</w:t>
      </w:r>
    </w:p>
    <w:p w14:paraId="26F37459" w14:textId="77777777" w:rsidR="00026B08" w:rsidRDefault="00026B08">
      <w:pPr>
        <w:spacing w:line="240" w:lineRule="auto"/>
        <w:ind w:firstLine="0"/>
      </w:pPr>
    </w:p>
    <w:p w14:paraId="424C355A" w14:textId="398463BF" w:rsidR="00026B08" w:rsidRDefault="00026B08">
      <w:pPr>
        <w:spacing w:line="240" w:lineRule="auto"/>
        <w:ind w:firstLine="0"/>
      </w:pPr>
      <w:r>
        <w:t xml:space="preserve">CRANE, Gregory. </w:t>
      </w:r>
      <w:proofErr w:type="spellStart"/>
      <w:r w:rsidRPr="00071953">
        <w:rPr>
          <w:i/>
          <w:iCs/>
        </w:rPr>
        <w:t>Perseus</w:t>
      </w:r>
      <w:proofErr w:type="spellEnd"/>
      <w:r w:rsidRPr="00071953">
        <w:rPr>
          <w:i/>
          <w:iCs/>
        </w:rPr>
        <w:t xml:space="preserve"> Digital Library</w:t>
      </w:r>
      <w:r>
        <w:t xml:space="preserve">: A Case </w:t>
      </w:r>
      <w:proofErr w:type="spellStart"/>
      <w:r>
        <w:t>Study</w:t>
      </w:r>
      <w:proofErr w:type="spellEnd"/>
      <w:r>
        <w:t xml:space="preserve"> in </w:t>
      </w:r>
      <w:proofErr w:type="spellStart"/>
      <w:r>
        <w:t>Humanities</w:t>
      </w:r>
      <w:proofErr w:type="spellEnd"/>
      <w:r>
        <w:t xml:space="preserve"> </w:t>
      </w:r>
      <w:proofErr w:type="spellStart"/>
      <w:r>
        <w:t>Computing</w:t>
      </w:r>
      <w:proofErr w:type="spellEnd"/>
      <w:r>
        <w:t xml:space="preserve">. Cambridge: Harvard </w:t>
      </w:r>
      <w:proofErr w:type="spellStart"/>
      <w:r>
        <w:t>University</w:t>
      </w:r>
      <w:proofErr w:type="spellEnd"/>
      <w:r>
        <w:t xml:space="preserve"> Press, 1998.</w:t>
      </w:r>
    </w:p>
    <w:p w14:paraId="33393C67" w14:textId="77777777" w:rsidR="00026B08" w:rsidRDefault="00026B08">
      <w:pPr>
        <w:spacing w:line="240" w:lineRule="auto"/>
        <w:ind w:firstLine="0"/>
      </w:pPr>
    </w:p>
    <w:p w14:paraId="00A797C3" w14:textId="64C34BA1" w:rsidR="00026B08" w:rsidRDefault="00026B08">
      <w:pPr>
        <w:spacing w:line="240" w:lineRule="auto"/>
        <w:ind w:firstLine="0"/>
      </w:pPr>
      <w:r>
        <w:t xml:space="preserve">DABDAB TRABULSI, José </w:t>
      </w:r>
      <w:proofErr w:type="spellStart"/>
      <w:r>
        <w:t>Antonio</w:t>
      </w:r>
      <w:proofErr w:type="spellEnd"/>
      <w:r>
        <w:t xml:space="preserve">. Liberdade, Igualdade, Antiguidade: a Revolução Francesa e o Mundo Clássico. </w:t>
      </w:r>
      <w:proofErr w:type="spellStart"/>
      <w:r w:rsidRPr="00071953">
        <w:rPr>
          <w:i/>
          <w:iCs/>
        </w:rPr>
        <w:t>Phoinix</w:t>
      </w:r>
      <w:proofErr w:type="spellEnd"/>
      <w:r>
        <w:t>, Rio de Janeiro, v. 4, p. 205-255, 1998.</w:t>
      </w:r>
    </w:p>
    <w:p w14:paraId="60088958" w14:textId="77777777" w:rsidR="00026B08" w:rsidRDefault="00026B08">
      <w:pPr>
        <w:spacing w:line="240" w:lineRule="auto"/>
        <w:ind w:firstLine="0"/>
      </w:pPr>
    </w:p>
    <w:p w14:paraId="3875D40E" w14:textId="2DC488B9" w:rsidR="00026B08" w:rsidRDefault="00026B08">
      <w:pPr>
        <w:spacing w:line="240" w:lineRule="auto"/>
        <w:ind w:firstLine="0"/>
      </w:pPr>
      <w:r>
        <w:t xml:space="preserve">DABDAB TRABULSI, José </w:t>
      </w:r>
      <w:proofErr w:type="spellStart"/>
      <w:r>
        <w:t>Antonio</w:t>
      </w:r>
      <w:proofErr w:type="spellEnd"/>
      <w:r>
        <w:t xml:space="preserve">. Tradição Clássica, ensino e política na França da Terceira República. </w:t>
      </w:r>
      <w:r w:rsidRPr="00071953">
        <w:rPr>
          <w:i/>
          <w:iCs/>
        </w:rPr>
        <w:t>In:</w:t>
      </w:r>
      <w:r>
        <w:t xml:space="preserve"> CHEVITARESE, André</w:t>
      </w:r>
      <w:r w:rsidR="00071953">
        <w:t>; CORNELLI, Gabriele; SILVA, Maria Aparecida de Oliveira</w:t>
      </w:r>
      <w:r>
        <w:t xml:space="preserve"> (</w:t>
      </w:r>
      <w:proofErr w:type="spellStart"/>
      <w:r>
        <w:t>org</w:t>
      </w:r>
      <w:r w:rsidR="00071953">
        <w:t>s</w:t>
      </w:r>
      <w:proofErr w:type="spellEnd"/>
      <w:r>
        <w:t xml:space="preserve">.). </w:t>
      </w:r>
      <w:r w:rsidRPr="00071953">
        <w:rPr>
          <w:i/>
          <w:iCs/>
        </w:rPr>
        <w:t>A tradição clássica e o Brasil</w:t>
      </w:r>
      <w:r>
        <w:t xml:space="preserve">. Brasília: </w:t>
      </w:r>
      <w:proofErr w:type="spellStart"/>
      <w:r>
        <w:t>Fortium</w:t>
      </w:r>
      <w:proofErr w:type="spellEnd"/>
      <w:r>
        <w:t xml:space="preserve">: </w:t>
      </w:r>
      <w:proofErr w:type="spellStart"/>
      <w:r>
        <w:t>Archai</w:t>
      </w:r>
      <w:proofErr w:type="spellEnd"/>
      <w:r>
        <w:t>, 2008. p. 123-141.</w:t>
      </w:r>
    </w:p>
    <w:p w14:paraId="3C5F6668" w14:textId="77777777" w:rsidR="00026B08" w:rsidRDefault="00026B08">
      <w:pPr>
        <w:spacing w:line="240" w:lineRule="auto"/>
        <w:ind w:firstLine="0"/>
      </w:pPr>
    </w:p>
    <w:p w14:paraId="1B54EA1E" w14:textId="4289D28E" w:rsidR="00026B08" w:rsidRDefault="00026B08">
      <w:pPr>
        <w:spacing w:line="240" w:lineRule="auto"/>
        <w:ind w:firstLine="0"/>
      </w:pPr>
      <w:r>
        <w:t xml:space="preserve">DE BLOIS, Lukas. </w:t>
      </w:r>
      <w:proofErr w:type="spellStart"/>
      <w:r w:rsidRPr="00AC4326">
        <w:rPr>
          <w:i/>
          <w:iCs/>
        </w:rPr>
        <w:t>Image</w:t>
      </w:r>
      <w:proofErr w:type="spellEnd"/>
      <w:r w:rsidRPr="00AC4326">
        <w:rPr>
          <w:i/>
          <w:iCs/>
        </w:rPr>
        <w:t xml:space="preserve"> </w:t>
      </w:r>
      <w:proofErr w:type="spellStart"/>
      <w:r w:rsidRPr="00AC4326">
        <w:rPr>
          <w:i/>
          <w:iCs/>
        </w:rPr>
        <w:t>and</w:t>
      </w:r>
      <w:proofErr w:type="spellEnd"/>
      <w:r w:rsidRPr="00AC4326">
        <w:rPr>
          <w:i/>
          <w:iCs/>
        </w:rPr>
        <w:t xml:space="preserve"> reality </w:t>
      </w:r>
      <w:proofErr w:type="spellStart"/>
      <w:r w:rsidRPr="00AC4326">
        <w:rPr>
          <w:i/>
          <w:iCs/>
        </w:rPr>
        <w:t>of</w:t>
      </w:r>
      <w:proofErr w:type="spellEnd"/>
      <w:r w:rsidRPr="00AC4326">
        <w:rPr>
          <w:i/>
          <w:iCs/>
        </w:rPr>
        <w:t xml:space="preserve"> Roman imperial </w:t>
      </w:r>
      <w:proofErr w:type="spellStart"/>
      <w:r w:rsidRPr="00AC4326">
        <w:rPr>
          <w:i/>
          <w:iCs/>
        </w:rPr>
        <w:t>power</w:t>
      </w:r>
      <w:proofErr w:type="spellEnd"/>
      <w:r w:rsidRPr="00AC4326">
        <w:rPr>
          <w:i/>
          <w:iCs/>
        </w:rPr>
        <w:t xml:space="preserve"> in </w:t>
      </w:r>
      <w:proofErr w:type="spellStart"/>
      <w:r w:rsidRPr="00AC4326">
        <w:rPr>
          <w:i/>
          <w:iCs/>
        </w:rPr>
        <w:t>the</w:t>
      </w:r>
      <w:proofErr w:type="spellEnd"/>
      <w:r w:rsidRPr="00AC4326">
        <w:rPr>
          <w:i/>
          <w:iCs/>
        </w:rPr>
        <w:t xml:space="preserve"> </w:t>
      </w:r>
      <w:proofErr w:type="spellStart"/>
      <w:r w:rsidRPr="00AC4326">
        <w:rPr>
          <w:i/>
          <w:iCs/>
        </w:rPr>
        <w:t>third</w:t>
      </w:r>
      <w:proofErr w:type="spellEnd"/>
      <w:r w:rsidRPr="00AC4326">
        <w:rPr>
          <w:i/>
          <w:iCs/>
        </w:rPr>
        <w:t xml:space="preserve"> </w:t>
      </w:r>
      <w:proofErr w:type="spellStart"/>
      <w:r w:rsidRPr="00AC4326">
        <w:rPr>
          <w:i/>
          <w:iCs/>
        </w:rPr>
        <w:t>century</w:t>
      </w:r>
      <w:proofErr w:type="spellEnd"/>
      <w:r w:rsidRPr="00AC4326">
        <w:rPr>
          <w:i/>
          <w:iCs/>
        </w:rPr>
        <w:t xml:space="preserve"> AD</w:t>
      </w:r>
      <w:r>
        <w:t xml:space="preserve">. London: </w:t>
      </w:r>
      <w:proofErr w:type="spellStart"/>
      <w:r>
        <w:t>Routledge</w:t>
      </w:r>
      <w:proofErr w:type="spellEnd"/>
      <w:r>
        <w:t>, 2019.</w:t>
      </w:r>
    </w:p>
    <w:p w14:paraId="19F4A7C9" w14:textId="77777777" w:rsidR="00026B08" w:rsidRDefault="00026B08">
      <w:pPr>
        <w:spacing w:line="240" w:lineRule="auto"/>
        <w:ind w:firstLine="0"/>
      </w:pPr>
    </w:p>
    <w:p w14:paraId="23A6355A" w14:textId="65405511" w:rsidR="00026B08" w:rsidRDefault="00026B08">
      <w:pPr>
        <w:spacing w:line="240" w:lineRule="auto"/>
        <w:ind w:firstLine="0"/>
      </w:pPr>
      <w:r>
        <w:t xml:space="preserve">DELEUZE, Gilles. </w:t>
      </w:r>
      <w:r w:rsidRPr="00AC4326">
        <w:rPr>
          <w:i/>
          <w:iCs/>
        </w:rPr>
        <w:t>A Imagem-Movimento</w:t>
      </w:r>
      <w:r>
        <w:t xml:space="preserve"> (Cinema 1). São Paulo: Brasiliense, 1985.</w:t>
      </w:r>
    </w:p>
    <w:p w14:paraId="6E7B7FF6" w14:textId="77777777" w:rsidR="00026B08" w:rsidRDefault="00026B08">
      <w:pPr>
        <w:spacing w:line="240" w:lineRule="auto"/>
        <w:ind w:firstLine="0"/>
      </w:pPr>
    </w:p>
    <w:p w14:paraId="3A5976DE" w14:textId="59D57F24" w:rsidR="00026B08" w:rsidRDefault="00026B08">
      <w:pPr>
        <w:spacing w:line="240" w:lineRule="auto"/>
        <w:ind w:firstLine="0"/>
      </w:pPr>
      <w:r>
        <w:t xml:space="preserve">DOSSE, François. </w:t>
      </w:r>
      <w:r w:rsidRPr="00AC4326">
        <w:rPr>
          <w:i/>
          <w:iCs/>
        </w:rPr>
        <w:t>A História em Migalhas</w:t>
      </w:r>
      <w:r>
        <w:t>. São Paulo: Ensaio, 1992.</w:t>
      </w:r>
    </w:p>
    <w:p w14:paraId="1531ECD5" w14:textId="77777777" w:rsidR="00026B08" w:rsidRDefault="00026B08">
      <w:pPr>
        <w:spacing w:line="240" w:lineRule="auto"/>
        <w:ind w:firstLine="0"/>
      </w:pPr>
      <w:r>
        <w:lastRenderedPageBreak/>
        <w:t xml:space="preserve">DRINKWATER, John. </w:t>
      </w:r>
      <w:r w:rsidRPr="00AC4326">
        <w:rPr>
          <w:i/>
          <w:iCs/>
        </w:rPr>
        <w:t xml:space="preserve">The </w:t>
      </w:r>
      <w:proofErr w:type="spellStart"/>
      <w:r w:rsidRPr="00AC4326">
        <w:rPr>
          <w:i/>
          <w:iCs/>
        </w:rPr>
        <w:t>Gallic</w:t>
      </w:r>
      <w:proofErr w:type="spellEnd"/>
      <w:r w:rsidRPr="00AC4326">
        <w:rPr>
          <w:i/>
          <w:iCs/>
        </w:rPr>
        <w:t xml:space="preserve"> Empire</w:t>
      </w:r>
      <w:r>
        <w:t xml:space="preserve">: </w:t>
      </w:r>
      <w:proofErr w:type="spellStart"/>
      <w:r>
        <w:t>Separatism</w:t>
      </w:r>
      <w:proofErr w:type="spellEnd"/>
      <w:r>
        <w:t xml:space="preserve"> </w:t>
      </w:r>
      <w:proofErr w:type="spellStart"/>
      <w:r>
        <w:t>and</w:t>
      </w:r>
      <w:proofErr w:type="spellEnd"/>
      <w:r>
        <w:t xml:space="preserve"> </w:t>
      </w:r>
      <w:proofErr w:type="spellStart"/>
      <w:r>
        <w:t>Continuity</w:t>
      </w:r>
      <w:proofErr w:type="spellEnd"/>
      <w:r>
        <w:t xml:space="preserve"> in </w:t>
      </w:r>
      <w:proofErr w:type="spellStart"/>
      <w:r>
        <w:t>the</w:t>
      </w:r>
      <w:proofErr w:type="spellEnd"/>
      <w:r>
        <w:t xml:space="preserve"> </w:t>
      </w:r>
      <w:proofErr w:type="spellStart"/>
      <w:r>
        <w:t>North-Western</w:t>
      </w:r>
      <w:proofErr w:type="spellEnd"/>
      <w:r>
        <w:t xml:space="preserve"> </w:t>
      </w:r>
      <w:proofErr w:type="spellStart"/>
      <w:r>
        <w:t>Provinces</w:t>
      </w:r>
      <w:proofErr w:type="spellEnd"/>
      <w:r>
        <w:t xml:space="preserve"> </w:t>
      </w:r>
      <w:proofErr w:type="spellStart"/>
      <w:r>
        <w:t>of</w:t>
      </w:r>
      <w:proofErr w:type="spellEnd"/>
      <w:r>
        <w:t xml:space="preserve"> </w:t>
      </w:r>
      <w:proofErr w:type="spellStart"/>
      <w:r>
        <w:t>the</w:t>
      </w:r>
      <w:proofErr w:type="spellEnd"/>
      <w:r>
        <w:t xml:space="preserve"> Roman Empire A.D. 260–274. Stuttgart: Franz Steiner, 1987.</w:t>
      </w:r>
    </w:p>
    <w:p w14:paraId="0D9FCB9F" w14:textId="77777777" w:rsidR="00026B08" w:rsidRDefault="00026B08">
      <w:pPr>
        <w:spacing w:line="240" w:lineRule="auto"/>
        <w:ind w:firstLine="0"/>
      </w:pPr>
    </w:p>
    <w:p w14:paraId="3757541D" w14:textId="12E8F230" w:rsidR="00026B08" w:rsidRDefault="00026B08">
      <w:pPr>
        <w:spacing w:line="240" w:lineRule="auto"/>
        <w:ind w:firstLine="0"/>
      </w:pPr>
      <w:r>
        <w:t xml:space="preserve">DRUCKER, Johanna. </w:t>
      </w:r>
      <w:proofErr w:type="spellStart"/>
      <w:r w:rsidRPr="00AC4326">
        <w:rPr>
          <w:i/>
          <w:iCs/>
        </w:rPr>
        <w:t>Graphesis</w:t>
      </w:r>
      <w:proofErr w:type="spellEnd"/>
      <w:r>
        <w:t xml:space="preserve">: Visual </w:t>
      </w:r>
      <w:proofErr w:type="spellStart"/>
      <w:r>
        <w:t>Forms</w:t>
      </w:r>
      <w:proofErr w:type="spellEnd"/>
      <w:r>
        <w:t xml:space="preserve"> </w:t>
      </w:r>
      <w:proofErr w:type="spellStart"/>
      <w:r>
        <w:t>of</w:t>
      </w:r>
      <w:proofErr w:type="spellEnd"/>
      <w:r>
        <w:t xml:space="preserve"> </w:t>
      </w:r>
      <w:proofErr w:type="spellStart"/>
      <w:r>
        <w:t>Knowledge</w:t>
      </w:r>
      <w:proofErr w:type="spellEnd"/>
      <w:r>
        <w:t xml:space="preserve"> </w:t>
      </w:r>
      <w:proofErr w:type="spellStart"/>
      <w:r>
        <w:t>Production</w:t>
      </w:r>
      <w:proofErr w:type="spellEnd"/>
      <w:r>
        <w:t xml:space="preserve">. Cambridge, MA: Harvard </w:t>
      </w:r>
      <w:proofErr w:type="spellStart"/>
      <w:r>
        <w:t>University</w:t>
      </w:r>
      <w:proofErr w:type="spellEnd"/>
      <w:r>
        <w:t xml:space="preserve"> Press, 2014.</w:t>
      </w:r>
    </w:p>
    <w:p w14:paraId="028C916A" w14:textId="77777777" w:rsidR="00026B08" w:rsidRDefault="00026B08">
      <w:pPr>
        <w:spacing w:line="240" w:lineRule="auto"/>
        <w:ind w:firstLine="0"/>
      </w:pPr>
    </w:p>
    <w:p w14:paraId="2C42A0DF" w14:textId="46533E5F" w:rsidR="00026B08" w:rsidRDefault="00026B08">
      <w:pPr>
        <w:spacing w:line="240" w:lineRule="auto"/>
        <w:ind w:firstLine="0"/>
      </w:pPr>
      <w:r>
        <w:t xml:space="preserve">EUROPEANA. </w:t>
      </w:r>
      <w:proofErr w:type="spellStart"/>
      <w:r>
        <w:t>Europeana</w:t>
      </w:r>
      <w:proofErr w:type="spellEnd"/>
      <w:r>
        <w:t xml:space="preserve"> </w:t>
      </w:r>
      <w:proofErr w:type="spellStart"/>
      <w:r>
        <w:t>Collections</w:t>
      </w:r>
      <w:proofErr w:type="spellEnd"/>
      <w:r>
        <w:t>. [S. l.: s. n.], [s.d.]. Disponível em: https://www.europeana.eu. Acesso em: 29 jul. 2025.</w:t>
      </w:r>
    </w:p>
    <w:p w14:paraId="2AA75D81" w14:textId="77777777" w:rsidR="00026B08" w:rsidRDefault="00026B08">
      <w:pPr>
        <w:spacing w:line="240" w:lineRule="auto"/>
        <w:ind w:firstLine="0"/>
      </w:pPr>
    </w:p>
    <w:p w14:paraId="132257AB" w14:textId="65B34D3F" w:rsidR="00026B08" w:rsidRDefault="00026B08">
      <w:pPr>
        <w:spacing w:line="240" w:lineRule="auto"/>
        <w:ind w:firstLine="0"/>
      </w:pPr>
      <w:r>
        <w:t xml:space="preserve">FAVERSANI, Fábio. A História Antiga nos Cursos de Graduação em História no Brasil. </w:t>
      </w:r>
      <w:proofErr w:type="spellStart"/>
      <w:r w:rsidRPr="00AC4326">
        <w:rPr>
          <w:i/>
          <w:iCs/>
        </w:rPr>
        <w:t>Hélade</w:t>
      </w:r>
      <w:proofErr w:type="spellEnd"/>
      <w:r w:rsidRPr="00AC4326">
        <w:rPr>
          <w:i/>
          <w:iCs/>
        </w:rPr>
        <w:t xml:space="preserve"> Rev. Eletrônica de História Antiga</w:t>
      </w:r>
      <w:r>
        <w:t>, v. 2, p. 42-46, 2001.</w:t>
      </w:r>
    </w:p>
    <w:p w14:paraId="2BFFCE99" w14:textId="77777777" w:rsidR="00026B08" w:rsidRDefault="00026B08">
      <w:pPr>
        <w:spacing w:line="240" w:lineRule="auto"/>
        <w:ind w:firstLine="0"/>
      </w:pPr>
    </w:p>
    <w:p w14:paraId="2789E7A1" w14:textId="71BAF2C1" w:rsidR="00026B08" w:rsidRDefault="00026B08">
      <w:pPr>
        <w:spacing w:line="240" w:lineRule="auto"/>
        <w:ind w:firstLine="0"/>
      </w:pPr>
      <w:r>
        <w:t xml:space="preserve">FINLEY, Moses I. </w:t>
      </w:r>
      <w:r w:rsidRPr="00AC4326">
        <w:rPr>
          <w:i/>
          <w:iCs/>
        </w:rPr>
        <w:t xml:space="preserve">Politics in </w:t>
      </w:r>
      <w:proofErr w:type="spellStart"/>
      <w:r w:rsidRPr="00AC4326">
        <w:rPr>
          <w:i/>
          <w:iCs/>
        </w:rPr>
        <w:t>the</w:t>
      </w:r>
      <w:proofErr w:type="spellEnd"/>
      <w:r w:rsidRPr="00AC4326">
        <w:rPr>
          <w:i/>
          <w:iCs/>
        </w:rPr>
        <w:t xml:space="preserve"> </w:t>
      </w:r>
      <w:proofErr w:type="spellStart"/>
      <w:r w:rsidRPr="00AC4326">
        <w:rPr>
          <w:i/>
          <w:iCs/>
        </w:rPr>
        <w:t>ancient</w:t>
      </w:r>
      <w:proofErr w:type="spellEnd"/>
      <w:r w:rsidRPr="00AC4326">
        <w:rPr>
          <w:i/>
          <w:iCs/>
        </w:rPr>
        <w:t xml:space="preserve"> world</w:t>
      </w:r>
      <w:r>
        <w:t xml:space="preserve">. Cambridge: Cambridge </w:t>
      </w:r>
      <w:proofErr w:type="spellStart"/>
      <w:r>
        <w:t>University</w:t>
      </w:r>
      <w:proofErr w:type="spellEnd"/>
      <w:r>
        <w:t xml:space="preserve"> Press, 1983.</w:t>
      </w:r>
    </w:p>
    <w:p w14:paraId="6FA94979" w14:textId="77777777" w:rsidR="00AC4326" w:rsidRDefault="00AC4326">
      <w:pPr>
        <w:spacing w:line="240" w:lineRule="auto"/>
        <w:ind w:firstLine="0"/>
      </w:pPr>
    </w:p>
    <w:p w14:paraId="27DA602C" w14:textId="4C157EAB" w:rsidR="00026B08" w:rsidRDefault="00026B08">
      <w:pPr>
        <w:spacing w:line="240" w:lineRule="auto"/>
        <w:ind w:firstLine="0"/>
      </w:pPr>
      <w:r>
        <w:t xml:space="preserve">FINLEY, Moses. </w:t>
      </w:r>
      <w:r w:rsidRPr="00AC4326">
        <w:rPr>
          <w:i/>
          <w:iCs/>
        </w:rPr>
        <w:t>Uso e Abuso da História</w:t>
      </w:r>
      <w:r>
        <w:t>. São Paulo: Martins Fontes, 1989.</w:t>
      </w:r>
    </w:p>
    <w:p w14:paraId="34AC763F" w14:textId="77777777" w:rsidR="00026B08" w:rsidRDefault="00026B08">
      <w:pPr>
        <w:spacing w:line="240" w:lineRule="auto"/>
        <w:ind w:firstLine="0"/>
      </w:pPr>
    </w:p>
    <w:p w14:paraId="7FA849BA" w14:textId="1581EEA2" w:rsidR="00026B08" w:rsidRDefault="00026B08">
      <w:pPr>
        <w:spacing w:line="240" w:lineRule="auto"/>
        <w:ind w:firstLine="0"/>
      </w:pPr>
      <w:r>
        <w:t xml:space="preserve">FLEMING, Katie. The Politics </w:t>
      </w:r>
      <w:proofErr w:type="spellStart"/>
      <w:r>
        <w:t>and</w:t>
      </w:r>
      <w:proofErr w:type="spellEnd"/>
      <w:r>
        <w:t xml:space="preserve"> </w:t>
      </w:r>
      <w:proofErr w:type="spellStart"/>
      <w:r>
        <w:t>Morality</w:t>
      </w:r>
      <w:proofErr w:type="spellEnd"/>
      <w:r>
        <w:t xml:space="preserve"> </w:t>
      </w:r>
      <w:proofErr w:type="spellStart"/>
      <w:r>
        <w:t>of</w:t>
      </w:r>
      <w:proofErr w:type="spellEnd"/>
      <w:r>
        <w:t xml:space="preserve"> </w:t>
      </w:r>
      <w:proofErr w:type="spellStart"/>
      <w:r>
        <w:t>Appropriation</w:t>
      </w:r>
      <w:proofErr w:type="spellEnd"/>
      <w:r>
        <w:t xml:space="preserve">. </w:t>
      </w:r>
      <w:r w:rsidRPr="00AC4326">
        <w:rPr>
          <w:i/>
          <w:iCs/>
        </w:rPr>
        <w:t>In:</w:t>
      </w:r>
      <w:r>
        <w:t xml:space="preserve"> MARTINDALE, Charles; THOMAS, Richard F. (ed.). </w:t>
      </w:r>
      <w:proofErr w:type="spellStart"/>
      <w:r w:rsidRPr="00AC4326">
        <w:rPr>
          <w:i/>
          <w:iCs/>
        </w:rPr>
        <w:t>Classics</w:t>
      </w:r>
      <w:proofErr w:type="spellEnd"/>
      <w:r w:rsidRPr="00AC4326">
        <w:rPr>
          <w:i/>
          <w:iCs/>
        </w:rPr>
        <w:t xml:space="preserve"> </w:t>
      </w:r>
      <w:proofErr w:type="spellStart"/>
      <w:r w:rsidRPr="00AC4326">
        <w:rPr>
          <w:i/>
          <w:iCs/>
        </w:rPr>
        <w:t>and</w:t>
      </w:r>
      <w:proofErr w:type="spellEnd"/>
      <w:r w:rsidRPr="00AC4326">
        <w:rPr>
          <w:i/>
          <w:iCs/>
        </w:rPr>
        <w:t xml:space="preserve"> </w:t>
      </w:r>
      <w:proofErr w:type="spellStart"/>
      <w:r w:rsidRPr="00AC4326">
        <w:rPr>
          <w:i/>
          <w:iCs/>
        </w:rPr>
        <w:t>the</w:t>
      </w:r>
      <w:proofErr w:type="spellEnd"/>
      <w:r w:rsidRPr="00AC4326">
        <w:rPr>
          <w:i/>
          <w:iCs/>
        </w:rPr>
        <w:t xml:space="preserve"> Uses </w:t>
      </w:r>
      <w:proofErr w:type="spellStart"/>
      <w:r w:rsidRPr="00AC4326">
        <w:rPr>
          <w:i/>
          <w:iCs/>
        </w:rPr>
        <w:t>of</w:t>
      </w:r>
      <w:proofErr w:type="spellEnd"/>
      <w:r w:rsidRPr="00AC4326">
        <w:rPr>
          <w:i/>
          <w:iCs/>
        </w:rPr>
        <w:t xml:space="preserve"> </w:t>
      </w:r>
      <w:proofErr w:type="spellStart"/>
      <w:r w:rsidRPr="00AC4326">
        <w:rPr>
          <w:i/>
          <w:iCs/>
        </w:rPr>
        <w:t>Reception</w:t>
      </w:r>
      <w:proofErr w:type="spellEnd"/>
      <w:r w:rsidRPr="00AC4326">
        <w:rPr>
          <w:i/>
          <w:iCs/>
        </w:rPr>
        <w:t>.</w:t>
      </w:r>
      <w:r>
        <w:t xml:space="preserve"> Oxford: Blackwell </w:t>
      </w:r>
      <w:proofErr w:type="spellStart"/>
      <w:r>
        <w:t>Publishing</w:t>
      </w:r>
      <w:proofErr w:type="spellEnd"/>
      <w:r>
        <w:t>, 2006.</w:t>
      </w:r>
    </w:p>
    <w:p w14:paraId="7A8D7030" w14:textId="77777777" w:rsidR="00026B08" w:rsidRDefault="00026B08">
      <w:pPr>
        <w:spacing w:line="240" w:lineRule="auto"/>
        <w:ind w:firstLine="0"/>
      </w:pPr>
    </w:p>
    <w:p w14:paraId="76216B4A" w14:textId="57412DF8" w:rsidR="00026B08" w:rsidRDefault="00026B08">
      <w:pPr>
        <w:spacing w:line="240" w:lineRule="auto"/>
        <w:ind w:firstLine="0"/>
      </w:pPr>
      <w:r>
        <w:t xml:space="preserve">FLICK, Uwe. </w:t>
      </w:r>
      <w:proofErr w:type="spellStart"/>
      <w:r w:rsidRPr="00AC4326">
        <w:rPr>
          <w:i/>
          <w:iCs/>
        </w:rPr>
        <w:t>An</w:t>
      </w:r>
      <w:proofErr w:type="spellEnd"/>
      <w:r w:rsidRPr="00AC4326">
        <w:rPr>
          <w:i/>
          <w:iCs/>
        </w:rPr>
        <w:t xml:space="preserve"> </w:t>
      </w:r>
      <w:proofErr w:type="spellStart"/>
      <w:r w:rsidRPr="00AC4326">
        <w:rPr>
          <w:i/>
          <w:iCs/>
        </w:rPr>
        <w:t>Introduction</w:t>
      </w:r>
      <w:proofErr w:type="spellEnd"/>
      <w:r w:rsidRPr="00AC4326">
        <w:rPr>
          <w:i/>
          <w:iCs/>
        </w:rPr>
        <w:t xml:space="preserve"> </w:t>
      </w:r>
      <w:proofErr w:type="spellStart"/>
      <w:r w:rsidRPr="00AC4326">
        <w:rPr>
          <w:i/>
          <w:iCs/>
        </w:rPr>
        <w:t>to</w:t>
      </w:r>
      <w:proofErr w:type="spellEnd"/>
      <w:r w:rsidRPr="00AC4326">
        <w:rPr>
          <w:i/>
          <w:iCs/>
        </w:rPr>
        <w:t xml:space="preserve"> </w:t>
      </w:r>
      <w:proofErr w:type="spellStart"/>
      <w:r w:rsidRPr="00AC4326">
        <w:rPr>
          <w:i/>
          <w:iCs/>
        </w:rPr>
        <w:t>Qualitative</w:t>
      </w:r>
      <w:proofErr w:type="spellEnd"/>
      <w:r w:rsidRPr="00AC4326">
        <w:rPr>
          <w:i/>
          <w:iCs/>
        </w:rPr>
        <w:t xml:space="preserve"> </w:t>
      </w:r>
      <w:proofErr w:type="spellStart"/>
      <w:r w:rsidRPr="00AC4326">
        <w:rPr>
          <w:i/>
          <w:iCs/>
        </w:rPr>
        <w:t>Research</w:t>
      </w:r>
      <w:proofErr w:type="spellEnd"/>
      <w:r>
        <w:t xml:space="preserve">. 4. ed. London: SAGE </w:t>
      </w:r>
      <w:proofErr w:type="spellStart"/>
      <w:r>
        <w:t>Publications</w:t>
      </w:r>
      <w:proofErr w:type="spellEnd"/>
      <w:r>
        <w:t>, 2009.</w:t>
      </w:r>
    </w:p>
    <w:p w14:paraId="22704581" w14:textId="77777777" w:rsidR="00026B08" w:rsidRDefault="00026B08">
      <w:pPr>
        <w:spacing w:line="240" w:lineRule="auto"/>
        <w:ind w:firstLine="0"/>
      </w:pPr>
    </w:p>
    <w:p w14:paraId="7B1DE67F" w14:textId="1F15CD43" w:rsidR="00026B08" w:rsidRDefault="00026B08">
      <w:pPr>
        <w:spacing w:line="240" w:lineRule="auto"/>
        <w:ind w:firstLine="0"/>
      </w:pPr>
      <w:r>
        <w:t xml:space="preserve">FRANKFORT, Henri. </w:t>
      </w:r>
      <w:r w:rsidRPr="00AC4326">
        <w:rPr>
          <w:i/>
          <w:iCs/>
        </w:rPr>
        <w:t xml:space="preserve">The </w:t>
      </w:r>
      <w:proofErr w:type="spellStart"/>
      <w:r w:rsidRPr="00AC4326">
        <w:rPr>
          <w:i/>
          <w:iCs/>
        </w:rPr>
        <w:t>Birth</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Civilization</w:t>
      </w:r>
      <w:proofErr w:type="spellEnd"/>
      <w:r w:rsidRPr="00AC4326">
        <w:rPr>
          <w:i/>
          <w:iCs/>
        </w:rPr>
        <w:t xml:space="preserve"> in </w:t>
      </w:r>
      <w:proofErr w:type="spellStart"/>
      <w:r w:rsidRPr="00AC4326">
        <w:rPr>
          <w:i/>
          <w:iCs/>
        </w:rPr>
        <w:t>the</w:t>
      </w:r>
      <w:proofErr w:type="spellEnd"/>
      <w:r w:rsidRPr="00AC4326">
        <w:rPr>
          <w:i/>
          <w:iCs/>
        </w:rPr>
        <w:t xml:space="preserve"> Near East</w:t>
      </w:r>
      <w:r>
        <w:t>. Ernest Benn; London; 1951.</w:t>
      </w:r>
    </w:p>
    <w:p w14:paraId="213FF68B" w14:textId="77777777" w:rsidR="00026B08" w:rsidRDefault="00026B08">
      <w:pPr>
        <w:spacing w:line="240" w:lineRule="auto"/>
        <w:ind w:firstLine="0"/>
      </w:pPr>
    </w:p>
    <w:p w14:paraId="452096A4" w14:textId="4C74A19D" w:rsidR="00026B08" w:rsidRDefault="00026B08">
      <w:pPr>
        <w:spacing w:line="240" w:lineRule="auto"/>
        <w:ind w:firstLine="0"/>
      </w:pPr>
      <w:r>
        <w:t xml:space="preserve">FRIGHETTO, Renan. O século III e as transformações políticas ao mundo romano tardio. </w:t>
      </w:r>
      <w:r w:rsidRPr="00AC4326">
        <w:rPr>
          <w:i/>
          <w:iCs/>
        </w:rPr>
        <w:t>In:</w:t>
      </w:r>
      <w:r>
        <w:t xml:space="preserve"> SILVA, Semíramis Corsi; ANTIQUEIRA, </w:t>
      </w:r>
      <w:proofErr w:type="spellStart"/>
      <w:r>
        <w:t>Moíses</w:t>
      </w:r>
      <w:proofErr w:type="spellEnd"/>
      <w:r>
        <w:t xml:space="preserve">. </w:t>
      </w:r>
      <w:r w:rsidRPr="00AC4326">
        <w:rPr>
          <w:i/>
          <w:iCs/>
        </w:rPr>
        <w:t>O Império Romano no Século III. Crises, transformações e mutações</w:t>
      </w:r>
      <w:r>
        <w:t>. 1. ed. São João de Meriti: Desalinho, 2021.</w:t>
      </w:r>
    </w:p>
    <w:p w14:paraId="51C40AA6" w14:textId="77777777" w:rsidR="00026B08" w:rsidRDefault="00026B08">
      <w:pPr>
        <w:spacing w:line="240" w:lineRule="auto"/>
        <w:ind w:firstLine="0"/>
      </w:pPr>
    </w:p>
    <w:p w14:paraId="0E3FD8D7" w14:textId="2DE1FD6D" w:rsidR="00026B08" w:rsidRDefault="00026B08">
      <w:pPr>
        <w:spacing w:line="240" w:lineRule="auto"/>
        <w:ind w:firstLine="0"/>
      </w:pPr>
      <w:r>
        <w:t xml:space="preserve">FUNARI, Pedro Paulo Abreu. Poder, Posição, Imposição no Ensino de História Antiga: da Passividade Forçada à Produção de Conhecimento. </w:t>
      </w:r>
      <w:r w:rsidRPr="00AC4326">
        <w:rPr>
          <w:i/>
          <w:iCs/>
        </w:rPr>
        <w:t>Rev. Brasileira de História</w:t>
      </w:r>
      <w:r>
        <w:t>, São Paulo, v. 8, n. 15, p. 257-264, set.87/fev.88.</w:t>
      </w:r>
    </w:p>
    <w:p w14:paraId="77CA50ED" w14:textId="77777777" w:rsidR="00026B08" w:rsidRDefault="00026B08">
      <w:pPr>
        <w:spacing w:line="240" w:lineRule="auto"/>
        <w:ind w:firstLine="0"/>
      </w:pPr>
    </w:p>
    <w:p w14:paraId="426E599E" w14:textId="68D96A27" w:rsidR="00026B08" w:rsidRDefault="00026B08">
      <w:pPr>
        <w:spacing w:line="240" w:lineRule="auto"/>
        <w:ind w:firstLine="0"/>
      </w:pPr>
      <w:r>
        <w:t xml:space="preserve">FUNARI, Pedro Paulo Abreu; OLIVEIRA, Jorge </w:t>
      </w:r>
      <w:proofErr w:type="spellStart"/>
      <w:r>
        <w:t>Eremites</w:t>
      </w:r>
      <w:proofErr w:type="spellEnd"/>
      <w:r>
        <w:t xml:space="preserve"> de; CAMPOS, Juliano Bitencourt. (Org.). </w:t>
      </w:r>
      <w:r w:rsidRPr="00AC4326">
        <w:rPr>
          <w:i/>
          <w:iCs/>
        </w:rPr>
        <w:t>Arqueologia</w:t>
      </w:r>
      <w:r>
        <w:t>: temáticas e perspectivas. 1. ed. Ponta Grossa: Atena, 2022.</w:t>
      </w:r>
    </w:p>
    <w:p w14:paraId="49A6863D" w14:textId="77777777" w:rsidR="00026B08" w:rsidRDefault="00026B08">
      <w:pPr>
        <w:spacing w:line="240" w:lineRule="auto"/>
        <w:ind w:firstLine="0"/>
      </w:pPr>
    </w:p>
    <w:p w14:paraId="1E70CE01" w14:textId="278F907B" w:rsidR="00026B08" w:rsidRDefault="00026B08">
      <w:pPr>
        <w:spacing w:line="240" w:lineRule="auto"/>
        <w:ind w:firstLine="0"/>
      </w:pPr>
      <w:r>
        <w:t xml:space="preserve">GADAMER, Hans-Georg. </w:t>
      </w:r>
      <w:r w:rsidRPr="00AC4326">
        <w:rPr>
          <w:i/>
          <w:iCs/>
        </w:rPr>
        <w:t>Verdade e método</w:t>
      </w:r>
      <w:r>
        <w:t xml:space="preserve">. Petrópolis, </w:t>
      </w:r>
      <w:proofErr w:type="gramStart"/>
      <w:r>
        <w:t>RJ :</w:t>
      </w:r>
      <w:proofErr w:type="gramEnd"/>
      <w:r>
        <w:t xml:space="preserve"> Vozes, 1997.</w:t>
      </w:r>
    </w:p>
    <w:p w14:paraId="771A4EC3" w14:textId="77777777" w:rsidR="00026B08" w:rsidRDefault="00026B08">
      <w:pPr>
        <w:spacing w:line="240" w:lineRule="auto"/>
        <w:ind w:firstLine="0"/>
      </w:pPr>
    </w:p>
    <w:p w14:paraId="689BBA67" w14:textId="240EC24A" w:rsidR="00026B08" w:rsidRDefault="00026B08">
      <w:pPr>
        <w:spacing w:line="240" w:lineRule="auto"/>
        <w:ind w:firstLine="0"/>
      </w:pPr>
      <w:r>
        <w:t xml:space="preserve">GARRAFFONI, Renata Senna; FUNARI, Pedro Paulo Abreu. Antiguidade e Modernidade: considerações sobre a busca do Antigo. </w:t>
      </w:r>
      <w:r w:rsidR="00AC4326" w:rsidRPr="00AC4326">
        <w:rPr>
          <w:i/>
          <w:iCs/>
        </w:rPr>
        <w:t>I</w:t>
      </w:r>
      <w:r w:rsidRPr="00AC4326">
        <w:rPr>
          <w:i/>
          <w:iCs/>
        </w:rPr>
        <w:t>n:</w:t>
      </w:r>
      <w:r>
        <w:t xml:space="preserve"> </w:t>
      </w:r>
      <w:r w:rsidRPr="00AC4326">
        <w:rPr>
          <w:i/>
          <w:iCs/>
        </w:rPr>
        <w:t>Anais</w:t>
      </w:r>
      <w:r>
        <w:t xml:space="preserve"> do XXVI Simpósio Nacional de História - ANPUH, São Paulo, jul. 2011, p. 1-6.</w:t>
      </w:r>
    </w:p>
    <w:p w14:paraId="5B27780F" w14:textId="77777777" w:rsidR="00026B08" w:rsidRDefault="00026B08">
      <w:pPr>
        <w:spacing w:line="240" w:lineRule="auto"/>
        <w:ind w:firstLine="0"/>
      </w:pPr>
    </w:p>
    <w:p w14:paraId="394AEA8B" w14:textId="474C74BE" w:rsidR="00026B08" w:rsidRDefault="00026B08">
      <w:pPr>
        <w:spacing w:line="240" w:lineRule="auto"/>
        <w:ind w:firstLine="0"/>
      </w:pPr>
      <w:r>
        <w:t xml:space="preserve">GENTILE, Emilio. </w:t>
      </w:r>
      <w:r w:rsidRPr="00AC4326">
        <w:rPr>
          <w:i/>
          <w:iCs/>
        </w:rPr>
        <w:t xml:space="preserve">Il culto </w:t>
      </w:r>
      <w:proofErr w:type="spellStart"/>
      <w:r w:rsidRPr="00AC4326">
        <w:rPr>
          <w:i/>
          <w:iCs/>
        </w:rPr>
        <w:t>del</w:t>
      </w:r>
      <w:proofErr w:type="spellEnd"/>
      <w:r w:rsidRPr="00AC4326">
        <w:rPr>
          <w:i/>
          <w:iCs/>
        </w:rPr>
        <w:t xml:space="preserve"> </w:t>
      </w:r>
      <w:proofErr w:type="spellStart"/>
      <w:r w:rsidRPr="00AC4326">
        <w:rPr>
          <w:i/>
          <w:iCs/>
        </w:rPr>
        <w:t>littorio</w:t>
      </w:r>
      <w:proofErr w:type="spellEnd"/>
      <w:r>
        <w:t xml:space="preserve">: </w:t>
      </w:r>
      <w:proofErr w:type="spellStart"/>
      <w:r>
        <w:t>la</w:t>
      </w:r>
      <w:proofErr w:type="spellEnd"/>
      <w:r>
        <w:t xml:space="preserve"> </w:t>
      </w:r>
      <w:proofErr w:type="spellStart"/>
      <w:r>
        <w:t>sacralizzazione</w:t>
      </w:r>
      <w:proofErr w:type="spellEnd"/>
      <w:r>
        <w:t xml:space="preserve"> </w:t>
      </w:r>
      <w:proofErr w:type="spellStart"/>
      <w:r>
        <w:t>della</w:t>
      </w:r>
      <w:proofErr w:type="spellEnd"/>
      <w:r>
        <w:t xml:space="preserve"> </w:t>
      </w:r>
      <w:proofErr w:type="spellStart"/>
      <w:proofErr w:type="gramStart"/>
      <w:r>
        <w:t>politica</w:t>
      </w:r>
      <w:proofErr w:type="spellEnd"/>
      <w:proofErr w:type="gramEnd"/>
      <w:r>
        <w:t xml:space="preserve"> </w:t>
      </w:r>
      <w:proofErr w:type="spellStart"/>
      <w:r>
        <w:t>nell’Italia</w:t>
      </w:r>
      <w:proofErr w:type="spellEnd"/>
      <w:r>
        <w:t xml:space="preserve"> fascista. Roma-Bari: Laterza, 1993.</w:t>
      </w:r>
    </w:p>
    <w:p w14:paraId="6EDBA7A4" w14:textId="77777777" w:rsidR="00026B08" w:rsidRDefault="00026B08">
      <w:pPr>
        <w:spacing w:line="240" w:lineRule="auto"/>
        <w:ind w:firstLine="0"/>
      </w:pPr>
    </w:p>
    <w:p w14:paraId="0A14AA45" w14:textId="1435CBE4" w:rsidR="00026B08" w:rsidRDefault="00026B08">
      <w:pPr>
        <w:spacing w:line="240" w:lineRule="auto"/>
        <w:ind w:firstLine="0"/>
      </w:pPr>
      <w:r>
        <w:t xml:space="preserve">GIBBON, Edward. </w:t>
      </w:r>
      <w:r w:rsidRPr="00AC4326">
        <w:rPr>
          <w:i/>
          <w:iCs/>
        </w:rPr>
        <w:t xml:space="preserve">The </w:t>
      </w:r>
      <w:proofErr w:type="spellStart"/>
      <w:r w:rsidRPr="00AC4326">
        <w:rPr>
          <w:i/>
          <w:iCs/>
        </w:rPr>
        <w:t>History</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proofErr w:type="gramStart"/>
      <w:r w:rsidRPr="00AC4326">
        <w:rPr>
          <w:i/>
          <w:iCs/>
        </w:rPr>
        <w:t>the</w:t>
      </w:r>
      <w:proofErr w:type="spellEnd"/>
      <w:r w:rsidRPr="00AC4326">
        <w:rPr>
          <w:i/>
          <w:iCs/>
        </w:rPr>
        <w:t xml:space="preserve"> Decline</w:t>
      </w:r>
      <w:proofErr w:type="gramEnd"/>
      <w:r w:rsidRPr="00AC4326">
        <w:rPr>
          <w:i/>
          <w:iCs/>
        </w:rPr>
        <w:t xml:space="preserve"> </w:t>
      </w:r>
      <w:proofErr w:type="spellStart"/>
      <w:r w:rsidRPr="00AC4326">
        <w:rPr>
          <w:i/>
          <w:iCs/>
        </w:rPr>
        <w:t>and</w:t>
      </w:r>
      <w:proofErr w:type="spellEnd"/>
      <w:r w:rsidRPr="00AC4326">
        <w:rPr>
          <w:i/>
          <w:iCs/>
        </w:rPr>
        <w:t xml:space="preserve"> </w:t>
      </w:r>
      <w:proofErr w:type="spellStart"/>
      <w:r w:rsidRPr="00AC4326">
        <w:rPr>
          <w:i/>
          <w:iCs/>
        </w:rPr>
        <w:t>Fall</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the</w:t>
      </w:r>
      <w:proofErr w:type="spellEnd"/>
      <w:r w:rsidRPr="00AC4326">
        <w:rPr>
          <w:i/>
          <w:iCs/>
        </w:rPr>
        <w:t xml:space="preserve"> Roman Empire</w:t>
      </w:r>
      <w:r>
        <w:t xml:space="preserve">. London: </w:t>
      </w:r>
      <w:proofErr w:type="spellStart"/>
      <w:r>
        <w:t>Strahan</w:t>
      </w:r>
      <w:proofErr w:type="spellEnd"/>
      <w:r>
        <w:t xml:space="preserve"> &amp; </w:t>
      </w:r>
      <w:proofErr w:type="spellStart"/>
      <w:r>
        <w:t>Cadell</w:t>
      </w:r>
      <w:proofErr w:type="spellEnd"/>
      <w:r>
        <w:t>, 1776.</w:t>
      </w:r>
    </w:p>
    <w:p w14:paraId="55D4CF63" w14:textId="688EDF32" w:rsidR="00026B08" w:rsidRDefault="00026B08">
      <w:pPr>
        <w:spacing w:line="240" w:lineRule="auto"/>
        <w:ind w:firstLine="0"/>
      </w:pPr>
      <w:r>
        <w:lastRenderedPageBreak/>
        <w:t xml:space="preserve">GONÇALVES, Ana Teresa Marques. Os Severos e a anarquia militar. </w:t>
      </w:r>
      <w:r w:rsidRPr="00AC4326">
        <w:rPr>
          <w:i/>
          <w:iCs/>
        </w:rPr>
        <w:t>In:</w:t>
      </w:r>
      <w:r>
        <w:t xml:space="preserve"> SILVA, G. V.; MENDES, N. M. (</w:t>
      </w:r>
      <w:proofErr w:type="spellStart"/>
      <w:r>
        <w:t>Orgs</w:t>
      </w:r>
      <w:proofErr w:type="spellEnd"/>
      <w:r>
        <w:t xml:space="preserve">.). </w:t>
      </w:r>
      <w:r w:rsidRPr="00AC4326">
        <w:rPr>
          <w:i/>
          <w:iCs/>
        </w:rPr>
        <w:t>Repensando o Império Romano</w:t>
      </w:r>
      <w:r>
        <w:t xml:space="preserve">: perspectiva socioeconômica, política e </w:t>
      </w:r>
      <w:proofErr w:type="gramStart"/>
      <w:r>
        <w:t>cultural .</w:t>
      </w:r>
      <w:proofErr w:type="gramEnd"/>
      <w:r>
        <w:t xml:space="preserve"> Vitória: EDUFES/ Mauad, 2006, p. 175-191.</w:t>
      </w:r>
    </w:p>
    <w:p w14:paraId="588CBA07" w14:textId="77777777" w:rsidR="00026B08" w:rsidRDefault="00026B08">
      <w:pPr>
        <w:spacing w:line="240" w:lineRule="auto"/>
        <w:ind w:firstLine="0"/>
      </w:pPr>
    </w:p>
    <w:p w14:paraId="6024FD40" w14:textId="7BBB3928" w:rsidR="00026B08" w:rsidRDefault="00026B08">
      <w:pPr>
        <w:spacing w:line="240" w:lineRule="auto"/>
        <w:ind w:firstLine="0"/>
      </w:pPr>
      <w:r>
        <w:t xml:space="preserve">GOODY, Jack. </w:t>
      </w:r>
      <w:r w:rsidRPr="00AC4326">
        <w:rPr>
          <w:i/>
          <w:iCs/>
        </w:rPr>
        <w:t>A lógica da escrita e a organização da sociedade.</w:t>
      </w:r>
      <w:r>
        <w:t xml:space="preserve"> Petrópolis: Ed. Vozes, 2019.</w:t>
      </w:r>
    </w:p>
    <w:p w14:paraId="3161162C" w14:textId="77777777" w:rsidR="00026B08" w:rsidRDefault="00026B08">
      <w:pPr>
        <w:spacing w:line="240" w:lineRule="auto"/>
        <w:ind w:firstLine="0"/>
      </w:pPr>
    </w:p>
    <w:p w14:paraId="06147CDC" w14:textId="29C97A2F" w:rsidR="00026B08" w:rsidRDefault="00026B08">
      <w:pPr>
        <w:spacing w:line="240" w:lineRule="auto"/>
        <w:ind w:firstLine="0"/>
      </w:pPr>
      <w:r>
        <w:t xml:space="preserve">GORDON, Joel. When Superman </w:t>
      </w:r>
      <w:proofErr w:type="spellStart"/>
      <w:r>
        <w:t>smote</w:t>
      </w:r>
      <w:proofErr w:type="spellEnd"/>
      <w:r>
        <w:t xml:space="preserve"> Zeus: </w:t>
      </w:r>
      <w:proofErr w:type="spellStart"/>
      <w:r>
        <w:t>analysing</w:t>
      </w:r>
      <w:proofErr w:type="spellEnd"/>
      <w:r>
        <w:t xml:space="preserve"> </w:t>
      </w:r>
      <w:proofErr w:type="spellStart"/>
      <w:r>
        <w:t>violent</w:t>
      </w:r>
      <w:proofErr w:type="spellEnd"/>
      <w:r>
        <w:t xml:space="preserve"> </w:t>
      </w:r>
      <w:proofErr w:type="spellStart"/>
      <w:r>
        <w:t>deicide</w:t>
      </w:r>
      <w:proofErr w:type="spellEnd"/>
      <w:r>
        <w:t xml:space="preserve"> in popular </w:t>
      </w:r>
      <w:proofErr w:type="spellStart"/>
      <w:r>
        <w:t>culture</w:t>
      </w:r>
      <w:proofErr w:type="spellEnd"/>
      <w:r>
        <w:t xml:space="preserve">. </w:t>
      </w:r>
      <w:proofErr w:type="spellStart"/>
      <w:r w:rsidRPr="00AC4326">
        <w:rPr>
          <w:i/>
          <w:iCs/>
        </w:rPr>
        <w:t>Classical</w:t>
      </w:r>
      <w:proofErr w:type="spellEnd"/>
      <w:r w:rsidRPr="00AC4326">
        <w:rPr>
          <w:i/>
          <w:iCs/>
        </w:rPr>
        <w:t xml:space="preserve"> </w:t>
      </w:r>
      <w:proofErr w:type="spellStart"/>
      <w:r w:rsidRPr="00AC4326">
        <w:rPr>
          <w:i/>
          <w:iCs/>
        </w:rPr>
        <w:t>Receptions</w:t>
      </w:r>
      <w:proofErr w:type="spellEnd"/>
      <w:r w:rsidRPr="00AC4326">
        <w:rPr>
          <w:i/>
          <w:iCs/>
        </w:rPr>
        <w:t xml:space="preserve"> </w:t>
      </w:r>
      <w:proofErr w:type="spellStart"/>
      <w:r w:rsidRPr="00AC4326">
        <w:rPr>
          <w:i/>
          <w:iCs/>
        </w:rPr>
        <w:t>Journal</w:t>
      </w:r>
      <w:proofErr w:type="spellEnd"/>
      <w:r>
        <w:t>, v. 9, n. 2, abr. 2017, p. 211-236,</w:t>
      </w:r>
    </w:p>
    <w:p w14:paraId="2D16AA62" w14:textId="77777777" w:rsidR="00026B08" w:rsidRDefault="00026B08">
      <w:pPr>
        <w:spacing w:line="240" w:lineRule="auto"/>
        <w:ind w:firstLine="0"/>
      </w:pPr>
    </w:p>
    <w:p w14:paraId="5B06BA05" w14:textId="749C5931" w:rsidR="00026B08" w:rsidRDefault="00026B08">
      <w:pPr>
        <w:spacing w:line="240" w:lineRule="auto"/>
        <w:ind w:firstLine="0"/>
      </w:pPr>
      <w:r>
        <w:t xml:space="preserve">HARDWICK, </w:t>
      </w:r>
      <w:proofErr w:type="spellStart"/>
      <w:r>
        <w:t>Lorna</w:t>
      </w:r>
      <w:proofErr w:type="spellEnd"/>
      <w:r>
        <w:t xml:space="preserve">. </w:t>
      </w:r>
      <w:proofErr w:type="spellStart"/>
      <w:r w:rsidRPr="00AC4326">
        <w:rPr>
          <w:i/>
          <w:iCs/>
        </w:rPr>
        <w:t>Reception</w:t>
      </w:r>
      <w:proofErr w:type="spellEnd"/>
      <w:r w:rsidRPr="00AC4326">
        <w:rPr>
          <w:i/>
          <w:iCs/>
        </w:rPr>
        <w:t xml:space="preserve"> </w:t>
      </w:r>
      <w:proofErr w:type="spellStart"/>
      <w:r w:rsidRPr="00AC4326">
        <w:rPr>
          <w:i/>
          <w:iCs/>
        </w:rPr>
        <w:t>Studies</w:t>
      </w:r>
      <w:proofErr w:type="spellEnd"/>
      <w:r>
        <w:t xml:space="preserve">. Oxford: Oxford </w:t>
      </w:r>
      <w:proofErr w:type="spellStart"/>
      <w:r>
        <w:t>University</w:t>
      </w:r>
      <w:proofErr w:type="spellEnd"/>
      <w:r>
        <w:t xml:space="preserve"> Press, 2003.</w:t>
      </w:r>
    </w:p>
    <w:p w14:paraId="7F7AA57B" w14:textId="77777777" w:rsidR="00026B08" w:rsidRDefault="00026B08">
      <w:pPr>
        <w:spacing w:line="240" w:lineRule="auto"/>
        <w:ind w:firstLine="0"/>
      </w:pPr>
    </w:p>
    <w:p w14:paraId="2C1B3134" w14:textId="5993358F" w:rsidR="00026B08" w:rsidRDefault="00026B08">
      <w:pPr>
        <w:spacing w:line="240" w:lineRule="auto"/>
        <w:ind w:firstLine="0"/>
      </w:pPr>
      <w:r>
        <w:t xml:space="preserve">HARDWICK, </w:t>
      </w:r>
      <w:proofErr w:type="spellStart"/>
      <w:r>
        <w:t>Lorna</w:t>
      </w:r>
      <w:proofErr w:type="spellEnd"/>
      <w:r>
        <w:t xml:space="preserve">; STRAY, Christopher. </w:t>
      </w:r>
      <w:proofErr w:type="spellStart"/>
      <w:r>
        <w:t>Introduction</w:t>
      </w:r>
      <w:proofErr w:type="spellEnd"/>
      <w:r>
        <w:t xml:space="preserve">: making connections. </w:t>
      </w:r>
      <w:r w:rsidRPr="00AC4326">
        <w:rPr>
          <w:i/>
          <w:iCs/>
        </w:rPr>
        <w:t>In.:</w:t>
      </w:r>
      <w:r>
        <w:t xml:space="preserve"> </w:t>
      </w:r>
      <w:r w:rsidRPr="00AC4326">
        <w:rPr>
          <w:i/>
          <w:iCs/>
        </w:rPr>
        <w:t xml:space="preserve">A Companion </w:t>
      </w:r>
      <w:proofErr w:type="spellStart"/>
      <w:r w:rsidRPr="00AC4326">
        <w:rPr>
          <w:i/>
          <w:iCs/>
        </w:rPr>
        <w:t>to</w:t>
      </w:r>
      <w:proofErr w:type="spellEnd"/>
      <w:r w:rsidRPr="00AC4326">
        <w:rPr>
          <w:i/>
          <w:iCs/>
        </w:rPr>
        <w:t xml:space="preserve"> </w:t>
      </w:r>
      <w:proofErr w:type="spellStart"/>
      <w:r w:rsidRPr="00AC4326">
        <w:rPr>
          <w:i/>
          <w:iCs/>
        </w:rPr>
        <w:t>Classical</w:t>
      </w:r>
      <w:proofErr w:type="spellEnd"/>
      <w:r w:rsidRPr="00AC4326">
        <w:rPr>
          <w:i/>
          <w:iCs/>
        </w:rPr>
        <w:t xml:space="preserve"> </w:t>
      </w:r>
      <w:proofErr w:type="spellStart"/>
      <w:r w:rsidRPr="00AC4326">
        <w:rPr>
          <w:i/>
          <w:iCs/>
        </w:rPr>
        <w:t>Receptions</w:t>
      </w:r>
      <w:proofErr w:type="spellEnd"/>
      <w:r>
        <w:t>. Oxford: Blackwell, 2008, p. 1-9.</w:t>
      </w:r>
    </w:p>
    <w:p w14:paraId="601581AC" w14:textId="77777777" w:rsidR="00026B08" w:rsidRDefault="00026B08">
      <w:pPr>
        <w:spacing w:line="240" w:lineRule="auto"/>
        <w:ind w:firstLine="0"/>
      </w:pPr>
    </w:p>
    <w:p w14:paraId="2A3B5422" w14:textId="1F2B6D86" w:rsidR="00026B08" w:rsidRDefault="00026B08">
      <w:pPr>
        <w:spacing w:line="240" w:lineRule="auto"/>
        <w:ind w:firstLine="0"/>
      </w:pPr>
      <w:r>
        <w:t xml:space="preserve">HARPER, Kyle. </w:t>
      </w:r>
      <w:r w:rsidRPr="00AC4326">
        <w:rPr>
          <w:i/>
          <w:iCs/>
        </w:rPr>
        <w:t xml:space="preserve">The Fate </w:t>
      </w:r>
      <w:proofErr w:type="spellStart"/>
      <w:r w:rsidRPr="00AC4326">
        <w:rPr>
          <w:i/>
          <w:iCs/>
        </w:rPr>
        <w:t>of</w:t>
      </w:r>
      <w:proofErr w:type="spellEnd"/>
      <w:r w:rsidRPr="00AC4326">
        <w:rPr>
          <w:i/>
          <w:iCs/>
        </w:rPr>
        <w:t xml:space="preserve"> </w:t>
      </w:r>
      <w:proofErr w:type="spellStart"/>
      <w:r w:rsidRPr="00AC4326">
        <w:rPr>
          <w:i/>
          <w:iCs/>
        </w:rPr>
        <w:t>Rome</w:t>
      </w:r>
      <w:proofErr w:type="spellEnd"/>
      <w:r>
        <w:t xml:space="preserve">: </w:t>
      </w:r>
      <w:proofErr w:type="spellStart"/>
      <w:r>
        <w:t>Climate</w:t>
      </w:r>
      <w:proofErr w:type="spellEnd"/>
      <w:r>
        <w:t xml:space="preserve">, </w:t>
      </w:r>
      <w:proofErr w:type="spellStart"/>
      <w:r>
        <w:t>Disease</w:t>
      </w:r>
      <w:proofErr w:type="spellEnd"/>
      <w:r>
        <w:t xml:space="preserve">, </w:t>
      </w:r>
      <w:proofErr w:type="spellStart"/>
      <w:r>
        <w:t>and</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an</w:t>
      </w:r>
      <w:proofErr w:type="spellEnd"/>
      <w:r>
        <w:t xml:space="preserve"> Empire. Princeton: Princeton </w:t>
      </w:r>
      <w:proofErr w:type="spellStart"/>
      <w:r>
        <w:t>University</w:t>
      </w:r>
      <w:proofErr w:type="spellEnd"/>
      <w:r>
        <w:t xml:space="preserve"> Press, 2017.</w:t>
      </w:r>
    </w:p>
    <w:p w14:paraId="478FE1D4" w14:textId="77777777" w:rsidR="00026B08" w:rsidRDefault="00026B08">
      <w:pPr>
        <w:spacing w:line="240" w:lineRule="auto"/>
        <w:ind w:firstLine="0"/>
      </w:pPr>
    </w:p>
    <w:p w14:paraId="411777B0" w14:textId="341C9514" w:rsidR="00026B08" w:rsidRDefault="00026B08">
      <w:pPr>
        <w:spacing w:line="240" w:lineRule="auto"/>
        <w:ind w:firstLine="0"/>
      </w:pPr>
      <w:r>
        <w:t xml:space="preserve">HARTOG, François. </w:t>
      </w:r>
      <w:r w:rsidRPr="00AC4326">
        <w:rPr>
          <w:i/>
          <w:iCs/>
        </w:rPr>
        <w:t>Antigos, modernos, selvagens</w:t>
      </w:r>
      <w:r>
        <w:t>. Rio de Janeiro: FGV, 2021.</w:t>
      </w:r>
    </w:p>
    <w:p w14:paraId="618CD67F" w14:textId="77777777" w:rsidR="00026B08" w:rsidRDefault="00026B08">
      <w:pPr>
        <w:spacing w:line="240" w:lineRule="auto"/>
        <w:ind w:firstLine="0"/>
      </w:pPr>
    </w:p>
    <w:p w14:paraId="3C5784E3" w14:textId="75D75961" w:rsidR="00026B08" w:rsidRDefault="00026B08">
      <w:pPr>
        <w:spacing w:line="240" w:lineRule="auto"/>
        <w:ind w:firstLine="0"/>
      </w:pPr>
      <w:r>
        <w:t xml:space="preserve">HARTOG, François. </w:t>
      </w:r>
      <w:r w:rsidRPr="00AC4326">
        <w:rPr>
          <w:i/>
          <w:iCs/>
        </w:rPr>
        <w:t>Regimes de Historicidade</w:t>
      </w:r>
      <w:r>
        <w:t xml:space="preserve">: </w:t>
      </w:r>
      <w:proofErr w:type="spellStart"/>
      <w:r>
        <w:t>Presentismo</w:t>
      </w:r>
      <w:proofErr w:type="spellEnd"/>
      <w:r>
        <w:t xml:space="preserve"> E Experiências Do Tempo. Belo Horizonte: Autêntica, 2014.</w:t>
      </w:r>
    </w:p>
    <w:p w14:paraId="6FD2A80E" w14:textId="77777777" w:rsidR="00026B08" w:rsidRDefault="00026B08">
      <w:pPr>
        <w:spacing w:line="240" w:lineRule="auto"/>
        <w:ind w:firstLine="0"/>
      </w:pPr>
    </w:p>
    <w:p w14:paraId="0491CC2A" w14:textId="730DB481" w:rsidR="00026B08" w:rsidRDefault="00026B08">
      <w:pPr>
        <w:spacing w:line="240" w:lineRule="auto"/>
        <w:ind w:firstLine="0"/>
      </w:pPr>
      <w:r>
        <w:t xml:space="preserve">HEATHER, Peter. </w:t>
      </w:r>
      <w:r w:rsidRPr="00AC4326">
        <w:rPr>
          <w:i/>
          <w:iCs/>
        </w:rPr>
        <w:t xml:space="preserve">The </w:t>
      </w:r>
      <w:proofErr w:type="spellStart"/>
      <w:r w:rsidRPr="00AC4326">
        <w:rPr>
          <w:i/>
          <w:iCs/>
        </w:rPr>
        <w:t>Fall</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the</w:t>
      </w:r>
      <w:proofErr w:type="spellEnd"/>
      <w:r w:rsidRPr="00AC4326">
        <w:rPr>
          <w:i/>
          <w:iCs/>
        </w:rPr>
        <w:t xml:space="preserve"> Roman Empire</w:t>
      </w:r>
      <w:r>
        <w:t xml:space="preserve">: A New </w:t>
      </w:r>
      <w:proofErr w:type="spellStart"/>
      <w:r>
        <w:t>History</w:t>
      </w:r>
      <w:proofErr w:type="spellEnd"/>
      <w:r>
        <w:t xml:space="preserve"> </w:t>
      </w:r>
      <w:proofErr w:type="spellStart"/>
      <w:r>
        <w:t>of</w:t>
      </w:r>
      <w:proofErr w:type="spellEnd"/>
      <w:r>
        <w:t xml:space="preserve"> </w:t>
      </w:r>
      <w:proofErr w:type="spellStart"/>
      <w:r>
        <w:t>Rome</w:t>
      </w:r>
      <w:proofErr w:type="spellEnd"/>
      <w:r>
        <w:t xml:space="preserve"> </w:t>
      </w:r>
      <w:proofErr w:type="spellStart"/>
      <w:r>
        <w:t>and</w:t>
      </w:r>
      <w:proofErr w:type="spellEnd"/>
      <w:r>
        <w:t xml:space="preserve"> </w:t>
      </w:r>
      <w:proofErr w:type="spellStart"/>
      <w:r>
        <w:t>the</w:t>
      </w:r>
      <w:proofErr w:type="spellEnd"/>
      <w:r>
        <w:t xml:space="preserve"> </w:t>
      </w:r>
      <w:proofErr w:type="spellStart"/>
      <w:r>
        <w:t>Barbarians</w:t>
      </w:r>
      <w:proofErr w:type="spellEnd"/>
      <w:r>
        <w:t xml:space="preserve">. Oxford: Oxford </w:t>
      </w:r>
      <w:proofErr w:type="spellStart"/>
      <w:r>
        <w:t>University</w:t>
      </w:r>
      <w:proofErr w:type="spellEnd"/>
      <w:r>
        <w:t xml:space="preserve"> Press, 2005.</w:t>
      </w:r>
    </w:p>
    <w:p w14:paraId="5528831D" w14:textId="77777777" w:rsidR="00026B08" w:rsidRDefault="00026B08">
      <w:pPr>
        <w:spacing w:line="240" w:lineRule="auto"/>
        <w:ind w:firstLine="0"/>
      </w:pPr>
    </w:p>
    <w:p w14:paraId="6852169C" w14:textId="7F861033" w:rsidR="00026B08" w:rsidRDefault="00026B08">
      <w:pPr>
        <w:spacing w:line="240" w:lineRule="auto"/>
        <w:ind w:firstLine="0"/>
      </w:pPr>
      <w:r>
        <w:t xml:space="preserve">HOBSBAWM, Eric. </w:t>
      </w:r>
      <w:r w:rsidRPr="00AC4326">
        <w:rPr>
          <w:i/>
          <w:iCs/>
        </w:rPr>
        <w:t>A invenção das tradições</w:t>
      </w:r>
      <w:r>
        <w:t>. Rio de Janeiro: Paz e Terra, 1997.</w:t>
      </w:r>
    </w:p>
    <w:p w14:paraId="041D8D94" w14:textId="77777777" w:rsidR="00026B08" w:rsidRDefault="00026B08">
      <w:pPr>
        <w:spacing w:line="240" w:lineRule="auto"/>
        <w:ind w:firstLine="0"/>
      </w:pPr>
    </w:p>
    <w:p w14:paraId="303A5715" w14:textId="0E3AE2DA" w:rsidR="00026B08" w:rsidRDefault="00026B08">
      <w:pPr>
        <w:spacing w:line="240" w:lineRule="auto"/>
        <w:ind w:firstLine="0"/>
      </w:pPr>
      <w:r>
        <w:t xml:space="preserve">HOBSBAWM, Eric. </w:t>
      </w:r>
      <w:r w:rsidRPr="00AC4326">
        <w:rPr>
          <w:i/>
          <w:iCs/>
        </w:rPr>
        <w:t>Nações e nacionalismo desde 1780</w:t>
      </w:r>
      <w:r>
        <w:t>: programa, mito e realidade. Rio de Janeiro: Paz e Terra, 1990.</w:t>
      </w:r>
    </w:p>
    <w:p w14:paraId="6620AF6A" w14:textId="77777777" w:rsidR="00026B08" w:rsidRDefault="00026B08">
      <w:pPr>
        <w:spacing w:line="240" w:lineRule="auto"/>
        <w:ind w:firstLine="0"/>
      </w:pPr>
    </w:p>
    <w:p w14:paraId="492B967F" w14:textId="7CCD2C12" w:rsidR="00026B08" w:rsidRDefault="00026B08">
      <w:pPr>
        <w:spacing w:line="240" w:lineRule="auto"/>
        <w:ind w:firstLine="0"/>
      </w:pPr>
      <w:r>
        <w:t xml:space="preserve">ISER, Wolfgang. </w:t>
      </w:r>
      <w:r w:rsidRPr="00AC4326">
        <w:rPr>
          <w:i/>
          <w:iCs/>
        </w:rPr>
        <w:t>O Ato da Leitura</w:t>
      </w:r>
      <w:r>
        <w:t>: uma teoria do efeito estético. São Paulo: Editora 34, 1996.</w:t>
      </w:r>
    </w:p>
    <w:p w14:paraId="1CBBBF12" w14:textId="77777777" w:rsidR="00026B08" w:rsidRDefault="00026B08">
      <w:pPr>
        <w:spacing w:line="240" w:lineRule="auto"/>
        <w:ind w:firstLine="0"/>
      </w:pPr>
    </w:p>
    <w:p w14:paraId="2839661F" w14:textId="0EF65F89" w:rsidR="00026B08" w:rsidRDefault="00026B08">
      <w:pPr>
        <w:spacing w:line="240" w:lineRule="auto"/>
        <w:ind w:firstLine="0"/>
      </w:pPr>
      <w:r>
        <w:t xml:space="preserve">JAUSS, Hans Robert. </w:t>
      </w:r>
      <w:r w:rsidRPr="00AC4326">
        <w:rPr>
          <w:i/>
          <w:iCs/>
        </w:rPr>
        <w:t>A História da Literatura como Provocação à Teoria Literária.</w:t>
      </w:r>
      <w:r>
        <w:t xml:space="preserve"> São Paulo: Ática, 1994.</w:t>
      </w:r>
    </w:p>
    <w:p w14:paraId="69B8FC22" w14:textId="77777777" w:rsidR="00026B08" w:rsidRDefault="00026B08">
      <w:pPr>
        <w:spacing w:line="240" w:lineRule="auto"/>
        <w:ind w:firstLine="0"/>
      </w:pPr>
    </w:p>
    <w:p w14:paraId="3D0F80E3" w14:textId="699DE722" w:rsidR="00026B08" w:rsidRDefault="00026B08">
      <w:pPr>
        <w:spacing w:line="240" w:lineRule="auto"/>
        <w:ind w:firstLine="0"/>
      </w:pPr>
      <w:r>
        <w:t xml:space="preserve">JONES, A. H. M. </w:t>
      </w:r>
      <w:r w:rsidRPr="00AC4326">
        <w:rPr>
          <w:i/>
          <w:iCs/>
        </w:rPr>
        <w:t>The Later Roman Empire, 284–602</w:t>
      </w:r>
      <w:r>
        <w:t>. Oxford: Blackwell, 1964.</w:t>
      </w:r>
    </w:p>
    <w:p w14:paraId="376F3A31" w14:textId="77777777" w:rsidR="00026B08" w:rsidRDefault="00026B08">
      <w:pPr>
        <w:spacing w:line="240" w:lineRule="auto"/>
        <w:ind w:firstLine="0"/>
      </w:pPr>
    </w:p>
    <w:p w14:paraId="16D06533" w14:textId="78AD9D0F" w:rsidR="00026B08" w:rsidRDefault="00026B08">
      <w:pPr>
        <w:spacing w:line="240" w:lineRule="auto"/>
        <w:ind w:firstLine="0"/>
      </w:pPr>
      <w:r>
        <w:t xml:space="preserve">JUNQUEIRA, Nathalia </w:t>
      </w:r>
      <w:proofErr w:type="spellStart"/>
      <w:r>
        <w:t>Monseff</w:t>
      </w:r>
      <w:proofErr w:type="spellEnd"/>
      <w:r>
        <w:t xml:space="preserve">. </w:t>
      </w:r>
      <w:r w:rsidRPr="00AC4326">
        <w:rPr>
          <w:i/>
          <w:iCs/>
        </w:rPr>
        <w:t>A viagem de Gustave Flaubert ao Egito</w:t>
      </w:r>
      <w:r>
        <w:t>: ensaios sobre os usos do passado na história e na literatura. 1. ed. Campo Grande: Editora UFMS, 2020. v. 1.</w:t>
      </w:r>
    </w:p>
    <w:p w14:paraId="5960CDD6" w14:textId="77777777" w:rsidR="00026B08" w:rsidRDefault="00026B08">
      <w:pPr>
        <w:spacing w:line="240" w:lineRule="auto"/>
        <w:ind w:firstLine="0"/>
      </w:pPr>
    </w:p>
    <w:p w14:paraId="53C71C1C" w14:textId="41183973" w:rsidR="00026B08" w:rsidRDefault="00026B08">
      <w:pPr>
        <w:spacing w:line="240" w:lineRule="auto"/>
        <w:ind w:firstLine="0"/>
      </w:pPr>
      <w:r>
        <w:t xml:space="preserve">KRAMER, Samuel Noah. </w:t>
      </w:r>
      <w:proofErr w:type="spellStart"/>
      <w:r w:rsidRPr="00AC4326">
        <w:rPr>
          <w:i/>
          <w:iCs/>
        </w:rPr>
        <w:t>History</w:t>
      </w:r>
      <w:proofErr w:type="spellEnd"/>
      <w:r w:rsidRPr="00AC4326">
        <w:rPr>
          <w:i/>
          <w:iCs/>
        </w:rPr>
        <w:t xml:space="preserve"> </w:t>
      </w:r>
      <w:proofErr w:type="spellStart"/>
      <w:r w:rsidRPr="00AC4326">
        <w:rPr>
          <w:i/>
          <w:iCs/>
        </w:rPr>
        <w:t>Begins</w:t>
      </w:r>
      <w:proofErr w:type="spellEnd"/>
      <w:r w:rsidRPr="00AC4326">
        <w:rPr>
          <w:i/>
          <w:iCs/>
        </w:rPr>
        <w:t xml:space="preserve"> </w:t>
      </w:r>
      <w:proofErr w:type="spellStart"/>
      <w:r w:rsidRPr="00AC4326">
        <w:rPr>
          <w:i/>
          <w:iCs/>
        </w:rPr>
        <w:t>at</w:t>
      </w:r>
      <w:proofErr w:type="spellEnd"/>
      <w:r w:rsidRPr="00AC4326">
        <w:rPr>
          <w:i/>
          <w:iCs/>
        </w:rPr>
        <w:t xml:space="preserve"> </w:t>
      </w:r>
      <w:proofErr w:type="spellStart"/>
      <w:r w:rsidRPr="00AC4326">
        <w:rPr>
          <w:i/>
          <w:iCs/>
        </w:rPr>
        <w:t>Sumer</w:t>
      </w:r>
      <w:proofErr w:type="spellEnd"/>
      <w:r>
        <w:t xml:space="preserve">: </w:t>
      </w:r>
      <w:proofErr w:type="spellStart"/>
      <w:r>
        <w:t>Thirty</w:t>
      </w:r>
      <w:proofErr w:type="spellEnd"/>
      <w:r>
        <w:t xml:space="preserve">-Nine </w:t>
      </w:r>
      <w:proofErr w:type="spellStart"/>
      <w:r>
        <w:t>Firsts</w:t>
      </w:r>
      <w:proofErr w:type="spellEnd"/>
      <w:r>
        <w:t xml:space="preserve"> in </w:t>
      </w:r>
      <w:proofErr w:type="spellStart"/>
      <w:r>
        <w:t>Recorded</w:t>
      </w:r>
      <w:proofErr w:type="spellEnd"/>
      <w:r>
        <w:t xml:space="preserve"> </w:t>
      </w:r>
      <w:proofErr w:type="spellStart"/>
      <w:r>
        <w:t>History</w:t>
      </w:r>
      <w:proofErr w:type="spellEnd"/>
      <w:r>
        <w:t xml:space="preserve">. 3. ed. Philadelphia: </w:t>
      </w:r>
      <w:proofErr w:type="spellStart"/>
      <w:r>
        <w:t>University</w:t>
      </w:r>
      <w:proofErr w:type="spellEnd"/>
      <w:r>
        <w:t xml:space="preserve"> </w:t>
      </w:r>
      <w:proofErr w:type="spellStart"/>
      <w:r>
        <w:t>of</w:t>
      </w:r>
      <w:proofErr w:type="spellEnd"/>
      <w:r>
        <w:t xml:space="preserve"> Pennsylvania Press, 1988.</w:t>
      </w:r>
    </w:p>
    <w:p w14:paraId="4020123A" w14:textId="77777777" w:rsidR="00026B08" w:rsidRDefault="00026B08">
      <w:pPr>
        <w:spacing w:line="240" w:lineRule="auto"/>
        <w:ind w:firstLine="0"/>
      </w:pPr>
    </w:p>
    <w:p w14:paraId="188E3C0F" w14:textId="71C57B82" w:rsidR="00026B08" w:rsidRDefault="00026B08">
      <w:pPr>
        <w:spacing w:line="240" w:lineRule="auto"/>
        <w:ind w:firstLine="0"/>
      </w:pPr>
      <w:r>
        <w:t xml:space="preserve">LE BOHEC, Yann. </w:t>
      </w:r>
      <w:proofErr w:type="spellStart"/>
      <w:r w:rsidRPr="00AC4326">
        <w:rPr>
          <w:i/>
          <w:iCs/>
        </w:rPr>
        <w:t>L’armée</w:t>
      </w:r>
      <w:proofErr w:type="spellEnd"/>
      <w:r w:rsidRPr="00AC4326">
        <w:rPr>
          <w:i/>
          <w:iCs/>
        </w:rPr>
        <w:t xml:space="preserve"> </w:t>
      </w:r>
      <w:proofErr w:type="spellStart"/>
      <w:r w:rsidRPr="00AC4326">
        <w:rPr>
          <w:i/>
          <w:iCs/>
        </w:rPr>
        <w:t>romaine</w:t>
      </w:r>
      <w:proofErr w:type="spellEnd"/>
      <w:r w:rsidRPr="00AC4326">
        <w:rPr>
          <w:i/>
          <w:iCs/>
        </w:rPr>
        <w:t xml:space="preserve"> </w:t>
      </w:r>
      <w:proofErr w:type="spellStart"/>
      <w:r w:rsidRPr="00AC4326">
        <w:rPr>
          <w:i/>
          <w:iCs/>
        </w:rPr>
        <w:t>dans</w:t>
      </w:r>
      <w:proofErr w:type="spellEnd"/>
      <w:r w:rsidRPr="00AC4326">
        <w:rPr>
          <w:i/>
          <w:iCs/>
        </w:rPr>
        <w:t xml:space="preserve"> </w:t>
      </w:r>
      <w:proofErr w:type="spellStart"/>
      <w:r w:rsidRPr="00AC4326">
        <w:rPr>
          <w:i/>
          <w:iCs/>
        </w:rPr>
        <w:t>la</w:t>
      </w:r>
      <w:proofErr w:type="spellEnd"/>
      <w:r w:rsidRPr="00AC4326">
        <w:rPr>
          <w:i/>
          <w:iCs/>
        </w:rPr>
        <w:t xml:space="preserve"> </w:t>
      </w:r>
      <w:proofErr w:type="spellStart"/>
      <w:r w:rsidRPr="00AC4326">
        <w:rPr>
          <w:i/>
          <w:iCs/>
        </w:rPr>
        <w:t>tourmente</w:t>
      </w:r>
      <w:proofErr w:type="spellEnd"/>
      <w:r>
        <w:t xml:space="preserve">: une nouvelle </w:t>
      </w:r>
      <w:proofErr w:type="spellStart"/>
      <w:r>
        <w:t>approche</w:t>
      </w:r>
      <w:proofErr w:type="spellEnd"/>
      <w:r>
        <w:t xml:space="preserve"> de </w:t>
      </w:r>
      <w:proofErr w:type="spellStart"/>
      <w:r>
        <w:t>la</w:t>
      </w:r>
      <w:proofErr w:type="spellEnd"/>
      <w:r>
        <w:t xml:space="preserve"> crise </w:t>
      </w:r>
      <w:proofErr w:type="spellStart"/>
      <w:r>
        <w:t>du</w:t>
      </w:r>
      <w:proofErr w:type="spellEnd"/>
      <w:r>
        <w:t xml:space="preserve"> </w:t>
      </w:r>
      <w:proofErr w:type="spellStart"/>
      <w:r>
        <w:t>troisième</w:t>
      </w:r>
      <w:proofErr w:type="spellEnd"/>
      <w:r>
        <w:t xml:space="preserve"> </w:t>
      </w:r>
      <w:proofErr w:type="spellStart"/>
      <w:r>
        <w:t>siècle</w:t>
      </w:r>
      <w:proofErr w:type="spellEnd"/>
      <w:r>
        <w:t xml:space="preserve">. Monaco; Paris: </w:t>
      </w:r>
      <w:proofErr w:type="spellStart"/>
      <w:r>
        <w:t>Éditions</w:t>
      </w:r>
      <w:proofErr w:type="spellEnd"/>
      <w:r>
        <w:t xml:space="preserve"> </w:t>
      </w:r>
      <w:proofErr w:type="spellStart"/>
      <w:r>
        <w:t>du</w:t>
      </w:r>
      <w:proofErr w:type="spellEnd"/>
      <w:r>
        <w:t xml:space="preserve"> Rocher, 2009.</w:t>
      </w:r>
    </w:p>
    <w:p w14:paraId="19A3788F" w14:textId="77777777" w:rsidR="00026B08" w:rsidRDefault="00026B08">
      <w:pPr>
        <w:spacing w:line="240" w:lineRule="auto"/>
        <w:ind w:firstLine="0"/>
      </w:pPr>
    </w:p>
    <w:p w14:paraId="23A2D5C8" w14:textId="29681968" w:rsidR="00026B08" w:rsidRDefault="00026B08">
      <w:pPr>
        <w:spacing w:line="240" w:lineRule="auto"/>
        <w:ind w:firstLine="0"/>
      </w:pPr>
      <w:r>
        <w:t xml:space="preserve">LEPELLEY, Claude. </w:t>
      </w:r>
      <w:proofErr w:type="spellStart"/>
      <w:r w:rsidRPr="00AC4326">
        <w:rPr>
          <w:i/>
          <w:iCs/>
        </w:rPr>
        <w:t>Les</w:t>
      </w:r>
      <w:proofErr w:type="spellEnd"/>
      <w:r w:rsidRPr="00AC4326">
        <w:rPr>
          <w:i/>
          <w:iCs/>
        </w:rPr>
        <w:t xml:space="preserve"> </w:t>
      </w:r>
      <w:proofErr w:type="spellStart"/>
      <w:r w:rsidRPr="00AC4326">
        <w:rPr>
          <w:i/>
          <w:iCs/>
        </w:rPr>
        <w:t>cités</w:t>
      </w:r>
      <w:proofErr w:type="spellEnd"/>
      <w:r w:rsidRPr="00AC4326">
        <w:rPr>
          <w:i/>
          <w:iCs/>
        </w:rPr>
        <w:t xml:space="preserve"> de </w:t>
      </w:r>
      <w:proofErr w:type="spellStart"/>
      <w:r w:rsidRPr="00AC4326">
        <w:rPr>
          <w:i/>
          <w:iCs/>
        </w:rPr>
        <w:t>l’Afrique</w:t>
      </w:r>
      <w:proofErr w:type="spellEnd"/>
      <w:r w:rsidRPr="00AC4326">
        <w:rPr>
          <w:i/>
          <w:iCs/>
        </w:rPr>
        <w:t xml:space="preserve"> </w:t>
      </w:r>
      <w:proofErr w:type="spellStart"/>
      <w:r w:rsidRPr="00AC4326">
        <w:rPr>
          <w:i/>
          <w:iCs/>
        </w:rPr>
        <w:t>romaine</w:t>
      </w:r>
      <w:proofErr w:type="spellEnd"/>
      <w:r w:rsidRPr="00AC4326">
        <w:rPr>
          <w:i/>
          <w:iCs/>
        </w:rPr>
        <w:t xml:space="preserve"> </w:t>
      </w:r>
      <w:proofErr w:type="spellStart"/>
      <w:r w:rsidRPr="00AC4326">
        <w:rPr>
          <w:i/>
          <w:iCs/>
        </w:rPr>
        <w:t>au</w:t>
      </w:r>
      <w:proofErr w:type="spellEnd"/>
      <w:r w:rsidRPr="00AC4326">
        <w:rPr>
          <w:i/>
          <w:iCs/>
        </w:rPr>
        <w:t xml:space="preserve"> </w:t>
      </w:r>
      <w:proofErr w:type="spellStart"/>
      <w:r w:rsidRPr="00AC4326">
        <w:rPr>
          <w:i/>
          <w:iCs/>
        </w:rPr>
        <w:t>Bas</w:t>
      </w:r>
      <w:proofErr w:type="spellEnd"/>
      <w:r w:rsidRPr="00AC4326">
        <w:rPr>
          <w:i/>
          <w:iCs/>
        </w:rPr>
        <w:t>-Empire</w:t>
      </w:r>
      <w:r>
        <w:t xml:space="preserve">. Paris: </w:t>
      </w:r>
      <w:proofErr w:type="spellStart"/>
      <w:r>
        <w:t>Études</w:t>
      </w:r>
      <w:proofErr w:type="spellEnd"/>
      <w:r>
        <w:t xml:space="preserve"> </w:t>
      </w:r>
      <w:proofErr w:type="spellStart"/>
      <w:r>
        <w:t>Augustiniennes</w:t>
      </w:r>
      <w:proofErr w:type="spellEnd"/>
      <w:r>
        <w:t>, 1979.</w:t>
      </w:r>
    </w:p>
    <w:p w14:paraId="63797851" w14:textId="77777777" w:rsidR="00026B08" w:rsidRDefault="00026B08">
      <w:pPr>
        <w:spacing w:line="240" w:lineRule="auto"/>
        <w:ind w:firstLine="0"/>
      </w:pPr>
    </w:p>
    <w:p w14:paraId="38F01453" w14:textId="2F54CE42" w:rsidR="00026B08" w:rsidRDefault="00026B08">
      <w:pPr>
        <w:spacing w:line="240" w:lineRule="auto"/>
        <w:ind w:firstLine="0"/>
      </w:pPr>
      <w:r>
        <w:lastRenderedPageBreak/>
        <w:t xml:space="preserve">LEPELLEY, Claude. </w:t>
      </w:r>
      <w:proofErr w:type="spellStart"/>
      <w:r w:rsidRPr="00AC4326">
        <w:rPr>
          <w:i/>
          <w:iCs/>
        </w:rPr>
        <w:t>Rome</w:t>
      </w:r>
      <w:proofErr w:type="spellEnd"/>
      <w:r w:rsidRPr="00AC4326">
        <w:rPr>
          <w:i/>
          <w:iCs/>
        </w:rPr>
        <w:t xml:space="preserve"> et </w:t>
      </w:r>
      <w:proofErr w:type="spellStart"/>
      <w:r w:rsidRPr="00AC4326">
        <w:rPr>
          <w:i/>
          <w:iCs/>
        </w:rPr>
        <w:t>l’intégration</w:t>
      </w:r>
      <w:proofErr w:type="spellEnd"/>
      <w:r w:rsidRPr="00AC4326">
        <w:rPr>
          <w:i/>
          <w:iCs/>
        </w:rPr>
        <w:t xml:space="preserve"> de </w:t>
      </w:r>
      <w:proofErr w:type="spellStart"/>
      <w:r w:rsidRPr="00AC4326">
        <w:rPr>
          <w:i/>
          <w:iCs/>
        </w:rPr>
        <w:t>l’Empire</w:t>
      </w:r>
      <w:proofErr w:type="spellEnd"/>
      <w:r w:rsidRPr="00AC4326">
        <w:rPr>
          <w:i/>
          <w:iCs/>
        </w:rPr>
        <w:t xml:space="preserve"> (44 av. J.-C. – 260 ap. J.-C.).</w:t>
      </w:r>
      <w:r>
        <w:t xml:space="preserve"> Paris: Sedes, 1998.</w:t>
      </w:r>
    </w:p>
    <w:p w14:paraId="79681B18" w14:textId="77777777" w:rsidR="00026B08" w:rsidRDefault="00026B08">
      <w:pPr>
        <w:spacing w:line="240" w:lineRule="auto"/>
        <w:ind w:firstLine="0"/>
      </w:pPr>
    </w:p>
    <w:p w14:paraId="6D48969B" w14:textId="46099A0F" w:rsidR="00026B08" w:rsidRDefault="00026B08">
      <w:pPr>
        <w:spacing w:line="240" w:lineRule="auto"/>
        <w:ind w:firstLine="0"/>
      </w:pPr>
      <w:r>
        <w:t xml:space="preserve">LIVERANI, Mario. </w:t>
      </w:r>
      <w:r w:rsidRPr="00AC4326">
        <w:rPr>
          <w:i/>
          <w:iCs/>
        </w:rPr>
        <w:t>Antigo Oriente</w:t>
      </w:r>
      <w:r>
        <w:t>: História, Sociedade e Economia. São Paulo: Editora da Universidade de São Paulo, 2016.</w:t>
      </w:r>
    </w:p>
    <w:p w14:paraId="3B1A52FB" w14:textId="77777777" w:rsidR="00026B08" w:rsidRDefault="00026B08">
      <w:pPr>
        <w:spacing w:line="240" w:lineRule="auto"/>
        <w:ind w:firstLine="0"/>
      </w:pPr>
    </w:p>
    <w:p w14:paraId="14C6AC13" w14:textId="29E46C45" w:rsidR="00026B08" w:rsidRDefault="00026B08">
      <w:pPr>
        <w:spacing w:line="240" w:lineRule="auto"/>
        <w:ind w:firstLine="0"/>
      </w:pPr>
      <w:r>
        <w:t xml:space="preserve">LIVERANI, Mario. </w:t>
      </w:r>
      <w:r w:rsidRPr="00AC4326">
        <w:rPr>
          <w:i/>
          <w:iCs/>
        </w:rPr>
        <w:t xml:space="preserve">Uruk: The </w:t>
      </w:r>
      <w:proofErr w:type="spellStart"/>
      <w:r w:rsidRPr="00AC4326">
        <w:rPr>
          <w:i/>
          <w:iCs/>
        </w:rPr>
        <w:t>First</w:t>
      </w:r>
      <w:proofErr w:type="spellEnd"/>
      <w:r w:rsidRPr="00AC4326">
        <w:rPr>
          <w:i/>
          <w:iCs/>
        </w:rPr>
        <w:t xml:space="preserve"> City</w:t>
      </w:r>
      <w:r>
        <w:t xml:space="preserve">. London: </w:t>
      </w:r>
      <w:proofErr w:type="spellStart"/>
      <w:r>
        <w:t>Equinox</w:t>
      </w:r>
      <w:proofErr w:type="spellEnd"/>
      <w:r>
        <w:t xml:space="preserve"> </w:t>
      </w:r>
      <w:proofErr w:type="spellStart"/>
      <w:r>
        <w:t>Publishing</w:t>
      </w:r>
      <w:proofErr w:type="spellEnd"/>
      <w:r>
        <w:t>, 2006.</w:t>
      </w:r>
    </w:p>
    <w:p w14:paraId="5EE15412" w14:textId="77777777" w:rsidR="00AC4326" w:rsidRDefault="00AC4326">
      <w:pPr>
        <w:spacing w:line="240" w:lineRule="auto"/>
        <w:ind w:firstLine="0"/>
      </w:pPr>
    </w:p>
    <w:p w14:paraId="24C420CF" w14:textId="052E5E39" w:rsidR="00026B08" w:rsidRDefault="00026B08">
      <w:pPr>
        <w:spacing w:line="240" w:lineRule="auto"/>
        <w:ind w:firstLine="0"/>
      </w:pPr>
      <w:r>
        <w:t xml:space="preserve">LOMÔNACO, José Fernando Bitencourt. Vida e Obra de Eurípedes Simões de Paula. </w:t>
      </w:r>
      <w:r w:rsidRPr="00AC4326">
        <w:rPr>
          <w:i/>
          <w:iCs/>
        </w:rPr>
        <w:t>Boletim</w:t>
      </w:r>
      <w:r>
        <w:t xml:space="preserve"> - Academia Paulista de Psicologia, São Paulo, v. 39, n. 97, p. 5-6, jul./dez. 2019.</w:t>
      </w:r>
    </w:p>
    <w:p w14:paraId="7DE838DB" w14:textId="77777777" w:rsidR="00026B08" w:rsidRDefault="00026B08">
      <w:pPr>
        <w:spacing w:line="240" w:lineRule="auto"/>
        <w:ind w:firstLine="0"/>
      </w:pPr>
    </w:p>
    <w:p w14:paraId="132B58C1" w14:textId="7BEE3EB2" w:rsidR="00026B08" w:rsidRDefault="00026B08">
      <w:pPr>
        <w:spacing w:line="240" w:lineRule="auto"/>
        <w:ind w:firstLine="0"/>
      </w:pPr>
      <w:r>
        <w:t xml:space="preserve">LOURENÇO, E. Os currículos de História e Estudos Sociais nos anos 70: entre a formação dos professores e a atuação na escola. </w:t>
      </w:r>
      <w:r w:rsidRPr="00AC4326">
        <w:rPr>
          <w:i/>
          <w:iCs/>
        </w:rPr>
        <w:t>Anais</w:t>
      </w:r>
      <w:r>
        <w:t xml:space="preserve"> do XV Simpósio Nacional de História – História e Multidisciplinaridade: territórios e deslocamentos. São Leopoldo: ANPUH, 2007, p. 01-13. </w:t>
      </w:r>
    </w:p>
    <w:p w14:paraId="5E585A60" w14:textId="77777777" w:rsidR="00026B08" w:rsidRDefault="00026B08">
      <w:pPr>
        <w:spacing w:line="240" w:lineRule="auto"/>
        <w:ind w:firstLine="0"/>
      </w:pPr>
    </w:p>
    <w:p w14:paraId="00F89665" w14:textId="55AA2F31" w:rsidR="00026B08" w:rsidRDefault="00026B08">
      <w:pPr>
        <w:spacing w:line="240" w:lineRule="auto"/>
        <w:ind w:firstLine="0"/>
      </w:pPr>
      <w:r>
        <w:t xml:space="preserve">MARCUSE, Harold. </w:t>
      </w:r>
      <w:proofErr w:type="spellStart"/>
      <w:r w:rsidRPr="00AC4326">
        <w:rPr>
          <w:i/>
          <w:iCs/>
        </w:rPr>
        <w:t>Reception</w:t>
      </w:r>
      <w:proofErr w:type="spellEnd"/>
      <w:r w:rsidRPr="00AC4326">
        <w:rPr>
          <w:i/>
          <w:iCs/>
        </w:rPr>
        <w:t xml:space="preserve"> </w:t>
      </w:r>
      <w:proofErr w:type="spellStart"/>
      <w:r w:rsidRPr="00AC4326">
        <w:rPr>
          <w:i/>
          <w:iCs/>
        </w:rPr>
        <w:t>History</w:t>
      </w:r>
      <w:proofErr w:type="spellEnd"/>
      <w:r>
        <w:t xml:space="preserve">: </w:t>
      </w:r>
      <w:proofErr w:type="spellStart"/>
      <w:r>
        <w:t>Definition</w:t>
      </w:r>
      <w:proofErr w:type="spellEnd"/>
      <w:r>
        <w:t xml:space="preserve"> </w:t>
      </w:r>
      <w:proofErr w:type="spellStart"/>
      <w:r>
        <w:t>and</w:t>
      </w:r>
      <w:proofErr w:type="spellEnd"/>
      <w:r>
        <w:t xml:space="preserve"> </w:t>
      </w:r>
      <w:proofErr w:type="spellStart"/>
      <w:r>
        <w:t>Quotations</w:t>
      </w:r>
      <w:proofErr w:type="spellEnd"/>
      <w:r>
        <w:t xml:space="preserve">. In.: Marcuse, UF </w:t>
      </w:r>
      <w:r w:rsidR="00AC4326">
        <w:t>Sant</w:t>
      </w:r>
      <w:r>
        <w:t xml:space="preserve"> Barbara. 9 mar. 2003, atualizado em 03 </w:t>
      </w:r>
      <w:proofErr w:type="spellStart"/>
      <w:r>
        <w:t>jan</w:t>
      </w:r>
      <w:proofErr w:type="spellEnd"/>
      <w:r>
        <w:t xml:space="preserve">, 2018. Disponível em: https://marcuse.faculty.history.ucsb.edu/receptionhist.htm. Acesso em 14 fev. 2026. </w:t>
      </w:r>
    </w:p>
    <w:p w14:paraId="75F32F8D" w14:textId="77777777" w:rsidR="00026B08" w:rsidRDefault="00026B08">
      <w:pPr>
        <w:spacing w:line="240" w:lineRule="auto"/>
        <w:ind w:firstLine="0"/>
      </w:pPr>
    </w:p>
    <w:p w14:paraId="5BAE4F98" w14:textId="7E9003EA" w:rsidR="00026B08" w:rsidRDefault="00026B08">
      <w:pPr>
        <w:spacing w:line="240" w:lineRule="auto"/>
        <w:ind w:firstLine="0"/>
      </w:pPr>
      <w:r>
        <w:t xml:space="preserve">MARTINDALE, Charles. </w:t>
      </w:r>
      <w:proofErr w:type="spellStart"/>
      <w:r>
        <w:t>Reception</w:t>
      </w:r>
      <w:proofErr w:type="spellEnd"/>
      <w:r>
        <w:t>.</w:t>
      </w:r>
      <w:r w:rsidRPr="00AC4326">
        <w:rPr>
          <w:i/>
          <w:iCs/>
        </w:rPr>
        <w:t xml:space="preserve"> In:</w:t>
      </w:r>
      <w:r>
        <w:t xml:space="preserve"> KALLENDORF, Craig W. (ed.). </w:t>
      </w:r>
      <w:r w:rsidRPr="00AC4326">
        <w:rPr>
          <w:i/>
          <w:iCs/>
        </w:rPr>
        <w:t xml:space="preserve">A Companion </w:t>
      </w:r>
      <w:proofErr w:type="spellStart"/>
      <w:r w:rsidRPr="00AC4326">
        <w:rPr>
          <w:i/>
          <w:iCs/>
        </w:rPr>
        <w:t>to</w:t>
      </w:r>
      <w:proofErr w:type="spellEnd"/>
      <w:r w:rsidRPr="00AC4326">
        <w:rPr>
          <w:i/>
          <w:iCs/>
        </w:rPr>
        <w:t xml:space="preserve"> </w:t>
      </w:r>
      <w:proofErr w:type="spellStart"/>
      <w:r w:rsidRPr="00AC4326">
        <w:rPr>
          <w:i/>
          <w:iCs/>
        </w:rPr>
        <w:t>the</w:t>
      </w:r>
      <w:proofErr w:type="spellEnd"/>
      <w:r w:rsidRPr="00AC4326">
        <w:rPr>
          <w:i/>
          <w:iCs/>
        </w:rPr>
        <w:t xml:space="preserve"> </w:t>
      </w:r>
      <w:proofErr w:type="spellStart"/>
      <w:r w:rsidRPr="00AC4326">
        <w:rPr>
          <w:i/>
          <w:iCs/>
        </w:rPr>
        <w:t>Classical</w:t>
      </w:r>
      <w:proofErr w:type="spellEnd"/>
      <w:r w:rsidRPr="00AC4326">
        <w:rPr>
          <w:i/>
          <w:iCs/>
        </w:rPr>
        <w:t xml:space="preserve"> </w:t>
      </w:r>
      <w:proofErr w:type="spellStart"/>
      <w:r w:rsidRPr="00AC4326">
        <w:rPr>
          <w:i/>
          <w:iCs/>
        </w:rPr>
        <w:t>Tradition</w:t>
      </w:r>
      <w:proofErr w:type="spellEnd"/>
      <w:r>
        <w:t xml:space="preserve">. Oxford: Blackwell </w:t>
      </w:r>
      <w:proofErr w:type="spellStart"/>
      <w:r>
        <w:t>Publishing</w:t>
      </w:r>
      <w:proofErr w:type="spellEnd"/>
      <w:r>
        <w:t>, 2007. p. 297-311.</w:t>
      </w:r>
    </w:p>
    <w:p w14:paraId="3BB06681" w14:textId="77777777" w:rsidR="00026B08" w:rsidRDefault="00026B08">
      <w:pPr>
        <w:spacing w:line="240" w:lineRule="auto"/>
        <w:ind w:firstLine="0"/>
      </w:pPr>
    </w:p>
    <w:p w14:paraId="49306F2F" w14:textId="0D7424B2" w:rsidR="00026B08" w:rsidRDefault="00026B08">
      <w:pPr>
        <w:spacing w:line="240" w:lineRule="auto"/>
        <w:ind w:firstLine="0"/>
      </w:pPr>
      <w:r>
        <w:t xml:space="preserve">MARTINDALE, Charles. </w:t>
      </w:r>
      <w:proofErr w:type="spellStart"/>
      <w:r w:rsidRPr="00AC4326">
        <w:rPr>
          <w:i/>
          <w:iCs/>
        </w:rPr>
        <w:t>Redeeming</w:t>
      </w:r>
      <w:proofErr w:type="spellEnd"/>
      <w:r w:rsidRPr="00AC4326">
        <w:rPr>
          <w:i/>
          <w:iCs/>
        </w:rPr>
        <w:t xml:space="preserve"> </w:t>
      </w:r>
      <w:proofErr w:type="spellStart"/>
      <w:r w:rsidRPr="00AC4326">
        <w:rPr>
          <w:i/>
          <w:iCs/>
        </w:rPr>
        <w:t>the</w:t>
      </w:r>
      <w:proofErr w:type="spellEnd"/>
      <w:r w:rsidRPr="00AC4326">
        <w:rPr>
          <w:i/>
          <w:iCs/>
        </w:rPr>
        <w:t xml:space="preserve"> </w:t>
      </w:r>
      <w:proofErr w:type="spellStart"/>
      <w:r w:rsidRPr="00AC4326">
        <w:rPr>
          <w:i/>
          <w:iCs/>
        </w:rPr>
        <w:t>Text</w:t>
      </w:r>
      <w:proofErr w:type="spellEnd"/>
      <w:r>
        <w:t xml:space="preserve">: </w:t>
      </w:r>
      <w:proofErr w:type="spellStart"/>
      <w:r>
        <w:t>Latin</w:t>
      </w:r>
      <w:proofErr w:type="spellEnd"/>
      <w:r>
        <w:t xml:space="preserve"> </w:t>
      </w:r>
      <w:proofErr w:type="spellStart"/>
      <w:r>
        <w:t>Poetry</w:t>
      </w:r>
      <w:proofErr w:type="spellEnd"/>
      <w:r>
        <w:t xml:space="preserve"> </w:t>
      </w:r>
      <w:proofErr w:type="spellStart"/>
      <w:r>
        <w:t>and</w:t>
      </w:r>
      <w:proofErr w:type="spellEnd"/>
      <w:r>
        <w:t xml:space="preserve"> </w:t>
      </w:r>
      <w:proofErr w:type="spellStart"/>
      <w:r>
        <w:t>the</w:t>
      </w:r>
      <w:proofErr w:type="spellEnd"/>
      <w:r>
        <w:t xml:space="preserve"> </w:t>
      </w:r>
      <w:proofErr w:type="spellStart"/>
      <w:r>
        <w:t>Hermeneutics</w:t>
      </w:r>
      <w:proofErr w:type="spellEnd"/>
      <w:r>
        <w:t xml:space="preserve"> </w:t>
      </w:r>
      <w:proofErr w:type="spellStart"/>
      <w:r>
        <w:t>of</w:t>
      </w:r>
      <w:proofErr w:type="spellEnd"/>
      <w:r>
        <w:t xml:space="preserve"> </w:t>
      </w:r>
      <w:proofErr w:type="spellStart"/>
      <w:r>
        <w:t>Reception</w:t>
      </w:r>
      <w:proofErr w:type="spellEnd"/>
      <w:r>
        <w:t xml:space="preserve">. Cambridge: Cambridge </w:t>
      </w:r>
      <w:proofErr w:type="spellStart"/>
      <w:r>
        <w:t>University</w:t>
      </w:r>
      <w:proofErr w:type="spellEnd"/>
      <w:r>
        <w:t xml:space="preserve"> Press, 1993.</w:t>
      </w:r>
    </w:p>
    <w:p w14:paraId="6DEB0909" w14:textId="77777777" w:rsidR="00026B08" w:rsidRDefault="00026B08">
      <w:pPr>
        <w:spacing w:line="240" w:lineRule="auto"/>
        <w:ind w:firstLine="0"/>
      </w:pPr>
    </w:p>
    <w:p w14:paraId="622631C4" w14:textId="79593249" w:rsidR="00026B08" w:rsidRDefault="00026B08">
      <w:pPr>
        <w:spacing w:line="240" w:lineRule="auto"/>
        <w:ind w:firstLine="0"/>
      </w:pPr>
      <w:r>
        <w:t xml:space="preserve">MCCARTY, Willard. </w:t>
      </w:r>
      <w:proofErr w:type="spellStart"/>
      <w:r w:rsidRPr="00AC4326">
        <w:rPr>
          <w:i/>
          <w:iCs/>
        </w:rPr>
        <w:t>Humanities</w:t>
      </w:r>
      <w:proofErr w:type="spellEnd"/>
      <w:r w:rsidRPr="00AC4326">
        <w:rPr>
          <w:i/>
          <w:iCs/>
        </w:rPr>
        <w:t xml:space="preserve"> </w:t>
      </w:r>
      <w:proofErr w:type="spellStart"/>
      <w:r w:rsidRPr="00AC4326">
        <w:rPr>
          <w:i/>
          <w:iCs/>
        </w:rPr>
        <w:t>Computing</w:t>
      </w:r>
      <w:proofErr w:type="spellEnd"/>
      <w:r>
        <w:t xml:space="preserve">. </w:t>
      </w:r>
      <w:proofErr w:type="spellStart"/>
      <w:r>
        <w:t>Basingstoke</w:t>
      </w:r>
      <w:proofErr w:type="spellEnd"/>
      <w:r>
        <w:t xml:space="preserve">: </w:t>
      </w:r>
      <w:proofErr w:type="spellStart"/>
      <w:r>
        <w:t>Palgrave</w:t>
      </w:r>
      <w:proofErr w:type="spellEnd"/>
      <w:r>
        <w:t xml:space="preserve"> Macmillan, 2005.</w:t>
      </w:r>
    </w:p>
    <w:p w14:paraId="1A475EE1" w14:textId="77777777" w:rsidR="00026B08" w:rsidRDefault="00026B08">
      <w:pPr>
        <w:spacing w:line="240" w:lineRule="auto"/>
        <w:ind w:firstLine="0"/>
      </w:pPr>
    </w:p>
    <w:p w14:paraId="6E502848" w14:textId="6CC69B79" w:rsidR="00026B08" w:rsidRDefault="00026B08">
      <w:pPr>
        <w:spacing w:line="240" w:lineRule="auto"/>
        <w:ind w:firstLine="0"/>
      </w:pPr>
      <w:r>
        <w:t xml:space="preserve">MIGNOLO, Walter D. </w:t>
      </w:r>
      <w:r w:rsidRPr="00AC4326">
        <w:rPr>
          <w:i/>
          <w:iCs/>
        </w:rPr>
        <w:t>Histórias Locais/Projetos Globais</w:t>
      </w:r>
      <w:r>
        <w:t>: colonialidade, saberes subalternos e pensamento liminar. Belo Horizonte: Editora UFMG, 2003.</w:t>
      </w:r>
    </w:p>
    <w:p w14:paraId="55F49D9D" w14:textId="77777777" w:rsidR="00026B08" w:rsidRDefault="00026B08">
      <w:pPr>
        <w:spacing w:line="240" w:lineRule="auto"/>
        <w:ind w:firstLine="0"/>
      </w:pPr>
    </w:p>
    <w:p w14:paraId="14264A92" w14:textId="3F0FA332" w:rsidR="00026B08" w:rsidRDefault="00026B08">
      <w:pPr>
        <w:spacing w:line="240" w:lineRule="auto"/>
        <w:ind w:firstLine="0"/>
      </w:pPr>
      <w:r>
        <w:t xml:space="preserve">MOERBECK, Guilherme. Em defesa do ensino de história antiga nas escolas contemporâneas: Base Nacional Curricular Comum, usos do passado e pedagogia decolonial. </w:t>
      </w:r>
      <w:proofErr w:type="spellStart"/>
      <w:r w:rsidRPr="00AC4326">
        <w:rPr>
          <w:i/>
          <w:iCs/>
        </w:rPr>
        <w:t>Brathair</w:t>
      </w:r>
      <w:proofErr w:type="spellEnd"/>
      <w:r>
        <w:t>, v.21, n. 1, 2021, p. 50-91.</w:t>
      </w:r>
    </w:p>
    <w:p w14:paraId="16CE3A57" w14:textId="77777777" w:rsidR="00026B08" w:rsidRDefault="00026B08">
      <w:pPr>
        <w:spacing w:line="240" w:lineRule="auto"/>
        <w:ind w:firstLine="0"/>
      </w:pPr>
    </w:p>
    <w:p w14:paraId="1C07729F" w14:textId="244F71D2" w:rsidR="00026B08" w:rsidRDefault="00026B08">
      <w:pPr>
        <w:spacing w:line="240" w:lineRule="auto"/>
        <w:ind w:firstLine="0"/>
      </w:pPr>
      <w:r>
        <w:t xml:space="preserve">MOMIGLIANO, Arnaldo. </w:t>
      </w:r>
      <w:r w:rsidRPr="00AC4326">
        <w:rPr>
          <w:i/>
          <w:iCs/>
        </w:rPr>
        <w:t xml:space="preserve">The </w:t>
      </w:r>
      <w:proofErr w:type="spellStart"/>
      <w:r w:rsidRPr="00AC4326">
        <w:rPr>
          <w:i/>
          <w:iCs/>
        </w:rPr>
        <w:t>Classical</w:t>
      </w:r>
      <w:proofErr w:type="spellEnd"/>
      <w:r w:rsidRPr="00AC4326">
        <w:rPr>
          <w:i/>
          <w:iCs/>
        </w:rPr>
        <w:t xml:space="preserve"> </w:t>
      </w:r>
      <w:proofErr w:type="spellStart"/>
      <w:r w:rsidRPr="00AC4326">
        <w:rPr>
          <w:i/>
          <w:iCs/>
        </w:rPr>
        <w:t>Foundations</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Modern</w:t>
      </w:r>
      <w:proofErr w:type="spellEnd"/>
      <w:r w:rsidRPr="00AC4326">
        <w:rPr>
          <w:i/>
          <w:iCs/>
        </w:rPr>
        <w:t xml:space="preserve"> </w:t>
      </w:r>
      <w:proofErr w:type="spellStart"/>
      <w:r w:rsidRPr="00AC4326">
        <w:rPr>
          <w:i/>
          <w:iCs/>
        </w:rPr>
        <w:t>Historiography</w:t>
      </w:r>
      <w:proofErr w:type="spellEnd"/>
      <w:r>
        <w:t xml:space="preserve">. Berkeley: </w:t>
      </w:r>
      <w:proofErr w:type="spellStart"/>
      <w:r>
        <w:t>University</w:t>
      </w:r>
      <w:proofErr w:type="spellEnd"/>
      <w:r>
        <w:t xml:space="preserve"> </w:t>
      </w:r>
      <w:proofErr w:type="spellStart"/>
      <w:r>
        <w:t>of</w:t>
      </w:r>
      <w:proofErr w:type="spellEnd"/>
      <w:r>
        <w:t xml:space="preserve"> California Press, 1984.</w:t>
      </w:r>
    </w:p>
    <w:p w14:paraId="37AA8278" w14:textId="77777777" w:rsidR="00026B08" w:rsidRDefault="00026B08">
      <w:pPr>
        <w:spacing w:line="240" w:lineRule="auto"/>
        <w:ind w:firstLine="0"/>
      </w:pPr>
    </w:p>
    <w:p w14:paraId="64C4FE59" w14:textId="00A0E62A" w:rsidR="00026B08" w:rsidRDefault="00026B08">
      <w:pPr>
        <w:spacing w:line="240" w:lineRule="auto"/>
        <w:ind w:firstLine="0"/>
      </w:pPr>
      <w:r>
        <w:t xml:space="preserve">MOMMSEN, Theodor. </w:t>
      </w:r>
      <w:r w:rsidRPr="00AC4326">
        <w:rPr>
          <w:i/>
          <w:iCs/>
        </w:rPr>
        <w:t xml:space="preserve">Histoire </w:t>
      </w:r>
      <w:proofErr w:type="spellStart"/>
      <w:r w:rsidRPr="00AC4326">
        <w:rPr>
          <w:i/>
          <w:iCs/>
        </w:rPr>
        <w:t>romaine</w:t>
      </w:r>
      <w:proofErr w:type="spellEnd"/>
      <w:r>
        <w:t>. Paris: Hachette, 1885.</w:t>
      </w:r>
    </w:p>
    <w:p w14:paraId="1D3938EE" w14:textId="77777777" w:rsidR="00026B08" w:rsidRDefault="00026B08">
      <w:pPr>
        <w:spacing w:line="240" w:lineRule="auto"/>
        <w:ind w:firstLine="0"/>
      </w:pPr>
    </w:p>
    <w:p w14:paraId="745E8C32" w14:textId="235C0BB1" w:rsidR="00026B08" w:rsidRDefault="00026B08">
      <w:pPr>
        <w:spacing w:line="240" w:lineRule="auto"/>
        <w:ind w:firstLine="0"/>
      </w:pPr>
      <w:r>
        <w:t xml:space="preserve">MOSSE, George L. </w:t>
      </w:r>
      <w:r w:rsidRPr="00AC4326">
        <w:rPr>
          <w:i/>
          <w:iCs/>
        </w:rPr>
        <w:t xml:space="preserve">The </w:t>
      </w:r>
      <w:proofErr w:type="spellStart"/>
      <w:r w:rsidRPr="00AC4326">
        <w:rPr>
          <w:i/>
          <w:iCs/>
        </w:rPr>
        <w:t>crisis</w:t>
      </w:r>
      <w:proofErr w:type="spellEnd"/>
      <w:r w:rsidRPr="00AC4326">
        <w:rPr>
          <w:i/>
          <w:iCs/>
        </w:rPr>
        <w:t xml:space="preserve"> </w:t>
      </w:r>
      <w:proofErr w:type="spellStart"/>
      <w:r w:rsidRPr="00AC4326">
        <w:rPr>
          <w:i/>
          <w:iCs/>
        </w:rPr>
        <w:t>of</w:t>
      </w:r>
      <w:proofErr w:type="spellEnd"/>
      <w:r w:rsidRPr="00AC4326">
        <w:rPr>
          <w:i/>
          <w:iCs/>
        </w:rPr>
        <w:t xml:space="preserve"> German </w:t>
      </w:r>
      <w:proofErr w:type="spellStart"/>
      <w:r w:rsidRPr="00AC4326">
        <w:rPr>
          <w:i/>
          <w:iCs/>
        </w:rPr>
        <w:t>ideology</w:t>
      </w:r>
      <w:proofErr w:type="spellEnd"/>
      <w:r>
        <w:t xml:space="preserve">: </w:t>
      </w:r>
      <w:proofErr w:type="spellStart"/>
      <w:r>
        <w:t>intellectual</w:t>
      </w:r>
      <w:proofErr w:type="spellEnd"/>
      <w:r>
        <w:t xml:space="preserve"> </w:t>
      </w:r>
      <w:proofErr w:type="spellStart"/>
      <w:r>
        <w:t>origins</w:t>
      </w:r>
      <w:proofErr w:type="spellEnd"/>
      <w:r>
        <w:t xml:space="preserve"> </w:t>
      </w:r>
      <w:proofErr w:type="spellStart"/>
      <w:r>
        <w:t>of</w:t>
      </w:r>
      <w:proofErr w:type="spellEnd"/>
      <w:r>
        <w:t xml:space="preserve"> </w:t>
      </w:r>
      <w:proofErr w:type="spellStart"/>
      <w:r>
        <w:t>the</w:t>
      </w:r>
      <w:proofErr w:type="spellEnd"/>
      <w:r>
        <w:t xml:space="preserve"> </w:t>
      </w:r>
      <w:proofErr w:type="spellStart"/>
      <w:r>
        <w:t>Third</w:t>
      </w:r>
      <w:proofErr w:type="spellEnd"/>
      <w:r>
        <w:t xml:space="preserve"> Reich. New York: </w:t>
      </w:r>
      <w:proofErr w:type="spellStart"/>
      <w:r>
        <w:t>Schocken</w:t>
      </w:r>
      <w:proofErr w:type="spellEnd"/>
      <w:r>
        <w:t xml:space="preserve"> Books, 1981.</w:t>
      </w:r>
    </w:p>
    <w:p w14:paraId="22B2DFE7" w14:textId="77777777" w:rsidR="00026B08" w:rsidRDefault="00026B08">
      <w:pPr>
        <w:spacing w:line="240" w:lineRule="auto"/>
        <w:ind w:firstLine="0"/>
      </w:pPr>
    </w:p>
    <w:p w14:paraId="6A3561A2" w14:textId="3749BBB5" w:rsidR="00026B08" w:rsidRDefault="00026B08">
      <w:pPr>
        <w:spacing w:line="240" w:lineRule="auto"/>
        <w:ind w:firstLine="0"/>
      </w:pPr>
      <w:r>
        <w:t xml:space="preserve">MÜLLER, Peter. </w:t>
      </w:r>
      <w:r w:rsidRPr="00AC4326">
        <w:rPr>
          <w:i/>
          <w:iCs/>
        </w:rPr>
        <w:t xml:space="preserve">The Thesaurus Linguae </w:t>
      </w:r>
      <w:proofErr w:type="spellStart"/>
      <w:r w:rsidRPr="00AC4326">
        <w:rPr>
          <w:i/>
          <w:iCs/>
        </w:rPr>
        <w:t>Latinae</w:t>
      </w:r>
      <w:proofErr w:type="spellEnd"/>
      <w:r>
        <w:t xml:space="preserve">: A </w:t>
      </w:r>
      <w:proofErr w:type="spellStart"/>
      <w:r>
        <w:t>Brief</w:t>
      </w:r>
      <w:proofErr w:type="spellEnd"/>
      <w:r>
        <w:t xml:space="preserve"> </w:t>
      </w:r>
      <w:proofErr w:type="spellStart"/>
      <w:r>
        <w:t>History</w:t>
      </w:r>
      <w:proofErr w:type="spellEnd"/>
      <w:r>
        <w:t xml:space="preserve"> </w:t>
      </w:r>
      <w:proofErr w:type="spellStart"/>
      <w:r>
        <w:t>and</w:t>
      </w:r>
      <w:proofErr w:type="spellEnd"/>
      <w:r>
        <w:t xml:space="preserve"> </w:t>
      </w:r>
      <w:proofErr w:type="spellStart"/>
      <w:r>
        <w:t>Current</w:t>
      </w:r>
      <w:proofErr w:type="spellEnd"/>
      <w:r>
        <w:t xml:space="preserve"> </w:t>
      </w:r>
      <w:proofErr w:type="spellStart"/>
      <w:r>
        <w:t>State</w:t>
      </w:r>
      <w:proofErr w:type="spellEnd"/>
      <w:r>
        <w:t xml:space="preserve">. </w:t>
      </w:r>
      <w:proofErr w:type="spellStart"/>
      <w:r>
        <w:t>Lexicographica</w:t>
      </w:r>
      <w:proofErr w:type="spellEnd"/>
      <w:r>
        <w:t>, v. 34, n. 1, p. 251-264, 2018.</w:t>
      </w:r>
    </w:p>
    <w:p w14:paraId="338568E7" w14:textId="77777777" w:rsidR="00026B08" w:rsidRDefault="00026B08">
      <w:pPr>
        <w:spacing w:line="240" w:lineRule="auto"/>
        <w:ind w:firstLine="0"/>
      </w:pPr>
    </w:p>
    <w:p w14:paraId="1CEF6D47" w14:textId="43446FE4" w:rsidR="00026B08" w:rsidRDefault="00026B08">
      <w:pPr>
        <w:spacing w:line="240" w:lineRule="auto"/>
        <w:ind w:firstLine="0"/>
      </w:pPr>
      <w:r>
        <w:t xml:space="preserve">NICOLAZZI, Fernando Felizardo. O que são usos políticos do passado? </w:t>
      </w:r>
      <w:r w:rsidRPr="00AC4326">
        <w:t>Entrevista</w:t>
      </w:r>
      <w:r>
        <w:t xml:space="preserve"> concedida a Thaís Pio Marques. </w:t>
      </w:r>
      <w:r w:rsidRPr="00AC4326">
        <w:rPr>
          <w:i/>
          <w:iCs/>
        </w:rPr>
        <w:t>Café História</w:t>
      </w:r>
      <w:r>
        <w:t>, 30 de jun. 2021. Disponível em: https://www.cafehistoria.com.br/o-que-sao-usos-politicos-do-passado/. Acesso em: 18 fev. 2026.</w:t>
      </w:r>
    </w:p>
    <w:p w14:paraId="0E17C3FE" w14:textId="77777777" w:rsidR="00026B08" w:rsidRDefault="00026B08">
      <w:pPr>
        <w:spacing w:line="240" w:lineRule="auto"/>
        <w:ind w:firstLine="0"/>
      </w:pPr>
    </w:p>
    <w:p w14:paraId="28400613" w14:textId="20162F0D" w:rsidR="00026B08" w:rsidRDefault="00026B08">
      <w:pPr>
        <w:spacing w:line="240" w:lineRule="auto"/>
        <w:ind w:firstLine="0"/>
      </w:pPr>
      <w:r>
        <w:lastRenderedPageBreak/>
        <w:t xml:space="preserve">NIETZSCHE, Friedrich. </w:t>
      </w:r>
      <w:r w:rsidRPr="00AC4326">
        <w:rPr>
          <w:i/>
          <w:iCs/>
        </w:rPr>
        <w:t>Considerações Intempestivas</w:t>
      </w:r>
      <w:r>
        <w:t>. Lisboa: Presença/São Paulo: Martins Fontes, 1976.</w:t>
      </w:r>
    </w:p>
    <w:p w14:paraId="1DD82D2D" w14:textId="77777777" w:rsidR="00026B08" w:rsidRDefault="00026B08">
      <w:pPr>
        <w:spacing w:line="240" w:lineRule="auto"/>
        <w:ind w:firstLine="0"/>
      </w:pPr>
    </w:p>
    <w:p w14:paraId="3B35D31B" w14:textId="40C69894" w:rsidR="00026B08" w:rsidRDefault="00026B08">
      <w:pPr>
        <w:spacing w:line="240" w:lineRule="auto"/>
        <w:ind w:firstLine="0"/>
      </w:pPr>
      <w:r>
        <w:t xml:space="preserve">OPPENHEIM, A. Leo. </w:t>
      </w:r>
      <w:proofErr w:type="spellStart"/>
      <w:r w:rsidRPr="00AC4326">
        <w:rPr>
          <w:i/>
          <w:iCs/>
        </w:rPr>
        <w:t>Ancient</w:t>
      </w:r>
      <w:proofErr w:type="spellEnd"/>
      <w:r w:rsidRPr="00AC4326">
        <w:rPr>
          <w:i/>
          <w:iCs/>
        </w:rPr>
        <w:t xml:space="preserve"> </w:t>
      </w:r>
      <w:proofErr w:type="spellStart"/>
      <w:r w:rsidRPr="00AC4326">
        <w:rPr>
          <w:i/>
          <w:iCs/>
        </w:rPr>
        <w:t>Mesopotamia</w:t>
      </w:r>
      <w:proofErr w:type="spellEnd"/>
      <w:r>
        <w:t xml:space="preserve">: Portrait </w:t>
      </w:r>
      <w:proofErr w:type="spellStart"/>
      <w:r>
        <w:t>of</w:t>
      </w:r>
      <w:proofErr w:type="spellEnd"/>
      <w:r>
        <w:t xml:space="preserve"> a </w:t>
      </w:r>
      <w:proofErr w:type="spellStart"/>
      <w:r>
        <w:t>Dead</w:t>
      </w:r>
      <w:proofErr w:type="spellEnd"/>
      <w:r>
        <w:t xml:space="preserve"> </w:t>
      </w:r>
      <w:proofErr w:type="spellStart"/>
      <w:r>
        <w:t>Civilization</w:t>
      </w:r>
      <w:proofErr w:type="spellEnd"/>
      <w:r>
        <w:t xml:space="preserve">. Chicago: </w:t>
      </w:r>
      <w:proofErr w:type="spellStart"/>
      <w:r>
        <w:t>University</w:t>
      </w:r>
      <w:proofErr w:type="spellEnd"/>
      <w:r>
        <w:t xml:space="preserve"> </w:t>
      </w:r>
      <w:proofErr w:type="spellStart"/>
      <w:r>
        <w:t>of</w:t>
      </w:r>
      <w:proofErr w:type="spellEnd"/>
      <w:r>
        <w:t xml:space="preserve"> Chicago Press, 1964.</w:t>
      </w:r>
    </w:p>
    <w:p w14:paraId="6F8F2B78" w14:textId="77777777" w:rsidR="00026B08" w:rsidRDefault="00026B08">
      <w:pPr>
        <w:spacing w:line="240" w:lineRule="auto"/>
        <w:ind w:firstLine="0"/>
      </w:pPr>
    </w:p>
    <w:p w14:paraId="1AF0823C" w14:textId="0949CECC" w:rsidR="00026B08" w:rsidRDefault="00026B08">
      <w:pPr>
        <w:spacing w:line="240" w:lineRule="auto"/>
        <w:ind w:firstLine="0"/>
      </w:pPr>
      <w:r>
        <w:t xml:space="preserve">PAULA, Eurípedes Simões de. A atual estrutura da Cadeira de História Antiga e Medieval. in.: </w:t>
      </w:r>
      <w:r w:rsidRPr="00AC4326">
        <w:rPr>
          <w:i/>
          <w:iCs/>
        </w:rPr>
        <w:t>Anais</w:t>
      </w:r>
      <w:r>
        <w:t xml:space="preserve"> do I Simpósio de Professores de História do Ensino Superior, Marília, 1961, p. 84-88.</w:t>
      </w:r>
    </w:p>
    <w:p w14:paraId="69C8A49E" w14:textId="77777777" w:rsidR="00026B08" w:rsidRDefault="00026B08">
      <w:pPr>
        <w:spacing w:line="240" w:lineRule="auto"/>
        <w:ind w:firstLine="0"/>
      </w:pPr>
    </w:p>
    <w:p w14:paraId="17C0FFF5" w14:textId="62837FBF" w:rsidR="00026B08" w:rsidRDefault="00026B08">
      <w:pPr>
        <w:spacing w:line="240" w:lineRule="auto"/>
        <w:ind w:firstLine="0"/>
      </w:pPr>
      <w:r>
        <w:t>PERSEIDS PROJECT. [S. l.: s. n.], [s.d.]. Disponível em: https://www.perseids.org. Acesso em: 29 jul. 2025.</w:t>
      </w:r>
    </w:p>
    <w:p w14:paraId="6FC25C2A" w14:textId="77777777" w:rsidR="00026B08" w:rsidRDefault="00026B08">
      <w:pPr>
        <w:spacing w:line="240" w:lineRule="auto"/>
        <w:ind w:firstLine="0"/>
      </w:pPr>
    </w:p>
    <w:p w14:paraId="62280A68" w14:textId="51602042" w:rsidR="00026B08" w:rsidRDefault="00026B08">
      <w:pPr>
        <w:spacing w:line="240" w:lineRule="auto"/>
        <w:ind w:firstLine="0"/>
      </w:pPr>
      <w:r>
        <w:t>PERSEUS DIGITAL LIBRARY. [S. l.: s. n.], [s.d.]. Disponível em: https://www.perseus.tufts.edu. Acesso em: 29 jul. 2025.</w:t>
      </w:r>
    </w:p>
    <w:p w14:paraId="2E956961" w14:textId="77777777" w:rsidR="00026B08" w:rsidRDefault="00026B08">
      <w:pPr>
        <w:spacing w:line="240" w:lineRule="auto"/>
        <w:ind w:firstLine="0"/>
      </w:pPr>
    </w:p>
    <w:p w14:paraId="35241EA9" w14:textId="0E56AF72" w:rsidR="00026B08" w:rsidRDefault="00026B08">
      <w:pPr>
        <w:spacing w:line="240" w:lineRule="auto"/>
        <w:ind w:firstLine="0"/>
      </w:pPr>
      <w:r>
        <w:t xml:space="preserve">PIERAZZO, Elena. </w:t>
      </w:r>
      <w:r w:rsidRPr="00AC4326">
        <w:rPr>
          <w:i/>
          <w:iCs/>
        </w:rPr>
        <w:t xml:space="preserve">Digital </w:t>
      </w:r>
      <w:proofErr w:type="spellStart"/>
      <w:r w:rsidRPr="00AC4326">
        <w:rPr>
          <w:i/>
          <w:iCs/>
        </w:rPr>
        <w:t>Scholarly</w:t>
      </w:r>
      <w:proofErr w:type="spellEnd"/>
      <w:r w:rsidRPr="00AC4326">
        <w:rPr>
          <w:i/>
          <w:iCs/>
        </w:rPr>
        <w:t xml:space="preserve"> </w:t>
      </w:r>
      <w:proofErr w:type="spellStart"/>
      <w:r w:rsidRPr="00AC4326">
        <w:rPr>
          <w:i/>
          <w:iCs/>
        </w:rPr>
        <w:t>Editing</w:t>
      </w:r>
      <w:proofErr w:type="spellEnd"/>
      <w:r>
        <w:t xml:space="preserve">: </w:t>
      </w:r>
      <w:proofErr w:type="spellStart"/>
      <w:r>
        <w:t>Theories</w:t>
      </w:r>
      <w:proofErr w:type="spellEnd"/>
      <w:r>
        <w:t xml:space="preserve">, Models </w:t>
      </w:r>
      <w:proofErr w:type="spellStart"/>
      <w:r>
        <w:t>and</w:t>
      </w:r>
      <w:proofErr w:type="spellEnd"/>
      <w:r>
        <w:t xml:space="preserve"> </w:t>
      </w:r>
      <w:proofErr w:type="spellStart"/>
      <w:r>
        <w:t>Methods</w:t>
      </w:r>
      <w:proofErr w:type="spellEnd"/>
      <w:r>
        <w:t xml:space="preserve">. London: </w:t>
      </w:r>
      <w:proofErr w:type="spellStart"/>
      <w:r>
        <w:t>Routledge</w:t>
      </w:r>
      <w:proofErr w:type="spellEnd"/>
      <w:r>
        <w:t>, 2015.</w:t>
      </w:r>
    </w:p>
    <w:p w14:paraId="3A8F7B36" w14:textId="77777777" w:rsidR="00026B08" w:rsidRDefault="00026B08">
      <w:pPr>
        <w:spacing w:line="240" w:lineRule="auto"/>
        <w:ind w:firstLine="0"/>
      </w:pPr>
    </w:p>
    <w:p w14:paraId="45B8FBEE" w14:textId="34F87439" w:rsidR="00026B08" w:rsidRDefault="00026B08">
      <w:pPr>
        <w:spacing w:line="240" w:lineRule="auto"/>
        <w:ind w:firstLine="0"/>
      </w:pPr>
      <w:r>
        <w:t xml:space="preserve">PINTO, Otávio Luiz Vieira. Roma e Pérsia no século III: uma tradução da Res </w:t>
      </w:r>
      <w:proofErr w:type="spellStart"/>
      <w:r>
        <w:t>Gestae</w:t>
      </w:r>
      <w:proofErr w:type="spellEnd"/>
      <w:r>
        <w:t xml:space="preserve"> </w:t>
      </w:r>
      <w:proofErr w:type="spellStart"/>
      <w:r>
        <w:t>Divi</w:t>
      </w:r>
      <w:proofErr w:type="spellEnd"/>
      <w:r>
        <w:t xml:space="preserve"> </w:t>
      </w:r>
      <w:proofErr w:type="spellStart"/>
      <w:r>
        <w:t>Saporis</w:t>
      </w:r>
      <w:proofErr w:type="spellEnd"/>
      <w:r>
        <w:t xml:space="preserve">. In.: SILVA, Semíramis Corsi; ANTIQUEIRA, </w:t>
      </w:r>
      <w:proofErr w:type="spellStart"/>
      <w:r>
        <w:t>Moíses</w:t>
      </w:r>
      <w:proofErr w:type="spellEnd"/>
      <w:r>
        <w:t xml:space="preserve">. </w:t>
      </w:r>
      <w:r w:rsidRPr="00AC4326">
        <w:rPr>
          <w:i/>
          <w:iCs/>
        </w:rPr>
        <w:t>O Império Romano no Século III</w:t>
      </w:r>
      <w:r>
        <w:t>. Crises, transformações e mutações. 1. ed. São João de Meriti: Desalinho, 2021.</w:t>
      </w:r>
    </w:p>
    <w:p w14:paraId="37D47E42" w14:textId="77777777" w:rsidR="00026B08" w:rsidRDefault="00026B08">
      <w:pPr>
        <w:spacing w:line="240" w:lineRule="auto"/>
        <w:ind w:firstLine="0"/>
      </w:pPr>
    </w:p>
    <w:p w14:paraId="64A5BEB0" w14:textId="2D768B8D" w:rsidR="00026B08" w:rsidRDefault="00026B08">
      <w:pPr>
        <w:spacing w:line="240" w:lineRule="auto"/>
        <w:ind w:firstLine="0"/>
      </w:pPr>
      <w:r>
        <w:t xml:space="preserve">POSTGATE, J. N. </w:t>
      </w:r>
      <w:r w:rsidRPr="00AC4326">
        <w:rPr>
          <w:i/>
          <w:iCs/>
        </w:rPr>
        <w:t xml:space="preserve">Early </w:t>
      </w:r>
      <w:proofErr w:type="spellStart"/>
      <w:r w:rsidRPr="00AC4326">
        <w:rPr>
          <w:i/>
          <w:iCs/>
        </w:rPr>
        <w:t>Mesopotamia</w:t>
      </w:r>
      <w:proofErr w:type="spellEnd"/>
      <w:r>
        <w:t xml:space="preserve">: Society </w:t>
      </w:r>
      <w:proofErr w:type="spellStart"/>
      <w:r>
        <w:t>and</w:t>
      </w:r>
      <w:proofErr w:type="spellEnd"/>
      <w:r>
        <w:t xml:space="preserve"> </w:t>
      </w:r>
      <w:proofErr w:type="spellStart"/>
      <w:r>
        <w:t>Economy</w:t>
      </w:r>
      <w:proofErr w:type="spellEnd"/>
      <w:r>
        <w:t xml:space="preserve"> </w:t>
      </w:r>
      <w:proofErr w:type="spellStart"/>
      <w:r>
        <w:t>at</w:t>
      </w:r>
      <w:proofErr w:type="spellEnd"/>
      <w:r>
        <w:t xml:space="preserve"> </w:t>
      </w:r>
      <w:proofErr w:type="spellStart"/>
      <w:r>
        <w:t>the</w:t>
      </w:r>
      <w:proofErr w:type="spellEnd"/>
      <w:r>
        <w:t xml:space="preserve"> Dawn </w:t>
      </w:r>
      <w:proofErr w:type="spellStart"/>
      <w:r>
        <w:t>of</w:t>
      </w:r>
      <w:proofErr w:type="spellEnd"/>
      <w:r>
        <w:t xml:space="preserve"> </w:t>
      </w:r>
      <w:proofErr w:type="spellStart"/>
      <w:r>
        <w:t>History</w:t>
      </w:r>
      <w:proofErr w:type="spellEnd"/>
      <w:r>
        <w:t xml:space="preserve">. London: </w:t>
      </w:r>
      <w:proofErr w:type="spellStart"/>
      <w:r>
        <w:t>Routledge</w:t>
      </w:r>
      <w:proofErr w:type="spellEnd"/>
      <w:r>
        <w:t>, 1992.</w:t>
      </w:r>
    </w:p>
    <w:p w14:paraId="0B1D5D51" w14:textId="77777777" w:rsidR="00026B08" w:rsidRDefault="00026B08">
      <w:pPr>
        <w:spacing w:line="240" w:lineRule="auto"/>
        <w:ind w:firstLine="0"/>
      </w:pPr>
    </w:p>
    <w:p w14:paraId="45914EFD" w14:textId="6DFC823D" w:rsidR="00026B08" w:rsidRDefault="00026B08">
      <w:pPr>
        <w:spacing w:line="240" w:lineRule="auto"/>
        <w:ind w:firstLine="0"/>
      </w:pPr>
      <w:r>
        <w:t xml:space="preserve">POTTER, David S. </w:t>
      </w:r>
      <w:r w:rsidRPr="00AC4326">
        <w:rPr>
          <w:i/>
          <w:iCs/>
        </w:rPr>
        <w:t xml:space="preserve">The Roman Empire </w:t>
      </w:r>
      <w:proofErr w:type="spellStart"/>
      <w:r w:rsidRPr="00AC4326">
        <w:rPr>
          <w:i/>
          <w:iCs/>
        </w:rPr>
        <w:t>at</w:t>
      </w:r>
      <w:proofErr w:type="spellEnd"/>
      <w:r w:rsidRPr="00AC4326">
        <w:rPr>
          <w:i/>
          <w:iCs/>
        </w:rPr>
        <w:t xml:space="preserve"> </w:t>
      </w:r>
      <w:proofErr w:type="spellStart"/>
      <w:r w:rsidRPr="00AC4326">
        <w:rPr>
          <w:i/>
          <w:iCs/>
        </w:rPr>
        <w:t>Bay</w:t>
      </w:r>
      <w:proofErr w:type="spellEnd"/>
      <w:r>
        <w:t xml:space="preserve">: AD 180–395. London: </w:t>
      </w:r>
      <w:proofErr w:type="spellStart"/>
      <w:r>
        <w:t>Routledge</w:t>
      </w:r>
      <w:proofErr w:type="spellEnd"/>
      <w:r>
        <w:t>, 2004.</w:t>
      </w:r>
    </w:p>
    <w:p w14:paraId="6F1A624B" w14:textId="77777777" w:rsidR="00026B08" w:rsidRDefault="00026B08">
      <w:pPr>
        <w:spacing w:line="240" w:lineRule="auto"/>
        <w:ind w:firstLine="0"/>
      </w:pPr>
    </w:p>
    <w:p w14:paraId="72900CB5" w14:textId="0091A959" w:rsidR="00026B08" w:rsidRDefault="00026B08">
      <w:pPr>
        <w:spacing w:line="240" w:lineRule="auto"/>
        <w:ind w:firstLine="0"/>
      </w:pPr>
      <w:r>
        <w:t xml:space="preserve">POZZER, Katia Maria Paim. Cidades Mesopotâmicas: história e representações. O mundo urbano - espaço profano e sagrado. </w:t>
      </w:r>
      <w:r w:rsidRPr="00AC4326">
        <w:rPr>
          <w:i/>
          <w:iCs/>
        </w:rPr>
        <w:t>Anos 90</w:t>
      </w:r>
      <w:r>
        <w:t>, Porto Alegre, n. 17, jul. de 2003, p. 61-73.</w:t>
      </w:r>
    </w:p>
    <w:p w14:paraId="5CE65846" w14:textId="77777777" w:rsidR="00026B08" w:rsidRDefault="00026B08">
      <w:pPr>
        <w:spacing w:line="240" w:lineRule="auto"/>
        <w:ind w:firstLine="0"/>
      </w:pPr>
    </w:p>
    <w:p w14:paraId="1B4482ED" w14:textId="6239C278" w:rsidR="00026B08" w:rsidRDefault="00026B08">
      <w:pPr>
        <w:spacing w:line="240" w:lineRule="auto"/>
        <w:ind w:firstLine="0"/>
      </w:pPr>
      <w:r>
        <w:t xml:space="preserve">REDE, Marcelo. Complexidade social, sistemas comunicativos e gênese da escrita cuneiforme. </w:t>
      </w:r>
      <w:r w:rsidRPr="00AC4326">
        <w:rPr>
          <w:i/>
          <w:iCs/>
        </w:rPr>
        <w:t>Clássica</w:t>
      </w:r>
      <w:r>
        <w:t>, São Paulo, v. 11/12, n. 11/12, p. 37-59, 1998/1999.</w:t>
      </w:r>
    </w:p>
    <w:p w14:paraId="1293AD21" w14:textId="77777777" w:rsidR="00026B08" w:rsidRDefault="00026B08">
      <w:pPr>
        <w:spacing w:line="240" w:lineRule="auto"/>
        <w:ind w:firstLine="0"/>
      </w:pPr>
    </w:p>
    <w:p w14:paraId="2E5F8BA6" w14:textId="0BD557BD" w:rsidR="00026B08" w:rsidRDefault="00026B08">
      <w:pPr>
        <w:spacing w:line="240" w:lineRule="auto"/>
        <w:ind w:firstLine="0"/>
      </w:pPr>
      <w:r>
        <w:t xml:space="preserve">REDE, Marcelo. </w:t>
      </w:r>
      <w:r w:rsidRPr="00AC4326">
        <w:rPr>
          <w:i/>
          <w:iCs/>
        </w:rPr>
        <w:t>Família e Patrimônio na Antiga Mesopotâmia</w:t>
      </w:r>
      <w:r>
        <w:t xml:space="preserve">. Rio de Janeiro: Mauad - CEIAUFF, 2007. Vol. 1. </w:t>
      </w:r>
    </w:p>
    <w:p w14:paraId="3DD416DC" w14:textId="77777777" w:rsidR="00026B08" w:rsidRDefault="00026B08">
      <w:pPr>
        <w:spacing w:line="240" w:lineRule="auto"/>
        <w:ind w:firstLine="0"/>
      </w:pPr>
    </w:p>
    <w:p w14:paraId="227D3912" w14:textId="466578B2" w:rsidR="00026B08" w:rsidRDefault="00026B08">
      <w:pPr>
        <w:spacing w:line="240" w:lineRule="auto"/>
        <w:ind w:firstLine="0"/>
      </w:pPr>
      <w:r>
        <w:t xml:space="preserve">ROBINSON, Peter. The Digital Revolution </w:t>
      </w:r>
      <w:proofErr w:type="spellStart"/>
      <w:r>
        <w:t>and</w:t>
      </w:r>
      <w:proofErr w:type="spellEnd"/>
      <w:r>
        <w:t xml:space="preserve"> </w:t>
      </w:r>
      <w:proofErr w:type="spellStart"/>
      <w:r>
        <w:t>Scholarly</w:t>
      </w:r>
      <w:proofErr w:type="spellEnd"/>
      <w:r>
        <w:t xml:space="preserve"> </w:t>
      </w:r>
      <w:proofErr w:type="spellStart"/>
      <w:r>
        <w:t>Editing</w:t>
      </w:r>
      <w:proofErr w:type="spellEnd"/>
      <w:r>
        <w:t xml:space="preserve">. </w:t>
      </w:r>
      <w:proofErr w:type="spellStart"/>
      <w:r w:rsidRPr="00AC4326">
        <w:rPr>
          <w:i/>
          <w:iCs/>
        </w:rPr>
        <w:t>Literary</w:t>
      </w:r>
      <w:proofErr w:type="spellEnd"/>
      <w:r w:rsidRPr="00AC4326">
        <w:rPr>
          <w:i/>
          <w:iCs/>
        </w:rPr>
        <w:t xml:space="preserve"> </w:t>
      </w:r>
      <w:proofErr w:type="spellStart"/>
      <w:r w:rsidRPr="00AC4326">
        <w:rPr>
          <w:i/>
          <w:iCs/>
        </w:rPr>
        <w:t>and</w:t>
      </w:r>
      <w:proofErr w:type="spellEnd"/>
      <w:r w:rsidRPr="00AC4326">
        <w:rPr>
          <w:i/>
          <w:iCs/>
        </w:rPr>
        <w:t xml:space="preserve"> </w:t>
      </w:r>
      <w:proofErr w:type="spellStart"/>
      <w:r w:rsidRPr="00AC4326">
        <w:rPr>
          <w:i/>
          <w:iCs/>
        </w:rPr>
        <w:t>Linguistic</w:t>
      </w:r>
      <w:proofErr w:type="spellEnd"/>
      <w:r w:rsidRPr="00AC4326">
        <w:rPr>
          <w:i/>
          <w:iCs/>
        </w:rPr>
        <w:t xml:space="preserve"> </w:t>
      </w:r>
      <w:proofErr w:type="spellStart"/>
      <w:r w:rsidRPr="00AC4326">
        <w:rPr>
          <w:i/>
          <w:iCs/>
        </w:rPr>
        <w:t>Computing</w:t>
      </w:r>
      <w:proofErr w:type="spellEnd"/>
      <w:r>
        <w:t>, v. 20, n. 1, p. 1-12, 2005.</w:t>
      </w:r>
    </w:p>
    <w:p w14:paraId="53168C4F" w14:textId="77777777" w:rsidR="00026B08" w:rsidRDefault="00026B08">
      <w:pPr>
        <w:spacing w:line="240" w:lineRule="auto"/>
        <w:ind w:firstLine="0"/>
      </w:pPr>
    </w:p>
    <w:p w14:paraId="3903323E" w14:textId="0C7DD9BB" w:rsidR="00026B08" w:rsidRDefault="00026B08">
      <w:pPr>
        <w:spacing w:line="240" w:lineRule="auto"/>
        <w:ind w:firstLine="0"/>
      </w:pPr>
      <w:r>
        <w:t xml:space="preserve">ROSENZWEIG, Roy. </w:t>
      </w:r>
      <w:r w:rsidRPr="00AC4326">
        <w:rPr>
          <w:i/>
          <w:iCs/>
        </w:rPr>
        <w:t xml:space="preserve">Clio </w:t>
      </w:r>
      <w:proofErr w:type="spellStart"/>
      <w:r w:rsidRPr="00AC4326">
        <w:rPr>
          <w:i/>
          <w:iCs/>
        </w:rPr>
        <w:t>Wired</w:t>
      </w:r>
      <w:proofErr w:type="spellEnd"/>
      <w:r>
        <w:t xml:space="preserve">: Computer, </w:t>
      </w:r>
      <w:proofErr w:type="spellStart"/>
      <w:r>
        <w:t>History</w:t>
      </w:r>
      <w:proofErr w:type="spellEnd"/>
      <w:r>
        <w:t xml:space="preserve">, </w:t>
      </w:r>
      <w:proofErr w:type="spellStart"/>
      <w:r>
        <w:t>and</w:t>
      </w:r>
      <w:proofErr w:type="spellEnd"/>
      <w:r>
        <w:t xml:space="preserve"> </w:t>
      </w:r>
      <w:proofErr w:type="spellStart"/>
      <w:r>
        <w:t>the</w:t>
      </w:r>
      <w:proofErr w:type="spellEnd"/>
      <w:r>
        <w:t xml:space="preserve"> Internet. New York: Columbia </w:t>
      </w:r>
      <w:proofErr w:type="spellStart"/>
      <w:r>
        <w:t>University</w:t>
      </w:r>
      <w:proofErr w:type="spellEnd"/>
      <w:r>
        <w:t xml:space="preserve"> Press, 2011.</w:t>
      </w:r>
    </w:p>
    <w:p w14:paraId="77514D60" w14:textId="77777777" w:rsidR="00026B08" w:rsidRDefault="00026B08">
      <w:pPr>
        <w:spacing w:line="240" w:lineRule="auto"/>
        <w:ind w:firstLine="0"/>
      </w:pPr>
    </w:p>
    <w:p w14:paraId="4AAB5209" w14:textId="3E3EAAE1" w:rsidR="00026B08" w:rsidRDefault="00026B08">
      <w:pPr>
        <w:spacing w:line="240" w:lineRule="auto"/>
        <w:ind w:firstLine="0"/>
      </w:pPr>
      <w:r>
        <w:t xml:space="preserve">ROSSI, Andrea Lúcia </w:t>
      </w:r>
      <w:proofErr w:type="spellStart"/>
      <w:r>
        <w:t>Dorini</w:t>
      </w:r>
      <w:proofErr w:type="spellEnd"/>
      <w:r>
        <w:t xml:space="preserve"> de Oliveira Carvalho; BARBOSA, Renata Cerqueira. Humanidades Digitais e Estudos Clássicos: Ferramentas de Difusão e Construção do Conhecimento Histórico. </w:t>
      </w:r>
      <w:r w:rsidRPr="00AC4326">
        <w:rPr>
          <w:i/>
          <w:iCs/>
        </w:rPr>
        <w:t>Revista Brasileira de História</w:t>
      </w:r>
      <w:r>
        <w:t xml:space="preserve">, </w:t>
      </w:r>
      <w:r w:rsidR="00AC4326">
        <w:t xml:space="preserve">v. 45, n. 99, </w:t>
      </w:r>
      <w:r>
        <w:t>2025</w:t>
      </w:r>
      <w:r w:rsidR="00AC4326">
        <w:t>, p. 1-27</w:t>
      </w:r>
      <w:r>
        <w:t>.</w:t>
      </w:r>
    </w:p>
    <w:p w14:paraId="29134317" w14:textId="77777777" w:rsidR="00026B08" w:rsidRDefault="00026B08">
      <w:pPr>
        <w:spacing w:line="240" w:lineRule="auto"/>
        <w:ind w:firstLine="0"/>
      </w:pPr>
    </w:p>
    <w:p w14:paraId="2976F11F" w14:textId="051245FA" w:rsidR="00026B08" w:rsidRDefault="00026B08">
      <w:pPr>
        <w:spacing w:line="240" w:lineRule="auto"/>
        <w:ind w:firstLine="0"/>
      </w:pPr>
      <w:r>
        <w:t xml:space="preserve">RUBIO, Gonzalo. </w:t>
      </w:r>
      <w:proofErr w:type="spellStart"/>
      <w:r>
        <w:t>From</w:t>
      </w:r>
      <w:proofErr w:type="spellEnd"/>
      <w:r>
        <w:t xml:space="preserve"> </w:t>
      </w:r>
      <w:proofErr w:type="spellStart"/>
      <w:r>
        <w:t>Sumer</w:t>
      </w:r>
      <w:proofErr w:type="spellEnd"/>
      <w:r>
        <w:t xml:space="preserve"> </w:t>
      </w:r>
      <w:proofErr w:type="spellStart"/>
      <w:r>
        <w:t>to</w:t>
      </w:r>
      <w:proofErr w:type="spellEnd"/>
      <w:r>
        <w:t xml:space="preserve"> </w:t>
      </w:r>
      <w:proofErr w:type="spellStart"/>
      <w:r>
        <w:t>Babylonia</w:t>
      </w:r>
      <w:proofErr w:type="spellEnd"/>
      <w:r>
        <w:t xml:space="preserve">: </w:t>
      </w:r>
      <w:proofErr w:type="spellStart"/>
      <w:r>
        <w:t>Topics</w:t>
      </w:r>
      <w:proofErr w:type="spellEnd"/>
      <w:r>
        <w:t xml:space="preserve"> in </w:t>
      </w:r>
      <w:proofErr w:type="spellStart"/>
      <w:r>
        <w:t>the</w:t>
      </w:r>
      <w:proofErr w:type="spellEnd"/>
      <w:r>
        <w:t xml:space="preserve"> </w:t>
      </w:r>
      <w:proofErr w:type="spellStart"/>
      <w:r>
        <w:t>History</w:t>
      </w:r>
      <w:proofErr w:type="spellEnd"/>
      <w:r>
        <w:t xml:space="preserve"> </w:t>
      </w:r>
      <w:proofErr w:type="spellStart"/>
      <w:r>
        <w:t>of</w:t>
      </w:r>
      <w:proofErr w:type="spellEnd"/>
      <w:r>
        <w:t xml:space="preserve"> </w:t>
      </w:r>
      <w:proofErr w:type="gramStart"/>
      <w:r>
        <w:t xml:space="preserve">Southern  </w:t>
      </w:r>
      <w:proofErr w:type="spellStart"/>
      <w:r>
        <w:t>Mesopotamia</w:t>
      </w:r>
      <w:proofErr w:type="spellEnd"/>
      <w:proofErr w:type="gramEnd"/>
      <w:r>
        <w:t xml:space="preserve">. </w:t>
      </w:r>
      <w:r w:rsidRPr="00AC4326">
        <w:rPr>
          <w:i/>
          <w:iCs/>
        </w:rPr>
        <w:t>In:</w:t>
      </w:r>
      <w:r>
        <w:t xml:space="preserve"> MARK, W. Chavalas (</w:t>
      </w:r>
      <w:proofErr w:type="spellStart"/>
      <w:r>
        <w:t>org</w:t>
      </w:r>
      <w:proofErr w:type="spellEnd"/>
      <w:r>
        <w:t xml:space="preserve">). </w:t>
      </w:r>
      <w:proofErr w:type="spellStart"/>
      <w:r w:rsidRPr="00AC4326">
        <w:rPr>
          <w:i/>
          <w:iCs/>
        </w:rPr>
        <w:t>Current</w:t>
      </w:r>
      <w:proofErr w:type="spellEnd"/>
      <w:r w:rsidRPr="00AC4326">
        <w:rPr>
          <w:i/>
          <w:iCs/>
        </w:rPr>
        <w:t xml:space="preserve"> </w:t>
      </w:r>
      <w:proofErr w:type="spellStart"/>
      <w:r w:rsidRPr="00AC4326">
        <w:rPr>
          <w:i/>
          <w:iCs/>
        </w:rPr>
        <w:t>Issues</w:t>
      </w:r>
      <w:proofErr w:type="spellEnd"/>
      <w:r w:rsidRPr="00AC4326">
        <w:rPr>
          <w:i/>
          <w:iCs/>
        </w:rPr>
        <w:t xml:space="preserve"> in </w:t>
      </w:r>
      <w:proofErr w:type="spellStart"/>
      <w:r w:rsidRPr="00AC4326">
        <w:rPr>
          <w:i/>
          <w:iCs/>
        </w:rPr>
        <w:t>the</w:t>
      </w:r>
      <w:proofErr w:type="spellEnd"/>
      <w:r w:rsidRPr="00AC4326">
        <w:rPr>
          <w:i/>
          <w:iCs/>
        </w:rPr>
        <w:t xml:space="preserve"> </w:t>
      </w:r>
      <w:proofErr w:type="spellStart"/>
      <w:r w:rsidRPr="00AC4326">
        <w:rPr>
          <w:i/>
          <w:iCs/>
        </w:rPr>
        <w:t>History</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the</w:t>
      </w:r>
      <w:proofErr w:type="spellEnd"/>
      <w:r w:rsidRPr="00AC4326">
        <w:rPr>
          <w:i/>
          <w:iCs/>
        </w:rPr>
        <w:t xml:space="preserve"> </w:t>
      </w:r>
      <w:proofErr w:type="spellStart"/>
      <w:r w:rsidRPr="00AC4326">
        <w:rPr>
          <w:i/>
          <w:iCs/>
        </w:rPr>
        <w:t>Ancient</w:t>
      </w:r>
      <w:proofErr w:type="spellEnd"/>
      <w:r w:rsidRPr="00AC4326">
        <w:rPr>
          <w:i/>
          <w:iCs/>
        </w:rPr>
        <w:t xml:space="preserve"> Near East</w:t>
      </w:r>
      <w:r>
        <w:t xml:space="preserve">. </w:t>
      </w:r>
      <w:proofErr w:type="spellStart"/>
      <w:r>
        <w:t>Claremont</w:t>
      </w:r>
      <w:proofErr w:type="spellEnd"/>
      <w:r>
        <w:t>: Regina Books, 2007.</w:t>
      </w:r>
    </w:p>
    <w:p w14:paraId="530D0189" w14:textId="77777777" w:rsidR="00026B08" w:rsidRDefault="00026B08">
      <w:pPr>
        <w:spacing w:line="240" w:lineRule="auto"/>
        <w:ind w:firstLine="0"/>
      </w:pPr>
      <w:r>
        <w:lastRenderedPageBreak/>
        <w:t xml:space="preserve">SAHLE, Patrick. </w:t>
      </w:r>
      <w:r w:rsidRPr="00026B08">
        <w:rPr>
          <w:i/>
          <w:iCs/>
        </w:rPr>
        <w:t xml:space="preserve">Digital </w:t>
      </w:r>
      <w:proofErr w:type="spellStart"/>
      <w:r w:rsidRPr="00026B08">
        <w:rPr>
          <w:i/>
          <w:iCs/>
        </w:rPr>
        <w:t>Scholarly</w:t>
      </w:r>
      <w:proofErr w:type="spellEnd"/>
      <w:r w:rsidRPr="00026B08">
        <w:rPr>
          <w:i/>
          <w:iCs/>
        </w:rPr>
        <w:t xml:space="preserve"> Editions</w:t>
      </w:r>
      <w:r>
        <w:t xml:space="preserve">: A </w:t>
      </w:r>
      <w:proofErr w:type="spellStart"/>
      <w:r>
        <w:t>Process-Oriented</w:t>
      </w:r>
      <w:proofErr w:type="spellEnd"/>
      <w:r>
        <w:t xml:space="preserve"> Approach. </w:t>
      </w:r>
      <w:proofErr w:type="spellStart"/>
      <w:r>
        <w:t>Cologne</w:t>
      </w:r>
      <w:proofErr w:type="spellEnd"/>
      <w:r>
        <w:t xml:space="preserve">: </w:t>
      </w:r>
      <w:proofErr w:type="spellStart"/>
      <w:r>
        <w:t>Cologne</w:t>
      </w:r>
      <w:proofErr w:type="spellEnd"/>
      <w:r>
        <w:t xml:space="preserve"> Center for </w:t>
      </w:r>
      <w:proofErr w:type="spellStart"/>
      <w:r>
        <w:t>eHumanities</w:t>
      </w:r>
      <w:proofErr w:type="spellEnd"/>
      <w:r>
        <w:t>, 2016.</w:t>
      </w:r>
    </w:p>
    <w:p w14:paraId="46BACA1F" w14:textId="77777777" w:rsidR="00026B08" w:rsidRDefault="00026B08">
      <w:pPr>
        <w:spacing w:line="240" w:lineRule="auto"/>
        <w:ind w:firstLine="0"/>
      </w:pPr>
    </w:p>
    <w:p w14:paraId="799FECB4" w14:textId="7085592B" w:rsidR="00026B08" w:rsidRDefault="00026B08">
      <w:pPr>
        <w:spacing w:line="240" w:lineRule="auto"/>
        <w:ind w:firstLine="0"/>
      </w:pPr>
      <w:r>
        <w:t xml:space="preserve">SAID, Edward W. </w:t>
      </w:r>
      <w:r w:rsidRPr="00026B08">
        <w:rPr>
          <w:i/>
          <w:iCs/>
        </w:rPr>
        <w:t>Orientalismo</w:t>
      </w:r>
      <w:r>
        <w:t>: o Oriente como invenção do Ocidente. Trad. Tomás Rosa Bueno. São Paulo: Companhia das Letras, 1990.</w:t>
      </w:r>
    </w:p>
    <w:p w14:paraId="2DCE829A" w14:textId="77777777" w:rsidR="00026B08" w:rsidRDefault="00026B08">
      <w:pPr>
        <w:spacing w:line="240" w:lineRule="auto"/>
        <w:ind w:firstLine="0"/>
      </w:pPr>
    </w:p>
    <w:p w14:paraId="07489B86" w14:textId="06E8D8B6" w:rsidR="00026B08" w:rsidRDefault="00026B08">
      <w:pPr>
        <w:spacing w:line="240" w:lineRule="auto"/>
        <w:ind w:firstLine="0"/>
      </w:pPr>
      <w:r>
        <w:t xml:space="preserve">SANTOS, Dominique; KOLV, Graziele; NAZÁRIO, Juliano João. O Ensino e a Pesquisa em História Antiga no Brasil: reflexões a partir dos dados da Plataforma Lattes. </w:t>
      </w:r>
      <w:r w:rsidRPr="00026B08">
        <w:rPr>
          <w:i/>
          <w:iCs/>
        </w:rPr>
        <w:t xml:space="preserve">Mare </w:t>
      </w:r>
      <w:proofErr w:type="spellStart"/>
      <w:r w:rsidRPr="00026B08">
        <w:rPr>
          <w:i/>
          <w:iCs/>
        </w:rPr>
        <w:t>Nostrum</w:t>
      </w:r>
      <w:proofErr w:type="spellEnd"/>
      <w:r>
        <w:t>, n.8, p. 115-145, 2017.</w:t>
      </w:r>
    </w:p>
    <w:p w14:paraId="37A0DA66" w14:textId="77777777" w:rsidR="00026B08" w:rsidRDefault="00026B08">
      <w:pPr>
        <w:spacing w:line="240" w:lineRule="auto"/>
        <w:ind w:firstLine="0"/>
      </w:pPr>
    </w:p>
    <w:p w14:paraId="078306FA" w14:textId="7E331823" w:rsidR="00026B08" w:rsidRDefault="00026B08">
      <w:pPr>
        <w:spacing w:line="240" w:lineRule="auto"/>
        <w:ind w:firstLine="0"/>
      </w:pPr>
      <w:r>
        <w:t xml:space="preserve">SCHMANDT-BESSERAT, Denise. </w:t>
      </w:r>
      <w:r w:rsidRPr="00026B08">
        <w:rPr>
          <w:i/>
          <w:iCs/>
        </w:rPr>
        <w:t xml:space="preserve">Before </w:t>
      </w:r>
      <w:proofErr w:type="spellStart"/>
      <w:r w:rsidRPr="00026B08">
        <w:rPr>
          <w:i/>
          <w:iCs/>
        </w:rPr>
        <w:t>Writing</w:t>
      </w:r>
      <w:proofErr w:type="spellEnd"/>
      <w:r>
        <w:t xml:space="preserve">. vol. I. Austin: </w:t>
      </w:r>
      <w:proofErr w:type="spellStart"/>
      <w:r>
        <w:t>University</w:t>
      </w:r>
      <w:proofErr w:type="spellEnd"/>
      <w:r>
        <w:t xml:space="preserve"> </w:t>
      </w:r>
      <w:proofErr w:type="spellStart"/>
      <w:r>
        <w:t>of</w:t>
      </w:r>
      <w:proofErr w:type="spellEnd"/>
      <w:r>
        <w:t xml:space="preserve"> Texas Press, 1992.</w:t>
      </w:r>
    </w:p>
    <w:p w14:paraId="35322C8E" w14:textId="77777777" w:rsidR="00026B08" w:rsidRDefault="00026B08">
      <w:pPr>
        <w:spacing w:line="240" w:lineRule="auto"/>
        <w:ind w:firstLine="0"/>
      </w:pPr>
    </w:p>
    <w:p w14:paraId="48AF4723" w14:textId="30E75199" w:rsidR="00026B08" w:rsidRDefault="00026B08">
      <w:pPr>
        <w:spacing w:line="240" w:lineRule="auto"/>
        <w:ind w:firstLine="0"/>
      </w:pPr>
      <w:r>
        <w:t xml:space="preserve">SCHREIBMAN, Susan; SIEMENS, Ray; UNSWORTH, John (Ed.). </w:t>
      </w:r>
      <w:r w:rsidRPr="00026B08">
        <w:rPr>
          <w:i/>
          <w:iCs/>
        </w:rPr>
        <w:t xml:space="preserve">A Companion </w:t>
      </w:r>
      <w:proofErr w:type="spellStart"/>
      <w:r w:rsidRPr="00026B08">
        <w:rPr>
          <w:i/>
          <w:iCs/>
        </w:rPr>
        <w:t>to</w:t>
      </w:r>
      <w:proofErr w:type="spellEnd"/>
      <w:r w:rsidRPr="00026B08">
        <w:rPr>
          <w:i/>
          <w:iCs/>
        </w:rPr>
        <w:t xml:space="preserve"> Digital </w:t>
      </w:r>
      <w:proofErr w:type="spellStart"/>
      <w:r w:rsidRPr="00026B08">
        <w:rPr>
          <w:i/>
          <w:iCs/>
        </w:rPr>
        <w:t>Humanities</w:t>
      </w:r>
      <w:proofErr w:type="spellEnd"/>
      <w:r>
        <w:t>. Oxford: Blackwell, 2004.</w:t>
      </w:r>
    </w:p>
    <w:p w14:paraId="28A60327" w14:textId="77777777" w:rsidR="00026B08" w:rsidRDefault="00026B08">
      <w:pPr>
        <w:spacing w:line="240" w:lineRule="auto"/>
        <w:ind w:firstLine="0"/>
      </w:pPr>
    </w:p>
    <w:p w14:paraId="0748EAE7" w14:textId="6300D832" w:rsidR="00026B08" w:rsidRDefault="00026B08">
      <w:pPr>
        <w:spacing w:line="240" w:lineRule="auto"/>
        <w:ind w:firstLine="0"/>
      </w:pPr>
      <w:r>
        <w:t xml:space="preserve">SILVA, Diogo Pereira. A reestruturação político-administrativa do Império Romano na época de Diocleciano e da Tetrarquia. </w:t>
      </w:r>
      <w:r w:rsidRPr="00026B08">
        <w:rPr>
          <w:i/>
          <w:iCs/>
        </w:rPr>
        <w:t xml:space="preserve">Rev. </w:t>
      </w:r>
      <w:proofErr w:type="spellStart"/>
      <w:r w:rsidRPr="00026B08">
        <w:rPr>
          <w:i/>
          <w:iCs/>
        </w:rPr>
        <w:t>Classica</w:t>
      </w:r>
      <w:proofErr w:type="spellEnd"/>
      <w:r>
        <w:t>, v. 30, n. 1, p. 85-102, 2017.</w:t>
      </w:r>
    </w:p>
    <w:p w14:paraId="6CF0391F" w14:textId="77777777" w:rsidR="00026B08" w:rsidRDefault="00026B08">
      <w:pPr>
        <w:spacing w:line="240" w:lineRule="auto"/>
        <w:ind w:firstLine="0"/>
      </w:pPr>
    </w:p>
    <w:p w14:paraId="13684396" w14:textId="03D3BC6C" w:rsidR="00026B08" w:rsidRDefault="00026B08">
      <w:pPr>
        <w:spacing w:line="240" w:lineRule="auto"/>
        <w:ind w:firstLine="0"/>
      </w:pPr>
      <w:r>
        <w:t xml:space="preserve">SILVA, G. J. </w:t>
      </w:r>
      <w:proofErr w:type="spellStart"/>
      <w:r>
        <w:t>da</w:t>
      </w:r>
      <w:proofErr w:type="spellEnd"/>
      <w:r>
        <w:t xml:space="preserve">; FUNARI, P. P.; GARRAFFONI, R. S. Recepções da Antiguidade e usos do passado: estabelecimento dos campos e sua presença na realidade brasileira. </w:t>
      </w:r>
      <w:r w:rsidRPr="00026B08">
        <w:rPr>
          <w:i/>
          <w:iCs/>
        </w:rPr>
        <w:t>Revista Brasileira de História</w:t>
      </w:r>
      <w:r>
        <w:t>, v. 40, n. 84, p. 43-66, 2020.</w:t>
      </w:r>
    </w:p>
    <w:p w14:paraId="78EB16A5" w14:textId="77777777" w:rsidR="00026B08" w:rsidRDefault="00026B08">
      <w:pPr>
        <w:spacing w:line="240" w:lineRule="auto"/>
        <w:ind w:firstLine="0"/>
      </w:pPr>
    </w:p>
    <w:p w14:paraId="21F596A7" w14:textId="56CC5BD0" w:rsidR="00026B08" w:rsidRDefault="00026B08">
      <w:pPr>
        <w:spacing w:line="240" w:lineRule="auto"/>
        <w:ind w:firstLine="0"/>
      </w:pPr>
      <w:r>
        <w:t xml:space="preserve">SILVA, Gilvan Ventura da. </w:t>
      </w:r>
      <w:r w:rsidRPr="00026B08">
        <w:rPr>
          <w:i/>
          <w:iCs/>
        </w:rPr>
        <w:t>A escalada dos imperadores proscritos</w:t>
      </w:r>
      <w:r>
        <w:t>: Estado, conflito e usurpação na Antiguidade Tardia (285-395). 1. ed. Vitória: GM Editora, 2018.</w:t>
      </w:r>
    </w:p>
    <w:p w14:paraId="7C910576" w14:textId="77777777" w:rsidR="00026B08" w:rsidRDefault="00026B08">
      <w:pPr>
        <w:spacing w:line="240" w:lineRule="auto"/>
        <w:ind w:firstLine="0"/>
      </w:pPr>
    </w:p>
    <w:p w14:paraId="65A1513E" w14:textId="6DD0C135" w:rsidR="00026B08" w:rsidRDefault="00026B08">
      <w:pPr>
        <w:spacing w:line="240" w:lineRule="auto"/>
        <w:ind w:firstLine="0"/>
      </w:pPr>
      <w:r>
        <w:t xml:space="preserve">SILVA, Gilvan Ventura da; SOARES, </w:t>
      </w:r>
      <w:proofErr w:type="spellStart"/>
      <w:r>
        <w:t>Carolline</w:t>
      </w:r>
      <w:proofErr w:type="spellEnd"/>
      <w:r>
        <w:t xml:space="preserve"> da Silva. O “fim” do mundo antigo em debate: da “crise” do século III à antiguidade tardia e além. </w:t>
      </w:r>
      <w:proofErr w:type="spellStart"/>
      <w:r w:rsidRPr="00026B08">
        <w:rPr>
          <w:i/>
          <w:iCs/>
        </w:rPr>
        <w:t>NEArco</w:t>
      </w:r>
      <w:proofErr w:type="spellEnd"/>
      <w:r>
        <w:t>, Rio de Janeiro, NEA/Uerj, 2013, vol. 6, nº 1, pp. 138-162.</w:t>
      </w:r>
    </w:p>
    <w:p w14:paraId="1CB184CE" w14:textId="77777777" w:rsidR="00026B08" w:rsidRDefault="00026B08">
      <w:pPr>
        <w:spacing w:line="240" w:lineRule="auto"/>
        <w:ind w:firstLine="0"/>
      </w:pPr>
    </w:p>
    <w:p w14:paraId="78B6A9C9" w14:textId="628B7FC5" w:rsidR="00026B08" w:rsidRDefault="00026B08">
      <w:pPr>
        <w:spacing w:line="240" w:lineRule="auto"/>
        <w:ind w:firstLine="0"/>
      </w:pPr>
      <w:r>
        <w:t xml:space="preserve">SILVA, Glaydson José da et al. (org.). </w:t>
      </w:r>
      <w:r w:rsidRPr="00026B08">
        <w:rPr>
          <w:i/>
          <w:iCs/>
        </w:rPr>
        <w:t>Antiguidade como Presença</w:t>
      </w:r>
      <w:r>
        <w:t>: antigos, modernos e os usos do passado. Curitiba: Prismas, 2017.</w:t>
      </w:r>
    </w:p>
    <w:p w14:paraId="06DFF509" w14:textId="77777777" w:rsidR="00026B08" w:rsidRDefault="00026B08">
      <w:pPr>
        <w:spacing w:line="240" w:lineRule="auto"/>
        <w:ind w:firstLine="0"/>
      </w:pPr>
    </w:p>
    <w:p w14:paraId="129C844D" w14:textId="61409D50" w:rsidR="00026B08" w:rsidRDefault="00026B08">
      <w:pPr>
        <w:spacing w:line="240" w:lineRule="auto"/>
        <w:ind w:firstLine="0"/>
      </w:pPr>
      <w:r>
        <w:t xml:space="preserve">SILVA, Glaydson José da. </w:t>
      </w:r>
      <w:r w:rsidRPr="00026B08">
        <w:rPr>
          <w:i/>
          <w:iCs/>
        </w:rPr>
        <w:t>História Antiga e usos do passado</w:t>
      </w:r>
      <w:r>
        <w:t>: um estudo de apropriações da Antiguidade sob o Regime de Vichy (1940-1944). 1. ed. São Paulo: Annablume, 2007.</w:t>
      </w:r>
    </w:p>
    <w:p w14:paraId="0DD2896A" w14:textId="77777777" w:rsidR="00026B08" w:rsidRDefault="00026B08">
      <w:pPr>
        <w:spacing w:line="240" w:lineRule="auto"/>
        <w:ind w:firstLine="0"/>
      </w:pPr>
    </w:p>
    <w:p w14:paraId="198C3041" w14:textId="58C80E1E" w:rsidR="00026B08" w:rsidRDefault="00026B08">
      <w:pPr>
        <w:spacing w:line="240" w:lineRule="auto"/>
        <w:ind w:firstLine="0"/>
      </w:pPr>
      <w:r>
        <w:t xml:space="preserve">SILVA, Glaydson José da. Os Avanços da História Antiga no Brasil. </w:t>
      </w:r>
      <w:r w:rsidRPr="00026B08">
        <w:rPr>
          <w:i/>
          <w:iCs/>
        </w:rPr>
        <w:t>Anais</w:t>
      </w:r>
      <w:r>
        <w:t xml:space="preserve"> do XXVI Simpósio Nacional de História - ANPUH, São Paulo, 2011, p. 1-31.</w:t>
      </w:r>
    </w:p>
    <w:p w14:paraId="35BD4958" w14:textId="77777777" w:rsidR="00026B08" w:rsidRDefault="00026B08">
      <w:pPr>
        <w:spacing w:line="240" w:lineRule="auto"/>
        <w:ind w:firstLine="0"/>
      </w:pPr>
    </w:p>
    <w:p w14:paraId="3223DC85" w14:textId="60EE6C4A" w:rsidR="00026B08" w:rsidRDefault="00026B08">
      <w:pPr>
        <w:spacing w:line="240" w:lineRule="auto"/>
        <w:ind w:firstLine="0"/>
      </w:pPr>
      <w:r>
        <w:t xml:space="preserve">SILVA, Glaydson José da., MARTINS, Adilton Luís Martins. Genealogia e História Antiga. </w:t>
      </w:r>
      <w:r w:rsidRPr="00026B08">
        <w:rPr>
          <w:i/>
          <w:iCs/>
        </w:rPr>
        <w:t>In:</w:t>
      </w:r>
      <w:r>
        <w:t xml:space="preserve"> RAGO, Margareth L., FUNARI, P. P. A. (</w:t>
      </w:r>
      <w:proofErr w:type="spellStart"/>
      <w:r>
        <w:t>Orgs</w:t>
      </w:r>
      <w:proofErr w:type="spellEnd"/>
      <w:r>
        <w:t xml:space="preserve">). </w:t>
      </w:r>
      <w:r w:rsidRPr="00026B08">
        <w:rPr>
          <w:i/>
          <w:iCs/>
        </w:rPr>
        <w:t>Subjetividades antigas e modernas</w:t>
      </w:r>
      <w:r>
        <w:t>. São Paulo: Annablume, 2008. 47-58</w:t>
      </w:r>
    </w:p>
    <w:p w14:paraId="397A415D" w14:textId="77777777" w:rsidR="00026B08" w:rsidRDefault="00026B08">
      <w:pPr>
        <w:spacing w:line="240" w:lineRule="auto"/>
        <w:ind w:firstLine="0"/>
      </w:pPr>
    </w:p>
    <w:p w14:paraId="24CFA8EB" w14:textId="1C0D0354" w:rsidR="00026B08" w:rsidRDefault="00026B08">
      <w:pPr>
        <w:spacing w:line="240" w:lineRule="auto"/>
        <w:ind w:firstLine="0"/>
      </w:pPr>
      <w:r>
        <w:t xml:space="preserve">SILVA, Semíramis Corsi. “Não me chame de senhor, pois sou uma senhora”: a performatividade transgênero do imperador </w:t>
      </w:r>
      <w:proofErr w:type="spellStart"/>
      <w:r>
        <w:t>Heliogábalo</w:t>
      </w:r>
      <w:proofErr w:type="spellEnd"/>
      <w:r>
        <w:t xml:space="preserve"> (218-222). </w:t>
      </w:r>
      <w:r w:rsidRPr="00026B08">
        <w:rPr>
          <w:i/>
          <w:iCs/>
        </w:rPr>
        <w:t>In:</w:t>
      </w:r>
      <w:r>
        <w:t xml:space="preserve"> SILVA, Semíramis Corsi; ANTIQUEIRA, </w:t>
      </w:r>
      <w:proofErr w:type="spellStart"/>
      <w:r>
        <w:t>Moíses</w:t>
      </w:r>
      <w:proofErr w:type="spellEnd"/>
      <w:r>
        <w:t xml:space="preserve">. </w:t>
      </w:r>
      <w:r w:rsidRPr="00026B08">
        <w:rPr>
          <w:i/>
          <w:iCs/>
        </w:rPr>
        <w:t>O Império Romano no Século III</w:t>
      </w:r>
      <w:r>
        <w:t>. Crises, transformações e mutações. 1. ed. São João de Meriti: Desalinho, 2021.</w:t>
      </w:r>
    </w:p>
    <w:p w14:paraId="7C7127B3" w14:textId="77777777" w:rsidR="00026B08" w:rsidRDefault="00026B08">
      <w:pPr>
        <w:spacing w:line="240" w:lineRule="auto"/>
        <w:ind w:firstLine="0"/>
      </w:pPr>
    </w:p>
    <w:p w14:paraId="4D90079A" w14:textId="3272E2BC" w:rsidR="00026B08" w:rsidRDefault="00026B08">
      <w:pPr>
        <w:spacing w:line="240" w:lineRule="auto"/>
        <w:ind w:firstLine="0"/>
      </w:pPr>
      <w:r>
        <w:t xml:space="preserve">SMITH, Neil; BLACKWELL, Christopher. </w:t>
      </w:r>
      <w:proofErr w:type="spellStart"/>
      <w:r>
        <w:t>Perseids</w:t>
      </w:r>
      <w:proofErr w:type="spellEnd"/>
      <w:r>
        <w:t xml:space="preserve"> Project: </w:t>
      </w:r>
      <w:proofErr w:type="spellStart"/>
      <w:r>
        <w:t>Collaborative</w:t>
      </w:r>
      <w:proofErr w:type="spellEnd"/>
      <w:r>
        <w:t xml:space="preserve"> </w:t>
      </w:r>
      <w:proofErr w:type="spellStart"/>
      <w:r>
        <w:t>Editing</w:t>
      </w:r>
      <w:proofErr w:type="spellEnd"/>
      <w:r>
        <w:t xml:space="preserve"> for </w:t>
      </w:r>
      <w:proofErr w:type="spellStart"/>
      <w:r>
        <w:t>Ancient</w:t>
      </w:r>
      <w:proofErr w:type="spellEnd"/>
      <w:r>
        <w:t xml:space="preserve"> </w:t>
      </w:r>
      <w:proofErr w:type="spellStart"/>
      <w:r>
        <w:t>Texts</w:t>
      </w:r>
      <w:proofErr w:type="spellEnd"/>
      <w:r>
        <w:t xml:space="preserve">. </w:t>
      </w:r>
      <w:r w:rsidRPr="00026B08">
        <w:rPr>
          <w:i/>
          <w:iCs/>
        </w:rPr>
        <w:t xml:space="preserve">Digital </w:t>
      </w:r>
      <w:proofErr w:type="spellStart"/>
      <w:r w:rsidRPr="00026B08">
        <w:rPr>
          <w:i/>
          <w:iCs/>
        </w:rPr>
        <w:t>Philology</w:t>
      </w:r>
      <w:proofErr w:type="spellEnd"/>
      <w:r>
        <w:t xml:space="preserve">: A </w:t>
      </w:r>
      <w:proofErr w:type="spellStart"/>
      <w:r>
        <w:t>Journal</w:t>
      </w:r>
      <w:proofErr w:type="spellEnd"/>
      <w:r>
        <w:t xml:space="preserve"> </w:t>
      </w:r>
      <w:proofErr w:type="spellStart"/>
      <w:r>
        <w:t>of</w:t>
      </w:r>
      <w:proofErr w:type="spellEnd"/>
      <w:r>
        <w:t xml:space="preserve"> Medieval </w:t>
      </w:r>
      <w:proofErr w:type="spellStart"/>
      <w:r>
        <w:t>Cultures</w:t>
      </w:r>
      <w:proofErr w:type="spellEnd"/>
      <w:r>
        <w:t>, v. 4, n. 2, p. 110–130, 2015.</w:t>
      </w:r>
    </w:p>
    <w:p w14:paraId="29807CAF" w14:textId="222A50AC" w:rsidR="00026B08" w:rsidRDefault="00026B08">
      <w:pPr>
        <w:spacing w:line="240" w:lineRule="auto"/>
        <w:ind w:firstLine="0"/>
      </w:pPr>
      <w:r>
        <w:lastRenderedPageBreak/>
        <w:t xml:space="preserve">STONE, Elizabeth C. The </w:t>
      </w:r>
      <w:proofErr w:type="spellStart"/>
      <w:r>
        <w:t>Development</w:t>
      </w:r>
      <w:proofErr w:type="spellEnd"/>
      <w:r>
        <w:t xml:space="preserve"> </w:t>
      </w:r>
      <w:proofErr w:type="spellStart"/>
      <w:r>
        <w:t>of</w:t>
      </w:r>
      <w:proofErr w:type="spellEnd"/>
      <w:r>
        <w:t xml:space="preserve"> </w:t>
      </w:r>
      <w:proofErr w:type="spellStart"/>
      <w:r>
        <w:t>Cities</w:t>
      </w:r>
      <w:proofErr w:type="spellEnd"/>
      <w:r>
        <w:t xml:space="preserve"> in </w:t>
      </w:r>
      <w:proofErr w:type="spellStart"/>
      <w:r>
        <w:t>Ancient</w:t>
      </w:r>
      <w:proofErr w:type="spellEnd"/>
      <w:r>
        <w:t xml:space="preserve"> </w:t>
      </w:r>
      <w:proofErr w:type="spellStart"/>
      <w:r>
        <w:t>Mesopotamia</w:t>
      </w:r>
      <w:proofErr w:type="spellEnd"/>
      <w:r>
        <w:t xml:space="preserve">. </w:t>
      </w:r>
      <w:r w:rsidRPr="00026B08">
        <w:rPr>
          <w:i/>
          <w:iCs/>
        </w:rPr>
        <w:t>In:</w:t>
      </w:r>
      <w:r>
        <w:t xml:space="preserve"> SASSON, Jack (</w:t>
      </w:r>
      <w:proofErr w:type="spellStart"/>
      <w:r>
        <w:t>ed</w:t>
      </w:r>
      <w:proofErr w:type="spellEnd"/>
      <w:r>
        <w:t xml:space="preserve">). </w:t>
      </w:r>
      <w:proofErr w:type="spellStart"/>
      <w:r>
        <w:t>Civilizations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Ancient</w:t>
      </w:r>
      <w:proofErr w:type="spellEnd"/>
      <w:r>
        <w:t xml:space="preserve"> Near East. New York: </w:t>
      </w:r>
      <w:proofErr w:type="spellStart"/>
      <w:r>
        <w:t>Scribner</w:t>
      </w:r>
      <w:proofErr w:type="spellEnd"/>
      <w:r>
        <w:t>, 1995. p. 235-256.</w:t>
      </w:r>
    </w:p>
    <w:p w14:paraId="70B67150" w14:textId="77777777" w:rsidR="00026B08" w:rsidRDefault="00026B08">
      <w:pPr>
        <w:spacing w:line="240" w:lineRule="auto"/>
        <w:ind w:firstLine="0"/>
      </w:pPr>
    </w:p>
    <w:p w14:paraId="413C01F7" w14:textId="71AC0E88" w:rsidR="00026B08" w:rsidRDefault="00026B08">
      <w:pPr>
        <w:spacing w:line="240" w:lineRule="auto"/>
        <w:ind w:firstLine="0"/>
      </w:pPr>
      <w:r>
        <w:t xml:space="preserve">STONE, Elizabeth C.; ZIMANSKY, Paul. </w:t>
      </w:r>
      <w:r w:rsidRPr="00026B08">
        <w:rPr>
          <w:i/>
          <w:iCs/>
        </w:rPr>
        <w:t xml:space="preserve">The </w:t>
      </w:r>
      <w:proofErr w:type="spellStart"/>
      <w:r w:rsidRPr="00026B08">
        <w:rPr>
          <w:i/>
          <w:iCs/>
        </w:rPr>
        <w:t>Anatomy</w:t>
      </w:r>
      <w:proofErr w:type="spellEnd"/>
      <w:r w:rsidRPr="00026B08">
        <w:rPr>
          <w:i/>
          <w:iCs/>
        </w:rPr>
        <w:t xml:space="preserve"> </w:t>
      </w:r>
      <w:proofErr w:type="spellStart"/>
      <w:r w:rsidRPr="00026B08">
        <w:rPr>
          <w:i/>
          <w:iCs/>
        </w:rPr>
        <w:t>of</w:t>
      </w:r>
      <w:proofErr w:type="spellEnd"/>
      <w:r w:rsidRPr="00026B08">
        <w:rPr>
          <w:i/>
          <w:iCs/>
        </w:rPr>
        <w:t xml:space="preserve"> a </w:t>
      </w:r>
      <w:proofErr w:type="spellStart"/>
      <w:r w:rsidRPr="00026B08">
        <w:rPr>
          <w:i/>
          <w:iCs/>
        </w:rPr>
        <w:t>Mesopotamian</w:t>
      </w:r>
      <w:proofErr w:type="spellEnd"/>
      <w:r w:rsidRPr="00026B08">
        <w:rPr>
          <w:i/>
          <w:iCs/>
        </w:rPr>
        <w:t xml:space="preserve"> City</w:t>
      </w:r>
      <w:r>
        <w:t xml:space="preserve">: </w:t>
      </w:r>
      <w:proofErr w:type="spellStart"/>
      <w:r>
        <w:t>Survey</w:t>
      </w:r>
      <w:proofErr w:type="spellEnd"/>
      <w:r>
        <w:t xml:space="preserve"> </w:t>
      </w:r>
      <w:proofErr w:type="spellStart"/>
      <w:r>
        <w:t>and</w:t>
      </w:r>
      <w:proofErr w:type="spellEnd"/>
      <w:r>
        <w:t xml:space="preserve"> </w:t>
      </w:r>
      <w:proofErr w:type="spellStart"/>
      <w:r>
        <w:t>Soundings</w:t>
      </w:r>
      <w:proofErr w:type="spellEnd"/>
      <w:r>
        <w:t xml:space="preserve"> </w:t>
      </w:r>
      <w:proofErr w:type="spellStart"/>
      <w:r>
        <w:t>at</w:t>
      </w:r>
      <w:proofErr w:type="spellEnd"/>
      <w:r>
        <w:t xml:space="preserve"> </w:t>
      </w:r>
      <w:proofErr w:type="spellStart"/>
      <w:r>
        <w:t>Mashkan-shapir</w:t>
      </w:r>
      <w:proofErr w:type="spellEnd"/>
      <w:r>
        <w:t xml:space="preserve">. Winona Lake: </w:t>
      </w:r>
      <w:proofErr w:type="spellStart"/>
      <w:r>
        <w:t>Eisenbrauns</w:t>
      </w:r>
      <w:proofErr w:type="spellEnd"/>
      <w:r>
        <w:t>, 2004.</w:t>
      </w:r>
    </w:p>
    <w:p w14:paraId="25B2C37D" w14:textId="77777777" w:rsidR="00026B08" w:rsidRDefault="00026B08">
      <w:pPr>
        <w:spacing w:line="240" w:lineRule="auto"/>
        <w:ind w:firstLine="0"/>
      </w:pPr>
    </w:p>
    <w:p w14:paraId="36244A01" w14:textId="2225F849" w:rsidR="00026B08" w:rsidRDefault="00026B08">
      <w:pPr>
        <w:spacing w:line="240" w:lineRule="auto"/>
        <w:ind w:firstLine="0"/>
      </w:pPr>
      <w:r>
        <w:t xml:space="preserve">SVENSSON, Patrik. </w:t>
      </w:r>
      <w:r w:rsidRPr="00026B08">
        <w:rPr>
          <w:i/>
          <w:iCs/>
        </w:rPr>
        <w:t xml:space="preserve">Big Digital </w:t>
      </w:r>
      <w:proofErr w:type="spellStart"/>
      <w:r w:rsidRPr="00026B08">
        <w:rPr>
          <w:i/>
          <w:iCs/>
        </w:rPr>
        <w:t>Humanities</w:t>
      </w:r>
      <w:proofErr w:type="spellEnd"/>
      <w:r w:rsidRPr="00026B08">
        <w:rPr>
          <w:i/>
          <w:iCs/>
        </w:rPr>
        <w:t xml:space="preserve">: </w:t>
      </w:r>
      <w:proofErr w:type="spellStart"/>
      <w:r w:rsidRPr="00026B08">
        <w:rPr>
          <w:i/>
          <w:iCs/>
        </w:rPr>
        <w:t>Imagining</w:t>
      </w:r>
      <w:proofErr w:type="spellEnd"/>
      <w:r w:rsidRPr="00026B08">
        <w:rPr>
          <w:i/>
          <w:iCs/>
        </w:rPr>
        <w:t xml:space="preserve"> a Meeting </w:t>
      </w:r>
      <w:proofErr w:type="spellStart"/>
      <w:r w:rsidRPr="00026B08">
        <w:rPr>
          <w:i/>
          <w:iCs/>
        </w:rPr>
        <w:t>Place</w:t>
      </w:r>
      <w:proofErr w:type="spellEnd"/>
      <w:r w:rsidRPr="00026B08">
        <w:rPr>
          <w:i/>
          <w:iCs/>
        </w:rPr>
        <w:t xml:space="preserve"> for </w:t>
      </w:r>
      <w:proofErr w:type="spellStart"/>
      <w:r w:rsidRPr="00026B08">
        <w:rPr>
          <w:i/>
          <w:iCs/>
        </w:rPr>
        <w:t>the</w:t>
      </w:r>
      <w:proofErr w:type="spellEnd"/>
      <w:r w:rsidRPr="00026B08">
        <w:rPr>
          <w:i/>
          <w:iCs/>
        </w:rPr>
        <w:t xml:space="preserve"> </w:t>
      </w:r>
      <w:proofErr w:type="spellStart"/>
      <w:r w:rsidRPr="00026B08">
        <w:rPr>
          <w:i/>
          <w:iCs/>
        </w:rPr>
        <w:t>Humanities</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proofErr w:type="gramStart"/>
      <w:r w:rsidRPr="00026B08">
        <w:rPr>
          <w:i/>
          <w:iCs/>
        </w:rPr>
        <w:t>the</w:t>
      </w:r>
      <w:proofErr w:type="spellEnd"/>
      <w:r w:rsidRPr="00026B08">
        <w:rPr>
          <w:i/>
          <w:iCs/>
        </w:rPr>
        <w:t xml:space="preserve"> Digital</w:t>
      </w:r>
      <w:proofErr w:type="gramEnd"/>
      <w:r w:rsidRPr="00026B08">
        <w:rPr>
          <w:i/>
          <w:iCs/>
        </w:rPr>
        <w:t>.</w:t>
      </w:r>
      <w:r>
        <w:t xml:space="preserve"> Ann Arbor: </w:t>
      </w:r>
      <w:proofErr w:type="spellStart"/>
      <w:r>
        <w:t>University</w:t>
      </w:r>
      <w:proofErr w:type="spellEnd"/>
      <w:r>
        <w:t xml:space="preserve"> </w:t>
      </w:r>
      <w:proofErr w:type="spellStart"/>
      <w:r>
        <w:t>of</w:t>
      </w:r>
      <w:proofErr w:type="spellEnd"/>
      <w:r>
        <w:t xml:space="preserve"> Michigan Press, 2016.</w:t>
      </w:r>
    </w:p>
    <w:p w14:paraId="35B7C828" w14:textId="77777777" w:rsidR="00026B08" w:rsidRDefault="00026B08">
      <w:pPr>
        <w:spacing w:line="240" w:lineRule="auto"/>
        <w:ind w:firstLine="0"/>
      </w:pPr>
    </w:p>
    <w:p w14:paraId="2937EA12" w14:textId="56026A60" w:rsidR="00026B08" w:rsidRDefault="00026B08">
      <w:pPr>
        <w:spacing w:line="240" w:lineRule="auto"/>
        <w:ind w:firstLine="0"/>
      </w:pPr>
      <w:r>
        <w:t xml:space="preserve">SYME, Ronald. </w:t>
      </w:r>
      <w:r w:rsidRPr="00026B08">
        <w:rPr>
          <w:i/>
          <w:iCs/>
        </w:rPr>
        <w:t>The Roman Revolution</w:t>
      </w:r>
      <w:r>
        <w:t xml:space="preserve">. Oxford: Oxford </w:t>
      </w:r>
      <w:proofErr w:type="spellStart"/>
      <w:r>
        <w:t>University</w:t>
      </w:r>
      <w:proofErr w:type="spellEnd"/>
      <w:r>
        <w:t xml:space="preserve"> Press, 1939.</w:t>
      </w:r>
    </w:p>
    <w:p w14:paraId="4F1783C8" w14:textId="77777777" w:rsidR="00026B08" w:rsidRDefault="00026B08">
      <w:pPr>
        <w:spacing w:line="240" w:lineRule="auto"/>
        <w:ind w:firstLine="0"/>
      </w:pPr>
    </w:p>
    <w:p w14:paraId="611B88FB" w14:textId="668673DB" w:rsidR="00026B08" w:rsidRDefault="00026B08">
      <w:pPr>
        <w:spacing w:line="240" w:lineRule="auto"/>
        <w:ind w:firstLine="0"/>
      </w:pPr>
      <w:r>
        <w:t xml:space="preserve">TACLA, </w:t>
      </w:r>
      <w:proofErr w:type="spellStart"/>
      <w:r>
        <w:t>Adriene</w:t>
      </w:r>
      <w:proofErr w:type="spellEnd"/>
      <w:r>
        <w:t xml:space="preserve"> Baron. Pesquisa e ensino de história antiga: para quê? </w:t>
      </w:r>
      <w:r w:rsidRPr="00026B08">
        <w:rPr>
          <w:i/>
          <w:iCs/>
        </w:rPr>
        <w:t>Outros tempos</w:t>
      </w:r>
      <w:r>
        <w:t>, v. 16, n. 28, 2019, p. 146-161.</w:t>
      </w:r>
    </w:p>
    <w:p w14:paraId="069CA399" w14:textId="77777777" w:rsidR="00026B08" w:rsidRDefault="00026B08">
      <w:pPr>
        <w:spacing w:line="240" w:lineRule="auto"/>
        <w:ind w:firstLine="0"/>
      </w:pPr>
    </w:p>
    <w:p w14:paraId="7862FA38" w14:textId="542766B9" w:rsidR="00026B08" w:rsidRDefault="00026B08">
      <w:pPr>
        <w:spacing w:line="240" w:lineRule="auto"/>
        <w:ind w:firstLine="0"/>
      </w:pPr>
      <w:r>
        <w:t xml:space="preserve">TEI CONSORTIUM (Ed.). TEI P5: </w:t>
      </w:r>
      <w:proofErr w:type="spellStart"/>
      <w:r>
        <w:t>Guidelines</w:t>
      </w:r>
      <w:proofErr w:type="spellEnd"/>
      <w:r>
        <w:t xml:space="preserve"> for </w:t>
      </w:r>
      <w:proofErr w:type="spellStart"/>
      <w:r>
        <w:t>Electronic</w:t>
      </w:r>
      <w:proofErr w:type="spellEnd"/>
      <w:r>
        <w:t xml:space="preserve"> </w:t>
      </w:r>
      <w:proofErr w:type="spellStart"/>
      <w:r>
        <w:t>Text</w:t>
      </w:r>
      <w:proofErr w:type="spellEnd"/>
      <w:r>
        <w:t xml:space="preserve"> </w:t>
      </w:r>
      <w:proofErr w:type="spellStart"/>
      <w:r>
        <w:t>Encoding</w:t>
      </w:r>
      <w:proofErr w:type="spellEnd"/>
      <w:r>
        <w:t xml:space="preserve"> </w:t>
      </w:r>
      <w:proofErr w:type="spellStart"/>
      <w:r>
        <w:t>and</w:t>
      </w:r>
      <w:proofErr w:type="spellEnd"/>
      <w:r>
        <w:t xml:space="preserve"> </w:t>
      </w:r>
      <w:proofErr w:type="spellStart"/>
      <w:r>
        <w:t>Interchange</w:t>
      </w:r>
      <w:proofErr w:type="spellEnd"/>
      <w:r>
        <w:t xml:space="preserve">. [S. l.]: TEI Consortium, [s.d.]. Disponível em: </w:t>
      </w:r>
      <w:proofErr w:type="gramStart"/>
      <w:r>
        <w:t>https://tei-c.org/guidelines/p5/ .</w:t>
      </w:r>
      <w:proofErr w:type="gramEnd"/>
      <w:r>
        <w:t xml:space="preserve"> Acesso em: 29 jul. 2025.</w:t>
      </w:r>
    </w:p>
    <w:p w14:paraId="3302EB94" w14:textId="77777777" w:rsidR="00026B08" w:rsidRDefault="00026B08">
      <w:pPr>
        <w:spacing w:line="240" w:lineRule="auto"/>
        <w:ind w:firstLine="0"/>
      </w:pPr>
    </w:p>
    <w:p w14:paraId="08262BE9" w14:textId="423CD6A2" w:rsidR="00026B08" w:rsidRDefault="00026B08">
      <w:pPr>
        <w:spacing w:line="240" w:lineRule="auto"/>
        <w:ind w:firstLine="0"/>
      </w:pPr>
      <w:r>
        <w:t xml:space="preserve">THESAURUS LINGUAE LATINAE. [S. l.]: Bayerische </w:t>
      </w:r>
      <w:proofErr w:type="spellStart"/>
      <w:r>
        <w:t>Akademie</w:t>
      </w:r>
      <w:proofErr w:type="spellEnd"/>
      <w:r>
        <w:t xml:space="preserve"> der </w:t>
      </w:r>
      <w:proofErr w:type="spellStart"/>
      <w:r>
        <w:t>Wissenschaften</w:t>
      </w:r>
      <w:proofErr w:type="spellEnd"/>
      <w:r>
        <w:t xml:space="preserve">, [s.d.]. Disponível em: </w:t>
      </w:r>
      <w:hyperlink r:id="rId12">
        <w:r>
          <w:rPr>
            <w:color w:val="1155CC"/>
            <w:u w:val="single"/>
          </w:rPr>
          <w:t>https://www.thesaurus.badw.de</w:t>
        </w:r>
      </w:hyperlink>
      <w:r>
        <w:t>. Acesso em: 29 jul. 2025.</w:t>
      </w:r>
    </w:p>
    <w:p w14:paraId="33DC380B" w14:textId="77777777" w:rsidR="00026B08" w:rsidRDefault="00026B08">
      <w:pPr>
        <w:spacing w:line="240" w:lineRule="auto"/>
        <w:ind w:firstLine="0"/>
      </w:pPr>
    </w:p>
    <w:p w14:paraId="3B6F3CF9" w14:textId="121467BB" w:rsidR="00026B08" w:rsidRDefault="00026B08">
      <w:pPr>
        <w:spacing w:line="240" w:lineRule="auto"/>
        <w:ind w:firstLine="0"/>
      </w:pPr>
      <w:r>
        <w:t xml:space="preserve">TOMASSO, Vicent. The </w:t>
      </w:r>
      <w:proofErr w:type="spellStart"/>
      <w:r>
        <w:t>Twilight</w:t>
      </w:r>
      <w:proofErr w:type="spellEnd"/>
      <w:r>
        <w:t xml:space="preserve"> </w:t>
      </w:r>
      <w:proofErr w:type="spellStart"/>
      <w:r>
        <w:t>of</w:t>
      </w:r>
      <w:proofErr w:type="spellEnd"/>
      <w:r>
        <w:t xml:space="preserve"> Olympus: </w:t>
      </w:r>
      <w:proofErr w:type="spellStart"/>
      <w:r>
        <w:t>Deicide</w:t>
      </w:r>
      <w:proofErr w:type="spellEnd"/>
      <w:r>
        <w:t xml:space="preserve"> </w:t>
      </w:r>
      <w:proofErr w:type="spellStart"/>
      <w:r>
        <w:t>and</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w:t>
      </w:r>
      <w:proofErr w:type="spellEnd"/>
      <w:r>
        <w:t xml:space="preserve"> </w:t>
      </w:r>
      <w:proofErr w:type="spellStart"/>
      <w:r>
        <w:t>Greek</w:t>
      </w:r>
      <w:proofErr w:type="spellEnd"/>
      <w:r>
        <w:t xml:space="preserve"> Gods. in CYRINO, M., SAFRAN, M. (org.). </w:t>
      </w:r>
      <w:proofErr w:type="spellStart"/>
      <w:r w:rsidRPr="00026B08">
        <w:rPr>
          <w:i/>
          <w:iCs/>
        </w:rPr>
        <w:t>Classical</w:t>
      </w:r>
      <w:proofErr w:type="spellEnd"/>
      <w:r w:rsidRPr="00026B08">
        <w:rPr>
          <w:i/>
          <w:iCs/>
        </w:rPr>
        <w:t xml:space="preserve"> </w:t>
      </w:r>
      <w:proofErr w:type="spellStart"/>
      <w:r w:rsidRPr="00026B08">
        <w:rPr>
          <w:i/>
          <w:iCs/>
        </w:rPr>
        <w:t>Myth</w:t>
      </w:r>
      <w:proofErr w:type="spellEnd"/>
      <w:r w:rsidRPr="00026B08">
        <w:rPr>
          <w:i/>
          <w:iCs/>
        </w:rPr>
        <w:t xml:space="preserve"> </w:t>
      </w:r>
      <w:proofErr w:type="spellStart"/>
      <w:r w:rsidRPr="00026B08">
        <w:rPr>
          <w:i/>
          <w:iCs/>
        </w:rPr>
        <w:t>on</w:t>
      </w:r>
      <w:proofErr w:type="spellEnd"/>
      <w:r w:rsidRPr="00026B08">
        <w:rPr>
          <w:i/>
          <w:iCs/>
        </w:rPr>
        <w:t xml:space="preserve"> </w:t>
      </w:r>
      <w:proofErr w:type="spellStart"/>
      <w:r w:rsidRPr="00026B08">
        <w:rPr>
          <w:i/>
          <w:iCs/>
        </w:rPr>
        <w:t>Screen</w:t>
      </w:r>
      <w:proofErr w:type="spellEnd"/>
      <w:r>
        <w:t xml:space="preserve">. New York: </w:t>
      </w:r>
      <w:proofErr w:type="spellStart"/>
      <w:r>
        <w:t>Palgrave</w:t>
      </w:r>
      <w:proofErr w:type="spellEnd"/>
      <w:r>
        <w:t xml:space="preserve"> Macmillan: 2015, p. 147-157.</w:t>
      </w:r>
    </w:p>
    <w:p w14:paraId="27F607AC" w14:textId="77777777" w:rsidR="00026B08" w:rsidRDefault="00026B08">
      <w:pPr>
        <w:spacing w:line="240" w:lineRule="auto"/>
        <w:ind w:firstLine="0"/>
      </w:pPr>
    </w:p>
    <w:p w14:paraId="3582E031" w14:textId="225EBFEF" w:rsidR="00026B08" w:rsidRDefault="00026B08">
      <w:pPr>
        <w:spacing w:line="240" w:lineRule="auto"/>
        <w:ind w:firstLine="0"/>
      </w:pPr>
      <w:r>
        <w:t xml:space="preserve">VAN DE MIEROOP, Marc. </w:t>
      </w:r>
      <w:r w:rsidRPr="00026B08">
        <w:rPr>
          <w:i/>
          <w:iCs/>
        </w:rPr>
        <w:t xml:space="preserve">The </w:t>
      </w:r>
      <w:proofErr w:type="spellStart"/>
      <w:r w:rsidRPr="00026B08">
        <w:rPr>
          <w:i/>
          <w:iCs/>
        </w:rPr>
        <w:t>Ancient</w:t>
      </w:r>
      <w:proofErr w:type="spellEnd"/>
      <w:r w:rsidRPr="00026B08">
        <w:rPr>
          <w:i/>
          <w:iCs/>
        </w:rPr>
        <w:t xml:space="preserve"> </w:t>
      </w:r>
      <w:proofErr w:type="spellStart"/>
      <w:r w:rsidRPr="00026B08">
        <w:rPr>
          <w:i/>
          <w:iCs/>
        </w:rPr>
        <w:t>Mesopotamian</w:t>
      </w:r>
      <w:proofErr w:type="spellEnd"/>
      <w:r w:rsidRPr="00026B08">
        <w:rPr>
          <w:i/>
          <w:iCs/>
        </w:rPr>
        <w:t xml:space="preserve"> City</w:t>
      </w:r>
      <w:r>
        <w:t xml:space="preserve">. Oxford: Oxford </w:t>
      </w:r>
      <w:proofErr w:type="spellStart"/>
      <w:r>
        <w:t>University</w:t>
      </w:r>
      <w:proofErr w:type="spellEnd"/>
      <w:r>
        <w:t xml:space="preserve"> Press, 1997.</w:t>
      </w:r>
    </w:p>
    <w:p w14:paraId="6BF0B218" w14:textId="77777777" w:rsidR="00026B08" w:rsidRDefault="00026B08">
      <w:pPr>
        <w:spacing w:line="240" w:lineRule="auto"/>
        <w:ind w:firstLine="0"/>
      </w:pPr>
    </w:p>
    <w:p w14:paraId="78DF996E" w14:textId="24910EC7" w:rsidR="00026B08" w:rsidRDefault="00026B08">
      <w:pPr>
        <w:spacing w:line="240" w:lineRule="auto"/>
        <w:ind w:firstLine="0"/>
      </w:pPr>
      <w:r>
        <w:t xml:space="preserve">WARD-PERKINS, Bryan. </w:t>
      </w:r>
      <w:r w:rsidRPr="00026B08">
        <w:rPr>
          <w:i/>
          <w:iCs/>
        </w:rPr>
        <w:t xml:space="preserve">The </w:t>
      </w:r>
      <w:proofErr w:type="spellStart"/>
      <w:r w:rsidRPr="00026B08">
        <w:rPr>
          <w:i/>
          <w:iCs/>
        </w:rPr>
        <w:t>Fall</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Rome</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r w:rsidRPr="00026B08">
        <w:rPr>
          <w:i/>
          <w:iCs/>
        </w:rPr>
        <w:t>the</w:t>
      </w:r>
      <w:proofErr w:type="spellEnd"/>
      <w:r w:rsidRPr="00026B08">
        <w:rPr>
          <w:i/>
          <w:iCs/>
        </w:rPr>
        <w:t xml:space="preserve"> </w:t>
      </w:r>
      <w:proofErr w:type="spellStart"/>
      <w:r w:rsidRPr="00026B08">
        <w:rPr>
          <w:i/>
          <w:iCs/>
        </w:rPr>
        <w:t>End</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Civilization</w:t>
      </w:r>
      <w:proofErr w:type="spellEnd"/>
      <w:r>
        <w:t xml:space="preserve">. Oxford: Oxford </w:t>
      </w:r>
      <w:proofErr w:type="spellStart"/>
      <w:r>
        <w:t>University</w:t>
      </w:r>
      <w:proofErr w:type="spellEnd"/>
      <w:r>
        <w:t xml:space="preserve"> Press, 2005.</w:t>
      </w:r>
    </w:p>
    <w:p w14:paraId="77ECC977" w14:textId="77777777" w:rsidR="00026B08" w:rsidRDefault="00026B08">
      <w:pPr>
        <w:spacing w:line="240" w:lineRule="auto"/>
        <w:ind w:firstLine="0"/>
      </w:pPr>
    </w:p>
    <w:p w14:paraId="350E04CD" w14:textId="5F2A618A" w:rsidR="00026B08" w:rsidRDefault="00026B08">
      <w:pPr>
        <w:spacing w:line="240" w:lineRule="auto"/>
        <w:ind w:firstLine="0"/>
      </w:pPr>
      <w:r>
        <w:t xml:space="preserve">WILKINSON, T. J. </w:t>
      </w:r>
      <w:proofErr w:type="spellStart"/>
      <w:r w:rsidRPr="00026B08">
        <w:rPr>
          <w:i/>
          <w:iCs/>
        </w:rPr>
        <w:t>Archaeological</w:t>
      </w:r>
      <w:proofErr w:type="spellEnd"/>
      <w:r w:rsidRPr="00026B08">
        <w:rPr>
          <w:i/>
          <w:iCs/>
        </w:rPr>
        <w:t xml:space="preserve"> </w:t>
      </w:r>
      <w:proofErr w:type="spellStart"/>
      <w:r w:rsidRPr="00026B08">
        <w:rPr>
          <w:i/>
          <w:iCs/>
        </w:rPr>
        <w:t>Landscapes</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the</w:t>
      </w:r>
      <w:proofErr w:type="spellEnd"/>
      <w:r w:rsidRPr="00026B08">
        <w:rPr>
          <w:i/>
          <w:iCs/>
        </w:rPr>
        <w:t xml:space="preserve"> Near East</w:t>
      </w:r>
      <w:r>
        <w:t xml:space="preserve">. Tucson: </w:t>
      </w:r>
      <w:proofErr w:type="spellStart"/>
      <w:r>
        <w:t>University</w:t>
      </w:r>
      <w:proofErr w:type="spellEnd"/>
      <w:r>
        <w:t xml:space="preserve"> </w:t>
      </w:r>
      <w:proofErr w:type="spellStart"/>
      <w:r>
        <w:t>of</w:t>
      </w:r>
      <w:proofErr w:type="spellEnd"/>
      <w:r>
        <w:t xml:space="preserve"> Arizona Press, 2003.</w:t>
      </w:r>
    </w:p>
    <w:p w14:paraId="776EDAF7" w14:textId="77777777" w:rsidR="00026B08" w:rsidRDefault="00026B08">
      <w:pPr>
        <w:spacing w:line="240" w:lineRule="auto"/>
        <w:ind w:firstLine="0"/>
      </w:pPr>
    </w:p>
    <w:p w14:paraId="75DAFF6A" w14:textId="51F9CE5E" w:rsidR="00026B08" w:rsidRDefault="00026B08">
      <w:pPr>
        <w:spacing w:line="240" w:lineRule="auto"/>
        <w:ind w:firstLine="0"/>
      </w:pPr>
      <w:r>
        <w:t xml:space="preserve">WINKLER, Martin M. </w:t>
      </w:r>
      <w:proofErr w:type="spellStart"/>
      <w:r w:rsidRPr="00026B08">
        <w:rPr>
          <w:i/>
          <w:iCs/>
        </w:rPr>
        <w:t>Classical</w:t>
      </w:r>
      <w:proofErr w:type="spellEnd"/>
      <w:r w:rsidRPr="00026B08">
        <w:rPr>
          <w:i/>
          <w:iCs/>
        </w:rPr>
        <w:t xml:space="preserve"> </w:t>
      </w:r>
      <w:proofErr w:type="spellStart"/>
      <w:r w:rsidRPr="00026B08">
        <w:rPr>
          <w:i/>
          <w:iCs/>
        </w:rPr>
        <w:t>myth</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r w:rsidRPr="00026B08">
        <w:rPr>
          <w:i/>
          <w:iCs/>
        </w:rPr>
        <w:t>culture</w:t>
      </w:r>
      <w:proofErr w:type="spellEnd"/>
      <w:r w:rsidRPr="00026B08">
        <w:rPr>
          <w:i/>
          <w:iCs/>
        </w:rPr>
        <w:t xml:space="preserve"> in </w:t>
      </w:r>
      <w:proofErr w:type="spellStart"/>
      <w:r w:rsidRPr="00026B08">
        <w:rPr>
          <w:i/>
          <w:iCs/>
        </w:rPr>
        <w:t>the</w:t>
      </w:r>
      <w:proofErr w:type="spellEnd"/>
      <w:r w:rsidRPr="00026B08">
        <w:rPr>
          <w:i/>
          <w:iCs/>
        </w:rPr>
        <w:t xml:space="preserve"> cinema</w:t>
      </w:r>
      <w:r>
        <w:t xml:space="preserve">. Oxford: Oxford </w:t>
      </w:r>
      <w:proofErr w:type="spellStart"/>
      <w:r>
        <w:t>University</w:t>
      </w:r>
      <w:proofErr w:type="spellEnd"/>
      <w:r>
        <w:t xml:space="preserve"> Press, 2001.</w:t>
      </w:r>
    </w:p>
    <w:p w14:paraId="29C09B0E" w14:textId="77777777" w:rsidR="00026B08" w:rsidRDefault="00026B08">
      <w:pPr>
        <w:spacing w:line="240" w:lineRule="auto"/>
        <w:ind w:firstLine="0"/>
      </w:pPr>
    </w:p>
    <w:p w14:paraId="6D8588A1" w14:textId="72D3285E" w:rsidR="00026B08" w:rsidRDefault="00026B08">
      <w:pPr>
        <w:spacing w:line="240" w:lineRule="auto"/>
        <w:ind w:firstLine="0"/>
      </w:pPr>
      <w:r>
        <w:t xml:space="preserve">WYKE, Maria. </w:t>
      </w:r>
      <w:proofErr w:type="spellStart"/>
      <w:r w:rsidRPr="00026B08">
        <w:rPr>
          <w:i/>
          <w:iCs/>
        </w:rPr>
        <w:t>Projecting</w:t>
      </w:r>
      <w:proofErr w:type="spellEnd"/>
      <w:r w:rsidRPr="00026B08">
        <w:rPr>
          <w:i/>
          <w:iCs/>
        </w:rPr>
        <w:t xml:space="preserve"> </w:t>
      </w:r>
      <w:proofErr w:type="spellStart"/>
      <w:r w:rsidRPr="00026B08">
        <w:rPr>
          <w:i/>
          <w:iCs/>
        </w:rPr>
        <w:t>the</w:t>
      </w:r>
      <w:proofErr w:type="spellEnd"/>
      <w:r w:rsidRPr="00026B08">
        <w:rPr>
          <w:i/>
          <w:iCs/>
        </w:rPr>
        <w:t xml:space="preserve"> </w:t>
      </w:r>
      <w:proofErr w:type="spellStart"/>
      <w:r w:rsidRPr="00026B08">
        <w:rPr>
          <w:i/>
          <w:iCs/>
        </w:rPr>
        <w:t>past</w:t>
      </w:r>
      <w:proofErr w:type="spellEnd"/>
      <w:r w:rsidRPr="00026B08">
        <w:rPr>
          <w:i/>
          <w:iCs/>
        </w:rPr>
        <w:t xml:space="preserve">: </w:t>
      </w:r>
      <w:proofErr w:type="spellStart"/>
      <w:r w:rsidRPr="00026B08">
        <w:rPr>
          <w:i/>
          <w:iCs/>
        </w:rPr>
        <w:t>ancient</w:t>
      </w:r>
      <w:proofErr w:type="spellEnd"/>
      <w:r w:rsidRPr="00026B08">
        <w:rPr>
          <w:i/>
          <w:iCs/>
        </w:rPr>
        <w:t xml:space="preserve"> </w:t>
      </w:r>
      <w:proofErr w:type="spellStart"/>
      <w:r w:rsidRPr="00026B08">
        <w:rPr>
          <w:i/>
          <w:iCs/>
        </w:rPr>
        <w:t>Rome</w:t>
      </w:r>
      <w:proofErr w:type="spellEnd"/>
      <w:r w:rsidRPr="00026B08">
        <w:rPr>
          <w:i/>
          <w:iCs/>
        </w:rPr>
        <w:t xml:space="preserve">, cinema </w:t>
      </w:r>
      <w:proofErr w:type="spellStart"/>
      <w:r w:rsidRPr="00026B08">
        <w:rPr>
          <w:i/>
          <w:iCs/>
        </w:rPr>
        <w:t>and</w:t>
      </w:r>
      <w:proofErr w:type="spellEnd"/>
      <w:r w:rsidRPr="00026B08">
        <w:rPr>
          <w:i/>
          <w:iCs/>
        </w:rPr>
        <w:t xml:space="preserve"> </w:t>
      </w:r>
      <w:proofErr w:type="spellStart"/>
      <w:r w:rsidRPr="00026B08">
        <w:rPr>
          <w:i/>
          <w:iCs/>
        </w:rPr>
        <w:t>history</w:t>
      </w:r>
      <w:proofErr w:type="spellEnd"/>
      <w:r>
        <w:t xml:space="preserve">. London: </w:t>
      </w:r>
      <w:proofErr w:type="spellStart"/>
      <w:r>
        <w:t>Routledge</w:t>
      </w:r>
      <w:proofErr w:type="spellEnd"/>
      <w:r>
        <w:t>, 1997.</w:t>
      </w:r>
    </w:p>
    <w:p w14:paraId="46080038" w14:textId="77777777" w:rsidR="00026B08" w:rsidRDefault="00026B08">
      <w:pPr>
        <w:spacing w:line="240" w:lineRule="auto"/>
        <w:ind w:firstLine="0"/>
      </w:pPr>
    </w:p>
    <w:p w14:paraId="36D783E5" w14:textId="5D093A22" w:rsidR="00026B08" w:rsidRDefault="00026B08">
      <w:pPr>
        <w:spacing w:line="240" w:lineRule="auto"/>
        <w:ind w:firstLine="0"/>
      </w:pPr>
      <w:r>
        <w:t xml:space="preserve">YOFFEE, Norman. </w:t>
      </w:r>
      <w:proofErr w:type="spellStart"/>
      <w:r w:rsidRPr="00026B08">
        <w:rPr>
          <w:i/>
          <w:iCs/>
        </w:rPr>
        <w:t>Myths</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the</w:t>
      </w:r>
      <w:proofErr w:type="spellEnd"/>
      <w:r w:rsidRPr="00026B08">
        <w:rPr>
          <w:i/>
          <w:iCs/>
        </w:rPr>
        <w:t xml:space="preserve"> </w:t>
      </w:r>
      <w:proofErr w:type="spellStart"/>
      <w:r w:rsidRPr="00026B08">
        <w:rPr>
          <w:i/>
          <w:iCs/>
        </w:rPr>
        <w:t>Archaic</w:t>
      </w:r>
      <w:proofErr w:type="spellEnd"/>
      <w:r w:rsidRPr="00026B08">
        <w:rPr>
          <w:i/>
          <w:iCs/>
        </w:rPr>
        <w:t xml:space="preserve"> </w:t>
      </w:r>
      <w:proofErr w:type="spellStart"/>
      <w:r w:rsidRPr="00026B08">
        <w:rPr>
          <w:i/>
          <w:iCs/>
        </w:rPr>
        <w:t>State</w:t>
      </w:r>
      <w:proofErr w:type="spellEnd"/>
      <w:r>
        <w:t xml:space="preserve">. New York: Cambridge </w:t>
      </w:r>
      <w:proofErr w:type="spellStart"/>
      <w:r>
        <w:t>University</w:t>
      </w:r>
      <w:proofErr w:type="spellEnd"/>
      <w:r>
        <w:t xml:space="preserve"> Press, 2004. </w:t>
      </w:r>
    </w:p>
    <w:p w14:paraId="7CC79B91" w14:textId="77777777" w:rsidR="00681D00" w:rsidRDefault="00681D00">
      <w:pPr>
        <w:spacing w:line="240" w:lineRule="auto"/>
        <w:ind w:firstLine="0"/>
      </w:pPr>
    </w:p>
    <w:p w14:paraId="10A7F919" w14:textId="77777777" w:rsidR="00681D00" w:rsidRDefault="00000000">
      <w:pPr>
        <w:spacing w:line="240" w:lineRule="auto"/>
        <w:ind w:firstLine="0"/>
      </w:pPr>
      <w:r>
        <w:br w:type="page"/>
      </w:r>
    </w:p>
    <w:p w14:paraId="3F54A3E5" w14:textId="7007FA04" w:rsidR="00681D00" w:rsidRDefault="00000000">
      <w:pPr>
        <w:ind w:firstLine="708"/>
      </w:pPr>
      <w:r>
        <w:rPr>
          <w:b/>
          <w:bCs/>
        </w:rPr>
        <w:lastRenderedPageBreak/>
        <w:t>Minibiografia</w:t>
      </w:r>
    </w:p>
    <w:p w14:paraId="4F85CD1C" w14:textId="77777777" w:rsidR="004947EA" w:rsidRDefault="004947EA">
      <w:pPr>
        <w:ind w:firstLine="708"/>
      </w:pPr>
    </w:p>
    <w:p w14:paraId="263C356F" w14:textId="7AD5B8E0" w:rsidR="004947EA" w:rsidRDefault="002A743D">
      <w:pPr>
        <w:ind w:firstLine="708"/>
        <w:rPr>
          <w:b/>
          <w:bCs/>
        </w:rPr>
      </w:pPr>
      <w:r>
        <w:rPr>
          <w:b/>
          <w:bCs/>
        </w:rPr>
        <w:t>Abner Alexandre Nogueira</w:t>
      </w:r>
    </w:p>
    <w:p w14:paraId="60C2FFEE" w14:textId="42FCE7FA" w:rsidR="0069753D" w:rsidRDefault="0069753D" w:rsidP="0069753D">
      <w:pPr>
        <w:ind w:firstLine="0"/>
      </w:pPr>
      <w:r>
        <w:t>Professor substituto na UNIFAL pelo Departamento de História. Doutor em História pela UNESP com mestrado e licenciatura em História pela UNESP-Assis. Com pesquisa sobre a recepção da mitologia grega pelo cinema contemporâneo. Possui especialização em Educação Patrimonial. Tem experiência nas áreas de História e Cinema, Recepção dos Clássicos, Ensino de História.</w:t>
      </w:r>
    </w:p>
    <w:p w14:paraId="42C6BF35" w14:textId="77777777" w:rsidR="0091642B" w:rsidRDefault="0091642B" w:rsidP="0069753D">
      <w:pPr>
        <w:ind w:firstLine="0"/>
      </w:pPr>
    </w:p>
    <w:p w14:paraId="7C2B897F" w14:textId="6103812A" w:rsidR="0091642B" w:rsidRPr="0012005B" w:rsidRDefault="0091642B" w:rsidP="0069753D">
      <w:pPr>
        <w:ind w:firstLine="0"/>
        <w:rPr>
          <w:b/>
          <w:bCs/>
        </w:rPr>
      </w:pPr>
      <w:r>
        <w:tab/>
      </w:r>
      <w:r w:rsidR="0012005B">
        <w:rPr>
          <w:b/>
          <w:bCs/>
        </w:rPr>
        <w:t xml:space="preserve">Andrea Lucia </w:t>
      </w:r>
      <w:proofErr w:type="spellStart"/>
      <w:r w:rsidR="0012005B">
        <w:rPr>
          <w:b/>
          <w:bCs/>
        </w:rPr>
        <w:t>Dorini</w:t>
      </w:r>
      <w:proofErr w:type="spellEnd"/>
      <w:r w:rsidR="0012005B">
        <w:rPr>
          <w:b/>
          <w:bCs/>
        </w:rPr>
        <w:t xml:space="preserve"> de Oliveira Carvalho Rossi</w:t>
      </w:r>
    </w:p>
    <w:p w14:paraId="32D4B4A0" w14:textId="0CD7EB07" w:rsidR="0091642B" w:rsidRDefault="0012005B" w:rsidP="0012005B">
      <w:pPr>
        <w:ind w:firstLine="0"/>
      </w:pPr>
      <w:r>
        <w:t xml:space="preserve">Docente de História Antiga junto ao Departamento de História da UNESP campus de Assis-SP. </w:t>
      </w:r>
      <w:r>
        <w:t>Graduada em História, Pedagogia e Direito,</w:t>
      </w:r>
      <w:r>
        <w:t xml:space="preserve"> </w:t>
      </w:r>
      <w:r>
        <w:t>com Mestrado e Doutorado em História. Atuou na Educação Básica de 1992 a 1996</w:t>
      </w:r>
      <w:r>
        <w:t xml:space="preserve"> e,</w:t>
      </w:r>
      <w:r>
        <w:t xml:space="preserve"> </w:t>
      </w:r>
      <w:r>
        <w:t>d</w:t>
      </w:r>
      <w:r>
        <w:t>esde o ano de</w:t>
      </w:r>
      <w:r>
        <w:t xml:space="preserve"> </w:t>
      </w:r>
      <w:r>
        <w:t>1995 atua no Ensino Superior</w:t>
      </w:r>
      <w:r>
        <w:t>. É</w:t>
      </w:r>
      <w:r>
        <w:t xml:space="preserve"> Livre Docente em História Antiga</w:t>
      </w:r>
      <w:r>
        <w:t xml:space="preserve"> </w:t>
      </w:r>
      <w:r>
        <w:t>(2022). É membro do Núcleo de Estudos Antigos e Medievais (NEAM) da UNESP desde o ano de 1990</w:t>
      </w:r>
      <w:r>
        <w:t>.</w:t>
      </w:r>
      <w:r>
        <w:t xml:space="preserve"> Fundou o Centro de Pesquisas e Estudos </w:t>
      </w:r>
      <w:proofErr w:type="spellStart"/>
      <w:r>
        <w:t>Plinianos</w:t>
      </w:r>
      <w:proofErr w:type="spellEnd"/>
      <w:r>
        <w:t xml:space="preserve"> em 2014</w:t>
      </w:r>
      <w:r>
        <w:t xml:space="preserve">. </w:t>
      </w:r>
      <w:r>
        <w:t>Em 2020, fundou o grupo de estudos #Veredas</w:t>
      </w:r>
      <w:proofErr w:type="gramStart"/>
      <w:r>
        <w:t>_Digitais</w:t>
      </w:r>
      <w:proofErr w:type="gramEnd"/>
      <w:r>
        <w:t xml:space="preserve"> sobre Humanidades Digitais que se tornou o Centro de</w:t>
      </w:r>
      <w:r>
        <w:t xml:space="preserve"> </w:t>
      </w:r>
      <w:r>
        <w:t>Tecnologias e Humanidades #Veredas_Digitais da FCL de Assis.</w:t>
      </w:r>
    </w:p>
    <w:p w14:paraId="3C7426DF" w14:textId="77777777" w:rsidR="0091642B" w:rsidRPr="0069753D" w:rsidRDefault="0091642B" w:rsidP="0069753D">
      <w:pPr>
        <w:ind w:firstLine="0"/>
      </w:pPr>
    </w:p>
    <w:sectPr w:rsidR="0091642B" w:rsidRPr="0069753D">
      <w:footerReference w:type="default" r:id="rId13"/>
      <w:pgSz w:w="11906" w:h="16838"/>
      <w:pgMar w:top="1700" w:right="1133" w:bottom="1133"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AFE6" w14:textId="77777777" w:rsidR="00C934F1" w:rsidRDefault="00C934F1">
      <w:pPr>
        <w:spacing w:line="240" w:lineRule="auto"/>
      </w:pPr>
      <w:r>
        <w:separator/>
      </w:r>
    </w:p>
  </w:endnote>
  <w:endnote w:type="continuationSeparator" w:id="0">
    <w:p w14:paraId="07A2AA40" w14:textId="77777777" w:rsidR="00C934F1" w:rsidRDefault="00C934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C709DC8-7D2A-44A0-BA71-293221BCAE84}"/>
  </w:font>
  <w:font w:name="Cambria">
    <w:panose1 w:val="02040503050406030204"/>
    <w:charset w:val="00"/>
    <w:family w:val="roman"/>
    <w:pitch w:val="variable"/>
    <w:sig w:usb0="E00006FF" w:usb1="420024FF" w:usb2="02000000" w:usb3="00000000" w:csb0="0000019F" w:csb1="00000000"/>
    <w:embedRegular r:id="rId2" w:fontKey="{217D5910-D9B9-49D6-B134-96E69B6CCA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05DC" w14:textId="77777777" w:rsidR="00681D00" w:rsidRDefault="00681D00">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5297" w14:textId="6A4071CF" w:rsidR="00681D00" w:rsidRDefault="00000000">
    <w:pPr>
      <w:jc w:val="right"/>
    </w:pPr>
    <w:r>
      <w:fldChar w:fldCharType="begin"/>
    </w:r>
    <w:r>
      <w:instrText>PAGE</w:instrText>
    </w:r>
    <w:r>
      <w:fldChar w:fldCharType="separate"/>
    </w:r>
    <w:r w:rsidR="00026B0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EBE0D" w14:textId="77777777" w:rsidR="00C934F1" w:rsidRDefault="00C934F1">
      <w:pPr>
        <w:spacing w:line="240" w:lineRule="auto"/>
      </w:pPr>
      <w:r>
        <w:separator/>
      </w:r>
    </w:p>
  </w:footnote>
  <w:footnote w:type="continuationSeparator" w:id="0">
    <w:p w14:paraId="6A9AF56A" w14:textId="77777777" w:rsidR="00C934F1" w:rsidRDefault="00C934F1">
      <w:pPr>
        <w:spacing w:line="240" w:lineRule="auto"/>
      </w:pPr>
      <w:r>
        <w:continuationSeparator/>
      </w:r>
    </w:p>
  </w:footnote>
  <w:footnote w:id="1">
    <w:p w14:paraId="6A36550A" w14:textId="77777777" w:rsidR="00681D00" w:rsidRDefault="00000000">
      <w:pPr>
        <w:spacing w:line="240" w:lineRule="auto"/>
        <w:ind w:firstLine="0"/>
        <w:rPr>
          <w:sz w:val="20"/>
          <w:szCs w:val="20"/>
        </w:rPr>
      </w:pPr>
      <w:r>
        <w:rPr>
          <w:vertAlign w:val="superscript"/>
        </w:rPr>
        <w:footnoteRef/>
      </w:r>
      <w:r>
        <w:rPr>
          <w:sz w:val="20"/>
          <w:szCs w:val="20"/>
        </w:rPr>
        <w:t xml:space="preserve"> Os elementos clássicos são: (1) a </w:t>
      </w:r>
      <w:r>
        <w:rPr>
          <w:i/>
          <w:iCs/>
          <w:sz w:val="20"/>
          <w:szCs w:val="20"/>
        </w:rPr>
        <w:t>lorica musculata</w:t>
      </w:r>
      <w:r>
        <w:rPr>
          <w:sz w:val="20"/>
          <w:szCs w:val="20"/>
        </w:rPr>
        <w:t>, uma espécie de armadura peitoral com formas anatômicas dos músculos, feita de bronze ou ferro utilizada por membros do alto escalão; (2) Gladius era uma espada curta amplamente utilizada pelos romanos; (3) águia sob o contexto romano simbolizava o poder, honra e autoridade do exército e do estado na Roma, representando o deus Júpiter; (4) fasces foi um símbolo de autoridade e poder, sendo composta por um feixe de varas amarradas com couro vermelho, frequentemente com um machado de um só gume.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D30"/>
    <w:multiLevelType w:val="multilevel"/>
    <w:tmpl w:val="25801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11A4F"/>
    <w:multiLevelType w:val="multilevel"/>
    <w:tmpl w:val="0D90B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1B10CA"/>
    <w:multiLevelType w:val="multilevel"/>
    <w:tmpl w:val="A71C7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2635F4"/>
    <w:multiLevelType w:val="multilevel"/>
    <w:tmpl w:val="3C04A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49470F"/>
    <w:multiLevelType w:val="multilevel"/>
    <w:tmpl w:val="8D184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9A2C22"/>
    <w:multiLevelType w:val="multilevel"/>
    <w:tmpl w:val="AC3A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760D8D"/>
    <w:multiLevelType w:val="multilevel"/>
    <w:tmpl w:val="735E3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8B590F"/>
    <w:multiLevelType w:val="multilevel"/>
    <w:tmpl w:val="D69CC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247FE0"/>
    <w:multiLevelType w:val="multilevel"/>
    <w:tmpl w:val="FBA82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D16121"/>
    <w:multiLevelType w:val="multilevel"/>
    <w:tmpl w:val="03FEA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BB2D1B"/>
    <w:multiLevelType w:val="multilevel"/>
    <w:tmpl w:val="26E0D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8B7360"/>
    <w:multiLevelType w:val="multilevel"/>
    <w:tmpl w:val="07EC4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8527A3"/>
    <w:multiLevelType w:val="multilevel"/>
    <w:tmpl w:val="964A3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D22FE0"/>
    <w:multiLevelType w:val="multilevel"/>
    <w:tmpl w:val="A5D09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1F6166"/>
    <w:multiLevelType w:val="multilevel"/>
    <w:tmpl w:val="93687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227FCB"/>
    <w:multiLevelType w:val="multilevel"/>
    <w:tmpl w:val="BEEA9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1D3B2C"/>
    <w:multiLevelType w:val="multilevel"/>
    <w:tmpl w:val="68C6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CA08C5"/>
    <w:multiLevelType w:val="multilevel"/>
    <w:tmpl w:val="1F00B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3E6FDD"/>
    <w:multiLevelType w:val="multilevel"/>
    <w:tmpl w:val="7CF44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21425D"/>
    <w:multiLevelType w:val="multilevel"/>
    <w:tmpl w:val="3FD2B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B06873"/>
    <w:multiLevelType w:val="multilevel"/>
    <w:tmpl w:val="C09CB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613BED"/>
    <w:multiLevelType w:val="multilevel"/>
    <w:tmpl w:val="4596E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4C6418F"/>
    <w:multiLevelType w:val="multilevel"/>
    <w:tmpl w:val="780CC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9BB73CD"/>
    <w:multiLevelType w:val="multilevel"/>
    <w:tmpl w:val="85EEA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CAA09A2"/>
    <w:multiLevelType w:val="multilevel"/>
    <w:tmpl w:val="84DA0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A90974"/>
    <w:multiLevelType w:val="multilevel"/>
    <w:tmpl w:val="A9023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B3E49B4"/>
    <w:multiLevelType w:val="multilevel"/>
    <w:tmpl w:val="900EF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587EA3"/>
    <w:multiLevelType w:val="multilevel"/>
    <w:tmpl w:val="14C89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7048219">
    <w:abstractNumId w:val="6"/>
  </w:num>
  <w:num w:numId="2" w16cid:durableId="923954190">
    <w:abstractNumId w:val="21"/>
  </w:num>
  <w:num w:numId="3" w16cid:durableId="385759454">
    <w:abstractNumId w:val="15"/>
  </w:num>
  <w:num w:numId="4" w16cid:durableId="1061948797">
    <w:abstractNumId w:val="1"/>
  </w:num>
  <w:num w:numId="5" w16cid:durableId="1975939963">
    <w:abstractNumId w:val="24"/>
  </w:num>
  <w:num w:numId="6" w16cid:durableId="147720853">
    <w:abstractNumId w:val="10"/>
  </w:num>
  <w:num w:numId="7" w16cid:durableId="678776526">
    <w:abstractNumId w:val="8"/>
  </w:num>
  <w:num w:numId="8" w16cid:durableId="566888552">
    <w:abstractNumId w:val="20"/>
  </w:num>
  <w:num w:numId="9" w16cid:durableId="491608824">
    <w:abstractNumId w:val="3"/>
  </w:num>
  <w:num w:numId="10" w16cid:durableId="896865378">
    <w:abstractNumId w:val="18"/>
  </w:num>
  <w:num w:numId="11" w16cid:durableId="865945132">
    <w:abstractNumId w:val="22"/>
  </w:num>
  <w:num w:numId="12" w16cid:durableId="196816708">
    <w:abstractNumId w:val="4"/>
  </w:num>
  <w:num w:numId="13" w16cid:durableId="964310621">
    <w:abstractNumId w:val="2"/>
  </w:num>
  <w:num w:numId="14" w16cid:durableId="109739022">
    <w:abstractNumId w:val="12"/>
  </w:num>
  <w:num w:numId="15" w16cid:durableId="182867898">
    <w:abstractNumId w:val="19"/>
  </w:num>
  <w:num w:numId="16" w16cid:durableId="156189394">
    <w:abstractNumId w:val="5"/>
  </w:num>
  <w:num w:numId="17" w16cid:durableId="839587537">
    <w:abstractNumId w:val="17"/>
  </w:num>
  <w:num w:numId="18" w16cid:durableId="817385425">
    <w:abstractNumId w:val="23"/>
  </w:num>
  <w:num w:numId="19" w16cid:durableId="500122253">
    <w:abstractNumId w:val="26"/>
  </w:num>
  <w:num w:numId="20" w16cid:durableId="1609002087">
    <w:abstractNumId w:val="27"/>
  </w:num>
  <w:num w:numId="21" w16cid:durableId="1816533478">
    <w:abstractNumId w:val="16"/>
  </w:num>
  <w:num w:numId="22" w16cid:durableId="108551757">
    <w:abstractNumId w:val="25"/>
  </w:num>
  <w:num w:numId="23" w16cid:durableId="162163603">
    <w:abstractNumId w:val="9"/>
  </w:num>
  <w:num w:numId="24" w16cid:durableId="1794210672">
    <w:abstractNumId w:val="0"/>
  </w:num>
  <w:num w:numId="25" w16cid:durableId="1123035083">
    <w:abstractNumId w:val="13"/>
  </w:num>
  <w:num w:numId="26" w16cid:durableId="1509565822">
    <w:abstractNumId w:val="7"/>
  </w:num>
  <w:num w:numId="27" w16cid:durableId="1380779980">
    <w:abstractNumId w:val="11"/>
  </w:num>
  <w:num w:numId="28" w16cid:durableId="1558396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00"/>
    <w:rsid w:val="00026B08"/>
    <w:rsid w:val="00071953"/>
    <w:rsid w:val="0012005B"/>
    <w:rsid w:val="002A743D"/>
    <w:rsid w:val="004947EA"/>
    <w:rsid w:val="00681D00"/>
    <w:rsid w:val="0069753D"/>
    <w:rsid w:val="006A1370"/>
    <w:rsid w:val="007B58F6"/>
    <w:rsid w:val="0091642B"/>
    <w:rsid w:val="00AC4326"/>
    <w:rsid w:val="00B32C65"/>
    <w:rsid w:val="00C934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B5CE"/>
  <w15:docId w15:val="{C0B71D70-3631-4466-9873-780725E9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line="276" w:lineRule="auto"/>
        <w:ind w:firstLine="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EA"/>
  </w:style>
  <w:style w:type="paragraph" w:styleId="Ttulo1">
    <w:name w:val="heading 1"/>
    <w:basedOn w:val="Normal"/>
    <w:next w:val="Normal"/>
    <w:uiPriority w:val="9"/>
    <w:qFormat/>
    <w:pPr>
      <w:keepNext/>
      <w:keepLines/>
      <w:ind w:firstLine="0"/>
      <w:jc w:val="center"/>
      <w:outlineLvl w:val="0"/>
    </w:pPr>
    <w:rPr>
      <w:b/>
      <w:bCs/>
    </w:rPr>
  </w:style>
  <w:style w:type="paragraph" w:styleId="Ttulo2">
    <w:name w:val="heading 2"/>
    <w:basedOn w:val="Normal"/>
    <w:next w:val="Normal"/>
    <w:uiPriority w:val="9"/>
    <w:semiHidden/>
    <w:unhideWhenUsed/>
    <w:qFormat/>
    <w:pPr>
      <w:keepNext/>
      <w:keepLines/>
      <w:spacing w:line="360" w:lineRule="auto"/>
      <w:ind w:left="515" w:hanging="510"/>
      <w:outlineLvl w:val="1"/>
    </w:pPr>
    <w:rPr>
      <w:b/>
      <w:bCs/>
      <w:i/>
      <w:iCs/>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thesaurus.bad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eiades.sto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leiades.stoa.org/" TargetMode="External"/><Relationship Id="rId4" Type="http://schemas.openxmlformats.org/officeDocument/2006/relationships/webSettings" Target="webSettings.xml"/><Relationship Id="rId9" Type="http://schemas.openxmlformats.org/officeDocument/2006/relationships/hyperlink" Target="https://commons.wikimedia.org/w/index.php?curid=2703717"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89</Pages>
  <Words>42634</Words>
  <Characters>230227</Characters>
  <Application>Microsoft Office Word</Application>
  <DocSecurity>0</DocSecurity>
  <Lines>1918</Lines>
  <Paragraphs>544</Paragraphs>
  <ScaleCrop>false</ScaleCrop>
  <Company/>
  <LinksUpToDate>false</LinksUpToDate>
  <CharactersWithSpaces>272317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Abner</dc:creator>
  <cp:lastModifiedBy>Abner Alexandre Nogueira</cp:lastModifiedBy>
  <cp:revision>2</cp:revision>
  <dcterms:created xsi:type="dcterms:W3CDTF">2026-03-13T13:44:00Z</dcterms:created>
  <dcterms:modified xsi:type="dcterms:W3CDTF">2026-03-13T13:44:00Z</dcterms:modified>
</cp:coreProperties>
</file>