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1C6D4" w14:textId="77777777" w:rsidR="00332C33" w:rsidRDefault="00332C33">
      <w:pPr>
        <w:rPr>
          <w:rFonts w:ascii="Times New Roman" w:eastAsia="Times New Roman" w:hAnsi="Times New Roman" w:cs="Times New Roman"/>
          <w:sz w:val="24"/>
          <w:szCs w:val="24"/>
        </w:rPr>
      </w:pPr>
    </w:p>
    <w:p w14:paraId="6915A654" w14:textId="77777777" w:rsidR="00332C33" w:rsidRDefault="00332C33">
      <w:pPr>
        <w:rPr>
          <w:rFonts w:ascii="Times New Roman" w:eastAsia="Times New Roman" w:hAnsi="Times New Roman" w:cs="Times New Roman"/>
          <w:sz w:val="24"/>
          <w:szCs w:val="24"/>
        </w:rPr>
      </w:pPr>
    </w:p>
    <w:p w14:paraId="7E9AD342" w14:textId="77777777" w:rsidR="00332C33" w:rsidRDefault="00332C33">
      <w:pPr>
        <w:rPr>
          <w:rFonts w:ascii="Times New Roman" w:eastAsia="Times New Roman" w:hAnsi="Times New Roman" w:cs="Times New Roman"/>
          <w:sz w:val="24"/>
          <w:szCs w:val="24"/>
        </w:rPr>
      </w:pPr>
    </w:p>
    <w:p w14:paraId="14A776A7" w14:textId="77777777" w:rsidR="00332C33" w:rsidRDefault="00332C33">
      <w:pPr>
        <w:rPr>
          <w:rFonts w:ascii="Times New Roman" w:eastAsia="Times New Roman" w:hAnsi="Times New Roman" w:cs="Times New Roman"/>
          <w:sz w:val="24"/>
          <w:szCs w:val="24"/>
        </w:rPr>
      </w:pPr>
    </w:p>
    <w:p w14:paraId="777F98E4" w14:textId="77777777" w:rsidR="00332C33" w:rsidRDefault="00332C33">
      <w:pPr>
        <w:rPr>
          <w:rFonts w:ascii="Times New Roman" w:eastAsia="Times New Roman" w:hAnsi="Times New Roman" w:cs="Times New Roman"/>
          <w:sz w:val="24"/>
          <w:szCs w:val="24"/>
        </w:rPr>
      </w:pPr>
    </w:p>
    <w:p w14:paraId="751953D1" w14:textId="77777777" w:rsidR="00332C33" w:rsidRDefault="00332C33">
      <w:pPr>
        <w:rPr>
          <w:rFonts w:ascii="Times New Roman" w:eastAsia="Times New Roman" w:hAnsi="Times New Roman" w:cs="Times New Roman"/>
          <w:sz w:val="24"/>
          <w:szCs w:val="24"/>
        </w:rPr>
      </w:pPr>
    </w:p>
    <w:p w14:paraId="67B175D4" w14:textId="77777777" w:rsidR="00332C33" w:rsidRDefault="00332C33">
      <w:pPr>
        <w:rPr>
          <w:rFonts w:ascii="Times New Roman" w:eastAsia="Times New Roman" w:hAnsi="Times New Roman" w:cs="Times New Roman"/>
          <w:sz w:val="24"/>
          <w:szCs w:val="24"/>
        </w:rPr>
      </w:pPr>
    </w:p>
    <w:p w14:paraId="1E023E6E" w14:textId="77777777" w:rsidR="00332C33" w:rsidRDefault="00332C33">
      <w:pPr>
        <w:rPr>
          <w:rFonts w:ascii="Times New Roman" w:eastAsia="Times New Roman" w:hAnsi="Times New Roman" w:cs="Times New Roman"/>
          <w:sz w:val="24"/>
          <w:szCs w:val="24"/>
        </w:rPr>
      </w:pPr>
    </w:p>
    <w:p w14:paraId="5721B177" w14:textId="77777777" w:rsidR="00332C33" w:rsidRDefault="00332C33">
      <w:pPr>
        <w:rPr>
          <w:rFonts w:ascii="Times New Roman" w:eastAsia="Times New Roman" w:hAnsi="Times New Roman" w:cs="Times New Roman"/>
          <w:sz w:val="24"/>
          <w:szCs w:val="24"/>
        </w:rPr>
      </w:pPr>
    </w:p>
    <w:p w14:paraId="42A20237" w14:textId="77777777" w:rsidR="00332C33" w:rsidRDefault="00332C33">
      <w:pPr>
        <w:rPr>
          <w:rFonts w:ascii="Times New Roman" w:eastAsia="Times New Roman" w:hAnsi="Times New Roman" w:cs="Times New Roman"/>
          <w:sz w:val="24"/>
          <w:szCs w:val="24"/>
        </w:rPr>
      </w:pPr>
    </w:p>
    <w:p w14:paraId="5C3BC59B" w14:textId="77777777" w:rsidR="00332C33" w:rsidRPr="002451B6" w:rsidRDefault="00000000">
      <w:pPr>
        <w:spacing w:line="360" w:lineRule="auto"/>
        <w:jc w:val="center"/>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t>Revoluções de gênero: conceitualização, escritas da história e expressões artísticas</w:t>
      </w:r>
    </w:p>
    <w:p w14:paraId="7C18AC0A"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98CE89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DC353C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972B7B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0FFA673"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AA16CFB"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DDEC5E8"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65B1E43"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0A4C70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C745DD0"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73FE19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8BE017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C4A56F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AF738CB"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94A8F4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C674DD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223048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471A8C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765A0A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0D22CB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A0B66B0"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26F5CD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5492AA1"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2F50E6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E363A75"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16D7C23"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040184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5EFC278"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A04404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023811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D1D501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89737C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C44E0C8"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97037AB"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1145AE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4EF800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3100E1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9F8ADD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4320120"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7D61F14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1731E85"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8669E6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3D8615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F1BF53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E9C17C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549E9D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F9DADA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F1CE9B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33EF4D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1438A2F"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7719221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A3E81B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B03E2F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F27C7A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422E69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9F462E1" w14:textId="77777777" w:rsidR="00332C33" w:rsidRPr="002451B6" w:rsidRDefault="00000000">
      <w:pPr>
        <w:spacing w:line="360" w:lineRule="auto"/>
        <w:jc w:val="center"/>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t>Dedicatória (Apenas na versão identificada)</w:t>
      </w:r>
    </w:p>
    <w:p w14:paraId="3F82248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7EC06A9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6C6265B"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ABA4281"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69639B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C30D5B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A79A4E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77B765B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1C601B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43D64A3"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24A84CD"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FD5802A"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CA2C756"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BC626A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BC5AA9C"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292F09A0"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0C9108A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304E99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5E8255A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91C6439"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613DAAE8"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5D27C1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6EE86B2"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7B2316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1A1F2FD7"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97B0DA4"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40C731CE" w14:textId="77777777" w:rsidR="00332C33" w:rsidRPr="002451B6" w:rsidRDefault="00332C33">
      <w:pPr>
        <w:spacing w:line="360" w:lineRule="auto"/>
        <w:jc w:val="center"/>
        <w:rPr>
          <w:rFonts w:ascii="Times New Roman" w:eastAsia="Times New Roman" w:hAnsi="Times New Roman" w:cs="Times New Roman"/>
          <w:b/>
          <w:bCs/>
          <w:sz w:val="26"/>
          <w:szCs w:val="26"/>
        </w:rPr>
      </w:pPr>
    </w:p>
    <w:p w14:paraId="34CE94E3" w14:textId="77777777" w:rsidR="00332C33" w:rsidRPr="002451B6" w:rsidRDefault="00000000">
      <w:pPr>
        <w:spacing w:line="360" w:lineRule="auto"/>
        <w:jc w:val="right"/>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t>Epígrafe</w:t>
      </w:r>
    </w:p>
    <w:p w14:paraId="74329543"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53953282"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6D95CEBA" w14:textId="5CD18564" w:rsidR="00332C33" w:rsidRDefault="0095035F">
      <w:pPr>
        <w:spacing w:line="360" w:lineRule="auto"/>
        <w:jc w:val="right"/>
        <w:rPr>
          <w:rFonts w:ascii="Times New Roman" w:eastAsia="Times New Roman" w:hAnsi="Times New Roman" w:cs="Times New Roman"/>
          <w:i/>
          <w:iCs/>
          <w:sz w:val="24"/>
          <w:szCs w:val="24"/>
        </w:rPr>
      </w:pPr>
      <w:r w:rsidRPr="0095035F">
        <w:rPr>
          <w:rFonts w:ascii="Times New Roman" w:eastAsia="Times New Roman" w:hAnsi="Times New Roman" w:cs="Times New Roman"/>
          <w:i/>
          <w:iCs/>
          <w:sz w:val="24"/>
          <w:szCs w:val="24"/>
        </w:rPr>
        <w:t xml:space="preserve">Não é à toa que as </w:t>
      </w:r>
      <w:proofErr w:type="spellStart"/>
      <w:r w:rsidRPr="0095035F">
        <w:rPr>
          <w:rFonts w:ascii="Times New Roman" w:eastAsia="Times New Roman" w:hAnsi="Times New Roman" w:cs="Times New Roman"/>
          <w:i/>
          <w:iCs/>
          <w:sz w:val="24"/>
          <w:szCs w:val="24"/>
        </w:rPr>
        <w:t>djaniras</w:t>
      </w:r>
      <w:proofErr w:type="spellEnd"/>
      <w:r w:rsidRPr="0095035F">
        <w:rPr>
          <w:rFonts w:ascii="Times New Roman" w:eastAsia="Times New Roman" w:hAnsi="Times New Roman" w:cs="Times New Roman"/>
          <w:i/>
          <w:iCs/>
          <w:sz w:val="24"/>
          <w:szCs w:val="24"/>
        </w:rPr>
        <w:t xml:space="preserve"> do campo em flor</w:t>
      </w:r>
      <w:r w:rsidRPr="0095035F">
        <w:rPr>
          <w:rFonts w:ascii="Times New Roman" w:eastAsia="Times New Roman" w:hAnsi="Times New Roman" w:cs="Times New Roman"/>
          <w:i/>
          <w:iCs/>
          <w:sz w:val="24"/>
          <w:szCs w:val="24"/>
        </w:rPr>
        <w:br/>
        <w:t>São filhas do menor chuvisco, saberá, saberá</w:t>
      </w:r>
      <w:r w:rsidRPr="0095035F">
        <w:rPr>
          <w:rFonts w:ascii="Times New Roman" w:eastAsia="Times New Roman" w:hAnsi="Times New Roman" w:cs="Times New Roman"/>
          <w:i/>
          <w:iCs/>
          <w:sz w:val="24"/>
          <w:szCs w:val="24"/>
        </w:rPr>
        <w:br/>
        <w:t xml:space="preserve">Não é à toa que as </w:t>
      </w:r>
      <w:proofErr w:type="spellStart"/>
      <w:r w:rsidRPr="0095035F">
        <w:rPr>
          <w:rFonts w:ascii="Times New Roman" w:eastAsia="Times New Roman" w:hAnsi="Times New Roman" w:cs="Times New Roman"/>
          <w:i/>
          <w:iCs/>
          <w:sz w:val="24"/>
          <w:szCs w:val="24"/>
        </w:rPr>
        <w:t>djaniras</w:t>
      </w:r>
      <w:proofErr w:type="spellEnd"/>
      <w:r w:rsidRPr="0095035F">
        <w:rPr>
          <w:rFonts w:ascii="Times New Roman" w:eastAsia="Times New Roman" w:hAnsi="Times New Roman" w:cs="Times New Roman"/>
          <w:i/>
          <w:iCs/>
          <w:sz w:val="24"/>
          <w:szCs w:val="24"/>
        </w:rPr>
        <w:t xml:space="preserve"> do campo em flor</w:t>
      </w:r>
      <w:r w:rsidRPr="0095035F">
        <w:rPr>
          <w:rFonts w:ascii="Times New Roman" w:eastAsia="Times New Roman" w:hAnsi="Times New Roman" w:cs="Times New Roman"/>
          <w:i/>
          <w:iCs/>
          <w:sz w:val="24"/>
          <w:szCs w:val="24"/>
        </w:rPr>
        <w:br/>
        <w:t>São filhas do menor chuvisco, saberá</w:t>
      </w:r>
    </w:p>
    <w:p w14:paraId="22027AC0" w14:textId="093EBAC1" w:rsidR="0095035F" w:rsidRPr="0095035F" w:rsidRDefault="0095035F">
      <w:pPr>
        <w:spacing w:line="360" w:lineRule="auto"/>
        <w:jc w:val="right"/>
        <w:rPr>
          <w:rFonts w:ascii="Times New Roman" w:eastAsia="Times New Roman" w:hAnsi="Times New Roman" w:cs="Times New Roman"/>
          <w:sz w:val="24"/>
          <w:szCs w:val="24"/>
        </w:rPr>
      </w:pPr>
      <w:r w:rsidRPr="0095035F">
        <w:rPr>
          <w:rFonts w:ascii="Times New Roman" w:eastAsia="Times New Roman" w:hAnsi="Times New Roman" w:cs="Times New Roman"/>
          <w:sz w:val="24"/>
          <w:szCs w:val="24"/>
        </w:rPr>
        <w:t>(Cátia de França, 1979)</w:t>
      </w:r>
    </w:p>
    <w:p w14:paraId="2728A42B"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5D2EBCFE"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65153F07"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7B1FD8D0"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0FCDABA3" w14:textId="77777777" w:rsidR="00332C33" w:rsidRPr="002451B6" w:rsidRDefault="00332C33">
      <w:pPr>
        <w:spacing w:line="360" w:lineRule="auto"/>
        <w:rPr>
          <w:rFonts w:ascii="Times New Roman" w:eastAsia="Times New Roman" w:hAnsi="Times New Roman" w:cs="Times New Roman"/>
          <w:b/>
          <w:bCs/>
          <w:sz w:val="26"/>
          <w:szCs w:val="26"/>
        </w:rPr>
      </w:pPr>
    </w:p>
    <w:p w14:paraId="603E3A4B" w14:textId="77777777" w:rsidR="00332C33" w:rsidRPr="002451B6" w:rsidRDefault="00332C33">
      <w:pPr>
        <w:spacing w:line="360" w:lineRule="auto"/>
        <w:rPr>
          <w:rFonts w:ascii="Times New Roman" w:eastAsia="Times New Roman" w:hAnsi="Times New Roman" w:cs="Times New Roman"/>
          <w:b/>
          <w:bCs/>
          <w:sz w:val="26"/>
          <w:szCs w:val="26"/>
        </w:rPr>
      </w:pPr>
    </w:p>
    <w:p w14:paraId="4E4F4449" w14:textId="77777777" w:rsidR="00332C33" w:rsidRPr="002451B6" w:rsidRDefault="00332C33">
      <w:pPr>
        <w:spacing w:line="360" w:lineRule="auto"/>
        <w:rPr>
          <w:rFonts w:ascii="Times New Roman" w:eastAsia="Times New Roman" w:hAnsi="Times New Roman" w:cs="Times New Roman"/>
          <w:b/>
          <w:bCs/>
          <w:sz w:val="26"/>
          <w:szCs w:val="26"/>
        </w:rPr>
      </w:pPr>
    </w:p>
    <w:p w14:paraId="2AE2279F" w14:textId="77777777" w:rsidR="0095035F" w:rsidRDefault="0095035F">
      <w:pPr>
        <w:spacing w:line="360" w:lineRule="auto"/>
        <w:jc w:val="center"/>
        <w:rPr>
          <w:rFonts w:ascii="Times New Roman" w:eastAsia="Times New Roman" w:hAnsi="Times New Roman" w:cs="Times New Roman"/>
          <w:sz w:val="28"/>
          <w:szCs w:val="28"/>
        </w:rPr>
      </w:pPr>
    </w:p>
    <w:p w14:paraId="24C27AA5" w14:textId="77777777" w:rsidR="0095035F" w:rsidRDefault="0095035F">
      <w:pPr>
        <w:spacing w:line="360" w:lineRule="auto"/>
        <w:jc w:val="center"/>
        <w:rPr>
          <w:rFonts w:ascii="Times New Roman" w:eastAsia="Times New Roman" w:hAnsi="Times New Roman" w:cs="Times New Roman"/>
          <w:sz w:val="28"/>
          <w:szCs w:val="28"/>
        </w:rPr>
      </w:pPr>
    </w:p>
    <w:p w14:paraId="7FA0FB45" w14:textId="77777777" w:rsidR="0095035F" w:rsidRDefault="0095035F">
      <w:pPr>
        <w:spacing w:line="360" w:lineRule="auto"/>
        <w:jc w:val="center"/>
        <w:rPr>
          <w:rFonts w:ascii="Times New Roman" w:eastAsia="Times New Roman" w:hAnsi="Times New Roman" w:cs="Times New Roman"/>
          <w:sz w:val="28"/>
          <w:szCs w:val="28"/>
        </w:rPr>
      </w:pPr>
    </w:p>
    <w:p w14:paraId="3A6F9693" w14:textId="77777777" w:rsidR="0095035F" w:rsidRDefault="0095035F">
      <w:pPr>
        <w:spacing w:line="360" w:lineRule="auto"/>
        <w:jc w:val="center"/>
        <w:rPr>
          <w:rFonts w:ascii="Times New Roman" w:eastAsia="Times New Roman" w:hAnsi="Times New Roman" w:cs="Times New Roman"/>
          <w:sz w:val="28"/>
          <w:szCs w:val="28"/>
        </w:rPr>
      </w:pPr>
    </w:p>
    <w:p w14:paraId="4F9CD50D" w14:textId="77777777" w:rsidR="0095035F" w:rsidRDefault="0095035F">
      <w:pPr>
        <w:spacing w:line="360" w:lineRule="auto"/>
        <w:jc w:val="center"/>
        <w:rPr>
          <w:rFonts w:ascii="Times New Roman" w:eastAsia="Times New Roman" w:hAnsi="Times New Roman" w:cs="Times New Roman"/>
          <w:sz w:val="28"/>
          <w:szCs w:val="28"/>
        </w:rPr>
      </w:pPr>
    </w:p>
    <w:p w14:paraId="5900958B" w14:textId="77777777" w:rsidR="0095035F" w:rsidRDefault="0095035F">
      <w:pPr>
        <w:spacing w:line="360" w:lineRule="auto"/>
        <w:jc w:val="center"/>
        <w:rPr>
          <w:rFonts w:ascii="Times New Roman" w:eastAsia="Times New Roman" w:hAnsi="Times New Roman" w:cs="Times New Roman"/>
          <w:sz w:val="28"/>
          <w:szCs w:val="28"/>
        </w:rPr>
      </w:pPr>
    </w:p>
    <w:p w14:paraId="71777E36" w14:textId="77777777" w:rsidR="0095035F" w:rsidRDefault="0095035F">
      <w:pPr>
        <w:spacing w:line="360" w:lineRule="auto"/>
        <w:jc w:val="center"/>
        <w:rPr>
          <w:rFonts w:ascii="Times New Roman" w:eastAsia="Times New Roman" w:hAnsi="Times New Roman" w:cs="Times New Roman"/>
          <w:sz w:val="28"/>
          <w:szCs w:val="28"/>
        </w:rPr>
      </w:pPr>
    </w:p>
    <w:p w14:paraId="63B2F77C" w14:textId="77777777" w:rsidR="0095035F" w:rsidRDefault="0095035F">
      <w:pPr>
        <w:spacing w:line="360" w:lineRule="auto"/>
        <w:jc w:val="center"/>
        <w:rPr>
          <w:rFonts w:ascii="Times New Roman" w:eastAsia="Times New Roman" w:hAnsi="Times New Roman" w:cs="Times New Roman"/>
          <w:sz w:val="28"/>
          <w:szCs w:val="28"/>
        </w:rPr>
      </w:pPr>
    </w:p>
    <w:p w14:paraId="5519A99B" w14:textId="77777777" w:rsidR="0095035F" w:rsidRDefault="0095035F">
      <w:pPr>
        <w:spacing w:line="360" w:lineRule="auto"/>
        <w:jc w:val="center"/>
        <w:rPr>
          <w:rFonts w:ascii="Times New Roman" w:eastAsia="Times New Roman" w:hAnsi="Times New Roman" w:cs="Times New Roman"/>
          <w:sz w:val="28"/>
          <w:szCs w:val="28"/>
        </w:rPr>
      </w:pPr>
    </w:p>
    <w:p w14:paraId="2B2D62B2" w14:textId="77777777" w:rsidR="0095035F" w:rsidRDefault="0095035F">
      <w:pPr>
        <w:spacing w:line="360" w:lineRule="auto"/>
        <w:jc w:val="center"/>
        <w:rPr>
          <w:rFonts w:ascii="Times New Roman" w:eastAsia="Times New Roman" w:hAnsi="Times New Roman" w:cs="Times New Roman"/>
          <w:sz w:val="28"/>
          <w:szCs w:val="28"/>
        </w:rPr>
      </w:pPr>
    </w:p>
    <w:p w14:paraId="59568953" w14:textId="77777777" w:rsidR="0095035F" w:rsidRDefault="0095035F">
      <w:pPr>
        <w:spacing w:line="360" w:lineRule="auto"/>
        <w:jc w:val="center"/>
        <w:rPr>
          <w:rFonts w:ascii="Times New Roman" w:eastAsia="Times New Roman" w:hAnsi="Times New Roman" w:cs="Times New Roman"/>
          <w:sz w:val="28"/>
          <w:szCs w:val="28"/>
        </w:rPr>
      </w:pPr>
    </w:p>
    <w:p w14:paraId="72A55F93" w14:textId="77777777" w:rsidR="0095035F" w:rsidRDefault="0095035F">
      <w:pPr>
        <w:spacing w:line="360" w:lineRule="auto"/>
        <w:jc w:val="center"/>
        <w:rPr>
          <w:rFonts w:ascii="Times New Roman" w:eastAsia="Times New Roman" w:hAnsi="Times New Roman" w:cs="Times New Roman"/>
          <w:sz w:val="28"/>
          <w:szCs w:val="28"/>
        </w:rPr>
      </w:pPr>
    </w:p>
    <w:p w14:paraId="51FB73B8" w14:textId="67DF0A92" w:rsidR="00332C33" w:rsidRPr="002451B6" w:rsidRDefault="00000000">
      <w:pPr>
        <w:spacing w:line="360" w:lineRule="auto"/>
        <w:jc w:val="center"/>
        <w:rPr>
          <w:rFonts w:ascii="Times New Roman" w:eastAsia="Times New Roman" w:hAnsi="Times New Roman" w:cs="Times New Roman"/>
          <w:sz w:val="28"/>
          <w:szCs w:val="28"/>
        </w:rPr>
      </w:pPr>
      <w:r w:rsidRPr="002451B6">
        <w:rPr>
          <w:rFonts w:ascii="Times New Roman" w:eastAsia="Times New Roman" w:hAnsi="Times New Roman" w:cs="Times New Roman"/>
          <w:sz w:val="28"/>
          <w:szCs w:val="28"/>
        </w:rPr>
        <w:t>Sumário</w:t>
      </w:r>
    </w:p>
    <w:p w14:paraId="36933375" w14:textId="77777777" w:rsidR="00332C33" w:rsidRPr="002451B6" w:rsidRDefault="00332C33">
      <w:pPr>
        <w:spacing w:line="360" w:lineRule="auto"/>
        <w:jc w:val="both"/>
        <w:rPr>
          <w:rFonts w:ascii="Times New Roman" w:eastAsia="Times New Roman" w:hAnsi="Times New Roman" w:cs="Times New Roman"/>
          <w:b/>
          <w:bCs/>
          <w:sz w:val="26"/>
          <w:szCs w:val="26"/>
        </w:rPr>
      </w:pPr>
    </w:p>
    <w:p w14:paraId="4829F2A2" w14:textId="46B644A1"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Prefácio…………………………………………………………………………</w:t>
      </w:r>
      <w:proofErr w:type="gramStart"/>
      <w:r w:rsidRPr="002451B6">
        <w:rPr>
          <w:rFonts w:ascii="Times New Roman" w:eastAsia="Times New Roman" w:hAnsi="Times New Roman" w:cs="Times New Roman"/>
          <w:sz w:val="24"/>
          <w:szCs w:val="24"/>
        </w:rPr>
        <w:t>…..</w:t>
      </w:r>
      <w:proofErr w:type="gramEnd"/>
    </w:p>
    <w:p w14:paraId="2AC60569"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09CA6377" w14:textId="5973A389"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Apresentação……………………………………………………………………….</w:t>
      </w:r>
    </w:p>
    <w:p w14:paraId="76DE03DE"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3E4764FE"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EPISTEMOLOGIAS DE GÊNERO</w:t>
      </w:r>
    </w:p>
    <w:p w14:paraId="53FA3C2A" w14:textId="77777777" w:rsidR="00332C33" w:rsidRPr="002451B6" w:rsidRDefault="00332C33">
      <w:pPr>
        <w:spacing w:line="360" w:lineRule="auto"/>
        <w:jc w:val="both"/>
        <w:rPr>
          <w:rFonts w:ascii="Times New Roman" w:eastAsia="Times New Roman" w:hAnsi="Times New Roman" w:cs="Times New Roman"/>
          <w:sz w:val="26"/>
          <w:szCs w:val="26"/>
        </w:rPr>
      </w:pPr>
    </w:p>
    <w:p w14:paraId="41E2F392" w14:textId="39F0260B"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Feminismo negro e a(r)</w:t>
      </w:r>
      <w:proofErr w:type="spellStart"/>
      <w:r w:rsidRPr="002451B6">
        <w:rPr>
          <w:rFonts w:ascii="Times New Roman" w:eastAsia="Times New Roman" w:hAnsi="Times New Roman" w:cs="Times New Roman"/>
          <w:sz w:val="24"/>
          <w:szCs w:val="24"/>
        </w:rPr>
        <w:t>tivismo</w:t>
      </w:r>
      <w:proofErr w:type="spellEnd"/>
      <w:r w:rsidRPr="002451B6">
        <w:rPr>
          <w:rFonts w:ascii="Times New Roman" w:eastAsia="Times New Roman" w:hAnsi="Times New Roman" w:cs="Times New Roman"/>
          <w:sz w:val="24"/>
          <w:szCs w:val="24"/>
        </w:rPr>
        <w:t>: teoria e estética em mútua insurgência………………….</w:t>
      </w:r>
      <w:r w:rsidR="00251E7B">
        <w:rPr>
          <w:rFonts w:ascii="Times New Roman" w:eastAsia="Times New Roman" w:hAnsi="Times New Roman" w:cs="Times New Roman"/>
          <w:sz w:val="24"/>
          <w:szCs w:val="24"/>
        </w:rPr>
        <w:t>4</w:t>
      </w:r>
    </w:p>
    <w:p w14:paraId="32BDF4E5"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3C68CFC8" w14:textId="4868215F"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É possível falar em cultura política feminista no Brasil?...................................................</w:t>
      </w:r>
      <w:r w:rsidR="00251E7B">
        <w:rPr>
          <w:rFonts w:ascii="Times New Roman" w:eastAsia="Times New Roman" w:hAnsi="Times New Roman" w:cs="Times New Roman"/>
          <w:sz w:val="24"/>
          <w:szCs w:val="24"/>
        </w:rPr>
        <w:t>18</w:t>
      </w:r>
    </w:p>
    <w:p w14:paraId="12B02511"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0A8AA8CA" w14:textId="3A0443CE"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Repensar Deus: gênero, poder e resistência teológica. Teologias Feministas como caminho pedagógico de desmonte de </w:t>
      </w:r>
      <w:proofErr w:type="spellStart"/>
      <w:r w:rsidRPr="002451B6">
        <w:rPr>
          <w:rFonts w:ascii="Times New Roman" w:eastAsia="Times New Roman" w:hAnsi="Times New Roman" w:cs="Times New Roman"/>
          <w:sz w:val="24"/>
          <w:szCs w:val="24"/>
        </w:rPr>
        <w:t>Necroteologias</w:t>
      </w:r>
      <w:proofErr w:type="spellEnd"/>
      <w:r w:rsidRPr="002451B6">
        <w:rPr>
          <w:rFonts w:ascii="Times New Roman" w:eastAsia="Times New Roman" w:hAnsi="Times New Roman" w:cs="Times New Roman"/>
          <w:sz w:val="24"/>
          <w:szCs w:val="24"/>
        </w:rPr>
        <w:t>…………………………………………</w:t>
      </w:r>
      <w:proofErr w:type="gramStart"/>
      <w:r w:rsidRPr="002451B6">
        <w:rPr>
          <w:rFonts w:ascii="Times New Roman" w:eastAsia="Times New Roman" w:hAnsi="Times New Roman" w:cs="Times New Roman"/>
          <w:sz w:val="24"/>
          <w:szCs w:val="24"/>
        </w:rPr>
        <w:t>…..</w:t>
      </w:r>
      <w:proofErr w:type="gramEnd"/>
      <w:r w:rsidR="00251E7B">
        <w:rPr>
          <w:rFonts w:ascii="Times New Roman" w:eastAsia="Times New Roman" w:hAnsi="Times New Roman" w:cs="Times New Roman"/>
          <w:sz w:val="24"/>
          <w:szCs w:val="24"/>
        </w:rPr>
        <w:t>31</w:t>
      </w:r>
    </w:p>
    <w:p w14:paraId="55DC1C79" w14:textId="77777777" w:rsidR="00332C33" w:rsidRPr="002451B6" w:rsidRDefault="00332C33">
      <w:pPr>
        <w:spacing w:line="360" w:lineRule="auto"/>
        <w:jc w:val="both"/>
        <w:rPr>
          <w:rFonts w:ascii="Times New Roman" w:eastAsia="Times New Roman" w:hAnsi="Times New Roman" w:cs="Times New Roman"/>
          <w:i/>
          <w:iCs/>
          <w:sz w:val="26"/>
          <w:szCs w:val="26"/>
        </w:rPr>
      </w:pPr>
    </w:p>
    <w:p w14:paraId="783D4191"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VIOLÊNCIAS POLÍTICAS DE GÊNERO. REFLEXÕES E COMBATES</w:t>
      </w:r>
    </w:p>
    <w:p w14:paraId="6109624B" w14:textId="77777777" w:rsidR="00332C33" w:rsidRPr="002451B6" w:rsidRDefault="00332C33">
      <w:pPr>
        <w:spacing w:line="360" w:lineRule="auto"/>
        <w:jc w:val="center"/>
        <w:rPr>
          <w:rFonts w:ascii="Times New Roman" w:eastAsia="Times New Roman" w:hAnsi="Times New Roman" w:cs="Times New Roman"/>
          <w:sz w:val="24"/>
          <w:szCs w:val="24"/>
        </w:rPr>
      </w:pPr>
    </w:p>
    <w:p w14:paraId="400CB296" w14:textId="4024712B"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cinemas de diretoras mulheres sobre a violência de Estado: o papel de denúncia e o lugar de dignidade das vítimas e </w:t>
      </w:r>
      <w:proofErr w:type="gramStart"/>
      <w:r w:rsidRPr="002451B6">
        <w:rPr>
          <w:rFonts w:ascii="Times New Roman" w:eastAsia="Times New Roman" w:hAnsi="Times New Roman" w:cs="Times New Roman"/>
          <w:sz w:val="24"/>
          <w:szCs w:val="24"/>
        </w:rPr>
        <w:t>suas/seus familiares</w:t>
      </w:r>
      <w:proofErr w:type="gramEnd"/>
      <w:r w:rsidRPr="002451B6">
        <w:rPr>
          <w:rFonts w:ascii="Times New Roman" w:eastAsia="Times New Roman" w:hAnsi="Times New Roman" w:cs="Times New Roman"/>
          <w:sz w:val="24"/>
          <w:szCs w:val="24"/>
        </w:rPr>
        <w:t>………………………………………………</w:t>
      </w:r>
      <w:r w:rsidR="00251E7B">
        <w:rPr>
          <w:rFonts w:ascii="Times New Roman" w:eastAsia="Times New Roman" w:hAnsi="Times New Roman" w:cs="Times New Roman"/>
          <w:sz w:val="24"/>
          <w:szCs w:val="24"/>
        </w:rPr>
        <w:t>45</w:t>
      </w:r>
    </w:p>
    <w:p w14:paraId="29731AF6"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3FDE2516" w14:textId="51FB25E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“Colaboracionismo”: a política de </w:t>
      </w:r>
      <w:proofErr w:type="spellStart"/>
      <w:r w:rsidRPr="002451B6">
        <w:rPr>
          <w:rFonts w:ascii="Times New Roman" w:eastAsia="Times New Roman" w:hAnsi="Times New Roman" w:cs="Times New Roman"/>
          <w:sz w:val="24"/>
          <w:szCs w:val="24"/>
        </w:rPr>
        <w:t>dessubjetivação</w:t>
      </w:r>
      <w:proofErr w:type="spellEnd"/>
      <w:r w:rsidRPr="002451B6">
        <w:rPr>
          <w:rFonts w:ascii="Times New Roman" w:eastAsia="Times New Roman" w:hAnsi="Times New Roman" w:cs="Times New Roman"/>
          <w:sz w:val="24"/>
          <w:szCs w:val="24"/>
        </w:rPr>
        <w:t xml:space="preserve"> a partir da violência de gênero nas ditaduras de Brasil e Argentina……………………………………………………………….</w:t>
      </w:r>
      <w:r w:rsidR="0036079D">
        <w:rPr>
          <w:rFonts w:ascii="Times New Roman" w:eastAsia="Times New Roman" w:hAnsi="Times New Roman" w:cs="Times New Roman"/>
          <w:sz w:val="24"/>
          <w:szCs w:val="24"/>
        </w:rPr>
        <w:t>.............</w:t>
      </w:r>
      <w:r w:rsidR="00251E7B">
        <w:rPr>
          <w:rFonts w:ascii="Times New Roman" w:eastAsia="Times New Roman" w:hAnsi="Times New Roman" w:cs="Times New Roman"/>
          <w:sz w:val="24"/>
          <w:szCs w:val="24"/>
        </w:rPr>
        <w:t>64</w:t>
      </w:r>
    </w:p>
    <w:p w14:paraId="16194881"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62FF367B" w14:textId="0711D92A"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Violência de gênero e violência sexual: uma análise das categorias e do conceito de vítima no relatório final da Comissão Nacional da Verdade……………………………………………</w:t>
      </w:r>
      <w:r w:rsidR="00251E7B">
        <w:rPr>
          <w:rFonts w:ascii="Times New Roman" w:eastAsia="Times New Roman" w:hAnsi="Times New Roman" w:cs="Times New Roman"/>
          <w:sz w:val="24"/>
          <w:szCs w:val="24"/>
        </w:rPr>
        <w:t>81</w:t>
      </w:r>
    </w:p>
    <w:p w14:paraId="0D58A738" w14:textId="77777777" w:rsidR="00332C33" w:rsidRPr="002451B6" w:rsidRDefault="00332C33">
      <w:pPr>
        <w:spacing w:line="360" w:lineRule="auto"/>
        <w:jc w:val="both"/>
        <w:rPr>
          <w:rFonts w:ascii="Times New Roman" w:eastAsia="Times New Roman" w:hAnsi="Times New Roman" w:cs="Times New Roman"/>
          <w:sz w:val="24"/>
          <w:szCs w:val="24"/>
        </w:rPr>
      </w:pPr>
    </w:p>
    <w:p w14:paraId="1D13D601" w14:textId="657D287F"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Violência, estigmatização e sexismo na invenção da “Bruxa da </w:t>
      </w:r>
      <w:proofErr w:type="spellStart"/>
      <w:proofErr w:type="gram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w:t>
      </w:r>
      <w:proofErr w:type="gramEnd"/>
      <w:r w:rsidR="0036079D">
        <w:rPr>
          <w:rFonts w:ascii="Times New Roman" w:eastAsia="Times New Roman" w:hAnsi="Times New Roman" w:cs="Times New Roman"/>
          <w:sz w:val="24"/>
          <w:szCs w:val="24"/>
        </w:rPr>
        <w:t>1</w:t>
      </w:r>
      <w:r w:rsidR="00130215">
        <w:rPr>
          <w:rFonts w:ascii="Times New Roman" w:eastAsia="Times New Roman" w:hAnsi="Times New Roman" w:cs="Times New Roman"/>
          <w:sz w:val="24"/>
          <w:szCs w:val="24"/>
        </w:rPr>
        <w:t>03</w:t>
      </w:r>
    </w:p>
    <w:p w14:paraId="1D05A2DB" w14:textId="29BBEBBD" w:rsidR="00332C33" w:rsidRPr="002451B6" w:rsidRDefault="00332C33">
      <w:pPr>
        <w:spacing w:line="360" w:lineRule="auto"/>
        <w:jc w:val="both"/>
        <w:rPr>
          <w:rFonts w:ascii="Times New Roman" w:eastAsia="Times New Roman" w:hAnsi="Times New Roman" w:cs="Times New Roman"/>
          <w:i/>
          <w:iCs/>
          <w:sz w:val="24"/>
          <w:szCs w:val="24"/>
        </w:rPr>
      </w:pPr>
    </w:p>
    <w:p w14:paraId="7C4571C3" w14:textId="77777777" w:rsidR="00332C33" w:rsidRPr="002451B6" w:rsidRDefault="00332C33">
      <w:pPr>
        <w:spacing w:line="360" w:lineRule="auto"/>
        <w:jc w:val="center"/>
        <w:rPr>
          <w:rFonts w:ascii="Times New Roman" w:eastAsia="Times New Roman" w:hAnsi="Times New Roman" w:cs="Times New Roman"/>
          <w:sz w:val="24"/>
          <w:szCs w:val="24"/>
        </w:rPr>
      </w:pPr>
    </w:p>
    <w:p w14:paraId="0F2A4D9D" w14:textId="77777777" w:rsidR="00332C33" w:rsidRPr="002451B6" w:rsidRDefault="00332C33">
      <w:pPr>
        <w:spacing w:line="360" w:lineRule="auto"/>
        <w:jc w:val="center"/>
        <w:rPr>
          <w:rFonts w:ascii="Times New Roman" w:eastAsia="Times New Roman" w:hAnsi="Times New Roman" w:cs="Times New Roman"/>
          <w:sz w:val="24"/>
          <w:szCs w:val="24"/>
        </w:rPr>
      </w:pPr>
    </w:p>
    <w:p w14:paraId="64F0389B"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GÊNERO, MEMÓRIA SOCIAL E ARTE </w:t>
      </w:r>
    </w:p>
    <w:p w14:paraId="6EB87177"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34E5D64C" w14:textId="25A1B59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Pode a subalterna filmar? Imagem, poder e a política dos corpos no audiovisual periférico de São Paulo…………………………………………………………………………………</w:t>
      </w:r>
      <w:r w:rsidR="0036079D">
        <w:rPr>
          <w:rFonts w:ascii="Times New Roman" w:eastAsia="Times New Roman" w:hAnsi="Times New Roman" w:cs="Times New Roman"/>
          <w:sz w:val="24"/>
          <w:szCs w:val="24"/>
        </w:rPr>
        <w:t>....</w:t>
      </w:r>
      <w:r w:rsidR="00251E7B">
        <w:rPr>
          <w:rFonts w:ascii="Times New Roman" w:eastAsia="Times New Roman" w:hAnsi="Times New Roman" w:cs="Times New Roman"/>
          <w:sz w:val="24"/>
          <w:szCs w:val="24"/>
        </w:rPr>
        <w:t>117</w:t>
      </w:r>
    </w:p>
    <w:p w14:paraId="69C4269B"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250A08D0" w14:textId="51298222"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“Eu sou assim”: Justificação da violência contra a </w:t>
      </w:r>
      <w:r w:rsidR="00E11265" w:rsidRPr="002451B6">
        <w:rPr>
          <w:rFonts w:ascii="Times New Roman" w:eastAsia="Times New Roman" w:hAnsi="Times New Roman" w:cs="Times New Roman"/>
          <w:sz w:val="24"/>
          <w:szCs w:val="24"/>
        </w:rPr>
        <w:t>mulher no</w:t>
      </w:r>
      <w:r w:rsidRPr="002451B6">
        <w:rPr>
          <w:rFonts w:ascii="Times New Roman" w:eastAsia="Times New Roman" w:hAnsi="Times New Roman" w:cs="Times New Roman"/>
          <w:sz w:val="24"/>
          <w:szCs w:val="24"/>
        </w:rPr>
        <w:t xml:space="preserve"> cinema latino-americano contemporâneo………………………………………………………………………………</w:t>
      </w:r>
      <w:r w:rsidR="0036079D">
        <w:rPr>
          <w:rFonts w:ascii="Times New Roman" w:eastAsia="Times New Roman" w:hAnsi="Times New Roman" w:cs="Times New Roman"/>
          <w:sz w:val="24"/>
          <w:szCs w:val="24"/>
        </w:rPr>
        <w:t>1</w:t>
      </w:r>
      <w:r w:rsidR="00251E7B">
        <w:rPr>
          <w:rFonts w:ascii="Times New Roman" w:eastAsia="Times New Roman" w:hAnsi="Times New Roman" w:cs="Times New Roman"/>
          <w:sz w:val="24"/>
          <w:szCs w:val="24"/>
        </w:rPr>
        <w:t>33</w:t>
      </w:r>
    </w:p>
    <w:p w14:paraId="74D49A4A"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1B2FFEF9" w14:textId="761EF09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Narrativas ficcionais dos contos de fadas e narrativas factuais das mídias: quando uma imagem fala mais que mil palavras na trajetória de uma pesquisa……………………………..</w:t>
      </w:r>
      <w:r w:rsidR="0036079D">
        <w:rPr>
          <w:rFonts w:ascii="Times New Roman" w:eastAsia="Times New Roman" w:hAnsi="Times New Roman" w:cs="Times New Roman"/>
          <w:sz w:val="24"/>
          <w:szCs w:val="24"/>
        </w:rPr>
        <w:t>.........1</w:t>
      </w:r>
      <w:r w:rsidR="00251E7B">
        <w:rPr>
          <w:rFonts w:ascii="Times New Roman" w:eastAsia="Times New Roman" w:hAnsi="Times New Roman" w:cs="Times New Roman"/>
          <w:sz w:val="24"/>
          <w:szCs w:val="24"/>
        </w:rPr>
        <w:t>50</w:t>
      </w:r>
    </w:p>
    <w:p w14:paraId="338915E9"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2D1A4DA8" w14:textId="75BCCA4D"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Maria Celia Camargo: A fina flor da produção teatral……………………………………….</w:t>
      </w:r>
      <w:r w:rsidR="0036079D">
        <w:rPr>
          <w:rFonts w:ascii="Times New Roman" w:eastAsia="Times New Roman" w:hAnsi="Times New Roman" w:cs="Times New Roman"/>
          <w:sz w:val="24"/>
          <w:szCs w:val="24"/>
        </w:rPr>
        <w:t>1</w:t>
      </w:r>
      <w:r w:rsidR="00251E7B">
        <w:rPr>
          <w:rFonts w:ascii="Times New Roman" w:eastAsia="Times New Roman" w:hAnsi="Times New Roman" w:cs="Times New Roman"/>
          <w:sz w:val="24"/>
          <w:szCs w:val="24"/>
        </w:rPr>
        <w:t>64</w:t>
      </w:r>
    </w:p>
    <w:p w14:paraId="41D66297" w14:textId="77777777" w:rsidR="00332C33" w:rsidRPr="002451B6" w:rsidRDefault="00332C33">
      <w:pPr>
        <w:spacing w:line="360" w:lineRule="auto"/>
        <w:rPr>
          <w:rFonts w:ascii="Times New Roman" w:eastAsia="Times New Roman" w:hAnsi="Times New Roman" w:cs="Times New Roman"/>
          <w:b/>
          <w:bCs/>
          <w:sz w:val="26"/>
          <w:szCs w:val="26"/>
        </w:rPr>
      </w:pPr>
    </w:p>
    <w:p w14:paraId="58910E53" w14:textId="77777777" w:rsidR="00332C33" w:rsidRPr="002451B6" w:rsidRDefault="00332C33">
      <w:pPr>
        <w:spacing w:line="360" w:lineRule="auto"/>
        <w:rPr>
          <w:rFonts w:ascii="Times New Roman" w:eastAsia="Times New Roman" w:hAnsi="Times New Roman" w:cs="Times New Roman"/>
          <w:b/>
          <w:bCs/>
          <w:sz w:val="26"/>
          <w:szCs w:val="26"/>
        </w:rPr>
      </w:pPr>
    </w:p>
    <w:p w14:paraId="02FF2997" w14:textId="77777777" w:rsidR="00332C33" w:rsidRDefault="00332C33">
      <w:pPr>
        <w:spacing w:line="360" w:lineRule="auto"/>
        <w:rPr>
          <w:rFonts w:ascii="Times New Roman" w:eastAsia="Times New Roman" w:hAnsi="Times New Roman" w:cs="Times New Roman"/>
          <w:b/>
          <w:bCs/>
          <w:sz w:val="26"/>
          <w:szCs w:val="26"/>
        </w:rPr>
      </w:pPr>
    </w:p>
    <w:p w14:paraId="3B994A56" w14:textId="77777777" w:rsidR="00FC738D" w:rsidRPr="002451B6" w:rsidRDefault="00FC738D">
      <w:pPr>
        <w:spacing w:line="360" w:lineRule="auto"/>
        <w:rPr>
          <w:rFonts w:ascii="Times New Roman" w:eastAsia="Times New Roman" w:hAnsi="Times New Roman" w:cs="Times New Roman"/>
          <w:b/>
          <w:bCs/>
          <w:sz w:val="26"/>
          <w:szCs w:val="26"/>
        </w:rPr>
      </w:pPr>
    </w:p>
    <w:p w14:paraId="11EB33B7" w14:textId="77777777" w:rsidR="00332C33" w:rsidRPr="002451B6" w:rsidRDefault="00332C33">
      <w:pPr>
        <w:spacing w:line="360" w:lineRule="auto"/>
        <w:rPr>
          <w:rFonts w:ascii="Times New Roman" w:eastAsia="Times New Roman" w:hAnsi="Times New Roman" w:cs="Times New Roman"/>
          <w:b/>
          <w:bCs/>
          <w:sz w:val="26"/>
          <w:szCs w:val="26"/>
        </w:rPr>
      </w:pPr>
    </w:p>
    <w:p w14:paraId="072BAD42" w14:textId="77777777" w:rsidR="00332C33" w:rsidRPr="002451B6" w:rsidRDefault="00332C33">
      <w:pPr>
        <w:spacing w:line="360" w:lineRule="auto"/>
        <w:rPr>
          <w:rFonts w:ascii="Times New Roman" w:eastAsia="Times New Roman" w:hAnsi="Times New Roman" w:cs="Times New Roman"/>
          <w:b/>
          <w:bCs/>
          <w:sz w:val="26"/>
          <w:szCs w:val="26"/>
        </w:rPr>
      </w:pPr>
    </w:p>
    <w:p w14:paraId="31A262D1" w14:textId="77777777" w:rsidR="00332C33" w:rsidRPr="002451B6" w:rsidRDefault="00332C33">
      <w:pPr>
        <w:spacing w:line="360" w:lineRule="auto"/>
        <w:rPr>
          <w:rFonts w:ascii="Times New Roman" w:eastAsia="Times New Roman" w:hAnsi="Times New Roman" w:cs="Times New Roman"/>
          <w:b/>
          <w:bCs/>
          <w:sz w:val="26"/>
          <w:szCs w:val="26"/>
        </w:rPr>
      </w:pPr>
    </w:p>
    <w:p w14:paraId="3DB5BB5A" w14:textId="77777777" w:rsidR="00332C33" w:rsidRPr="002451B6" w:rsidRDefault="00332C33">
      <w:pPr>
        <w:spacing w:line="360" w:lineRule="auto"/>
        <w:rPr>
          <w:rFonts w:ascii="Times New Roman" w:eastAsia="Times New Roman" w:hAnsi="Times New Roman" w:cs="Times New Roman"/>
          <w:b/>
          <w:bCs/>
          <w:sz w:val="26"/>
          <w:szCs w:val="26"/>
        </w:rPr>
      </w:pPr>
    </w:p>
    <w:p w14:paraId="7FE133D9" w14:textId="77777777" w:rsidR="00332C33" w:rsidRPr="002451B6" w:rsidRDefault="00332C33">
      <w:pPr>
        <w:spacing w:line="360" w:lineRule="auto"/>
        <w:rPr>
          <w:rFonts w:ascii="Times New Roman" w:eastAsia="Times New Roman" w:hAnsi="Times New Roman" w:cs="Times New Roman"/>
          <w:b/>
          <w:bCs/>
          <w:sz w:val="26"/>
          <w:szCs w:val="26"/>
        </w:rPr>
      </w:pPr>
    </w:p>
    <w:p w14:paraId="7D8F08F5" w14:textId="77777777" w:rsidR="00332C33" w:rsidRPr="002451B6" w:rsidRDefault="00332C33">
      <w:pPr>
        <w:spacing w:line="360" w:lineRule="auto"/>
        <w:rPr>
          <w:rFonts w:ascii="Times New Roman" w:eastAsia="Times New Roman" w:hAnsi="Times New Roman" w:cs="Times New Roman"/>
          <w:b/>
          <w:bCs/>
          <w:sz w:val="26"/>
          <w:szCs w:val="26"/>
        </w:rPr>
      </w:pPr>
    </w:p>
    <w:p w14:paraId="7357AC64" w14:textId="77777777" w:rsidR="00332C33" w:rsidRPr="002451B6" w:rsidRDefault="00332C33">
      <w:pPr>
        <w:spacing w:line="360" w:lineRule="auto"/>
        <w:rPr>
          <w:rFonts w:ascii="Times New Roman" w:eastAsia="Times New Roman" w:hAnsi="Times New Roman" w:cs="Times New Roman"/>
          <w:b/>
          <w:bCs/>
          <w:sz w:val="26"/>
          <w:szCs w:val="26"/>
        </w:rPr>
      </w:pPr>
    </w:p>
    <w:p w14:paraId="057D6F3E" w14:textId="77777777" w:rsidR="00332C33" w:rsidRPr="002451B6" w:rsidRDefault="00332C33">
      <w:pPr>
        <w:spacing w:line="360" w:lineRule="auto"/>
        <w:rPr>
          <w:rFonts w:ascii="Times New Roman" w:eastAsia="Times New Roman" w:hAnsi="Times New Roman" w:cs="Times New Roman"/>
          <w:b/>
          <w:bCs/>
          <w:sz w:val="26"/>
          <w:szCs w:val="26"/>
        </w:rPr>
      </w:pPr>
    </w:p>
    <w:p w14:paraId="64B85F51" w14:textId="77777777" w:rsidR="00BD24A7" w:rsidRDefault="00BD24A7">
      <w:pPr>
        <w:spacing w:line="360" w:lineRule="auto"/>
        <w:rPr>
          <w:rFonts w:ascii="Times New Roman" w:eastAsia="Times New Roman" w:hAnsi="Times New Roman" w:cs="Times New Roman"/>
          <w:b/>
          <w:bCs/>
          <w:sz w:val="26"/>
          <w:szCs w:val="26"/>
        </w:rPr>
      </w:pPr>
    </w:p>
    <w:p w14:paraId="3F39645F" w14:textId="77777777" w:rsidR="00BD24A7" w:rsidRDefault="00BD24A7">
      <w:pPr>
        <w:spacing w:line="360" w:lineRule="auto"/>
        <w:rPr>
          <w:rFonts w:ascii="Times New Roman" w:eastAsia="Times New Roman" w:hAnsi="Times New Roman" w:cs="Times New Roman"/>
          <w:b/>
          <w:bCs/>
          <w:sz w:val="26"/>
          <w:szCs w:val="26"/>
        </w:rPr>
      </w:pPr>
    </w:p>
    <w:p w14:paraId="187A8BF9" w14:textId="77777777" w:rsidR="00BD24A7" w:rsidRDefault="00BD24A7">
      <w:pPr>
        <w:spacing w:line="360" w:lineRule="auto"/>
        <w:rPr>
          <w:rFonts w:ascii="Times New Roman" w:eastAsia="Times New Roman" w:hAnsi="Times New Roman" w:cs="Times New Roman"/>
          <w:b/>
          <w:bCs/>
          <w:sz w:val="26"/>
          <w:szCs w:val="26"/>
        </w:rPr>
      </w:pPr>
    </w:p>
    <w:p w14:paraId="50924640" w14:textId="77777777" w:rsidR="00BD24A7" w:rsidRDefault="00BD24A7">
      <w:pPr>
        <w:spacing w:line="360" w:lineRule="auto"/>
        <w:rPr>
          <w:rFonts w:ascii="Times New Roman" w:eastAsia="Times New Roman" w:hAnsi="Times New Roman" w:cs="Times New Roman"/>
          <w:b/>
          <w:bCs/>
          <w:sz w:val="26"/>
          <w:szCs w:val="26"/>
        </w:rPr>
      </w:pPr>
    </w:p>
    <w:p w14:paraId="44756525" w14:textId="77777777" w:rsidR="00BD24A7" w:rsidRDefault="00BD24A7">
      <w:pPr>
        <w:spacing w:line="360" w:lineRule="auto"/>
        <w:rPr>
          <w:rFonts w:ascii="Times New Roman" w:eastAsia="Times New Roman" w:hAnsi="Times New Roman" w:cs="Times New Roman"/>
          <w:b/>
          <w:bCs/>
          <w:sz w:val="26"/>
          <w:szCs w:val="26"/>
        </w:rPr>
      </w:pPr>
    </w:p>
    <w:p w14:paraId="719BA42C" w14:textId="77777777" w:rsidR="00BD24A7" w:rsidRDefault="00BD24A7">
      <w:pPr>
        <w:spacing w:line="360" w:lineRule="auto"/>
        <w:rPr>
          <w:rFonts w:ascii="Times New Roman" w:eastAsia="Times New Roman" w:hAnsi="Times New Roman" w:cs="Times New Roman"/>
          <w:b/>
          <w:bCs/>
          <w:sz w:val="26"/>
          <w:szCs w:val="26"/>
        </w:rPr>
      </w:pPr>
    </w:p>
    <w:p w14:paraId="4EA2DADC" w14:textId="77777777" w:rsidR="00BD24A7" w:rsidRDefault="00BD24A7">
      <w:pPr>
        <w:spacing w:line="360" w:lineRule="auto"/>
        <w:rPr>
          <w:rFonts w:ascii="Times New Roman" w:eastAsia="Times New Roman" w:hAnsi="Times New Roman" w:cs="Times New Roman"/>
          <w:b/>
          <w:bCs/>
          <w:sz w:val="26"/>
          <w:szCs w:val="26"/>
        </w:rPr>
      </w:pPr>
    </w:p>
    <w:p w14:paraId="678FD6E8" w14:textId="77777777" w:rsidR="00BD24A7" w:rsidRDefault="00BD24A7">
      <w:pPr>
        <w:spacing w:line="360" w:lineRule="auto"/>
        <w:rPr>
          <w:rFonts w:ascii="Times New Roman" w:eastAsia="Times New Roman" w:hAnsi="Times New Roman" w:cs="Times New Roman"/>
          <w:b/>
          <w:bCs/>
          <w:sz w:val="26"/>
          <w:szCs w:val="26"/>
        </w:rPr>
      </w:pPr>
    </w:p>
    <w:p w14:paraId="02196530" w14:textId="77777777" w:rsidR="00433C2A" w:rsidRDefault="00433C2A">
      <w:pPr>
        <w:spacing w:line="360" w:lineRule="auto"/>
        <w:rPr>
          <w:rFonts w:ascii="Times New Roman" w:eastAsia="Times New Roman" w:hAnsi="Times New Roman" w:cs="Times New Roman"/>
          <w:b/>
          <w:bCs/>
          <w:sz w:val="26"/>
          <w:szCs w:val="26"/>
        </w:rPr>
      </w:pPr>
    </w:p>
    <w:p w14:paraId="26DF96E1" w14:textId="77777777" w:rsidR="00433C2A" w:rsidRDefault="00433C2A">
      <w:pPr>
        <w:spacing w:line="360" w:lineRule="auto"/>
        <w:rPr>
          <w:rFonts w:ascii="Times New Roman" w:eastAsia="Times New Roman" w:hAnsi="Times New Roman" w:cs="Times New Roman"/>
          <w:b/>
          <w:bCs/>
          <w:sz w:val="26"/>
          <w:szCs w:val="26"/>
        </w:rPr>
      </w:pPr>
    </w:p>
    <w:p w14:paraId="6599758A" w14:textId="77777777" w:rsidR="00433C2A" w:rsidRDefault="00433C2A">
      <w:pPr>
        <w:spacing w:line="360" w:lineRule="auto"/>
        <w:rPr>
          <w:rFonts w:ascii="Times New Roman" w:eastAsia="Times New Roman" w:hAnsi="Times New Roman" w:cs="Times New Roman"/>
          <w:b/>
          <w:bCs/>
          <w:sz w:val="26"/>
          <w:szCs w:val="26"/>
        </w:rPr>
      </w:pPr>
    </w:p>
    <w:p w14:paraId="4F89A4A0" w14:textId="77777777" w:rsidR="00433C2A" w:rsidRDefault="00433C2A">
      <w:pPr>
        <w:spacing w:line="360" w:lineRule="auto"/>
        <w:rPr>
          <w:rFonts w:ascii="Times New Roman" w:eastAsia="Times New Roman" w:hAnsi="Times New Roman" w:cs="Times New Roman"/>
          <w:b/>
          <w:bCs/>
          <w:sz w:val="26"/>
          <w:szCs w:val="26"/>
        </w:rPr>
      </w:pPr>
    </w:p>
    <w:p w14:paraId="5B18CB44" w14:textId="77777777" w:rsidR="00433C2A" w:rsidRDefault="00433C2A">
      <w:pPr>
        <w:spacing w:line="360" w:lineRule="auto"/>
        <w:rPr>
          <w:rFonts w:ascii="Times New Roman" w:eastAsia="Times New Roman" w:hAnsi="Times New Roman" w:cs="Times New Roman"/>
          <w:b/>
          <w:bCs/>
          <w:sz w:val="26"/>
          <w:szCs w:val="26"/>
        </w:rPr>
      </w:pPr>
    </w:p>
    <w:p w14:paraId="38C75709" w14:textId="77777777" w:rsidR="00BD24A7" w:rsidRDefault="00BD24A7">
      <w:pPr>
        <w:spacing w:line="360" w:lineRule="auto"/>
        <w:rPr>
          <w:rFonts w:ascii="Times New Roman" w:eastAsia="Times New Roman" w:hAnsi="Times New Roman" w:cs="Times New Roman"/>
          <w:b/>
          <w:bCs/>
          <w:sz w:val="26"/>
          <w:szCs w:val="26"/>
        </w:rPr>
      </w:pPr>
    </w:p>
    <w:p w14:paraId="342512DC" w14:textId="77777777" w:rsidR="00BD24A7" w:rsidRDefault="00BD24A7">
      <w:pPr>
        <w:spacing w:line="360" w:lineRule="auto"/>
        <w:rPr>
          <w:rFonts w:ascii="Times New Roman" w:eastAsia="Times New Roman" w:hAnsi="Times New Roman" w:cs="Times New Roman"/>
          <w:b/>
          <w:bCs/>
          <w:sz w:val="26"/>
          <w:szCs w:val="26"/>
        </w:rPr>
      </w:pPr>
    </w:p>
    <w:p w14:paraId="38215B31" w14:textId="5262D227" w:rsidR="00332C33" w:rsidRPr="002451B6" w:rsidRDefault="00000000">
      <w:pPr>
        <w:spacing w:line="360" w:lineRule="auto"/>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lastRenderedPageBreak/>
        <w:t>Listas de ilustrações</w:t>
      </w:r>
    </w:p>
    <w:p w14:paraId="72B42D15" w14:textId="77777777" w:rsidR="00332C33" w:rsidRPr="002451B6" w:rsidRDefault="00332C33">
      <w:pPr>
        <w:spacing w:line="360" w:lineRule="auto"/>
        <w:rPr>
          <w:rFonts w:ascii="Times New Roman" w:eastAsia="Times New Roman" w:hAnsi="Times New Roman" w:cs="Times New Roman"/>
          <w:sz w:val="26"/>
          <w:szCs w:val="26"/>
        </w:rPr>
      </w:pPr>
    </w:p>
    <w:p w14:paraId="05326702" w14:textId="130484FA"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1 – Frontispício do Martelo das Bruxas</w:t>
      </w:r>
      <w:r w:rsidR="00627259">
        <w:rPr>
          <w:rFonts w:ascii="Times New Roman" w:eastAsia="Times New Roman" w:hAnsi="Times New Roman" w:cs="Times New Roman"/>
          <w:sz w:val="24"/>
          <w:szCs w:val="24"/>
        </w:rPr>
        <w:t xml:space="preserve"> .................................................................... 1</w:t>
      </w:r>
      <w:r w:rsidR="00433C2A">
        <w:rPr>
          <w:rFonts w:ascii="Times New Roman" w:eastAsia="Times New Roman" w:hAnsi="Times New Roman" w:cs="Times New Roman"/>
          <w:sz w:val="24"/>
          <w:szCs w:val="24"/>
        </w:rPr>
        <w:t>54</w:t>
      </w:r>
    </w:p>
    <w:p w14:paraId="79A66C40" w14:textId="77BF6CA6"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2 – Panfleto de Londres 1643</w:t>
      </w:r>
      <w:r w:rsidR="00627259">
        <w:rPr>
          <w:rFonts w:ascii="Times New Roman" w:eastAsia="Times New Roman" w:hAnsi="Times New Roman" w:cs="Times New Roman"/>
          <w:sz w:val="24"/>
          <w:szCs w:val="24"/>
        </w:rPr>
        <w:t>..................................................................................... 1</w:t>
      </w:r>
      <w:r w:rsidR="00433C2A">
        <w:rPr>
          <w:rFonts w:ascii="Times New Roman" w:eastAsia="Times New Roman" w:hAnsi="Times New Roman" w:cs="Times New Roman"/>
          <w:sz w:val="24"/>
          <w:szCs w:val="24"/>
        </w:rPr>
        <w:t>54</w:t>
      </w:r>
    </w:p>
    <w:p w14:paraId="0093B9C2" w14:textId="697E103E"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3 – Bruxas Examinadas e Executadas</w:t>
      </w:r>
      <w:r w:rsidR="00627259">
        <w:rPr>
          <w:rFonts w:ascii="Times New Roman" w:eastAsia="Times New Roman" w:hAnsi="Times New Roman" w:cs="Times New Roman"/>
          <w:sz w:val="24"/>
          <w:szCs w:val="24"/>
        </w:rPr>
        <w:t>.........................................................................1</w:t>
      </w:r>
      <w:r w:rsidR="00433C2A">
        <w:rPr>
          <w:rFonts w:ascii="Times New Roman" w:eastAsia="Times New Roman" w:hAnsi="Times New Roman" w:cs="Times New Roman"/>
          <w:sz w:val="24"/>
          <w:szCs w:val="24"/>
        </w:rPr>
        <w:t>55</w:t>
      </w:r>
    </w:p>
    <w:p w14:paraId="3E49E72C" w14:textId="752CA70B"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4 – Panfleto sobre o Julgamento de bruxas em Trier, Alemanha</w:t>
      </w:r>
      <w:r w:rsidR="00627259">
        <w:rPr>
          <w:rFonts w:ascii="Times New Roman" w:eastAsia="Times New Roman" w:hAnsi="Times New Roman" w:cs="Times New Roman"/>
          <w:sz w:val="24"/>
          <w:szCs w:val="24"/>
        </w:rPr>
        <w:t>................................1</w:t>
      </w:r>
      <w:r w:rsidR="00433C2A">
        <w:rPr>
          <w:rFonts w:ascii="Times New Roman" w:eastAsia="Times New Roman" w:hAnsi="Times New Roman" w:cs="Times New Roman"/>
          <w:sz w:val="24"/>
          <w:szCs w:val="24"/>
        </w:rPr>
        <w:t>55</w:t>
      </w:r>
    </w:p>
    <w:p w14:paraId="34365675" w14:textId="343DAA56"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5 – Cena do livro a Bruxinha Zuzu e gato Miú</w:t>
      </w:r>
      <w:r w:rsidR="00627259">
        <w:rPr>
          <w:rFonts w:ascii="Times New Roman" w:eastAsia="Times New Roman" w:hAnsi="Times New Roman" w:cs="Times New Roman"/>
          <w:sz w:val="24"/>
          <w:szCs w:val="24"/>
        </w:rPr>
        <w:t>...........................................................1</w:t>
      </w:r>
      <w:r w:rsidR="00433C2A">
        <w:rPr>
          <w:rFonts w:ascii="Times New Roman" w:eastAsia="Times New Roman" w:hAnsi="Times New Roman" w:cs="Times New Roman"/>
          <w:sz w:val="24"/>
          <w:szCs w:val="24"/>
        </w:rPr>
        <w:t>56</w:t>
      </w:r>
    </w:p>
    <w:p w14:paraId="239F92C8" w14:textId="49E40645"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6 – Um dos pôsteres de lançamento do filme Malévola: Dona do mal (</w:t>
      </w:r>
      <w:proofErr w:type="gramStart"/>
      <w:r w:rsidRPr="002451B6">
        <w:rPr>
          <w:rFonts w:ascii="Times New Roman" w:eastAsia="Times New Roman" w:hAnsi="Times New Roman" w:cs="Times New Roman"/>
          <w:sz w:val="24"/>
          <w:szCs w:val="24"/>
        </w:rPr>
        <w:t>2014)</w:t>
      </w:r>
      <w:r w:rsidR="00627259">
        <w:rPr>
          <w:rFonts w:ascii="Times New Roman" w:eastAsia="Times New Roman" w:hAnsi="Times New Roman" w:cs="Times New Roman"/>
          <w:sz w:val="24"/>
          <w:szCs w:val="24"/>
        </w:rPr>
        <w:t>...........</w:t>
      </w:r>
      <w:proofErr w:type="gramEnd"/>
      <w:r w:rsidR="00627259">
        <w:rPr>
          <w:rFonts w:ascii="Times New Roman" w:eastAsia="Times New Roman" w:hAnsi="Times New Roman" w:cs="Times New Roman"/>
          <w:sz w:val="24"/>
          <w:szCs w:val="24"/>
        </w:rPr>
        <w:t>1</w:t>
      </w:r>
      <w:r w:rsidR="00433C2A">
        <w:rPr>
          <w:rFonts w:ascii="Times New Roman" w:eastAsia="Times New Roman" w:hAnsi="Times New Roman" w:cs="Times New Roman"/>
          <w:sz w:val="24"/>
          <w:szCs w:val="24"/>
        </w:rPr>
        <w:t>58</w:t>
      </w:r>
    </w:p>
    <w:p w14:paraId="3BCED90D" w14:textId="184EFEFD" w:rsidR="00332C33" w:rsidRPr="002451B6"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Figura 7 – Um dos pôsteres de lançamento de </w:t>
      </w:r>
      <w:proofErr w:type="spellStart"/>
      <w:r w:rsidRPr="002451B6">
        <w:rPr>
          <w:rFonts w:ascii="Times New Roman" w:eastAsia="Times New Roman" w:hAnsi="Times New Roman" w:cs="Times New Roman"/>
          <w:i/>
          <w:iCs/>
          <w:sz w:val="24"/>
          <w:szCs w:val="24"/>
        </w:rPr>
        <w:t>Wicked</w:t>
      </w:r>
      <w:proofErr w:type="spell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2024)</w:t>
      </w:r>
      <w:r w:rsidR="00627259">
        <w:rPr>
          <w:rFonts w:ascii="Times New Roman" w:eastAsia="Times New Roman" w:hAnsi="Times New Roman" w:cs="Times New Roman"/>
          <w:sz w:val="24"/>
          <w:szCs w:val="24"/>
        </w:rPr>
        <w:t>..............................................</w:t>
      </w:r>
      <w:proofErr w:type="gramEnd"/>
      <w:r w:rsidR="00627259">
        <w:rPr>
          <w:rFonts w:ascii="Times New Roman" w:eastAsia="Times New Roman" w:hAnsi="Times New Roman" w:cs="Times New Roman"/>
          <w:sz w:val="24"/>
          <w:szCs w:val="24"/>
        </w:rPr>
        <w:t>1</w:t>
      </w:r>
      <w:r w:rsidR="00433C2A">
        <w:rPr>
          <w:rFonts w:ascii="Times New Roman" w:eastAsia="Times New Roman" w:hAnsi="Times New Roman" w:cs="Times New Roman"/>
          <w:sz w:val="24"/>
          <w:szCs w:val="24"/>
        </w:rPr>
        <w:t>58</w:t>
      </w:r>
    </w:p>
    <w:p w14:paraId="09698BC3" w14:textId="66CF9D21" w:rsidR="00332C33" w:rsidRPr="00627259"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Figura 8 – Imagem de </w:t>
      </w:r>
      <w:proofErr w:type="spellStart"/>
      <w:r w:rsidRPr="002451B6">
        <w:rPr>
          <w:rFonts w:ascii="Times New Roman" w:eastAsia="Times New Roman" w:hAnsi="Times New Roman" w:cs="Times New Roman"/>
          <w:sz w:val="24"/>
          <w:szCs w:val="24"/>
        </w:rPr>
        <w:t>Elphaba</w:t>
      </w:r>
      <w:proofErr w:type="spellEnd"/>
      <w:r w:rsidRPr="002451B6">
        <w:rPr>
          <w:rFonts w:ascii="Times New Roman" w:eastAsia="Times New Roman" w:hAnsi="Times New Roman" w:cs="Times New Roman"/>
          <w:sz w:val="24"/>
          <w:szCs w:val="24"/>
        </w:rPr>
        <w:t xml:space="preserve"> e </w:t>
      </w:r>
      <w:proofErr w:type="spellStart"/>
      <w:r w:rsidRPr="002451B6">
        <w:rPr>
          <w:rFonts w:ascii="Times New Roman" w:eastAsia="Times New Roman" w:hAnsi="Times New Roman" w:cs="Times New Roman"/>
          <w:sz w:val="24"/>
          <w:szCs w:val="24"/>
        </w:rPr>
        <w:t>Glinda</w:t>
      </w:r>
      <w:proofErr w:type="spellEnd"/>
      <w:r w:rsidRPr="002451B6">
        <w:rPr>
          <w:rFonts w:ascii="Times New Roman" w:eastAsia="Times New Roman" w:hAnsi="Times New Roman" w:cs="Times New Roman"/>
          <w:sz w:val="24"/>
          <w:szCs w:val="24"/>
        </w:rPr>
        <w:t xml:space="preserve"> enquanto amigas em </w:t>
      </w:r>
      <w:proofErr w:type="spellStart"/>
      <w:r w:rsidRPr="002451B6">
        <w:rPr>
          <w:rFonts w:ascii="Times New Roman" w:eastAsia="Times New Roman" w:hAnsi="Times New Roman" w:cs="Times New Roman"/>
          <w:i/>
          <w:iCs/>
          <w:sz w:val="24"/>
          <w:szCs w:val="24"/>
        </w:rPr>
        <w:t>Wicked</w:t>
      </w:r>
      <w:proofErr w:type="spellEnd"/>
      <w:r w:rsidR="00627259">
        <w:rPr>
          <w:rFonts w:ascii="Times New Roman" w:eastAsia="Times New Roman" w:hAnsi="Times New Roman" w:cs="Times New Roman"/>
          <w:i/>
          <w:iCs/>
          <w:sz w:val="24"/>
          <w:szCs w:val="24"/>
        </w:rPr>
        <w:t>.................................</w:t>
      </w:r>
      <w:r w:rsidR="00627259" w:rsidRPr="00627259">
        <w:rPr>
          <w:rFonts w:ascii="Times New Roman" w:eastAsia="Times New Roman" w:hAnsi="Times New Roman" w:cs="Times New Roman"/>
          <w:sz w:val="24"/>
          <w:szCs w:val="24"/>
        </w:rPr>
        <w:t>1</w:t>
      </w:r>
      <w:r w:rsidR="00433C2A">
        <w:rPr>
          <w:rFonts w:ascii="Times New Roman" w:eastAsia="Times New Roman" w:hAnsi="Times New Roman" w:cs="Times New Roman"/>
          <w:sz w:val="24"/>
          <w:szCs w:val="24"/>
        </w:rPr>
        <w:t>59</w:t>
      </w:r>
    </w:p>
    <w:p w14:paraId="3123689F" w14:textId="36392E69" w:rsidR="00332C33" w:rsidRPr="00627259" w:rsidRDefault="00000000">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Figura 9 – Um dos pôsteres do filme </w:t>
      </w:r>
      <w:r w:rsidRPr="002451B6">
        <w:rPr>
          <w:rFonts w:ascii="Times New Roman" w:eastAsia="Times New Roman" w:hAnsi="Times New Roman" w:cs="Times New Roman"/>
          <w:i/>
          <w:iCs/>
          <w:sz w:val="24"/>
          <w:szCs w:val="24"/>
        </w:rPr>
        <w:t>Wicked</w:t>
      </w:r>
      <w:r w:rsidR="00627259">
        <w:rPr>
          <w:rFonts w:ascii="Times New Roman" w:eastAsia="Times New Roman" w:hAnsi="Times New Roman" w:cs="Times New Roman"/>
          <w:i/>
          <w:iCs/>
          <w:sz w:val="24"/>
          <w:szCs w:val="24"/>
        </w:rPr>
        <w:t>........................................................................</w:t>
      </w:r>
      <w:r w:rsidR="00627259" w:rsidRPr="00627259">
        <w:rPr>
          <w:rFonts w:ascii="Times New Roman" w:eastAsia="Times New Roman" w:hAnsi="Times New Roman" w:cs="Times New Roman"/>
          <w:sz w:val="24"/>
          <w:szCs w:val="24"/>
        </w:rPr>
        <w:t>1</w:t>
      </w:r>
      <w:r w:rsidR="00433C2A">
        <w:rPr>
          <w:rFonts w:ascii="Times New Roman" w:eastAsia="Times New Roman" w:hAnsi="Times New Roman" w:cs="Times New Roman"/>
          <w:sz w:val="24"/>
          <w:szCs w:val="24"/>
        </w:rPr>
        <w:t>59</w:t>
      </w:r>
    </w:p>
    <w:p w14:paraId="1ECDCA1B" w14:textId="7E58A4F9" w:rsidR="007869DD" w:rsidRPr="00EA36E8" w:rsidRDefault="00000000" w:rsidP="00EA36E8">
      <w:pPr>
        <w:spacing w:before="240"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Figura 10 – Imagem feita por IA</w:t>
      </w:r>
      <w:r w:rsidR="00627259">
        <w:rPr>
          <w:rFonts w:ascii="Times New Roman" w:eastAsia="Times New Roman" w:hAnsi="Times New Roman" w:cs="Times New Roman"/>
          <w:sz w:val="24"/>
          <w:szCs w:val="24"/>
        </w:rPr>
        <w:t>............................................................................................1</w:t>
      </w:r>
      <w:r w:rsidR="00433C2A">
        <w:rPr>
          <w:rFonts w:ascii="Times New Roman" w:eastAsia="Times New Roman" w:hAnsi="Times New Roman" w:cs="Times New Roman"/>
          <w:sz w:val="24"/>
          <w:szCs w:val="24"/>
        </w:rPr>
        <w:t>60</w:t>
      </w:r>
    </w:p>
    <w:p w14:paraId="7CCFEDA8" w14:textId="1967974C" w:rsidR="00530089" w:rsidRPr="002451B6" w:rsidRDefault="00530089">
      <w:pPr>
        <w:spacing w:line="360" w:lineRule="auto"/>
        <w:rPr>
          <w:rFonts w:ascii="Times New Roman" w:eastAsia="Times New Roman" w:hAnsi="Times New Roman" w:cs="Times New Roman"/>
          <w:b/>
          <w:bCs/>
          <w:sz w:val="26"/>
          <w:szCs w:val="26"/>
        </w:rPr>
      </w:pPr>
    </w:p>
    <w:p w14:paraId="5F6F6124" w14:textId="77777777" w:rsidR="00EA36E8" w:rsidRDefault="00530089" w:rsidP="007869DD">
      <w:pPr>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t>Lista de tabelas</w:t>
      </w:r>
    </w:p>
    <w:p w14:paraId="3178D0FD" w14:textId="77777777" w:rsidR="00EA36E8" w:rsidRDefault="00EA36E8" w:rsidP="007869DD">
      <w:pPr>
        <w:rPr>
          <w:rFonts w:ascii="Times New Roman" w:eastAsia="Times New Roman" w:hAnsi="Times New Roman" w:cs="Times New Roman"/>
          <w:b/>
          <w:bCs/>
          <w:sz w:val="26"/>
          <w:szCs w:val="26"/>
        </w:rPr>
      </w:pPr>
    </w:p>
    <w:p w14:paraId="02F6425F" w14:textId="4D1D66A0" w:rsidR="00EA36E8" w:rsidRPr="00EA36E8" w:rsidRDefault="00EA36E8" w:rsidP="00EA36E8">
      <w:pPr>
        <w:spacing w:before="240" w:after="240"/>
        <w:jc w:val="both"/>
        <w:rPr>
          <w:rFonts w:ascii="Times New Roman" w:eastAsia="Times New Roman" w:hAnsi="Times New Roman"/>
        </w:rPr>
      </w:pPr>
      <w:r>
        <w:rPr>
          <w:rFonts w:ascii="Times New Roman" w:eastAsia="Times New Roman" w:hAnsi="Times New Roman"/>
        </w:rPr>
        <w:t xml:space="preserve">Tabela 1- </w:t>
      </w:r>
      <w:r w:rsidRPr="00EA36E8">
        <w:rPr>
          <w:rFonts w:ascii="Times New Roman" w:eastAsia="Times New Roman" w:hAnsi="Times New Roman"/>
        </w:rPr>
        <w:t>Informações gerais sobre os filmes analisados</w:t>
      </w:r>
      <w:r>
        <w:rPr>
          <w:rFonts w:ascii="Times New Roman" w:eastAsia="Times New Roman" w:hAnsi="Times New Roman"/>
        </w:rPr>
        <w:t>......................................................................1</w:t>
      </w:r>
      <w:r w:rsidR="00A42474">
        <w:rPr>
          <w:rFonts w:ascii="Times New Roman" w:eastAsia="Times New Roman" w:hAnsi="Times New Roman"/>
        </w:rPr>
        <w:t>36</w:t>
      </w:r>
    </w:p>
    <w:p w14:paraId="3C5CDC6D" w14:textId="17FC470D" w:rsidR="00EA36E8" w:rsidRPr="00EA36E8" w:rsidRDefault="00EA36E8" w:rsidP="00EA36E8">
      <w:pPr>
        <w:spacing w:before="240" w:after="240" w:line="360" w:lineRule="auto"/>
        <w:jc w:val="both"/>
        <w:rPr>
          <w:rFonts w:ascii="Times New Roman" w:eastAsia="Times New Roman" w:hAnsi="Times New Roman"/>
          <w:b/>
          <w:bCs/>
          <w:sz w:val="16"/>
          <w:szCs w:val="16"/>
        </w:rPr>
      </w:pPr>
      <w:r w:rsidRPr="00EA36E8">
        <w:rPr>
          <w:rFonts w:ascii="Times New Roman" w:eastAsia="Times New Roman" w:hAnsi="Times New Roman"/>
        </w:rPr>
        <w:t>Tabela 2 -Culpabilização feminina para os episódios de violência contra a mulher</w:t>
      </w:r>
      <w:r>
        <w:rPr>
          <w:rFonts w:ascii="Times New Roman" w:eastAsia="Times New Roman" w:hAnsi="Times New Roman"/>
        </w:rPr>
        <w:t>.............................1</w:t>
      </w:r>
      <w:r w:rsidR="00A42474">
        <w:rPr>
          <w:rFonts w:ascii="Times New Roman" w:eastAsia="Times New Roman" w:hAnsi="Times New Roman"/>
        </w:rPr>
        <w:t>40</w:t>
      </w:r>
    </w:p>
    <w:p w14:paraId="7935A0D2" w14:textId="4EEE928B" w:rsidR="00530089" w:rsidRPr="002451B6" w:rsidRDefault="00530089" w:rsidP="007869DD">
      <w:pPr>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br w:type="page"/>
      </w:r>
    </w:p>
    <w:p w14:paraId="6D739537" w14:textId="77777777" w:rsidR="00530089" w:rsidRPr="002451B6" w:rsidRDefault="00530089" w:rsidP="00530089">
      <w:pPr>
        <w:spacing w:line="360" w:lineRule="auto"/>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lastRenderedPageBreak/>
        <w:t>Lista de siglas</w:t>
      </w:r>
    </w:p>
    <w:p w14:paraId="06304051" w14:textId="77777777" w:rsidR="00530089" w:rsidRPr="002451B6" w:rsidRDefault="00530089" w:rsidP="00530089">
      <w:pPr>
        <w:spacing w:line="360" w:lineRule="auto"/>
        <w:rPr>
          <w:rFonts w:ascii="Times New Roman" w:eastAsia="Times New Roman" w:hAnsi="Times New Roman" w:cs="Times New Roman"/>
          <w:b/>
          <w:bCs/>
          <w:sz w:val="26"/>
          <w:szCs w:val="26"/>
        </w:rPr>
      </w:pPr>
    </w:p>
    <w:p w14:paraId="0420151B" w14:textId="77777777" w:rsidR="00530089" w:rsidRPr="002451B6" w:rsidRDefault="00530089" w:rsidP="00530089">
      <w:pPr>
        <w:spacing w:line="360" w:lineRule="auto"/>
        <w:rPr>
          <w:rFonts w:ascii="Times New Roman" w:eastAsia="Times New Roman" w:hAnsi="Times New Roman" w:cs="Times New Roman"/>
          <w:sz w:val="26"/>
          <w:szCs w:val="26"/>
        </w:rPr>
      </w:pPr>
      <w:r w:rsidRPr="002451B6">
        <w:rPr>
          <w:rFonts w:ascii="Times New Roman" w:eastAsia="Times New Roman" w:hAnsi="Times New Roman" w:cs="Times New Roman"/>
          <w:b/>
          <w:bCs/>
          <w:sz w:val="26"/>
          <w:szCs w:val="26"/>
        </w:rPr>
        <w:t xml:space="preserve"> </w:t>
      </w:r>
      <w:r w:rsidRPr="002451B6">
        <w:rPr>
          <w:rFonts w:ascii="Times New Roman" w:eastAsia="Times New Roman" w:hAnsi="Times New Roman" w:cs="Times New Roman"/>
          <w:sz w:val="26"/>
          <w:szCs w:val="26"/>
        </w:rPr>
        <w:t>ALN        Ação Libertadora Nacional</w:t>
      </w:r>
    </w:p>
    <w:p w14:paraId="5DD670B1"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b/>
          <w:bCs/>
          <w:sz w:val="26"/>
          <w:szCs w:val="26"/>
        </w:rPr>
        <w:t xml:space="preserve"> </w:t>
      </w:r>
      <w:r w:rsidRPr="002451B6">
        <w:rPr>
          <w:rFonts w:ascii="Times New Roman" w:eastAsia="Times New Roman" w:hAnsi="Times New Roman" w:cs="Times New Roman"/>
          <w:sz w:val="24"/>
          <w:szCs w:val="24"/>
        </w:rPr>
        <w:t xml:space="preserve">APAN      Associação de Profissionais do Audiovisual Negro </w:t>
      </w:r>
    </w:p>
    <w:p w14:paraId="06AE25DF"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CCSP        Centro Cultural São Paulo </w:t>
      </w:r>
    </w:p>
    <w:p w14:paraId="61EFA13E"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DEOPS     Departamento de Ordem Política e Social</w:t>
      </w:r>
    </w:p>
    <w:p w14:paraId="4109C16F"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DOI-</w:t>
      </w:r>
      <w:proofErr w:type="gramStart"/>
      <w:r w:rsidRPr="002451B6">
        <w:rPr>
          <w:rFonts w:ascii="Times New Roman" w:eastAsia="Times New Roman" w:hAnsi="Times New Roman" w:cs="Times New Roman"/>
          <w:sz w:val="24"/>
          <w:szCs w:val="24"/>
        </w:rPr>
        <w:t>CODI  Destacamento</w:t>
      </w:r>
      <w:proofErr w:type="gramEnd"/>
      <w:r w:rsidRPr="002451B6">
        <w:rPr>
          <w:rFonts w:ascii="Times New Roman" w:eastAsia="Times New Roman" w:hAnsi="Times New Roman" w:cs="Times New Roman"/>
          <w:sz w:val="24"/>
          <w:szCs w:val="24"/>
        </w:rPr>
        <w:t xml:space="preserve"> de Operações de Informação – Centro de Operações de Defesa Interna</w:t>
      </w:r>
    </w:p>
    <w:p w14:paraId="2E4E871B" w14:textId="77777777" w:rsidR="00530089" w:rsidRPr="002451B6" w:rsidRDefault="00530089" w:rsidP="00530089">
      <w:pPr>
        <w:spacing w:line="360" w:lineRule="auto"/>
        <w:rPr>
          <w:rFonts w:ascii="Times New Roman" w:eastAsia="Times New Roman" w:hAnsi="Times New Roman" w:cs="Times New Roman"/>
          <w:sz w:val="24"/>
          <w:szCs w:val="24"/>
        </w:rPr>
      </w:pPr>
      <w:proofErr w:type="spellStart"/>
      <w:r w:rsidRPr="002451B6">
        <w:rPr>
          <w:rFonts w:ascii="Times New Roman" w:eastAsia="Times New Roman" w:hAnsi="Times New Roman" w:cs="Times New Roman"/>
          <w:sz w:val="24"/>
          <w:szCs w:val="24"/>
        </w:rPr>
        <w:t>EBDs</w:t>
      </w:r>
      <w:proofErr w:type="spellEnd"/>
      <w:r w:rsidRPr="002451B6">
        <w:rPr>
          <w:rFonts w:ascii="Times New Roman" w:eastAsia="Times New Roman" w:hAnsi="Times New Roman" w:cs="Times New Roman"/>
          <w:sz w:val="24"/>
          <w:szCs w:val="24"/>
        </w:rPr>
        <w:t xml:space="preserve">      Escolas Bíblicas Dominicais</w:t>
      </w:r>
    </w:p>
    <w:p w14:paraId="15A1F11A"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LKT        Lincoln Péricles  </w:t>
      </w:r>
    </w:p>
    <w:p w14:paraId="00AB2134"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MDB       Movimento Democrático Brasileiro </w:t>
      </w:r>
    </w:p>
    <w:p w14:paraId="4025888E"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MNU       Movimento Negro Unificado </w:t>
      </w:r>
    </w:p>
    <w:p w14:paraId="7AF4800F" w14:textId="77777777" w:rsidR="00530089" w:rsidRPr="002451B6" w:rsidRDefault="00530089" w:rsidP="00530089">
      <w:pPr>
        <w:spacing w:line="360" w:lineRule="auto"/>
        <w:rPr>
          <w:rFonts w:ascii="Times New Roman" w:eastAsia="Times New Roman" w:hAnsi="Times New Roman" w:cs="Times New Roman"/>
          <w:sz w:val="24"/>
          <w:szCs w:val="24"/>
        </w:rPr>
      </w:pPr>
      <w:proofErr w:type="gramStart"/>
      <w:r w:rsidRPr="002451B6">
        <w:rPr>
          <w:rFonts w:ascii="Times New Roman" w:eastAsia="Times New Roman" w:hAnsi="Times New Roman" w:cs="Times New Roman"/>
          <w:sz w:val="24"/>
          <w:szCs w:val="24"/>
        </w:rPr>
        <w:t>MUCCA  Mudança</w:t>
      </w:r>
      <w:proofErr w:type="gramEnd"/>
      <w:r w:rsidRPr="002451B6">
        <w:rPr>
          <w:rFonts w:ascii="Times New Roman" w:eastAsia="Times New Roman" w:hAnsi="Times New Roman" w:cs="Times New Roman"/>
          <w:sz w:val="24"/>
          <w:szCs w:val="24"/>
        </w:rPr>
        <w:t xml:space="preserve"> com Conhecimento e Arte  </w:t>
      </w:r>
    </w:p>
    <w:p w14:paraId="10E1A7E7"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OBAN     Operação Bandeirantes </w:t>
      </w:r>
    </w:p>
    <w:p w14:paraId="3BF3047D"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PR           Paraná </w:t>
      </w:r>
    </w:p>
    <w:p w14:paraId="74FFF265"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PCB        Partido Comunista Brasileiro </w:t>
      </w:r>
    </w:p>
    <w:p w14:paraId="1A02F55E"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PCdoB    Partido Comunista do Brasil </w:t>
      </w:r>
    </w:p>
    <w:p w14:paraId="7E8BE78B"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PT           Partido dos Trabalhadores </w:t>
      </w:r>
    </w:p>
    <w:p w14:paraId="583EBBE0"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PSOL      Partido Socialismo e Liberdade </w:t>
      </w:r>
    </w:p>
    <w:p w14:paraId="79BA6E4B" w14:textId="77777777" w:rsidR="00530089" w:rsidRPr="002451B6" w:rsidRDefault="00530089" w:rsidP="00530089">
      <w:pPr>
        <w:spacing w:line="360" w:lineRule="auto"/>
        <w:rPr>
          <w:rFonts w:ascii="Times New Roman" w:eastAsia="Times New Roman" w:hAnsi="Times New Roman" w:cs="Times New Roman"/>
          <w:sz w:val="24"/>
          <w:szCs w:val="24"/>
        </w:rPr>
      </w:pPr>
      <w:proofErr w:type="spellStart"/>
      <w:r w:rsidRPr="002451B6">
        <w:rPr>
          <w:rFonts w:ascii="Times New Roman" w:eastAsia="Times New Roman" w:hAnsi="Times New Roman" w:cs="Times New Roman"/>
          <w:sz w:val="24"/>
          <w:szCs w:val="24"/>
        </w:rPr>
        <w:t>PLs</w:t>
      </w:r>
      <w:proofErr w:type="spellEnd"/>
      <w:r w:rsidRPr="002451B6">
        <w:rPr>
          <w:rFonts w:ascii="Times New Roman" w:eastAsia="Times New Roman" w:hAnsi="Times New Roman" w:cs="Times New Roman"/>
          <w:sz w:val="24"/>
          <w:szCs w:val="24"/>
        </w:rPr>
        <w:t xml:space="preserve">         Projetos de Lei </w:t>
      </w:r>
    </w:p>
    <w:p w14:paraId="00261EFF"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STF        Supremo Tribunal Federal   </w:t>
      </w:r>
    </w:p>
    <w:p w14:paraId="517FD7E7"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TBC       Teatro Brasileiro de Comédia </w:t>
      </w:r>
    </w:p>
    <w:p w14:paraId="308AACC3"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UDESC   Universidade do Estado de Santa Catarina </w:t>
      </w:r>
    </w:p>
    <w:p w14:paraId="53126FA8"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UEMG    Universidade do Estado de Minas Gerais </w:t>
      </w:r>
    </w:p>
    <w:p w14:paraId="0552706D" w14:textId="77777777" w:rsidR="00530089" w:rsidRPr="002451B6" w:rsidRDefault="00530089" w:rsidP="00530089">
      <w:pPr>
        <w:spacing w:line="360" w:lineRule="auto"/>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UFGD     Universidade Federal da Grande Dourados </w:t>
      </w:r>
    </w:p>
    <w:p w14:paraId="46AFCAC2" w14:textId="77777777" w:rsidR="00530089" w:rsidRPr="002451B6" w:rsidRDefault="00530089" w:rsidP="00530089">
      <w:pPr>
        <w:spacing w:line="360" w:lineRule="auto"/>
        <w:rPr>
          <w:rFonts w:ascii="Times New Roman" w:eastAsia="Times New Roman" w:hAnsi="Times New Roman" w:cs="Times New Roman"/>
          <w:sz w:val="24"/>
          <w:szCs w:val="24"/>
        </w:rPr>
      </w:pPr>
    </w:p>
    <w:p w14:paraId="171F2438" w14:textId="77777777" w:rsidR="00332C33" w:rsidRPr="002451B6" w:rsidRDefault="00332C33">
      <w:pPr>
        <w:spacing w:line="360" w:lineRule="auto"/>
        <w:rPr>
          <w:rFonts w:ascii="Times New Roman" w:eastAsia="Times New Roman" w:hAnsi="Times New Roman" w:cs="Times New Roman"/>
          <w:sz w:val="24"/>
          <w:szCs w:val="24"/>
        </w:rPr>
      </w:pPr>
    </w:p>
    <w:p w14:paraId="3653E91E" w14:textId="77777777" w:rsidR="007869DD" w:rsidRPr="002451B6" w:rsidRDefault="007869DD">
      <w:pPr>
        <w:spacing w:line="360" w:lineRule="auto"/>
        <w:rPr>
          <w:rFonts w:ascii="Times New Roman" w:eastAsia="Times New Roman" w:hAnsi="Times New Roman" w:cs="Times New Roman"/>
          <w:b/>
          <w:bCs/>
          <w:sz w:val="26"/>
          <w:szCs w:val="26"/>
        </w:rPr>
      </w:pPr>
    </w:p>
    <w:p w14:paraId="20BD2A66" w14:textId="77777777" w:rsidR="00332C33" w:rsidRPr="002451B6" w:rsidRDefault="00332C33">
      <w:pPr>
        <w:spacing w:line="360" w:lineRule="auto"/>
        <w:rPr>
          <w:rFonts w:ascii="Times New Roman" w:eastAsia="Times New Roman" w:hAnsi="Times New Roman" w:cs="Times New Roman"/>
          <w:b/>
          <w:bCs/>
          <w:sz w:val="26"/>
          <w:szCs w:val="26"/>
        </w:rPr>
      </w:pPr>
    </w:p>
    <w:p w14:paraId="14104B6C" w14:textId="77777777" w:rsidR="00332C33" w:rsidRPr="002451B6" w:rsidRDefault="00332C33">
      <w:pPr>
        <w:spacing w:line="360" w:lineRule="auto"/>
        <w:rPr>
          <w:rFonts w:ascii="Times New Roman" w:eastAsia="Times New Roman" w:hAnsi="Times New Roman" w:cs="Times New Roman"/>
          <w:b/>
          <w:bCs/>
          <w:sz w:val="26"/>
          <w:szCs w:val="26"/>
        </w:rPr>
      </w:pPr>
    </w:p>
    <w:p w14:paraId="7AE4FECE" w14:textId="77777777" w:rsidR="004C4435" w:rsidRDefault="004C4435">
      <w:pPr>
        <w:spacing w:line="360" w:lineRule="auto"/>
        <w:rPr>
          <w:rFonts w:ascii="Times New Roman" w:eastAsia="Times New Roman" w:hAnsi="Times New Roman" w:cs="Times New Roman"/>
          <w:b/>
          <w:bCs/>
          <w:sz w:val="26"/>
          <w:szCs w:val="26"/>
        </w:rPr>
        <w:sectPr w:rsidR="004C4435" w:rsidSect="00C27DD5">
          <w:pgSz w:w="11909" w:h="16834"/>
          <w:pgMar w:top="1701" w:right="1134" w:bottom="1134" w:left="1701" w:header="720" w:footer="720" w:gutter="0"/>
          <w:pgNumType w:start="1"/>
          <w:cols w:space="720"/>
        </w:sectPr>
      </w:pPr>
    </w:p>
    <w:p w14:paraId="502A22D5" w14:textId="77777777" w:rsidR="00332C33" w:rsidRPr="002451B6" w:rsidRDefault="00332C33">
      <w:pPr>
        <w:spacing w:line="360" w:lineRule="auto"/>
        <w:rPr>
          <w:rFonts w:ascii="Times New Roman" w:eastAsia="Times New Roman" w:hAnsi="Times New Roman" w:cs="Times New Roman"/>
          <w:b/>
          <w:bCs/>
          <w:sz w:val="26"/>
          <w:szCs w:val="26"/>
        </w:rPr>
      </w:pPr>
    </w:p>
    <w:p w14:paraId="7B8732D9" w14:textId="77777777" w:rsidR="00332C33" w:rsidRPr="002451B6" w:rsidRDefault="00332C33">
      <w:pPr>
        <w:spacing w:line="360" w:lineRule="auto"/>
        <w:rPr>
          <w:rFonts w:ascii="Times New Roman" w:eastAsia="Times New Roman" w:hAnsi="Times New Roman" w:cs="Times New Roman"/>
          <w:b/>
          <w:bCs/>
          <w:sz w:val="26"/>
          <w:szCs w:val="26"/>
        </w:rPr>
      </w:pPr>
    </w:p>
    <w:p w14:paraId="3085D619" w14:textId="77777777" w:rsidR="00C27DD5" w:rsidRPr="002451B6" w:rsidRDefault="00C27DD5">
      <w:pPr>
        <w:spacing w:line="360" w:lineRule="auto"/>
        <w:jc w:val="right"/>
        <w:rPr>
          <w:rFonts w:ascii="Times New Roman" w:eastAsia="Times New Roman" w:hAnsi="Times New Roman" w:cs="Times New Roman"/>
          <w:b/>
          <w:bCs/>
          <w:sz w:val="26"/>
          <w:szCs w:val="26"/>
        </w:rPr>
      </w:pPr>
    </w:p>
    <w:p w14:paraId="0CB69723" w14:textId="270972CC" w:rsidR="00332C33" w:rsidRPr="002451B6" w:rsidRDefault="00000000">
      <w:pPr>
        <w:spacing w:line="360" w:lineRule="auto"/>
        <w:jc w:val="right"/>
        <w:rPr>
          <w:rFonts w:ascii="Times New Roman" w:eastAsia="Times New Roman" w:hAnsi="Times New Roman" w:cs="Times New Roman"/>
          <w:b/>
          <w:bCs/>
          <w:sz w:val="26"/>
          <w:szCs w:val="26"/>
        </w:rPr>
      </w:pPr>
      <w:r w:rsidRPr="002451B6">
        <w:rPr>
          <w:rFonts w:ascii="Times New Roman" w:eastAsia="Times New Roman" w:hAnsi="Times New Roman" w:cs="Times New Roman"/>
          <w:b/>
          <w:bCs/>
          <w:sz w:val="26"/>
          <w:szCs w:val="26"/>
        </w:rPr>
        <w:lastRenderedPageBreak/>
        <w:t>(Deverá constar apenas da versão identificada do original)</w:t>
      </w:r>
    </w:p>
    <w:p w14:paraId="53D0C732" w14:textId="77777777" w:rsidR="00332C33" w:rsidRPr="002451B6" w:rsidRDefault="00332C33">
      <w:pPr>
        <w:spacing w:line="360" w:lineRule="auto"/>
        <w:jc w:val="right"/>
        <w:rPr>
          <w:rFonts w:ascii="Times New Roman" w:eastAsia="Times New Roman" w:hAnsi="Times New Roman" w:cs="Times New Roman"/>
          <w:b/>
          <w:bCs/>
          <w:sz w:val="26"/>
          <w:szCs w:val="26"/>
        </w:rPr>
      </w:pPr>
    </w:p>
    <w:p w14:paraId="0B76ACD2" w14:textId="77777777" w:rsidR="00332C33" w:rsidRPr="002451B6" w:rsidRDefault="00000000">
      <w:pPr>
        <w:spacing w:line="360" w:lineRule="auto"/>
        <w:jc w:val="both"/>
        <w:rPr>
          <w:rFonts w:ascii="Times New Roman" w:eastAsia="Times New Roman" w:hAnsi="Times New Roman" w:cs="Times New Roman"/>
          <w:b/>
          <w:bCs/>
          <w:i/>
          <w:iCs/>
          <w:sz w:val="24"/>
          <w:szCs w:val="24"/>
        </w:rPr>
      </w:pPr>
      <w:r w:rsidRPr="002451B6">
        <w:rPr>
          <w:rFonts w:ascii="Times New Roman" w:eastAsia="Times New Roman" w:hAnsi="Times New Roman" w:cs="Times New Roman"/>
          <w:b/>
          <w:bCs/>
          <w:i/>
          <w:iCs/>
          <w:sz w:val="24"/>
          <w:szCs w:val="24"/>
        </w:rPr>
        <w:t>Prefácio</w:t>
      </w:r>
    </w:p>
    <w:p w14:paraId="62D0BE17" w14:textId="77777777" w:rsidR="00332C33" w:rsidRPr="002451B6" w:rsidRDefault="00332C33">
      <w:pPr>
        <w:spacing w:line="360" w:lineRule="auto"/>
        <w:jc w:val="both"/>
        <w:rPr>
          <w:rFonts w:ascii="Times New Roman" w:eastAsia="Times New Roman" w:hAnsi="Times New Roman" w:cs="Times New Roman"/>
          <w:b/>
          <w:bCs/>
          <w:i/>
          <w:iCs/>
          <w:sz w:val="24"/>
          <w:szCs w:val="24"/>
        </w:rPr>
      </w:pPr>
    </w:p>
    <w:p w14:paraId="011AD95E" w14:textId="3D20FA7F" w:rsidR="00332C33" w:rsidRPr="002451B6" w:rsidRDefault="00332C33">
      <w:pPr>
        <w:spacing w:line="360" w:lineRule="auto"/>
        <w:jc w:val="right"/>
        <w:rPr>
          <w:rFonts w:ascii="Times New Roman" w:eastAsia="Times New Roman" w:hAnsi="Times New Roman" w:cs="Times New Roman"/>
        </w:rPr>
      </w:pPr>
    </w:p>
    <w:p w14:paraId="0715D9BF" w14:textId="77777777" w:rsidR="00332C33" w:rsidRPr="00144EAA" w:rsidRDefault="00000000">
      <w:pPr>
        <w:spacing w:line="360" w:lineRule="auto"/>
        <w:rPr>
          <w:rFonts w:ascii="Times New Roman" w:eastAsia="Times New Roman" w:hAnsi="Times New Roman" w:cs="Times New Roman"/>
          <w:b/>
          <w:bCs/>
          <w:i/>
          <w:iCs/>
          <w:sz w:val="24"/>
          <w:szCs w:val="24"/>
        </w:rPr>
      </w:pPr>
      <w:r w:rsidRPr="00144EAA">
        <w:rPr>
          <w:rFonts w:ascii="Times New Roman" w:eastAsia="Times New Roman" w:hAnsi="Times New Roman" w:cs="Times New Roman"/>
          <w:b/>
          <w:bCs/>
          <w:i/>
          <w:iCs/>
          <w:sz w:val="24"/>
          <w:szCs w:val="24"/>
        </w:rPr>
        <w:t>Apresentação</w:t>
      </w:r>
    </w:p>
    <w:p w14:paraId="6C4F33B3"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55E12BD9"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3A5C02D7"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76E5D83B"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5F72EEC5"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058DCD2D" w14:textId="77777777" w:rsidR="00332C33" w:rsidRPr="002451B6" w:rsidRDefault="00332C33">
      <w:pPr>
        <w:spacing w:line="360" w:lineRule="auto"/>
        <w:rPr>
          <w:rFonts w:ascii="Times New Roman" w:eastAsia="Times New Roman" w:hAnsi="Times New Roman" w:cs="Times New Roman"/>
          <w:sz w:val="28"/>
          <w:szCs w:val="28"/>
        </w:rPr>
      </w:pPr>
    </w:p>
    <w:p w14:paraId="4171DFB5" w14:textId="77777777" w:rsidR="00332C33" w:rsidRPr="002451B6" w:rsidRDefault="00332C33">
      <w:pPr>
        <w:spacing w:line="360" w:lineRule="auto"/>
        <w:rPr>
          <w:rFonts w:ascii="Times New Roman" w:eastAsia="Times New Roman" w:hAnsi="Times New Roman" w:cs="Times New Roman"/>
          <w:sz w:val="28"/>
          <w:szCs w:val="28"/>
        </w:rPr>
      </w:pPr>
    </w:p>
    <w:p w14:paraId="4D8096E0" w14:textId="77777777" w:rsidR="00D51B02" w:rsidRPr="002451B6" w:rsidRDefault="00D51B02">
      <w:pPr>
        <w:spacing w:line="360" w:lineRule="auto"/>
        <w:rPr>
          <w:rFonts w:ascii="Times New Roman" w:eastAsia="Times New Roman" w:hAnsi="Times New Roman" w:cs="Times New Roman"/>
          <w:sz w:val="28"/>
          <w:szCs w:val="28"/>
        </w:rPr>
      </w:pPr>
    </w:p>
    <w:p w14:paraId="489FF5ED" w14:textId="77777777" w:rsidR="00332C33" w:rsidRPr="002451B6" w:rsidRDefault="00332C33">
      <w:pPr>
        <w:spacing w:line="360" w:lineRule="auto"/>
        <w:rPr>
          <w:rFonts w:ascii="Times New Roman" w:eastAsia="Times New Roman" w:hAnsi="Times New Roman" w:cs="Times New Roman"/>
          <w:sz w:val="28"/>
          <w:szCs w:val="28"/>
        </w:rPr>
      </w:pPr>
    </w:p>
    <w:p w14:paraId="3BAA5067" w14:textId="77777777" w:rsidR="00332C33" w:rsidRDefault="00332C33">
      <w:pPr>
        <w:spacing w:line="360" w:lineRule="auto"/>
        <w:rPr>
          <w:rFonts w:ascii="Times New Roman" w:eastAsia="Times New Roman" w:hAnsi="Times New Roman" w:cs="Times New Roman"/>
          <w:sz w:val="28"/>
          <w:szCs w:val="28"/>
        </w:rPr>
      </w:pPr>
    </w:p>
    <w:p w14:paraId="44339FF5" w14:textId="77777777" w:rsidR="00060788" w:rsidRDefault="00060788">
      <w:pPr>
        <w:spacing w:line="360" w:lineRule="auto"/>
        <w:rPr>
          <w:rFonts w:ascii="Times New Roman" w:eastAsia="Times New Roman" w:hAnsi="Times New Roman" w:cs="Times New Roman"/>
          <w:sz w:val="28"/>
          <w:szCs w:val="28"/>
        </w:rPr>
      </w:pPr>
    </w:p>
    <w:p w14:paraId="2433D7B7" w14:textId="77777777" w:rsidR="00060788" w:rsidRDefault="00060788">
      <w:pPr>
        <w:spacing w:line="360" w:lineRule="auto"/>
        <w:rPr>
          <w:rFonts w:ascii="Times New Roman" w:eastAsia="Times New Roman" w:hAnsi="Times New Roman" w:cs="Times New Roman"/>
          <w:sz w:val="28"/>
          <w:szCs w:val="28"/>
        </w:rPr>
      </w:pPr>
    </w:p>
    <w:p w14:paraId="0DE3C018" w14:textId="77777777" w:rsidR="00060788" w:rsidRDefault="00060788">
      <w:pPr>
        <w:spacing w:line="360" w:lineRule="auto"/>
        <w:rPr>
          <w:rFonts w:ascii="Times New Roman" w:eastAsia="Times New Roman" w:hAnsi="Times New Roman" w:cs="Times New Roman"/>
          <w:sz w:val="28"/>
          <w:szCs w:val="28"/>
        </w:rPr>
      </w:pPr>
    </w:p>
    <w:p w14:paraId="29BC961C" w14:textId="77777777" w:rsidR="00060788" w:rsidRDefault="00060788">
      <w:pPr>
        <w:spacing w:line="360" w:lineRule="auto"/>
        <w:rPr>
          <w:rFonts w:ascii="Times New Roman" w:eastAsia="Times New Roman" w:hAnsi="Times New Roman" w:cs="Times New Roman"/>
          <w:sz w:val="28"/>
          <w:szCs w:val="28"/>
        </w:rPr>
      </w:pPr>
    </w:p>
    <w:p w14:paraId="6185EA62" w14:textId="77777777" w:rsidR="00060788" w:rsidRDefault="00060788">
      <w:pPr>
        <w:spacing w:line="360" w:lineRule="auto"/>
        <w:rPr>
          <w:rFonts w:ascii="Times New Roman" w:eastAsia="Times New Roman" w:hAnsi="Times New Roman" w:cs="Times New Roman"/>
          <w:sz w:val="28"/>
          <w:szCs w:val="28"/>
        </w:rPr>
      </w:pPr>
    </w:p>
    <w:p w14:paraId="10557FFC" w14:textId="77777777" w:rsidR="00060788" w:rsidRDefault="00060788">
      <w:pPr>
        <w:spacing w:line="360" w:lineRule="auto"/>
        <w:rPr>
          <w:rFonts w:ascii="Times New Roman" w:eastAsia="Times New Roman" w:hAnsi="Times New Roman" w:cs="Times New Roman"/>
          <w:sz w:val="28"/>
          <w:szCs w:val="28"/>
        </w:rPr>
      </w:pPr>
    </w:p>
    <w:p w14:paraId="2E1B9C67" w14:textId="77777777" w:rsidR="00060788" w:rsidRDefault="00060788">
      <w:pPr>
        <w:spacing w:line="360" w:lineRule="auto"/>
        <w:rPr>
          <w:rFonts w:ascii="Times New Roman" w:eastAsia="Times New Roman" w:hAnsi="Times New Roman" w:cs="Times New Roman"/>
          <w:sz w:val="28"/>
          <w:szCs w:val="28"/>
        </w:rPr>
      </w:pPr>
    </w:p>
    <w:p w14:paraId="1FFE82CF" w14:textId="77777777" w:rsidR="00060788" w:rsidRDefault="00060788">
      <w:pPr>
        <w:spacing w:line="360" w:lineRule="auto"/>
        <w:rPr>
          <w:rFonts w:ascii="Times New Roman" w:eastAsia="Times New Roman" w:hAnsi="Times New Roman" w:cs="Times New Roman"/>
          <w:sz w:val="28"/>
          <w:szCs w:val="28"/>
        </w:rPr>
      </w:pPr>
    </w:p>
    <w:p w14:paraId="7AA522D3" w14:textId="77777777" w:rsidR="00060788" w:rsidRPr="002451B6" w:rsidRDefault="00060788">
      <w:pPr>
        <w:spacing w:line="360" w:lineRule="auto"/>
        <w:rPr>
          <w:rFonts w:ascii="Times New Roman" w:eastAsia="Times New Roman" w:hAnsi="Times New Roman" w:cs="Times New Roman"/>
          <w:sz w:val="28"/>
          <w:szCs w:val="28"/>
        </w:rPr>
      </w:pPr>
    </w:p>
    <w:p w14:paraId="0D33600D" w14:textId="77777777" w:rsidR="00144EAA" w:rsidRDefault="00144EAA">
      <w:pPr>
        <w:spacing w:line="360" w:lineRule="auto"/>
        <w:jc w:val="center"/>
        <w:rPr>
          <w:rFonts w:ascii="Times New Roman" w:eastAsia="Times New Roman" w:hAnsi="Times New Roman" w:cs="Times New Roman"/>
          <w:sz w:val="28"/>
          <w:szCs w:val="28"/>
        </w:rPr>
      </w:pPr>
    </w:p>
    <w:p w14:paraId="05BFF588" w14:textId="77777777" w:rsidR="00144EAA" w:rsidRDefault="00144EAA">
      <w:pPr>
        <w:spacing w:line="360" w:lineRule="auto"/>
        <w:jc w:val="center"/>
        <w:rPr>
          <w:rFonts w:ascii="Times New Roman" w:eastAsia="Times New Roman" w:hAnsi="Times New Roman" w:cs="Times New Roman"/>
          <w:sz w:val="28"/>
          <w:szCs w:val="28"/>
        </w:rPr>
      </w:pPr>
    </w:p>
    <w:p w14:paraId="67F6B76C" w14:textId="77777777" w:rsidR="00144EAA" w:rsidRDefault="00144EAA">
      <w:pPr>
        <w:spacing w:line="360" w:lineRule="auto"/>
        <w:jc w:val="center"/>
        <w:rPr>
          <w:rFonts w:ascii="Times New Roman" w:eastAsia="Times New Roman" w:hAnsi="Times New Roman" w:cs="Times New Roman"/>
          <w:sz w:val="28"/>
          <w:szCs w:val="28"/>
        </w:rPr>
      </w:pPr>
    </w:p>
    <w:p w14:paraId="1820A0C2" w14:textId="77777777" w:rsidR="00144EAA" w:rsidRDefault="00144EAA">
      <w:pPr>
        <w:spacing w:line="360" w:lineRule="auto"/>
        <w:jc w:val="center"/>
        <w:rPr>
          <w:rFonts w:ascii="Times New Roman" w:eastAsia="Times New Roman" w:hAnsi="Times New Roman" w:cs="Times New Roman"/>
          <w:sz w:val="28"/>
          <w:szCs w:val="28"/>
        </w:rPr>
      </w:pPr>
    </w:p>
    <w:p w14:paraId="180868E5" w14:textId="77777777" w:rsidR="00144EAA" w:rsidRDefault="00144EAA">
      <w:pPr>
        <w:spacing w:line="360" w:lineRule="auto"/>
        <w:jc w:val="center"/>
        <w:rPr>
          <w:rFonts w:ascii="Times New Roman" w:eastAsia="Times New Roman" w:hAnsi="Times New Roman" w:cs="Times New Roman"/>
          <w:sz w:val="28"/>
          <w:szCs w:val="28"/>
        </w:rPr>
      </w:pPr>
    </w:p>
    <w:p w14:paraId="258A1BE0" w14:textId="77777777" w:rsidR="00144EAA" w:rsidRDefault="00144EAA">
      <w:pPr>
        <w:spacing w:line="360" w:lineRule="auto"/>
        <w:jc w:val="center"/>
        <w:rPr>
          <w:rFonts w:ascii="Times New Roman" w:eastAsia="Times New Roman" w:hAnsi="Times New Roman" w:cs="Times New Roman"/>
          <w:sz w:val="28"/>
          <w:szCs w:val="28"/>
        </w:rPr>
      </w:pPr>
    </w:p>
    <w:p w14:paraId="7074C135" w14:textId="77777777" w:rsidR="00144EAA" w:rsidRDefault="00144EAA">
      <w:pPr>
        <w:spacing w:line="360" w:lineRule="auto"/>
        <w:jc w:val="center"/>
        <w:rPr>
          <w:rFonts w:ascii="Times New Roman" w:eastAsia="Times New Roman" w:hAnsi="Times New Roman" w:cs="Times New Roman"/>
          <w:sz w:val="28"/>
          <w:szCs w:val="28"/>
        </w:rPr>
      </w:pPr>
    </w:p>
    <w:p w14:paraId="060DE547" w14:textId="77777777" w:rsidR="00144EAA" w:rsidRDefault="00144EAA">
      <w:pPr>
        <w:spacing w:line="360" w:lineRule="auto"/>
        <w:jc w:val="center"/>
        <w:rPr>
          <w:rFonts w:ascii="Times New Roman" w:eastAsia="Times New Roman" w:hAnsi="Times New Roman" w:cs="Times New Roman"/>
          <w:sz w:val="28"/>
          <w:szCs w:val="28"/>
        </w:rPr>
      </w:pPr>
    </w:p>
    <w:p w14:paraId="48AEE2A4" w14:textId="77777777" w:rsidR="00144EAA" w:rsidRDefault="00144EAA">
      <w:pPr>
        <w:spacing w:line="360" w:lineRule="auto"/>
        <w:jc w:val="center"/>
        <w:rPr>
          <w:rFonts w:ascii="Times New Roman" w:eastAsia="Times New Roman" w:hAnsi="Times New Roman" w:cs="Times New Roman"/>
          <w:sz w:val="28"/>
          <w:szCs w:val="28"/>
        </w:rPr>
      </w:pPr>
    </w:p>
    <w:p w14:paraId="53A7F30C" w14:textId="77777777" w:rsidR="00144EAA" w:rsidRDefault="00144EAA">
      <w:pPr>
        <w:spacing w:line="360" w:lineRule="auto"/>
        <w:jc w:val="center"/>
        <w:rPr>
          <w:rFonts w:ascii="Times New Roman" w:eastAsia="Times New Roman" w:hAnsi="Times New Roman" w:cs="Times New Roman"/>
          <w:sz w:val="28"/>
          <w:szCs w:val="28"/>
        </w:rPr>
      </w:pPr>
    </w:p>
    <w:p w14:paraId="19ED258F" w14:textId="77777777" w:rsidR="00144EAA" w:rsidRDefault="00144EAA">
      <w:pPr>
        <w:spacing w:line="360" w:lineRule="auto"/>
        <w:jc w:val="center"/>
        <w:rPr>
          <w:rFonts w:ascii="Times New Roman" w:eastAsia="Times New Roman" w:hAnsi="Times New Roman" w:cs="Times New Roman"/>
          <w:sz w:val="28"/>
          <w:szCs w:val="28"/>
        </w:rPr>
      </w:pPr>
    </w:p>
    <w:p w14:paraId="143696E4" w14:textId="77777777" w:rsidR="00144EAA" w:rsidRDefault="00144EAA">
      <w:pPr>
        <w:spacing w:line="360" w:lineRule="auto"/>
        <w:jc w:val="center"/>
        <w:rPr>
          <w:rFonts w:ascii="Times New Roman" w:eastAsia="Times New Roman" w:hAnsi="Times New Roman" w:cs="Times New Roman"/>
          <w:sz w:val="28"/>
          <w:szCs w:val="28"/>
        </w:rPr>
      </w:pPr>
    </w:p>
    <w:p w14:paraId="061A2919" w14:textId="77777777" w:rsidR="00144EAA" w:rsidRDefault="00144EAA">
      <w:pPr>
        <w:spacing w:line="360" w:lineRule="auto"/>
        <w:jc w:val="center"/>
        <w:rPr>
          <w:rFonts w:ascii="Times New Roman" w:eastAsia="Times New Roman" w:hAnsi="Times New Roman" w:cs="Times New Roman"/>
          <w:sz w:val="28"/>
          <w:szCs w:val="28"/>
        </w:rPr>
      </w:pPr>
    </w:p>
    <w:p w14:paraId="124CE0D5" w14:textId="77777777" w:rsidR="00144EAA" w:rsidRDefault="00144EAA">
      <w:pPr>
        <w:spacing w:line="360" w:lineRule="auto"/>
        <w:jc w:val="center"/>
        <w:rPr>
          <w:rFonts w:ascii="Times New Roman" w:eastAsia="Times New Roman" w:hAnsi="Times New Roman" w:cs="Times New Roman"/>
          <w:sz w:val="28"/>
          <w:szCs w:val="28"/>
        </w:rPr>
      </w:pPr>
    </w:p>
    <w:p w14:paraId="5A679FA9" w14:textId="77777777" w:rsidR="00144EAA" w:rsidRDefault="00144EAA">
      <w:pPr>
        <w:spacing w:line="360" w:lineRule="auto"/>
        <w:jc w:val="center"/>
        <w:rPr>
          <w:rFonts w:ascii="Times New Roman" w:eastAsia="Times New Roman" w:hAnsi="Times New Roman" w:cs="Times New Roman"/>
          <w:sz w:val="28"/>
          <w:szCs w:val="28"/>
        </w:rPr>
      </w:pPr>
    </w:p>
    <w:p w14:paraId="3F9A7CE2" w14:textId="77777777" w:rsidR="00144EAA" w:rsidRDefault="00144EAA">
      <w:pPr>
        <w:spacing w:line="360" w:lineRule="auto"/>
        <w:jc w:val="center"/>
        <w:rPr>
          <w:rFonts w:ascii="Times New Roman" w:eastAsia="Times New Roman" w:hAnsi="Times New Roman" w:cs="Times New Roman"/>
          <w:sz w:val="28"/>
          <w:szCs w:val="28"/>
        </w:rPr>
      </w:pPr>
    </w:p>
    <w:p w14:paraId="0FDB47F4" w14:textId="5464F1BB" w:rsidR="00332C33" w:rsidRPr="002451B6" w:rsidRDefault="00000000">
      <w:pPr>
        <w:spacing w:line="360" w:lineRule="auto"/>
        <w:jc w:val="center"/>
        <w:rPr>
          <w:rFonts w:ascii="Times New Roman" w:eastAsia="Times New Roman" w:hAnsi="Times New Roman" w:cs="Times New Roman"/>
          <w:sz w:val="28"/>
          <w:szCs w:val="28"/>
        </w:rPr>
      </w:pPr>
      <w:r w:rsidRPr="002451B6">
        <w:rPr>
          <w:rFonts w:ascii="Times New Roman" w:eastAsia="Times New Roman" w:hAnsi="Times New Roman" w:cs="Times New Roman"/>
          <w:sz w:val="28"/>
          <w:szCs w:val="28"/>
        </w:rPr>
        <w:t>EPISTEMOLOGIAS DE GÊNERO</w:t>
      </w:r>
    </w:p>
    <w:p w14:paraId="046C3BA3" w14:textId="77777777" w:rsidR="00332C33" w:rsidRPr="002451B6" w:rsidRDefault="00332C33" w:rsidP="00144EAA">
      <w:pPr>
        <w:spacing w:line="360" w:lineRule="auto"/>
        <w:rPr>
          <w:rFonts w:ascii="Times New Roman" w:eastAsia="Times New Roman" w:hAnsi="Times New Roman" w:cs="Times New Roman"/>
          <w:i/>
          <w:iCs/>
          <w:sz w:val="28"/>
          <w:szCs w:val="28"/>
        </w:rPr>
      </w:pPr>
    </w:p>
    <w:p w14:paraId="47389815"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612F3C7D"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6C305F99" w14:textId="77777777" w:rsidR="00332C33" w:rsidRPr="002451B6" w:rsidRDefault="00332C33">
      <w:pPr>
        <w:spacing w:line="360" w:lineRule="auto"/>
        <w:jc w:val="right"/>
        <w:rPr>
          <w:rFonts w:ascii="Times New Roman" w:eastAsia="Times New Roman" w:hAnsi="Times New Roman" w:cs="Times New Roman"/>
          <w:i/>
          <w:iCs/>
          <w:sz w:val="28"/>
          <w:szCs w:val="28"/>
        </w:rPr>
      </w:pPr>
    </w:p>
    <w:p w14:paraId="16D068C5" w14:textId="77777777" w:rsidR="00332C33" w:rsidRPr="002451B6" w:rsidRDefault="00332C33">
      <w:pPr>
        <w:rPr>
          <w:rFonts w:ascii="Times New Roman" w:eastAsia="Times New Roman" w:hAnsi="Times New Roman" w:cs="Times New Roman"/>
          <w:i/>
          <w:iCs/>
          <w:sz w:val="28"/>
          <w:szCs w:val="28"/>
        </w:rPr>
      </w:pPr>
    </w:p>
    <w:p w14:paraId="54500E87" w14:textId="77777777" w:rsidR="00332C33" w:rsidRPr="002451B6" w:rsidRDefault="00332C33">
      <w:pPr>
        <w:rPr>
          <w:rFonts w:ascii="Times New Roman" w:eastAsia="Times New Roman" w:hAnsi="Times New Roman" w:cs="Times New Roman"/>
          <w:i/>
          <w:iCs/>
          <w:sz w:val="28"/>
          <w:szCs w:val="28"/>
        </w:rPr>
      </w:pPr>
    </w:p>
    <w:p w14:paraId="1E4A3D64" w14:textId="77777777" w:rsidR="00332C33" w:rsidRPr="002451B6" w:rsidRDefault="00332C33">
      <w:pPr>
        <w:jc w:val="center"/>
        <w:rPr>
          <w:rFonts w:ascii="Times New Roman" w:eastAsia="Times New Roman" w:hAnsi="Times New Roman" w:cs="Times New Roman"/>
          <w:b/>
          <w:bCs/>
          <w:sz w:val="24"/>
          <w:szCs w:val="24"/>
          <w:highlight w:val="white"/>
        </w:rPr>
      </w:pPr>
    </w:p>
    <w:p w14:paraId="2121F1D5" w14:textId="77777777" w:rsidR="00332C33" w:rsidRPr="002451B6" w:rsidRDefault="00332C33">
      <w:pPr>
        <w:rPr>
          <w:rFonts w:ascii="Times New Roman" w:eastAsia="Times New Roman" w:hAnsi="Times New Roman" w:cs="Times New Roman"/>
          <w:b/>
          <w:bCs/>
          <w:sz w:val="24"/>
          <w:szCs w:val="24"/>
          <w:highlight w:val="white"/>
        </w:rPr>
      </w:pPr>
    </w:p>
    <w:p w14:paraId="2E473D50" w14:textId="77777777" w:rsidR="00332C33" w:rsidRPr="002451B6" w:rsidRDefault="00332C33">
      <w:pPr>
        <w:rPr>
          <w:rFonts w:ascii="Times New Roman" w:eastAsia="Times New Roman" w:hAnsi="Times New Roman" w:cs="Times New Roman"/>
          <w:b/>
          <w:bCs/>
          <w:sz w:val="24"/>
          <w:szCs w:val="24"/>
          <w:highlight w:val="white"/>
        </w:rPr>
      </w:pPr>
    </w:p>
    <w:p w14:paraId="7E080418" w14:textId="77777777" w:rsidR="00332C33" w:rsidRPr="002451B6" w:rsidRDefault="00332C33">
      <w:pPr>
        <w:rPr>
          <w:rFonts w:ascii="Times New Roman" w:eastAsia="Times New Roman" w:hAnsi="Times New Roman" w:cs="Times New Roman"/>
          <w:b/>
          <w:bCs/>
          <w:sz w:val="24"/>
          <w:szCs w:val="24"/>
          <w:highlight w:val="white"/>
        </w:rPr>
      </w:pPr>
    </w:p>
    <w:p w14:paraId="14920B5A" w14:textId="77777777" w:rsidR="00332C33" w:rsidRPr="002451B6" w:rsidRDefault="00332C33">
      <w:pPr>
        <w:rPr>
          <w:rFonts w:ascii="Times New Roman" w:eastAsia="Times New Roman" w:hAnsi="Times New Roman" w:cs="Times New Roman"/>
          <w:b/>
          <w:bCs/>
          <w:sz w:val="24"/>
          <w:szCs w:val="24"/>
          <w:highlight w:val="white"/>
        </w:rPr>
      </w:pPr>
    </w:p>
    <w:p w14:paraId="174ACDDD" w14:textId="77777777" w:rsidR="00332C33" w:rsidRPr="002451B6" w:rsidRDefault="00332C33">
      <w:pPr>
        <w:rPr>
          <w:rFonts w:ascii="Times New Roman" w:eastAsia="Times New Roman" w:hAnsi="Times New Roman" w:cs="Times New Roman"/>
          <w:b/>
          <w:bCs/>
          <w:sz w:val="24"/>
          <w:szCs w:val="24"/>
          <w:highlight w:val="white"/>
        </w:rPr>
      </w:pPr>
    </w:p>
    <w:p w14:paraId="2BC861D7" w14:textId="77777777" w:rsidR="00332C33" w:rsidRPr="002451B6" w:rsidRDefault="00332C33">
      <w:pPr>
        <w:rPr>
          <w:rFonts w:ascii="Times New Roman" w:eastAsia="Times New Roman" w:hAnsi="Times New Roman" w:cs="Times New Roman"/>
          <w:b/>
          <w:bCs/>
          <w:sz w:val="24"/>
          <w:szCs w:val="24"/>
          <w:highlight w:val="white"/>
        </w:rPr>
      </w:pPr>
    </w:p>
    <w:p w14:paraId="415E44AE" w14:textId="77777777" w:rsidR="00332C33" w:rsidRDefault="00332C33">
      <w:pPr>
        <w:jc w:val="center"/>
        <w:rPr>
          <w:rFonts w:ascii="Times New Roman" w:eastAsia="Times New Roman" w:hAnsi="Times New Roman" w:cs="Times New Roman"/>
          <w:b/>
          <w:bCs/>
          <w:sz w:val="24"/>
          <w:szCs w:val="24"/>
          <w:highlight w:val="white"/>
        </w:rPr>
      </w:pPr>
    </w:p>
    <w:p w14:paraId="0B9C8C67" w14:textId="77777777" w:rsidR="00491F95" w:rsidRDefault="00491F95">
      <w:pPr>
        <w:jc w:val="center"/>
        <w:rPr>
          <w:rFonts w:ascii="Times New Roman" w:eastAsia="Times New Roman" w:hAnsi="Times New Roman" w:cs="Times New Roman"/>
          <w:b/>
          <w:bCs/>
          <w:sz w:val="24"/>
          <w:szCs w:val="24"/>
          <w:highlight w:val="white"/>
        </w:rPr>
      </w:pPr>
    </w:p>
    <w:p w14:paraId="459FB58A" w14:textId="77777777" w:rsidR="00491F95" w:rsidRDefault="00491F95">
      <w:pPr>
        <w:jc w:val="center"/>
        <w:rPr>
          <w:rFonts w:ascii="Times New Roman" w:eastAsia="Times New Roman" w:hAnsi="Times New Roman" w:cs="Times New Roman"/>
          <w:b/>
          <w:bCs/>
          <w:sz w:val="24"/>
          <w:szCs w:val="24"/>
          <w:highlight w:val="white"/>
        </w:rPr>
      </w:pPr>
    </w:p>
    <w:p w14:paraId="0BA76A35" w14:textId="77777777" w:rsidR="00491F95" w:rsidRDefault="00491F95">
      <w:pPr>
        <w:jc w:val="center"/>
        <w:rPr>
          <w:rFonts w:ascii="Times New Roman" w:eastAsia="Times New Roman" w:hAnsi="Times New Roman" w:cs="Times New Roman"/>
          <w:b/>
          <w:bCs/>
          <w:sz w:val="24"/>
          <w:szCs w:val="24"/>
          <w:highlight w:val="white"/>
        </w:rPr>
      </w:pPr>
    </w:p>
    <w:p w14:paraId="55927E2D" w14:textId="77777777" w:rsidR="00491F95" w:rsidRDefault="00491F95">
      <w:pPr>
        <w:jc w:val="center"/>
        <w:rPr>
          <w:rFonts w:ascii="Times New Roman" w:eastAsia="Times New Roman" w:hAnsi="Times New Roman" w:cs="Times New Roman"/>
          <w:b/>
          <w:bCs/>
          <w:sz w:val="24"/>
          <w:szCs w:val="24"/>
          <w:highlight w:val="white"/>
        </w:rPr>
      </w:pPr>
    </w:p>
    <w:p w14:paraId="73AE0C34" w14:textId="77777777" w:rsidR="00FC738D" w:rsidRDefault="00FC738D">
      <w:pPr>
        <w:jc w:val="center"/>
        <w:rPr>
          <w:rFonts w:ascii="Times New Roman" w:eastAsia="Times New Roman" w:hAnsi="Times New Roman" w:cs="Times New Roman"/>
          <w:b/>
          <w:bCs/>
          <w:sz w:val="24"/>
          <w:szCs w:val="24"/>
          <w:highlight w:val="white"/>
        </w:rPr>
      </w:pPr>
    </w:p>
    <w:p w14:paraId="4A1EFC31" w14:textId="77777777" w:rsidR="00FC738D" w:rsidRDefault="00FC738D">
      <w:pPr>
        <w:jc w:val="center"/>
        <w:rPr>
          <w:rFonts w:ascii="Times New Roman" w:eastAsia="Times New Roman" w:hAnsi="Times New Roman" w:cs="Times New Roman"/>
          <w:b/>
          <w:bCs/>
          <w:sz w:val="24"/>
          <w:szCs w:val="24"/>
          <w:highlight w:val="white"/>
        </w:rPr>
      </w:pPr>
    </w:p>
    <w:p w14:paraId="04AE6A72" w14:textId="77777777" w:rsidR="00FC738D" w:rsidRDefault="00FC738D">
      <w:pPr>
        <w:jc w:val="center"/>
        <w:rPr>
          <w:rFonts w:ascii="Times New Roman" w:eastAsia="Times New Roman" w:hAnsi="Times New Roman" w:cs="Times New Roman"/>
          <w:b/>
          <w:bCs/>
          <w:sz w:val="24"/>
          <w:szCs w:val="24"/>
          <w:highlight w:val="white"/>
        </w:rPr>
      </w:pPr>
    </w:p>
    <w:p w14:paraId="6A39C399" w14:textId="77777777" w:rsidR="00FC738D" w:rsidRDefault="00FC738D">
      <w:pPr>
        <w:jc w:val="center"/>
        <w:rPr>
          <w:rFonts w:ascii="Times New Roman" w:eastAsia="Times New Roman" w:hAnsi="Times New Roman" w:cs="Times New Roman"/>
          <w:b/>
          <w:bCs/>
          <w:sz w:val="24"/>
          <w:szCs w:val="24"/>
          <w:highlight w:val="white"/>
        </w:rPr>
      </w:pPr>
    </w:p>
    <w:p w14:paraId="53ABFC3A" w14:textId="77777777" w:rsidR="00FC738D" w:rsidRPr="002451B6" w:rsidRDefault="00FC738D">
      <w:pPr>
        <w:jc w:val="center"/>
        <w:rPr>
          <w:rFonts w:ascii="Times New Roman" w:eastAsia="Times New Roman" w:hAnsi="Times New Roman" w:cs="Times New Roman"/>
          <w:b/>
          <w:bCs/>
          <w:sz w:val="24"/>
          <w:szCs w:val="24"/>
          <w:highlight w:val="white"/>
        </w:rPr>
      </w:pPr>
    </w:p>
    <w:p w14:paraId="587D9D4D" w14:textId="77777777" w:rsidR="00332C33" w:rsidRPr="002451B6" w:rsidRDefault="00000000">
      <w:pPr>
        <w:jc w:val="center"/>
        <w:rPr>
          <w:rFonts w:ascii="Times New Roman" w:eastAsia="Times New Roman" w:hAnsi="Times New Roman" w:cs="Times New Roman"/>
          <w:b/>
          <w:bCs/>
          <w:sz w:val="24"/>
          <w:szCs w:val="24"/>
          <w:highlight w:val="white"/>
        </w:rPr>
      </w:pPr>
      <w:r w:rsidRPr="002451B6">
        <w:rPr>
          <w:rFonts w:ascii="Times New Roman" w:eastAsia="Times New Roman" w:hAnsi="Times New Roman" w:cs="Times New Roman"/>
          <w:b/>
          <w:bCs/>
          <w:sz w:val="24"/>
          <w:szCs w:val="24"/>
          <w:highlight w:val="white"/>
        </w:rPr>
        <w:lastRenderedPageBreak/>
        <w:t>Feminismo negro e a(r)</w:t>
      </w:r>
      <w:proofErr w:type="spellStart"/>
      <w:r w:rsidRPr="002451B6">
        <w:rPr>
          <w:rFonts w:ascii="Times New Roman" w:eastAsia="Times New Roman" w:hAnsi="Times New Roman" w:cs="Times New Roman"/>
          <w:b/>
          <w:bCs/>
          <w:sz w:val="24"/>
          <w:szCs w:val="24"/>
          <w:highlight w:val="white"/>
        </w:rPr>
        <w:t>tivismo</w:t>
      </w:r>
      <w:proofErr w:type="spellEnd"/>
      <w:r w:rsidRPr="002451B6">
        <w:rPr>
          <w:rFonts w:ascii="Times New Roman" w:eastAsia="Times New Roman" w:hAnsi="Times New Roman" w:cs="Times New Roman"/>
          <w:b/>
          <w:bCs/>
          <w:sz w:val="24"/>
          <w:szCs w:val="24"/>
          <w:highlight w:val="white"/>
        </w:rPr>
        <w:t>: teoria e estética em mútua insurgência</w:t>
      </w:r>
    </w:p>
    <w:p w14:paraId="660887DC" w14:textId="77777777" w:rsidR="00332C33" w:rsidRPr="002451B6" w:rsidRDefault="00332C33">
      <w:pPr>
        <w:jc w:val="center"/>
        <w:rPr>
          <w:rFonts w:ascii="Times New Roman" w:eastAsia="Times New Roman" w:hAnsi="Times New Roman" w:cs="Times New Roman"/>
          <w:b/>
          <w:bCs/>
          <w:sz w:val="24"/>
          <w:szCs w:val="24"/>
          <w:highlight w:val="white"/>
        </w:rPr>
      </w:pPr>
    </w:p>
    <w:p w14:paraId="6B42DEB7" w14:textId="77777777" w:rsidR="00332C33" w:rsidRPr="002451B6" w:rsidRDefault="00332C33">
      <w:pPr>
        <w:spacing w:after="200" w:line="240" w:lineRule="auto"/>
        <w:jc w:val="center"/>
        <w:rPr>
          <w:rFonts w:ascii="Times New Roman" w:eastAsia="Times New Roman" w:hAnsi="Times New Roman" w:cs="Times New Roman"/>
          <w:i/>
          <w:iCs/>
          <w:sz w:val="24"/>
          <w:szCs w:val="24"/>
          <w:highlight w:val="white"/>
        </w:rPr>
      </w:pPr>
    </w:p>
    <w:p w14:paraId="7F66F502" w14:textId="77777777" w:rsidR="00332C33" w:rsidRPr="002451B6" w:rsidRDefault="00332C33">
      <w:pPr>
        <w:rPr>
          <w:rFonts w:ascii="Times New Roman" w:eastAsia="Times New Roman" w:hAnsi="Times New Roman" w:cs="Times New Roman"/>
          <w:b/>
          <w:bCs/>
          <w:sz w:val="24"/>
          <w:szCs w:val="24"/>
          <w:highlight w:val="yellow"/>
        </w:rPr>
      </w:pPr>
    </w:p>
    <w:p w14:paraId="2BD24889" w14:textId="77777777" w:rsidR="00332C33" w:rsidRPr="002451B6" w:rsidRDefault="00000000">
      <w:pPr>
        <w:spacing w:line="360" w:lineRule="auto"/>
        <w:ind w:left="2267"/>
        <w:jc w:val="right"/>
        <w:rPr>
          <w:rFonts w:ascii="Times New Roman" w:eastAsia="Times New Roman" w:hAnsi="Times New Roman" w:cs="Times New Roman"/>
          <w:sz w:val="20"/>
          <w:szCs w:val="20"/>
        </w:rPr>
      </w:pPr>
      <w:r w:rsidRPr="002451B6">
        <w:rPr>
          <w:rFonts w:ascii="Times New Roman" w:eastAsia="Times New Roman" w:hAnsi="Times New Roman" w:cs="Times New Roman"/>
          <w:i/>
          <w:iCs/>
          <w:sz w:val="20"/>
          <w:szCs w:val="20"/>
        </w:rPr>
        <w:t>Eu sou uma mulher negra e, a minha vida, a minha religião, a minha política, é uma política de mulheres negras</w:t>
      </w:r>
      <w:r w:rsidRPr="002451B6">
        <w:rPr>
          <w:rFonts w:ascii="Times New Roman" w:eastAsia="Times New Roman" w:hAnsi="Times New Roman" w:cs="Times New Roman"/>
          <w:sz w:val="20"/>
          <w:szCs w:val="20"/>
          <w:vertAlign w:val="superscript"/>
        </w:rPr>
        <w:footnoteReference w:id="1"/>
      </w:r>
      <w:r w:rsidRPr="002451B6">
        <w:rPr>
          <w:rFonts w:ascii="Times New Roman" w:eastAsia="Times New Roman" w:hAnsi="Times New Roman" w:cs="Times New Roman"/>
          <w:sz w:val="20"/>
          <w:szCs w:val="20"/>
        </w:rPr>
        <w:t>.</w:t>
      </w:r>
    </w:p>
    <w:p w14:paraId="3D357E85" w14:textId="77777777" w:rsidR="00332C33" w:rsidRPr="002451B6" w:rsidRDefault="00000000">
      <w:pPr>
        <w:spacing w:line="360" w:lineRule="auto"/>
        <w:jc w:val="right"/>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Val Souza, 2018. </w:t>
      </w:r>
    </w:p>
    <w:p w14:paraId="48438A7C" w14:textId="77777777" w:rsidR="00332C33" w:rsidRPr="002451B6" w:rsidRDefault="00332C33">
      <w:pPr>
        <w:spacing w:line="360" w:lineRule="auto"/>
        <w:jc w:val="both"/>
        <w:rPr>
          <w:rFonts w:ascii="Times New Roman" w:eastAsia="Times New Roman" w:hAnsi="Times New Roman" w:cs="Times New Roman"/>
          <w:i/>
          <w:iCs/>
          <w:sz w:val="24"/>
          <w:szCs w:val="24"/>
        </w:rPr>
      </w:pPr>
    </w:p>
    <w:p w14:paraId="62248C8A"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Introdução</w:t>
      </w:r>
    </w:p>
    <w:p w14:paraId="151CAB66" w14:textId="77777777" w:rsidR="00D51B02" w:rsidRPr="002451B6" w:rsidRDefault="00D51B02">
      <w:pPr>
        <w:spacing w:line="360" w:lineRule="auto"/>
        <w:jc w:val="both"/>
        <w:rPr>
          <w:rFonts w:ascii="Times New Roman" w:eastAsia="Times New Roman" w:hAnsi="Times New Roman" w:cs="Times New Roman"/>
          <w:b/>
          <w:bCs/>
          <w:sz w:val="24"/>
          <w:szCs w:val="24"/>
        </w:rPr>
      </w:pPr>
    </w:p>
    <w:p w14:paraId="2F306DA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Nas últimas décadas, a arte produzida por mulheres negras no Brasil tem se afirmado como campo de elaboração estética, política e epistemológica. Mais do que representação ou engajamento, essas produções instauram um modo de pensar e de sentir o mundo que tensiona a colonialidade das imagens e da própria ideia de conhecimento. É a partir dessa perspectiva que este artigo propõe discutir o pensamento feminista negro brasileiro em diálogo com o artivismo, entendendo que teoria e estética constituem um campo de mútua insurgência: o feminismo negro fornece às artistas categorias críticas e éticas, ao passo que as práticas artísticas devolvem ao feminismo negro novas formas de ver, criar e compreender o real.</w:t>
      </w:r>
    </w:p>
    <w:p w14:paraId="6FEAE87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objetivo deste capítulo é apresentar os principais conceitos que estruturam o feminismo negro brasileiro contemporâneo e demonstrar como esses referenciais são apropriados, tensionados e expandidos nas produções de Michelle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xml:space="preserve">, Priscila Rezende e Rosana Paulino. Parte-se da compreensão de que, no Brasil, o feminismo negro não se restringe a um movimento político de mulheres negras, mas constitui uma ação articulada entre prática militante, produção intelectual e intervenção estética. Como afirma </w:t>
      </w:r>
      <w:proofErr w:type="spellStart"/>
      <w:r w:rsidRPr="002451B6">
        <w:rPr>
          <w:rFonts w:ascii="Times New Roman" w:eastAsia="Times New Roman" w:hAnsi="Times New Roman" w:cs="Times New Roman"/>
          <w:sz w:val="24"/>
          <w:szCs w:val="24"/>
        </w:rPr>
        <w:t>Patricia</w:t>
      </w:r>
      <w:proofErr w:type="spellEnd"/>
      <w:r w:rsidRPr="002451B6">
        <w:rPr>
          <w:rFonts w:ascii="Times New Roman" w:eastAsia="Times New Roman" w:hAnsi="Times New Roman" w:cs="Times New Roman"/>
          <w:sz w:val="24"/>
          <w:szCs w:val="24"/>
        </w:rPr>
        <w:t xml:space="preserve"> Hill Collins, o feminismo negro “é simultaneamente uma teoria, uma política e uma prática social” (Collins, 2019, p. 38), razão pela qual não pode ser reduzido a um único campo de atuação.</w:t>
      </w:r>
    </w:p>
    <w:p w14:paraId="21E43C4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feminismo negro contemporâneo emerge, portanto, da confluência entre o ativismo histórico de mulheres negras, a ampliação das epistemologias críticas no campo acadêmico e o fortalecimento de redes de produção e circulação de saberes no ambiente digital. Essas dimensões articulam-se em torno de um mesmo propósito: transformar a experiência de opressão em instrumento de análise e criação, convertendo vivência em linguagem. Como </w:t>
      </w:r>
      <w:r w:rsidRPr="002451B6">
        <w:rPr>
          <w:rFonts w:ascii="Times New Roman" w:eastAsia="Times New Roman" w:hAnsi="Times New Roman" w:cs="Times New Roman"/>
          <w:sz w:val="24"/>
          <w:szCs w:val="24"/>
        </w:rPr>
        <w:lastRenderedPageBreak/>
        <w:t>observa Costa (2022), “a entrada de novos sujeitos no campo acadêmico tem impacto direto sobre o volume de uma produção intelectual que reflete a diversidade da realidade social” (p. 9).</w:t>
      </w:r>
    </w:p>
    <w:p w14:paraId="4BE921C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 novo sujeito político e intelectual rejeita enquadramentos racistas e reconfigura o mundo simbólico por meio de diferentes regimes de expressão, do discurso à imagem, da escrita à performance. Assim, o feminismo negro contemporâneo não apenas denuncia, mas elabora: falar de si, por si e para suas semelhantes torna-se estratégia epistêmica, afetiva e política. É nesse cruzamento entre teoria e sensibilidade, entre corpo e pensamento, que este capítulo situa o diálogo entre o feminismo negro e o artivismo de mulheres negras brasileiras.</w:t>
      </w:r>
    </w:p>
    <w:p w14:paraId="49C16253"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1AE5E93D"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Pensamento feminista negro como teoria social crítica</w:t>
      </w:r>
    </w:p>
    <w:p w14:paraId="01318FE6" w14:textId="77777777" w:rsidR="00332C33" w:rsidRPr="002451B6" w:rsidRDefault="00332C33">
      <w:pPr>
        <w:spacing w:line="360" w:lineRule="auto"/>
        <w:ind w:firstLine="720"/>
        <w:jc w:val="both"/>
        <w:rPr>
          <w:rFonts w:ascii="Times New Roman" w:eastAsia="Times New Roman" w:hAnsi="Times New Roman" w:cs="Times New Roman"/>
          <w:b/>
          <w:bCs/>
          <w:sz w:val="24"/>
          <w:szCs w:val="24"/>
        </w:rPr>
      </w:pPr>
    </w:p>
    <w:p w14:paraId="656A09A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Segundo Patrícia Hill Collins, o pensamento feminista negro constitui-se como um conjunto de ideias formuladas por mulheres negras a partir de suas experiências de enfrentamento às opressões interseccionais. Trata-se de uma produção de conhecimento enraizada no cotidiano e orientada por uma finalidade política: transformar as condições de existência das próprias mulheres negras (Collins, 2019). Ao elaborar interpretações do mundo desde perspectivas historicamente marginalizadas, esse pensamento oferece uma alternativa à epistemologia hegemônica e possibilita a construção de uma identidade coletiva autodefinida, sustentada em saberes subalternizados que se afirmam como base teórica e política de resistência (Collins, 2012).</w:t>
      </w:r>
    </w:p>
    <w:p w14:paraId="30010DC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Essa centralidade da experiência como fundamento analítico implica reconhecer que o pensamento feminista negro nasce de um lugar social específico: o das mulheres negras submetidas a opressões </w:t>
      </w:r>
      <w:proofErr w:type="spellStart"/>
      <w:r w:rsidRPr="002451B6">
        <w:rPr>
          <w:rFonts w:ascii="Times New Roman" w:eastAsia="Times New Roman" w:hAnsi="Times New Roman" w:cs="Times New Roman"/>
          <w:sz w:val="24"/>
          <w:szCs w:val="24"/>
        </w:rPr>
        <w:t>racializadas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generificadas</w:t>
      </w:r>
      <w:proofErr w:type="spellEnd"/>
      <w:r w:rsidRPr="002451B6">
        <w:rPr>
          <w:rFonts w:ascii="Times New Roman" w:eastAsia="Times New Roman" w:hAnsi="Times New Roman" w:cs="Times New Roman"/>
          <w:sz w:val="24"/>
          <w:szCs w:val="24"/>
        </w:rPr>
        <w:t xml:space="preserve"> e classistas. Esse ponto de vista situado produz leituras que não poderiam emergir dos lugares de enunciação hegemônicos, razão pela qual Collins, em diálogo com Hull et al. (2015) afirma que intelectuais negras produzem conhecimento desde a marginalidade, e é justamente dessa localização que derivam interpretações criativas sobre raça, gênero e poder (Collins, 2016). A autora sustenta que teoria e ação são dimensões indissociáveis: mudanças na consciência produzem novas práticas, e transformações na experiência geram novas formas de pensamento.</w:t>
      </w:r>
    </w:p>
    <w:p w14:paraId="3379925C" w14:textId="064E0D1A"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Brasil, essa formulação encontra ressonância, mas também produz desdobramentos próprios. Ainda que não exista um corpo teórico unificado, há uma tradição consistente de pensamento feminista negro brasileiro que se estrutura a partir das décadas de 1970 e 1980, com autoras como Lélia Gonzalez, Beatriz Nascimento, Sueli Carneiro, Thereza Santos, Edna </w:t>
      </w:r>
      <w:r w:rsidRPr="002451B6">
        <w:rPr>
          <w:rFonts w:ascii="Times New Roman" w:eastAsia="Times New Roman" w:hAnsi="Times New Roman" w:cs="Times New Roman"/>
          <w:sz w:val="24"/>
          <w:szCs w:val="24"/>
        </w:rPr>
        <w:lastRenderedPageBreak/>
        <w:t xml:space="preserve">Roland, Luiza Bairros e Fátima Oliveira (Caldwell, 2010). Suas intervenções </w:t>
      </w:r>
      <w:r w:rsidR="00BD24A7" w:rsidRPr="002451B6">
        <w:rPr>
          <w:rFonts w:ascii="Times New Roman" w:eastAsia="Times New Roman" w:hAnsi="Times New Roman" w:cs="Times New Roman"/>
          <w:sz w:val="24"/>
          <w:szCs w:val="24"/>
        </w:rPr>
        <w:t>- intelectuais</w:t>
      </w:r>
      <w:r w:rsidRPr="002451B6">
        <w:rPr>
          <w:rFonts w:ascii="Times New Roman" w:eastAsia="Times New Roman" w:hAnsi="Times New Roman" w:cs="Times New Roman"/>
          <w:sz w:val="24"/>
          <w:szCs w:val="24"/>
        </w:rPr>
        <w:t>, militantes, artísticas e pedagógicas - consolidaram um campo de reflexão no qual a produção de conhecimento nunca esteve separada da prática política.</w:t>
      </w:r>
    </w:p>
    <w:p w14:paraId="59F0A6D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 processo, no entanto, não ocorreu sem disputas. Muitas mulheres negras recusaram inicialmente a identificação com o termo “feminismo”, tanto pelos estigmas que o associavam a mulheres brancas de classe média, quanto pela crítica à ideia de que o homem negro deveria ser posicionado como inimigo político (Barreto, 2005). Jurema Werneck é exemplo emblemático: fundadora da ONG Criola, ela afirma não se reconhecer como feminista porque entende que o movimento de mulheres negras no Brasil antecede e excede o feminismo tal como concebido no Ocidente (Cardoso, 2012).</w:t>
      </w:r>
    </w:p>
    <w:p w14:paraId="003C8023"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Esse tensionamento não representa um afastamento teórico, mas a formulação de outro sistema de referências. Daí emergem categorias como amefricanidade (Gonzalez), racismo </w:t>
      </w:r>
      <w:proofErr w:type="spellStart"/>
      <w:r w:rsidRPr="002451B6">
        <w:rPr>
          <w:rFonts w:ascii="Times New Roman" w:eastAsia="Times New Roman" w:hAnsi="Times New Roman" w:cs="Times New Roman"/>
          <w:sz w:val="24"/>
          <w:szCs w:val="24"/>
        </w:rPr>
        <w:t>gendrado</w:t>
      </w:r>
      <w:proofErr w:type="spellEnd"/>
      <w:r w:rsidRPr="002451B6">
        <w:rPr>
          <w:rFonts w:ascii="Times New Roman" w:eastAsia="Times New Roman" w:hAnsi="Times New Roman" w:cs="Times New Roman"/>
          <w:sz w:val="24"/>
          <w:szCs w:val="24"/>
        </w:rPr>
        <w:t xml:space="preserve"> (Carneiro) e sujeito negro posicionado (Nascimento), que evidenciam que o feminismo negro brasileiro não se limita a aplicar teorias formuladas em outros contextos: ele elabora conceitos próprios a partir da experiência histórica da diáspora no Sul global.</w:t>
      </w:r>
    </w:p>
    <w:p w14:paraId="2C0C7AE2"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75D30478"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Do pensamento feminista negro à amefricanidade</w:t>
      </w:r>
    </w:p>
    <w:p w14:paraId="3B5F6C0D" w14:textId="77777777" w:rsidR="00332C33" w:rsidRPr="002451B6" w:rsidRDefault="00332C33">
      <w:pPr>
        <w:spacing w:line="360" w:lineRule="auto"/>
        <w:ind w:firstLine="720"/>
        <w:jc w:val="both"/>
        <w:rPr>
          <w:rFonts w:ascii="Times New Roman" w:eastAsia="Times New Roman" w:hAnsi="Times New Roman" w:cs="Times New Roman"/>
          <w:b/>
          <w:bCs/>
          <w:sz w:val="24"/>
          <w:szCs w:val="24"/>
        </w:rPr>
      </w:pPr>
    </w:p>
    <w:p w14:paraId="56C0FD5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Lélia Gonzalez (2020) propõe a amefricanidade como uma categoria epistemológica capaz de recentrar sujeitos historicamente marginalizados (negros, indígenas, mulheres e demais populações subalternizadas) como produtores legítimos de conhecimento. Como observa Cardoso (2012), ao tomar as experiências de resistência ao racismo, ao sexismo e ao colonialismo como ponto de partida, Lélia desloca a análise da periferia para o centro, afirmando um modo de pensar enraizado nas histórias da diáspora africana, do genocídio indígena e de seus desdobramentos culturais. Sua aposta é clara: descolonizar o pensamento a partir de categorias oriundas da cultura negra (Cardoso, 2012, p. 120).</w:t>
      </w:r>
    </w:p>
    <w:p w14:paraId="44C3216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Em sintonia com esse gesto de ruptura, Lélia contesta o próprio termo “América Latina” e propõe “</w:t>
      </w:r>
      <w:proofErr w:type="spellStart"/>
      <w:r w:rsidRPr="002451B6">
        <w:rPr>
          <w:rFonts w:ascii="Times New Roman" w:eastAsia="Times New Roman" w:hAnsi="Times New Roman" w:cs="Times New Roman"/>
          <w:sz w:val="24"/>
          <w:szCs w:val="24"/>
        </w:rPr>
        <w:t>Améfrica</w:t>
      </w:r>
      <w:proofErr w:type="spellEnd"/>
      <w:r w:rsidRPr="002451B6">
        <w:rPr>
          <w:rFonts w:ascii="Times New Roman" w:eastAsia="Times New Roman" w:hAnsi="Times New Roman" w:cs="Times New Roman"/>
          <w:sz w:val="24"/>
          <w:szCs w:val="24"/>
        </w:rPr>
        <w:t xml:space="preserve"> Ladina” - expressão que, segundo Bairros (2000), evidencia tanto a presença constitutiva de matrizes africanas e ameríndias quanto a herança ibérica marcada pela dominação moura. A renomeação explicita a estrutura </w:t>
      </w:r>
      <w:proofErr w:type="spellStart"/>
      <w:r w:rsidRPr="002451B6">
        <w:rPr>
          <w:rFonts w:ascii="Times New Roman" w:eastAsia="Times New Roman" w:hAnsi="Times New Roman" w:cs="Times New Roman"/>
          <w:sz w:val="24"/>
          <w:szCs w:val="24"/>
        </w:rPr>
        <w:t>racializada</w:t>
      </w:r>
      <w:proofErr w:type="spellEnd"/>
      <w:r w:rsidRPr="002451B6">
        <w:rPr>
          <w:rFonts w:ascii="Times New Roman" w:eastAsia="Times New Roman" w:hAnsi="Times New Roman" w:cs="Times New Roman"/>
          <w:sz w:val="24"/>
          <w:szCs w:val="24"/>
        </w:rPr>
        <w:t xml:space="preserve"> do continente e a tentativa permanente de silenciar os “testemunhos vivos” da </w:t>
      </w:r>
      <w:proofErr w:type="spellStart"/>
      <w:r w:rsidRPr="002451B6">
        <w:rPr>
          <w:rFonts w:ascii="Times New Roman" w:eastAsia="Times New Roman" w:hAnsi="Times New Roman" w:cs="Times New Roman"/>
          <w:sz w:val="24"/>
          <w:szCs w:val="24"/>
        </w:rPr>
        <w:t>ladinoamefricanidade</w:t>
      </w:r>
      <w:proofErr w:type="spellEnd"/>
      <w:r w:rsidRPr="002451B6">
        <w:rPr>
          <w:rFonts w:ascii="Times New Roman" w:eastAsia="Times New Roman" w:hAnsi="Times New Roman" w:cs="Times New Roman"/>
          <w:sz w:val="24"/>
          <w:szCs w:val="24"/>
        </w:rPr>
        <w:t>, isto é, das existências que desmentem a narrativa oficial (Bairros, 2000, p. 6).</w:t>
      </w:r>
    </w:p>
    <w:p w14:paraId="0CE48A5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interior da categoria amefricanidade, Lélia articula raça, gênero, classe e poder para analisar a condição das mulheres </w:t>
      </w:r>
      <w:proofErr w:type="spellStart"/>
      <w:r w:rsidRPr="002451B6">
        <w:rPr>
          <w:rFonts w:ascii="Times New Roman" w:eastAsia="Times New Roman" w:hAnsi="Times New Roman" w:cs="Times New Roman"/>
          <w:sz w:val="24"/>
          <w:szCs w:val="24"/>
        </w:rPr>
        <w:t>afroameríndias</w:t>
      </w:r>
      <w:proofErr w:type="spellEnd"/>
      <w:r w:rsidRPr="002451B6">
        <w:rPr>
          <w:rFonts w:ascii="Times New Roman" w:eastAsia="Times New Roman" w:hAnsi="Times New Roman" w:cs="Times New Roman"/>
          <w:sz w:val="24"/>
          <w:szCs w:val="24"/>
        </w:rPr>
        <w:t xml:space="preserve">, submetidas a um “racismo de gênero” (ou </w:t>
      </w:r>
      <w:r w:rsidRPr="002451B6">
        <w:rPr>
          <w:rFonts w:ascii="Times New Roman" w:eastAsia="Times New Roman" w:hAnsi="Times New Roman" w:cs="Times New Roman"/>
          <w:sz w:val="24"/>
          <w:szCs w:val="24"/>
        </w:rPr>
        <w:lastRenderedPageBreak/>
        <w:t xml:space="preserve">racismo </w:t>
      </w:r>
      <w:proofErr w:type="spellStart"/>
      <w:r w:rsidRPr="002451B6">
        <w:rPr>
          <w:rFonts w:ascii="Times New Roman" w:eastAsia="Times New Roman" w:hAnsi="Times New Roman" w:cs="Times New Roman"/>
          <w:sz w:val="24"/>
          <w:szCs w:val="24"/>
        </w:rPr>
        <w:t>gendrado</w:t>
      </w:r>
      <w:proofErr w:type="spellEnd"/>
      <w:r w:rsidRPr="002451B6">
        <w:rPr>
          <w:rFonts w:ascii="Times New Roman" w:eastAsia="Times New Roman" w:hAnsi="Times New Roman" w:cs="Times New Roman"/>
          <w:sz w:val="24"/>
          <w:szCs w:val="24"/>
        </w:rPr>
        <w:t>) que desumaniza o corpo feminino negro ao combinar estigmatização e erotização compulsória (Cardoso, 2012, p. 125). A formulação evidencia o lugar estruturante da raça no feminismo negro e ajuda a compreender os tensionamentos com setores do feminismo branco, para os quais a dimensão racial ocupa posição secundária.</w:t>
      </w:r>
    </w:p>
    <w:p w14:paraId="369BE80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Essa discussão é aprofundada por Sueli Carneiro (2003), ao demonstrar que a variável racial produz hierarquias internas ao próprio gênero: mulheres negras são estigmatizadas e homens negros têm seu status rebaixado a posições inferiores às das mulheres brancas. Assim, o racismo não apenas organiza desigualdades entre brancos e negros, mas redefine o que conta como “homem” e “mulher” dentro da ordem social. Por isso, afirma Carneiro, a igualdade </w:t>
      </w:r>
      <w:proofErr w:type="spellStart"/>
      <w:r w:rsidRPr="002451B6">
        <w:rPr>
          <w:rFonts w:ascii="Times New Roman" w:eastAsia="Times New Roman" w:hAnsi="Times New Roman" w:cs="Times New Roman"/>
          <w:sz w:val="24"/>
          <w:szCs w:val="24"/>
        </w:rPr>
        <w:t>intragênero</w:t>
      </w:r>
      <w:proofErr w:type="spellEnd"/>
      <w:r w:rsidRPr="002451B6">
        <w:rPr>
          <w:rFonts w:ascii="Times New Roman" w:eastAsia="Times New Roman" w:hAnsi="Times New Roman" w:cs="Times New Roman"/>
          <w:sz w:val="24"/>
          <w:szCs w:val="24"/>
        </w:rPr>
        <w:t xml:space="preserve"> tomada a partir do modelo do grupo racial dominante é apenas o primeiro patamar de justiça social (Carneiro, 2003, p. 119).</w:t>
      </w:r>
    </w:p>
    <w:p w14:paraId="16200AE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disputa pelo direito de produzir conhecimento a partir da experiência negra não se encerra com Lélia Gonzalez. Outras intelectuais brasileiras, como Beatriz Nascimento e Nilma Lino Gomes, ampliam essa crítica ao denunciar a forma como o racismo estrutura o campo científico e ao reivindicar epistemologias formuladas desde lugares historicamente subalternizados.</w:t>
      </w:r>
    </w:p>
    <w:p w14:paraId="664F6E5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Beatriz Nascimento demonstra que a cultura negro-brasileira resulta tanto das matrizes africanas preservadas quanto dos dispositivos de subjugação que sustentaram a ordem racial no Brasil. Para ela, essas culturas devem ser reelaboradas pelos próprios sujeitos negros, eliminando as marcas de submissão que sobreviveram ao pós-abolição (</w:t>
      </w:r>
      <w:proofErr w:type="spellStart"/>
      <w:r w:rsidRPr="002451B6">
        <w:rPr>
          <w:rFonts w:ascii="Times New Roman" w:eastAsia="Times New Roman" w:hAnsi="Times New Roman" w:cs="Times New Roman"/>
          <w:sz w:val="24"/>
          <w:szCs w:val="24"/>
        </w:rPr>
        <w:t>Ratts</w:t>
      </w:r>
      <w:proofErr w:type="spellEnd"/>
      <w:r w:rsidRPr="002451B6">
        <w:rPr>
          <w:rFonts w:ascii="Times New Roman" w:eastAsia="Times New Roman" w:hAnsi="Times New Roman" w:cs="Times New Roman"/>
          <w:sz w:val="24"/>
          <w:szCs w:val="24"/>
        </w:rPr>
        <w:t xml:space="preserve">, 2006). Nascimento questiona ainda termos como “integração”, “aceitação” e “igualdade”, por refletirem a lógica do grupo dominante. Em seu lugar, defende que pessoas negras formulem categorias próprias, ancoradas na experiência do sujeito </w:t>
      </w:r>
      <w:proofErr w:type="spellStart"/>
      <w:r w:rsidRPr="002451B6">
        <w:rPr>
          <w:rFonts w:ascii="Times New Roman" w:eastAsia="Times New Roman" w:hAnsi="Times New Roman" w:cs="Times New Roman"/>
          <w:sz w:val="24"/>
          <w:szCs w:val="24"/>
        </w:rPr>
        <w:t>racializado</w:t>
      </w:r>
      <w:proofErr w:type="spellEnd"/>
      <w:r w:rsidRPr="002451B6">
        <w:rPr>
          <w:rFonts w:ascii="Times New Roman" w:eastAsia="Times New Roman" w:hAnsi="Times New Roman" w:cs="Times New Roman"/>
          <w:sz w:val="24"/>
          <w:szCs w:val="24"/>
        </w:rPr>
        <w:t>.</w:t>
      </w:r>
    </w:p>
    <w:p w14:paraId="1049472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 deslocamento epistemológico é retomado por Gomes (2010), ao evidenciar a articulação entre universidade, ciência e a distribuição hierárquica do saber, que privilegia leituras brancas como referência universal. O desafio, afirma a autora, não é apenas incluir sujeitos negros no espaço acadêmico, mas transformar os critérios de validação do conhecimento, reconhecendo que desigualdades de raça, gênero, classe e sexualidade operam de forma imbricada e não hierarquizável (Gomes, 2010, p. 443–444).</w:t>
      </w:r>
    </w:p>
    <w:p w14:paraId="663AFEC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Assumir uma posição enunciativa situada na experiência negra implica tensionar territórios consolidados das ciências humanas, produzindo análises que desestabilizam consensos e revelam a marca racial daquilo que se apresenta como neutro. Como observa Gomes (2010), a presença desses novos sujeitos epistêmicos enriquece o campo, ao mesmo </w:t>
      </w:r>
      <w:r w:rsidRPr="002451B6">
        <w:rPr>
          <w:rFonts w:ascii="Times New Roman" w:eastAsia="Times New Roman" w:hAnsi="Times New Roman" w:cs="Times New Roman"/>
          <w:sz w:val="24"/>
          <w:szCs w:val="24"/>
        </w:rPr>
        <w:lastRenderedPageBreak/>
        <w:t>tempo em que provoca incômodo entre defensores da suposta “neutralidade” científica, neutralidade que, na prática, preserva o ponto de vista branco dominante (p. 444–445).</w:t>
      </w:r>
    </w:p>
    <w:p w14:paraId="004C0151"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7EDB33AC"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A imagem como controle: estereótipos e dominação simbólica</w:t>
      </w:r>
    </w:p>
    <w:p w14:paraId="3A5A56FB" w14:textId="77777777" w:rsidR="00332C33" w:rsidRPr="002451B6" w:rsidRDefault="00332C33">
      <w:pPr>
        <w:spacing w:line="360" w:lineRule="auto"/>
        <w:ind w:firstLine="720"/>
        <w:jc w:val="both"/>
        <w:rPr>
          <w:rFonts w:ascii="Times New Roman" w:eastAsia="Times New Roman" w:hAnsi="Times New Roman" w:cs="Times New Roman"/>
          <w:b/>
          <w:bCs/>
          <w:sz w:val="24"/>
          <w:szCs w:val="24"/>
        </w:rPr>
      </w:pPr>
    </w:p>
    <w:p w14:paraId="36C7A90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narrativas hegemônicas produzidas pelo racismo moldam regimes de representação que afetam a autoimagem, a autoestima e o senso de pertencimento racial das populações negras. Stuart Hall (2016) demonstra que a oposição entre “cultura” e “natureza” foi historicamente mobilizada para hierarquizar brancos e negros: enquanto os primeiros foram associados à razão, civilização e humanidade, os segundos foram reduzidos ao corpo, ao instinto e à animalidade (p. 168). Esse enquadramento simbólico sustenta a estereotipagem, processo que fixa grupos sociais em atributos simplificados como “preguiçosos, malandros, bestiais, ignorantes” e funciona como mecanismo de manutenção da ordem social e simbólica, sobretudo em sociedades marcadas por forte desigualdade racial (Hall, 2016, p. 173; 192–193).</w:t>
      </w:r>
    </w:p>
    <w:p w14:paraId="24AC8D8C" w14:textId="77777777" w:rsidR="00332C33" w:rsidRPr="002451B6" w:rsidRDefault="00000000">
      <w:pPr>
        <w:spacing w:line="360" w:lineRule="auto"/>
        <w:ind w:firstLine="720"/>
        <w:jc w:val="both"/>
        <w:rPr>
          <w:rFonts w:ascii="Times New Roman" w:eastAsia="Times New Roman" w:hAnsi="Times New Roman" w:cs="Times New Roman"/>
          <w:sz w:val="24"/>
          <w:szCs w:val="24"/>
        </w:rPr>
      </w:pPr>
      <w:proofErr w:type="spellStart"/>
      <w:r w:rsidRPr="002451B6">
        <w:rPr>
          <w:rFonts w:ascii="Times New Roman" w:eastAsia="Times New Roman" w:hAnsi="Times New Roman" w:cs="Times New Roman"/>
          <w:sz w:val="24"/>
          <w:szCs w:val="24"/>
        </w:rPr>
        <w:t>Patricia</w:t>
      </w:r>
      <w:proofErr w:type="spellEnd"/>
      <w:r w:rsidRPr="002451B6">
        <w:rPr>
          <w:rFonts w:ascii="Times New Roman" w:eastAsia="Times New Roman" w:hAnsi="Times New Roman" w:cs="Times New Roman"/>
          <w:sz w:val="24"/>
          <w:szCs w:val="24"/>
        </w:rPr>
        <w:t xml:space="preserve"> Hill Collins amplia essa análise ao demonstrar que os estereótipos não operam de forma isolada: eles integram sistemas de poder que mobilizam tais representações para organizar posições sociais e regular comportamentos. É nesse contexto que a autora formula o conceito de imagens de controle, definindo-as como dispositivos que naturalizam desigualdades e regulam o modo como grupos </w:t>
      </w:r>
      <w:proofErr w:type="spellStart"/>
      <w:r w:rsidRPr="002451B6">
        <w:rPr>
          <w:rFonts w:ascii="Times New Roman" w:eastAsia="Times New Roman" w:hAnsi="Times New Roman" w:cs="Times New Roman"/>
          <w:sz w:val="24"/>
          <w:szCs w:val="24"/>
        </w:rPr>
        <w:t>racializados</w:t>
      </w:r>
      <w:proofErr w:type="spellEnd"/>
      <w:r w:rsidRPr="002451B6">
        <w:rPr>
          <w:rFonts w:ascii="Times New Roman" w:eastAsia="Times New Roman" w:hAnsi="Times New Roman" w:cs="Times New Roman"/>
          <w:sz w:val="24"/>
          <w:szCs w:val="24"/>
        </w:rPr>
        <w:t xml:space="preserve"> devem existir no mundo (Costa; Pereira, 2021). Exemplos como a </w:t>
      </w:r>
      <w:proofErr w:type="spellStart"/>
      <w:r w:rsidRPr="002451B6">
        <w:rPr>
          <w:rFonts w:ascii="Times New Roman" w:eastAsia="Times New Roman" w:hAnsi="Times New Roman" w:cs="Times New Roman"/>
          <w:sz w:val="24"/>
          <w:szCs w:val="24"/>
        </w:rPr>
        <w:t>Mammy</w:t>
      </w:r>
      <w:proofErr w:type="spellEnd"/>
      <w:r w:rsidRPr="002451B6">
        <w:rPr>
          <w:rFonts w:ascii="Times New Roman" w:eastAsia="Times New Roman" w:hAnsi="Times New Roman" w:cs="Times New Roman"/>
          <w:sz w:val="24"/>
          <w:szCs w:val="24"/>
        </w:rPr>
        <w:t xml:space="preserve"> e a Jezebel, nos Estados Unidos, ou seus equivalentes brasileiros (a Mãe Preta e a mulata) revelam o duplo efeito dessas imagens: desumanizam e, simultaneamente, prescrevem papéis sociais.</w:t>
      </w:r>
    </w:p>
    <w:p w14:paraId="0ABEEE1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Para Collins (2016), o enfrentamento dessas tecnologias de dominação não se limita à correção de estereótipos, pois o problema não é apenas cognitivo, mas estrutural. O contraponto é a autodefinição, acompanhada de processos de autoavaliação capazes de produzir representações criadas pelas próprias mulheres negras, em vez de reproduzir imagens impostas. Assim, a luta pela reconstrução simbólica do corpo, da estética, da religiosidade, da sexualidade e da intelectualidade negras constitui tarefa histórica do movimento negro e, em particular, do feminismo negro (Domingues, 2009; Lima, 2011).</w:t>
      </w:r>
    </w:p>
    <w:p w14:paraId="59C0544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 o olhar racista produz imagens de controle que aprisionam a mulher negra em papéis sociais pré-definidos, o pensamento feminista negro responde criando </w:t>
      </w:r>
      <w:proofErr w:type="spellStart"/>
      <w:r w:rsidRPr="002451B6">
        <w:rPr>
          <w:rFonts w:ascii="Times New Roman" w:eastAsia="Times New Roman" w:hAnsi="Times New Roman" w:cs="Times New Roman"/>
          <w:sz w:val="24"/>
          <w:szCs w:val="24"/>
        </w:rPr>
        <w:t>contraimagens</w:t>
      </w:r>
      <w:proofErr w:type="spellEnd"/>
      <w:r w:rsidRPr="002451B6">
        <w:rPr>
          <w:rFonts w:ascii="Times New Roman" w:eastAsia="Times New Roman" w:hAnsi="Times New Roman" w:cs="Times New Roman"/>
          <w:sz w:val="24"/>
          <w:szCs w:val="24"/>
        </w:rPr>
        <w:t xml:space="preserve"> - modos de ver, sentir e existir que rompem com o regime de representação colonial.</w:t>
      </w:r>
    </w:p>
    <w:p w14:paraId="7299B25B" w14:textId="77777777" w:rsidR="00D51B02" w:rsidRPr="002451B6" w:rsidRDefault="00D51B02">
      <w:pPr>
        <w:spacing w:line="360" w:lineRule="auto"/>
        <w:ind w:firstLine="720"/>
        <w:jc w:val="both"/>
        <w:rPr>
          <w:rFonts w:ascii="Times New Roman" w:eastAsia="Times New Roman" w:hAnsi="Times New Roman" w:cs="Times New Roman"/>
          <w:sz w:val="24"/>
          <w:szCs w:val="24"/>
        </w:rPr>
      </w:pPr>
    </w:p>
    <w:p w14:paraId="426DE78F"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A imagem como insurgência: epistemologias negras</w:t>
      </w:r>
    </w:p>
    <w:p w14:paraId="0D592288" w14:textId="77777777" w:rsidR="00332C33" w:rsidRPr="002451B6" w:rsidRDefault="00332C33">
      <w:pPr>
        <w:spacing w:line="360" w:lineRule="auto"/>
        <w:ind w:firstLine="720"/>
        <w:jc w:val="both"/>
        <w:rPr>
          <w:rFonts w:ascii="Times New Roman" w:eastAsia="Times New Roman" w:hAnsi="Times New Roman" w:cs="Times New Roman"/>
          <w:b/>
          <w:bCs/>
          <w:sz w:val="24"/>
          <w:szCs w:val="24"/>
        </w:rPr>
      </w:pPr>
    </w:p>
    <w:p w14:paraId="2F8E7D1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deslocamento epistemológico operado pelo feminismo negro não se limita ao campo conceitual: ele alcança também as linguagens do sensível. É nesse ponto que as contribuições de Luiz Rufino (2019) e Rosana Paulino (2020) ampliam o debate, ao afirmarem que as epistemologias negras não apenas contestam o cânone, mas reinventam modos de ver, sentir e produzir conhecimento. Rufino propõe uma “epistemologia do desvio”, que legitima saberes forjados nas margens, nas encruzilhadas e nos corpos </w:t>
      </w:r>
      <w:proofErr w:type="spellStart"/>
      <w:r w:rsidRPr="002451B6">
        <w:rPr>
          <w:rFonts w:ascii="Times New Roman" w:eastAsia="Times New Roman" w:hAnsi="Times New Roman" w:cs="Times New Roman"/>
          <w:sz w:val="24"/>
          <w:szCs w:val="24"/>
        </w:rPr>
        <w:t>racializados</w:t>
      </w:r>
      <w:proofErr w:type="spellEnd"/>
      <w:r w:rsidRPr="002451B6">
        <w:rPr>
          <w:rFonts w:ascii="Times New Roman" w:eastAsia="Times New Roman" w:hAnsi="Times New Roman" w:cs="Times New Roman"/>
          <w:sz w:val="24"/>
          <w:szCs w:val="24"/>
        </w:rPr>
        <w:t>. Paulino, por sua vez, reivindica o reconhecimento das diferentes formas de conhecimento inscritas na arte afro-brasileira, recusando a leitura colonial que a reduz à exotização ou ao folclore. Em ambas as formulações, o saber negro é gesto, corpo, imagem e materialidade.</w:t>
      </w:r>
    </w:p>
    <w:p w14:paraId="0862CD3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Essa concepção do conhecimento como experiência situada já formulada por Patrícia Hill Collins e aprofundada por Beatriz Nascimento é retomada também por Gomes (2010). Assim como Collins demonstra que teorias produzidas a partir da vivência das mulheres negras desestabilizam as hierarquias epistêmicas do Ocidente, e como Nascimento reivindica categorias analíticas criadas pelo próprio sujeito </w:t>
      </w:r>
      <w:proofErr w:type="spellStart"/>
      <w:r w:rsidRPr="002451B6">
        <w:rPr>
          <w:rFonts w:ascii="Times New Roman" w:eastAsia="Times New Roman" w:hAnsi="Times New Roman" w:cs="Times New Roman"/>
          <w:sz w:val="24"/>
          <w:szCs w:val="24"/>
        </w:rPr>
        <w:t>racializado</w:t>
      </w:r>
      <w:proofErr w:type="spellEnd"/>
      <w:r w:rsidRPr="002451B6">
        <w:rPr>
          <w:rFonts w:ascii="Times New Roman" w:eastAsia="Times New Roman" w:hAnsi="Times New Roman" w:cs="Times New Roman"/>
          <w:sz w:val="24"/>
          <w:szCs w:val="24"/>
        </w:rPr>
        <w:t xml:space="preserve">, Gomes observa que, quando pessoas negras assumem a produção de saberes ancorados em sua experiência coletiva, elas não apenas ampliam o repertório intelectual disponível, mas expõem o caráter </w:t>
      </w:r>
      <w:proofErr w:type="spellStart"/>
      <w:r w:rsidRPr="002451B6">
        <w:rPr>
          <w:rFonts w:ascii="Times New Roman" w:eastAsia="Times New Roman" w:hAnsi="Times New Roman" w:cs="Times New Roman"/>
          <w:sz w:val="24"/>
          <w:szCs w:val="24"/>
        </w:rPr>
        <w:t>racializado</w:t>
      </w:r>
      <w:proofErr w:type="spellEnd"/>
      <w:r w:rsidRPr="002451B6">
        <w:rPr>
          <w:rFonts w:ascii="Times New Roman" w:eastAsia="Times New Roman" w:hAnsi="Times New Roman" w:cs="Times New Roman"/>
          <w:sz w:val="24"/>
          <w:szCs w:val="24"/>
        </w:rPr>
        <w:t xml:space="preserve"> da suposta neutralidade científica. O que está em disputa, portanto, não é apenas quem produz conhecimento, mas quais formas de vida são reconhecidas como produtoras de conhecimento.</w:t>
      </w:r>
    </w:p>
    <w:p w14:paraId="51670D8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Nesse sentido, a vertente artivista do feminismo negro brasileiro pode ser compreendida como uma pedagogia das encruzilhadas (Rufino, 2019), na qual ancestralidade, corporeidade e invenção cotidiana se cruzam para criar epistemologias insurgentes. Trata-se de uma pedagogia que não se limita a explicar o mundo, ela o encena, o corporifica, o performa. É esse mesmo princípio que atravessa as performances de Michelle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Priscila Rezende e a produção de Rosana Paulino, em que o corpo negro deixa de ser objeto de representação e se torna agente de pensamento.</w:t>
      </w:r>
    </w:p>
    <w:p w14:paraId="797F7C89"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2AD99B51"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O corpo como pensamento visual: artivismo e reexistência em Michelle </w:t>
      </w:r>
      <w:proofErr w:type="spellStart"/>
      <w:r w:rsidRPr="002451B6">
        <w:rPr>
          <w:rFonts w:ascii="Times New Roman" w:eastAsia="Times New Roman" w:hAnsi="Times New Roman" w:cs="Times New Roman"/>
          <w:b/>
          <w:bCs/>
          <w:sz w:val="24"/>
          <w:szCs w:val="24"/>
        </w:rPr>
        <w:t>Mattiuzzi</w:t>
      </w:r>
      <w:proofErr w:type="spellEnd"/>
      <w:r w:rsidRPr="002451B6">
        <w:rPr>
          <w:rFonts w:ascii="Times New Roman" w:eastAsia="Times New Roman" w:hAnsi="Times New Roman" w:cs="Times New Roman"/>
          <w:b/>
          <w:bCs/>
          <w:sz w:val="24"/>
          <w:szCs w:val="24"/>
        </w:rPr>
        <w:t>, Priscila Rezende e Rosana Paulino</w:t>
      </w:r>
    </w:p>
    <w:p w14:paraId="79283C87"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17A6F98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aproximação entre pensamento feminista negro e produção artística parte da compreensão de que, para mulheres negras, a arte não constitui apenas um campo expressivo, mas também um espaço de formulação política e epistêmica. Nas últimas décadas, artistas e coletivos feministas negros têm expandido o campo de atuação do movimento para as </w:t>
      </w:r>
      <w:r w:rsidRPr="002451B6">
        <w:rPr>
          <w:rFonts w:ascii="Times New Roman" w:eastAsia="Times New Roman" w:hAnsi="Times New Roman" w:cs="Times New Roman"/>
          <w:sz w:val="24"/>
          <w:szCs w:val="24"/>
        </w:rPr>
        <w:lastRenderedPageBreak/>
        <w:t>linguagens do sensível, incorporando a performance, as artes visuais e os ambientes digitais como práticas de descolonização e reexistência (Lima, 2025). Nesse processo, a arte deixa de operar como mera ilustração da teoria e converte-se em um de seus lugares de produção.</w:t>
      </w:r>
    </w:p>
    <w:p w14:paraId="7BBFC53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conceito de artivismo designa essa articulação entre criação estética e ação política. Diferentemente da arte engajada em sentido tradicional, o artivismo feminista não se limita à denúncia: ele propõe a invenção de modos de existir que escapam aos regimes de controle racial, estético e sexual (</w:t>
      </w:r>
      <w:proofErr w:type="spellStart"/>
      <w:r w:rsidRPr="002451B6">
        <w:rPr>
          <w:rFonts w:ascii="Times New Roman" w:eastAsia="Times New Roman" w:hAnsi="Times New Roman" w:cs="Times New Roman"/>
          <w:sz w:val="24"/>
          <w:szCs w:val="24"/>
        </w:rPr>
        <w:t>Stubs</w:t>
      </w:r>
      <w:proofErr w:type="spellEnd"/>
      <w:r w:rsidRPr="002451B6">
        <w:rPr>
          <w:rFonts w:ascii="Times New Roman" w:eastAsia="Times New Roman" w:hAnsi="Times New Roman" w:cs="Times New Roman"/>
          <w:sz w:val="24"/>
          <w:szCs w:val="24"/>
        </w:rPr>
        <w:t xml:space="preserve"> et al., 2018). Ao mobilizar corpo, memória e imagem como instrumentos de crítica, essa prática afirma o direito à autodefinição e à produção de subjetividade, dimensões centrais do feminismo negro (Collins, 2016). Assim, o artivismo opera como gesto de (r)existência: produz conhecimento situado, desloca narrativas hegemônicas e cria gramáticas visuais alternativas às impostas pelo olhar colonial.</w:t>
      </w:r>
    </w:p>
    <w:p w14:paraId="06FE0E5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análise proposta neste artigo não parte da suposição de que Michelle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Priscila Rezende e Rosana Paulino se identifiquem como feministas, mas do reconhecimento de que suas obras mobilizam categorias, práticas e sentidos que dialogam diretamente com o pensamento feminista negro. Suas produções acionam corpo, memória, violência e colonialidade como operadores críticos, transformando a experiência negra em linguagem estética e, simultaneamente, em elaboração política.</w:t>
      </w:r>
    </w:p>
    <w:p w14:paraId="5B7942DF"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r>
      <w:r w:rsidRPr="002451B6">
        <w:rPr>
          <w:rFonts w:ascii="Times New Roman" w:eastAsia="Times New Roman" w:hAnsi="Times New Roman" w:cs="Times New Roman"/>
          <w:i/>
          <w:iCs/>
          <w:sz w:val="24"/>
          <w:szCs w:val="24"/>
        </w:rPr>
        <w:t xml:space="preserve">Michelle </w:t>
      </w:r>
      <w:proofErr w:type="spellStart"/>
      <w:r w:rsidRPr="002451B6">
        <w:rPr>
          <w:rFonts w:ascii="Times New Roman" w:eastAsia="Times New Roman" w:hAnsi="Times New Roman" w:cs="Times New Roman"/>
          <w:i/>
          <w:iCs/>
          <w:sz w:val="24"/>
          <w:szCs w:val="24"/>
        </w:rPr>
        <w:t>Mattiuzzi</w:t>
      </w:r>
      <w:proofErr w:type="spellEnd"/>
      <w:r w:rsidRPr="002451B6">
        <w:rPr>
          <w:rFonts w:ascii="Times New Roman" w:eastAsia="Times New Roman" w:hAnsi="Times New Roman" w:cs="Times New Roman"/>
          <w:i/>
          <w:iCs/>
          <w:sz w:val="24"/>
          <w:szCs w:val="24"/>
        </w:rPr>
        <w:t xml:space="preserve"> ou Musa </w:t>
      </w:r>
      <w:proofErr w:type="spellStart"/>
      <w:r w:rsidRPr="002451B6">
        <w:rPr>
          <w:rFonts w:ascii="Times New Roman" w:eastAsia="Times New Roman" w:hAnsi="Times New Roman" w:cs="Times New Roman"/>
          <w:i/>
          <w:iCs/>
          <w:sz w:val="24"/>
          <w:szCs w:val="24"/>
        </w:rPr>
        <w:t>Mattiuzzi</w:t>
      </w:r>
      <w:proofErr w:type="spellEnd"/>
      <w:r w:rsidRPr="002451B6">
        <w:rPr>
          <w:rFonts w:ascii="Times New Roman" w:eastAsia="Times New Roman" w:hAnsi="Times New Roman" w:cs="Times New Roman"/>
          <w:i/>
          <w:iCs/>
          <w:sz w:val="24"/>
          <w:szCs w:val="24"/>
        </w:rPr>
        <w:t xml:space="preserve"> (São Paulo, 1983)</w:t>
      </w:r>
      <w:r w:rsidRPr="002451B6">
        <w:rPr>
          <w:rFonts w:ascii="Times New Roman" w:eastAsia="Times New Roman" w:hAnsi="Times New Roman" w:cs="Times New Roman"/>
          <w:sz w:val="24"/>
          <w:szCs w:val="24"/>
        </w:rPr>
        <w:t xml:space="preserve"> é artista visual, performer e pesquisadora formada em Comunicação das Artes do Corpo pela PUC-SP. Sua produção parte do corpo negro retinto como dispositivo de elaboração estética e crítica política, acionando a performance como meio de tensionar os regimes de visibilidade que historicamente desumanizam mulheres negras. Ao operar com a materialidade do próprio corpo,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xml:space="preserve"> desloca o espectador da posição confortável de observador para a condição de testemunha implicada na violência racial.</w:t>
      </w:r>
    </w:p>
    <w:p w14:paraId="56075D5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Esse gesto se </w:t>
      </w:r>
      <w:proofErr w:type="gramStart"/>
      <w:r w:rsidRPr="002451B6">
        <w:rPr>
          <w:rFonts w:ascii="Times New Roman" w:eastAsia="Times New Roman" w:hAnsi="Times New Roman" w:cs="Times New Roman"/>
          <w:sz w:val="24"/>
          <w:szCs w:val="24"/>
        </w:rPr>
        <w:t>torna</w:t>
      </w:r>
      <w:proofErr w:type="gramEnd"/>
      <w:r w:rsidRPr="002451B6">
        <w:rPr>
          <w:rFonts w:ascii="Times New Roman" w:eastAsia="Times New Roman" w:hAnsi="Times New Roman" w:cs="Times New Roman"/>
          <w:sz w:val="24"/>
          <w:szCs w:val="24"/>
        </w:rPr>
        <w:t xml:space="preserve"> exemplar em </w:t>
      </w:r>
      <w:proofErr w:type="spellStart"/>
      <w:r w:rsidRPr="002451B6">
        <w:rPr>
          <w:rFonts w:ascii="Times New Roman" w:eastAsia="Times New Roman" w:hAnsi="Times New Roman" w:cs="Times New Roman"/>
          <w:i/>
          <w:iCs/>
          <w:sz w:val="24"/>
          <w:szCs w:val="24"/>
        </w:rPr>
        <w:t>Merci</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Beaucoup</w:t>
      </w:r>
      <w:proofErr w:type="spellEnd"/>
      <w:r w:rsidRPr="002451B6">
        <w:rPr>
          <w:rFonts w:ascii="Times New Roman" w:eastAsia="Times New Roman" w:hAnsi="Times New Roman" w:cs="Times New Roman"/>
          <w:i/>
          <w:iCs/>
          <w:sz w:val="24"/>
          <w:szCs w:val="24"/>
        </w:rPr>
        <w:t>, Blanco (2010)</w:t>
      </w:r>
      <w:r w:rsidRPr="002451B6">
        <w:rPr>
          <w:rFonts w:ascii="Times New Roman" w:eastAsia="Times New Roman" w:hAnsi="Times New Roman" w:cs="Times New Roman"/>
          <w:sz w:val="24"/>
          <w:szCs w:val="24"/>
        </w:rPr>
        <w:t>, performance em que a artista aparece nua, com a boca atravessada por agulhas, o rosto coberto por um ralo de pia que remete à máscara de flandres - instrumento de tortura utilizado contra pessoas escravizadas - enquanto tinta branca é lentamente derramada sobre sua pele. A ação articula a memória material da punição colonial, o controle simbólico exercido pela branquitude e a persistência contemporânea da violência contra corpos negros.</w:t>
      </w:r>
    </w:p>
    <w:p w14:paraId="7394EE3B"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Ao </w:t>
      </w:r>
      <w:proofErr w:type="spellStart"/>
      <w:r w:rsidRPr="002451B6">
        <w:rPr>
          <w:rFonts w:ascii="Times New Roman" w:eastAsia="Times New Roman" w:hAnsi="Times New Roman" w:cs="Times New Roman"/>
          <w:sz w:val="24"/>
          <w:szCs w:val="24"/>
        </w:rPr>
        <w:t>literalizar</w:t>
      </w:r>
      <w:proofErr w:type="spellEnd"/>
      <w:r w:rsidRPr="002451B6">
        <w:rPr>
          <w:rFonts w:ascii="Times New Roman" w:eastAsia="Times New Roman" w:hAnsi="Times New Roman" w:cs="Times New Roman"/>
          <w:sz w:val="24"/>
          <w:szCs w:val="24"/>
        </w:rPr>
        <w:t xml:space="preserve"> a dor, a nudez forçada, a sufocação e o embranquecimento como operações estéticas,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xml:space="preserve"> torna visível aquilo que o racismo tenta naturalizar: o corpo negro como alvo contínuo de extermínio físico e de violências simbólicas, entre elas a imposição de padrões hegemônicos de beleza que deslegitimam fenótipo e existência negra. A artista não </w:t>
      </w:r>
      <w:r w:rsidRPr="002451B6">
        <w:rPr>
          <w:rFonts w:ascii="Times New Roman" w:eastAsia="Times New Roman" w:hAnsi="Times New Roman" w:cs="Times New Roman"/>
          <w:sz w:val="24"/>
          <w:szCs w:val="24"/>
        </w:rPr>
        <w:lastRenderedPageBreak/>
        <w:t>apenas representa essa violência, ela a transforma em experiência perceptiva, obrigando o público a habitar, ainda que momentaneamente, o lugar de ser corpo-alvo.</w:t>
      </w:r>
    </w:p>
    <w:p w14:paraId="3384318A" w14:textId="77777777" w:rsidR="00332C33" w:rsidRPr="002451B6" w:rsidRDefault="00000000">
      <w:pPr>
        <w:spacing w:line="360" w:lineRule="auto"/>
        <w:ind w:firstLine="720"/>
        <w:jc w:val="both"/>
        <w:rPr>
          <w:rFonts w:ascii="Times New Roman" w:eastAsia="Times New Roman" w:hAnsi="Times New Roman" w:cs="Times New Roman"/>
          <w:sz w:val="18"/>
          <w:szCs w:val="18"/>
        </w:rPr>
      </w:pPr>
      <w:r w:rsidRPr="002451B6">
        <w:rPr>
          <w:rFonts w:ascii="Times New Roman" w:eastAsia="Times New Roman" w:hAnsi="Times New Roman" w:cs="Times New Roman"/>
          <w:sz w:val="24"/>
          <w:szCs w:val="24"/>
        </w:rPr>
        <w:t xml:space="preserve">Nesse sentido,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xml:space="preserve"> não apenas denuncia: ela </w:t>
      </w:r>
      <w:proofErr w:type="spellStart"/>
      <w:r w:rsidRPr="002451B6">
        <w:rPr>
          <w:rFonts w:ascii="Times New Roman" w:eastAsia="Times New Roman" w:hAnsi="Times New Roman" w:cs="Times New Roman"/>
          <w:sz w:val="24"/>
          <w:szCs w:val="24"/>
        </w:rPr>
        <w:t>performativiza</w:t>
      </w:r>
      <w:proofErr w:type="spellEnd"/>
      <w:r w:rsidRPr="002451B6">
        <w:rPr>
          <w:rFonts w:ascii="Times New Roman" w:eastAsia="Times New Roman" w:hAnsi="Times New Roman" w:cs="Times New Roman"/>
          <w:sz w:val="24"/>
          <w:szCs w:val="24"/>
        </w:rPr>
        <w:t xml:space="preserve"> o pensamento feminista negro, convertendo o corpo em teoria encarnada e devolvendo ao olhar colonial seu próprio gesto de invasão</w:t>
      </w:r>
      <w:r w:rsidRPr="002451B6">
        <w:rPr>
          <w:rFonts w:ascii="Times New Roman" w:eastAsia="Times New Roman" w:hAnsi="Times New Roman" w:cs="Times New Roman"/>
          <w:sz w:val="24"/>
          <w:szCs w:val="24"/>
          <w:vertAlign w:val="superscript"/>
        </w:rPr>
        <w:footnoteReference w:id="2"/>
      </w:r>
      <w:r w:rsidRPr="002451B6">
        <w:rPr>
          <w:rFonts w:ascii="Times New Roman" w:eastAsia="Times New Roman" w:hAnsi="Times New Roman" w:cs="Times New Roman"/>
          <w:sz w:val="24"/>
          <w:szCs w:val="24"/>
        </w:rPr>
        <w:t>.</w:t>
      </w:r>
    </w:p>
    <w:p w14:paraId="716D486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Priscila Rezende (Belo Horizonte, 1985)</w:t>
      </w:r>
      <w:r w:rsidRPr="002451B6">
        <w:rPr>
          <w:rFonts w:ascii="Times New Roman" w:eastAsia="Times New Roman" w:hAnsi="Times New Roman" w:cs="Times New Roman"/>
          <w:sz w:val="24"/>
          <w:szCs w:val="24"/>
        </w:rPr>
        <w:t xml:space="preserve"> é artista visual e performer formada em Artes Plásticas pela UEMG. Sua obra parte de vivências pessoais para evidenciar a dimensão coletiva da violência racial, transformando experiências íntimas em enunciados políticos sobre a condição negra no Brasil. Assim como outras artistas da geração pós-2000, Rezende trabalha com o corpo como arquivo vivo, mobilizando sua própria imagem para desestabilizar padrões normativos de beleza, humanidade e feminilidade.</w:t>
      </w:r>
    </w:p>
    <w:p w14:paraId="087EBBD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Seu trabalho mais conhecido, </w:t>
      </w:r>
      <w:r w:rsidRPr="002451B6">
        <w:rPr>
          <w:rFonts w:ascii="Times New Roman" w:eastAsia="Times New Roman" w:hAnsi="Times New Roman" w:cs="Times New Roman"/>
          <w:i/>
          <w:iCs/>
          <w:sz w:val="24"/>
          <w:szCs w:val="24"/>
        </w:rPr>
        <w:t xml:space="preserve">Bombril </w:t>
      </w:r>
      <w:r w:rsidRPr="002451B6">
        <w:rPr>
          <w:rFonts w:ascii="Times New Roman" w:eastAsia="Times New Roman" w:hAnsi="Times New Roman" w:cs="Times New Roman"/>
          <w:sz w:val="24"/>
          <w:szCs w:val="24"/>
        </w:rPr>
        <w:t xml:space="preserve">(2010), inscreve no campo da arte uma das formas mais persistentes de violência simbólica dirigidas às mulheres negras: a associação depreciativa entre cabelo crespo e esponja de aço. Na performance, Rezende lava panelas e outros utensílios domésticos usando o próprio cabelo como instrumento abrasivo, </w:t>
      </w:r>
      <w:proofErr w:type="spellStart"/>
      <w:r w:rsidRPr="002451B6">
        <w:rPr>
          <w:rFonts w:ascii="Times New Roman" w:eastAsia="Times New Roman" w:hAnsi="Times New Roman" w:cs="Times New Roman"/>
          <w:sz w:val="24"/>
          <w:szCs w:val="24"/>
        </w:rPr>
        <w:t>literalizando</w:t>
      </w:r>
      <w:proofErr w:type="spellEnd"/>
      <w:r w:rsidRPr="002451B6">
        <w:rPr>
          <w:rFonts w:ascii="Times New Roman" w:eastAsia="Times New Roman" w:hAnsi="Times New Roman" w:cs="Times New Roman"/>
          <w:sz w:val="24"/>
          <w:szCs w:val="24"/>
        </w:rPr>
        <w:t xml:space="preserve"> a frase que atravessa gerações - “cabelo de Bombril” - e expondo como o racismo transforma insultos em descrições aparentemente neutras.</w:t>
      </w:r>
    </w:p>
    <w:p w14:paraId="00F99BE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Ao converter o insulto em ação performática, Rezende revela a estrutura de dominação que sustenta o imaginário da “beleza universal”, em que o corpo negro e, em particular, o cabelo crespo é lido como sujo, desordenado, inadequado. O gesto de fricção encena, simultaneamente, a dor de ser reduzida a objeto utilitário e a recusa em ocupar tal posição. O corpo, antes alvo, torna-se agente de crítica.</w:t>
      </w:r>
    </w:p>
    <w:p w14:paraId="02DE8A2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w:t>
      </w:r>
      <w:r w:rsidRPr="002451B6">
        <w:rPr>
          <w:rFonts w:ascii="Times New Roman" w:eastAsia="Times New Roman" w:hAnsi="Times New Roman" w:cs="Times New Roman"/>
          <w:i/>
          <w:iCs/>
          <w:sz w:val="24"/>
          <w:szCs w:val="24"/>
        </w:rPr>
        <w:t>Bombril,</w:t>
      </w:r>
      <w:r w:rsidRPr="002451B6">
        <w:rPr>
          <w:rFonts w:ascii="Times New Roman" w:eastAsia="Times New Roman" w:hAnsi="Times New Roman" w:cs="Times New Roman"/>
          <w:sz w:val="24"/>
          <w:szCs w:val="24"/>
        </w:rPr>
        <w:t xml:space="preserve"> o que está em disputa não é o cabelo como atributo físico, mas seu valor simbólico: a performance desmonta o interdito estético que separa “cabelo bom” e “cabelo ruim” e evidencia a branquitude como norma silenciosa. O racismo deixa o plano abstrato e torna-se sensorial - som metálico, repetição, agressão do gesto - dando forma a uma </w:t>
      </w:r>
      <w:proofErr w:type="spellStart"/>
      <w:r w:rsidRPr="002451B6">
        <w:rPr>
          <w:rFonts w:ascii="Times New Roman" w:eastAsia="Times New Roman" w:hAnsi="Times New Roman" w:cs="Times New Roman"/>
          <w:sz w:val="24"/>
          <w:szCs w:val="24"/>
        </w:rPr>
        <w:t>contraimagem</w:t>
      </w:r>
      <w:proofErr w:type="spellEnd"/>
      <w:r w:rsidRPr="002451B6">
        <w:rPr>
          <w:rFonts w:ascii="Times New Roman" w:eastAsia="Times New Roman" w:hAnsi="Times New Roman" w:cs="Times New Roman"/>
          <w:sz w:val="24"/>
          <w:szCs w:val="24"/>
        </w:rPr>
        <w:t>: um pensamento estético que devolve ao opressor a violência de seu próprio olhar</w:t>
      </w:r>
      <w:r w:rsidRPr="002451B6">
        <w:rPr>
          <w:rFonts w:ascii="Times New Roman" w:eastAsia="Times New Roman" w:hAnsi="Times New Roman" w:cs="Times New Roman"/>
          <w:sz w:val="24"/>
          <w:szCs w:val="24"/>
          <w:vertAlign w:val="superscript"/>
        </w:rPr>
        <w:footnoteReference w:id="3"/>
      </w:r>
      <w:r w:rsidRPr="002451B6">
        <w:rPr>
          <w:rFonts w:ascii="Times New Roman" w:eastAsia="Times New Roman" w:hAnsi="Times New Roman" w:cs="Times New Roman"/>
          <w:sz w:val="24"/>
          <w:szCs w:val="24"/>
        </w:rPr>
        <w:t>.</w:t>
      </w:r>
    </w:p>
    <w:p w14:paraId="2E665AC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Assim como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xml:space="preserve">, Priscila Rezende não ilustra uma pauta: ela a </w:t>
      </w:r>
      <w:proofErr w:type="gramStart"/>
      <w:r w:rsidRPr="002451B6">
        <w:rPr>
          <w:rFonts w:ascii="Times New Roman" w:eastAsia="Times New Roman" w:hAnsi="Times New Roman" w:cs="Times New Roman"/>
          <w:sz w:val="24"/>
          <w:szCs w:val="24"/>
        </w:rPr>
        <w:t>formula</w:t>
      </w:r>
      <w:proofErr w:type="gramEnd"/>
      <w:r w:rsidRPr="002451B6">
        <w:rPr>
          <w:rFonts w:ascii="Times New Roman" w:eastAsia="Times New Roman" w:hAnsi="Times New Roman" w:cs="Times New Roman"/>
          <w:sz w:val="24"/>
          <w:szCs w:val="24"/>
        </w:rPr>
        <w:t xml:space="preserve"> com o corpo. Sua obra transforma o estigma em crítica, o insulto em performance e o cabelo, historicamente alvo de controle, chacota e assimilação em ferramenta epistêmica.</w:t>
      </w:r>
    </w:p>
    <w:p w14:paraId="27B53F2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Rosana Paulino (São Paulo, 1967)</w:t>
      </w:r>
      <w:r w:rsidRPr="002451B6">
        <w:rPr>
          <w:rFonts w:ascii="Times New Roman" w:eastAsia="Times New Roman" w:hAnsi="Times New Roman" w:cs="Times New Roman"/>
          <w:sz w:val="24"/>
          <w:szCs w:val="24"/>
        </w:rPr>
        <w:t xml:space="preserve"> é uma das artistas mais importantes da arte contemporânea brasileira e referência incontornável nos debates sobre raça, gênero e representação. Formada em Artes Plásticas e doutora em Poéticas Visuais pela ECA-USP, Paulino articula pesquisa acadêmica, prática artística e crítica anticolonial, com foco na imagem da mulher negra e nos modos como ela foi historicamente construída, capturada e silenciada.</w:t>
      </w:r>
    </w:p>
    <w:p w14:paraId="6F445E7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Desde a instalação </w:t>
      </w:r>
      <w:r w:rsidRPr="002451B6">
        <w:rPr>
          <w:rFonts w:ascii="Times New Roman" w:eastAsia="Times New Roman" w:hAnsi="Times New Roman" w:cs="Times New Roman"/>
          <w:i/>
          <w:iCs/>
          <w:sz w:val="24"/>
          <w:szCs w:val="24"/>
        </w:rPr>
        <w:t>Parede da Memória</w:t>
      </w:r>
      <w:r w:rsidRPr="002451B6">
        <w:rPr>
          <w:rFonts w:ascii="Times New Roman" w:eastAsia="Times New Roman" w:hAnsi="Times New Roman" w:cs="Times New Roman"/>
          <w:sz w:val="24"/>
          <w:szCs w:val="24"/>
        </w:rPr>
        <w:t xml:space="preserve"> (1994) - em que costura fotografias de familiares sobre tecido e patuás</w:t>
      </w:r>
      <w:r w:rsidRPr="002451B6">
        <w:rPr>
          <w:rFonts w:ascii="Times New Roman" w:eastAsia="Times New Roman" w:hAnsi="Times New Roman" w:cs="Times New Roman"/>
          <w:sz w:val="24"/>
          <w:szCs w:val="24"/>
          <w:vertAlign w:val="superscript"/>
        </w:rPr>
        <w:footnoteReference w:id="4"/>
      </w:r>
      <w:r w:rsidRPr="002451B6">
        <w:rPr>
          <w:rFonts w:ascii="Times New Roman" w:eastAsia="Times New Roman" w:hAnsi="Times New Roman" w:cs="Times New Roman"/>
          <w:sz w:val="24"/>
          <w:szCs w:val="24"/>
        </w:rPr>
        <w:t>, a artista tensiona o arquivo colonial ao expor que a história oficial, branca e masculina, estrutura-se por apagamentos. Ao bordar, costurar e reinscrever imagens de mulheres negras, Paulino devolve à cena pública a memória afetiva, a ancestralidade e a vida que o registro histórico tentou suprimir.</w:t>
      </w:r>
    </w:p>
    <w:p w14:paraId="2CEA0D7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Essa operação crítica se radicaliza na série</w:t>
      </w:r>
      <w:r w:rsidRPr="002451B6">
        <w:rPr>
          <w:rFonts w:ascii="Times New Roman" w:eastAsia="Times New Roman" w:hAnsi="Times New Roman" w:cs="Times New Roman"/>
          <w:i/>
          <w:iCs/>
          <w:sz w:val="24"/>
          <w:szCs w:val="24"/>
        </w:rPr>
        <w:t xml:space="preserve"> Ama de Leite </w:t>
      </w:r>
      <w:r w:rsidRPr="002451B6">
        <w:rPr>
          <w:rFonts w:ascii="Times New Roman" w:eastAsia="Times New Roman" w:hAnsi="Times New Roman" w:cs="Times New Roman"/>
          <w:sz w:val="24"/>
          <w:szCs w:val="24"/>
        </w:rPr>
        <w:t xml:space="preserve">(2005 - 2008), composta por torsos femininos de onde brotam múltiplos seios, dos quais pendem fitas de cetim. A obra denuncia a exploração do corpo da mulher negra durante a escravidão, transformada em matriz biológica para nutrir os filhos da elite branca, e evidencia a persistência dessa lógica, que segue associando o corpo negro feminino à servidão, à disponibilidade e à </w:t>
      </w:r>
      <w:proofErr w:type="spellStart"/>
      <w:r w:rsidRPr="002451B6">
        <w:rPr>
          <w:rFonts w:ascii="Times New Roman" w:eastAsia="Times New Roman" w:hAnsi="Times New Roman" w:cs="Times New Roman"/>
          <w:sz w:val="24"/>
          <w:szCs w:val="24"/>
        </w:rPr>
        <w:t>hiper-sexualização</w:t>
      </w:r>
      <w:proofErr w:type="spellEnd"/>
      <w:r w:rsidRPr="002451B6">
        <w:rPr>
          <w:rFonts w:ascii="Times New Roman" w:eastAsia="Times New Roman" w:hAnsi="Times New Roman" w:cs="Times New Roman"/>
          <w:sz w:val="24"/>
          <w:szCs w:val="24"/>
        </w:rPr>
        <w:t>.</w:t>
      </w:r>
    </w:p>
    <w:p w14:paraId="2A141A1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w:t>
      </w:r>
      <w:r w:rsidRPr="002451B6">
        <w:rPr>
          <w:rFonts w:ascii="Times New Roman" w:eastAsia="Times New Roman" w:hAnsi="Times New Roman" w:cs="Times New Roman"/>
          <w:i/>
          <w:iCs/>
          <w:sz w:val="24"/>
          <w:szCs w:val="24"/>
        </w:rPr>
        <w:t>Ama de Leite</w:t>
      </w:r>
      <w:r w:rsidRPr="002451B6">
        <w:rPr>
          <w:rFonts w:ascii="Times New Roman" w:eastAsia="Times New Roman" w:hAnsi="Times New Roman" w:cs="Times New Roman"/>
          <w:sz w:val="24"/>
          <w:szCs w:val="24"/>
        </w:rPr>
        <w:t xml:space="preserve">, Paulino desmonta a imagem idealizada da “mãe preta” - frequentemente celebrada como símbolo afetivo da cultura brasileira - revelando o que esse mito encobre: a violência da separação familiar, o </w:t>
      </w:r>
      <w:proofErr w:type="spellStart"/>
      <w:r w:rsidRPr="002451B6">
        <w:rPr>
          <w:rFonts w:ascii="Times New Roman" w:eastAsia="Times New Roman" w:hAnsi="Times New Roman" w:cs="Times New Roman"/>
          <w:sz w:val="24"/>
          <w:szCs w:val="24"/>
        </w:rPr>
        <w:t>expropriamento</w:t>
      </w:r>
      <w:proofErr w:type="spellEnd"/>
      <w:r w:rsidRPr="002451B6">
        <w:rPr>
          <w:rFonts w:ascii="Times New Roman" w:eastAsia="Times New Roman" w:hAnsi="Times New Roman" w:cs="Times New Roman"/>
          <w:sz w:val="24"/>
          <w:szCs w:val="24"/>
        </w:rPr>
        <w:t xml:space="preserve"> do afeto e a objetificação reprodutiva. A aparente homenagem revela-se tecnologia de controle; a imagem terna, uma máscara do colonialismo</w:t>
      </w:r>
      <w:r w:rsidRPr="002451B6">
        <w:rPr>
          <w:rFonts w:ascii="Times New Roman" w:eastAsia="Times New Roman" w:hAnsi="Times New Roman" w:cs="Times New Roman"/>
          <w:sz w:val="24"/>
          <w:szCs w:val="24"/>
          <w:vertAlign w:val="superscript"/>
        </w:rPr>
        <w:footnoteReference w:id="5"/>
      </w:r>
      <w:r w:rsidRPr="002451B6">
        <w:rPr>
          <w:rFonts w:ascii="Times New Roman" w:eastAsia="Times New Roman" w:hAnsi="Times New Roman" w:cs="Times New Roman"/>
          <w:sz w:val="24"/>
          <w:szCs w:val="24"/>
        </w:rPr>
        <w:t>.</w:t>
      </w:r>
    </w:p>
    <w:p w14:paraId="603A18E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Sua obra não apenas denuncia: ela reorganiza o próprio regime de representação. O corpo negro deixa de ser objeto da história para se tornar sujeito que reescreve a história; a imagem de servidão cede lugar à imagem de autoria; o arquivo colonial é confrontado pelo que Rosana Paulino chama de “arquivo afetivo-político”, que restitui à memória negra sua densidade estética, intelectual e humana.</w:t>
      </w:r>
    </w:p>
    <w:p w14:paraId="2FDB593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xml:space="preserve"> encarna a ferida e Rezende transforma insulto em crítica, Paulino atua sobre o imaginário acumulado, abrindo fissuras na imagem nacional. Sua produção opera </w:t>
      </w:r>
      <w:r w:rsidRPr="002451B6">
        <w:rPr>
          <w:rFonts w:ascii="Times New Roman" w:eastAsia="Times New Roman" w:hAnsi="Times New Roman" w:cs="Times New Roman"/>
          <w:sz w:val="24"/>
          <w:szCs w:val="24"/>
        </w:rPr>
        <w:lastRenderedPageBreak/>
        <w:t>simultaneamente no registro da autodefinição (Collins) e da amefricanidade (Gonzalez): narra-se fora da gramática do colonizador, instaurando, pela arte, outra forma de pensar o corpo negro — não como herança, mas como autoria.</w:t>
      </w:r>
    </w:p>
    <w:p w14:paraId="0CFAB5BA"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 xml:space="preserve">As produções de Michelle </w:t>
      </w:r>
      <w:proofErr w:type="spellStart"/>
      <w:r w:rsidRPr="002451B6">
        <w:rPr>
          <w:rFonts w:ascii="Times New Roman" w:eastAsia="Times New Roman" w:hAnsi="Times New Roman" w:cs="Times New Roman"/>
          <w:sz w:val="24"/>
          <w:szCs w:val="24"/>
          <w:highlight w:val="white"/>
        </w:rPr>
        <w:t>Mattiuzzi</w:t>
      </w:r>
      <w:proofErr w:type="spellEnd"/>
      <w:r w:rsidRPr="002451B6">
        <w:rPr>
          <w:rFonts w:ascii="Times New Roman" w:eastAsia="Times New Roman" w:hAnsi="Times New Roman" w:cs="Times New Roman"/>
          <w:sz w:val="24"/>
          <w:szCs w:val="24"/>
          <w:highlight w:val="white"/>
        </w:rPr>
        <w:t>, Priscila Rezende e Rosana Paulino mobilizam, em diferentes linguagens, temas como memória, experiência, colonialidade, violência racial e de gênero, corpo e representação, os mesmos elementos que estruturam tanto a prática cotidiana quanto a formulação teórica do feminismo negro. Nesse sentido, suas obras não são paralelas ao pensamento feminista negro, mas parte de um mesmo campo de enunciação em que estética e política se coproduzem. Inserem-se, assim, na tradição intelectual inaugurada por Lélia Gonzalez, Beatriz Nascimento, Sueli Carneiro e Patrícia Hill Collins, reafirmando a continuidade entre criação artística e elaboração conceitual.</w:t>
      </w:r>
    </w:p>
    <w:p w14:paraId="091A6821"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 xml:space="preserve">Esses discursos visuais operam como </w:t>
      </w:r>
      <w:proofErr w:type="spellStart"/>
      <w:r w:rsidRPr="002451B6">
        <w:rPr>
          <w:rFonts w:ascii="Times New Roman" w:eastAsia="Times New Roman" w:hAnsi="Times New Roman" w:cs="Times New Roman"/>
          <w:sz w:val="24"/>
          <w:szCs w:val="24"/>
          <w:highlight w:val="white"/>
        </w:rPr>
        <w:t>contraimagens</w:t>
      </w:r>
      <w:proofErr w:type="spellEnd"/>
      <w:r w:rsidRPr="002451B6">
        <w:rPr>
          <w:rFonts w:ascii="Times New Roman" w:eastAsia="Times New Roman" w:hAnsi="Times New Roman" w:cs="Times New Roman"/>
          <w:sz w:val="24"/>
          <w:szCs w:val="24"/>
          <w:highlight w:val="white"/>
        </w:rPr>
        <w:t xml:space="preserve"> às representações hegemônicas: se as imagens de controle buscam fixar a mulher negra em papéis desumanizadores, as obras dessas artistas constroem formas de autodefinição e </w:t>
      </w:r>
      <w:proofErr w:type="spellStart"/>
      <w:r w:rsidRPr="002451B6">
        <w:rPr>
          <w:rFonts w:ascii="Times New Roman" w:eastAsia="Times New Roman" w:hAnsi="Times New Roman" w:cs="Times New Roman"/>
          <w:sz w:val="24"/>
          <w:szCs w:val="24"/>
          <w:highlight w:val="white"/>
        </w:rPr>
        <w:t>autoinscrição</w:t>
      </w:r>
      <w:proofErr w:type="spellEnd"/>
      <w:r w:rsidRPr="002451B6">
        <w:rPr>
          <w:rFonts w:ascii="Times New Roman" w:eastAsia="Times New Roman" w:hAnsi="Times New Roman" w:cs="Times New Roman"/>
          <w:sz w:val="24"/>
          <w:szCs w:val="24"/>
          <w:highlight w:val="white"/>
        </w:rPr>
        <w:t>. Em lugar da mulher negra como corpo disponível, destituído de subjetividade e historicidade, emerge a mulher negra como sujeito produtor de linguagem, memória e conhecimento. Aqui, o princípio formulado por Collins, de que o pensamento feminista negro nasce da experiência vivida, encontra sua tradução estética.</w:t>
      </w:r>
    </w:p>
    <w:p w14:paraId="55197F5F"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 xml:space="preserve">Obras como </w:t>
      </w:r>
      <w:proofErr w:type="spellStart"/>
      <w:r w:rsidRPr="002451B6">
        <w:rPr>
          <w:rFonts w:ascii="Times New Roman" w:eastAsia="Times New Roman" w:hAnsi="Times New Roman" w:cs="Times New Roman"/>
          <w:i/>
          <w:iCs/>
          <w:sz w:val="24"/>
          <w:szCs w:val="24"/>
          <w:highlight w:val="white"/>
        </w:rPr>
        <w:t>Merci</w:t>
      </w:r>
      <w:proofErr w:type="spellEnd"/>
      <w:r w:rsidRPr="002451B6">
        <w:rPr>
          <w:rFonts w:ascii="Times New Roman" w:eastAsia="Times New Roman" w:hAnsi="Times New Roman" w:cs="Times New Roman"/>
          <w:i/>
          <w:iCs/>
          <w:sz w:val="24"/>
          <w:szCs w:val="24"/>
          <w:highlight w:val="white"/>
        </w:rPr>
        <w:t xml:space="preserve"> </w:t>
      </w:r>
      <w:proofErr w:type="spellStart"/>
      <w:r w:rsidRPr="002451B6">
        <w:rPr>
          <w:rFonts w:ascii="Times New Roman" w:eastAsia="Times New Roman" w:hAnsi="Times New Roman" w:cs="Times New Roman"/>
          <w:i/>
          <w:iCs/>
          <w:sz w:val="24"/>
          <w:szCs w:val="24"/>
          <w:highlight w:val="white"/>
        </w:rPr>
        <w:t>Beaucoup</w:t>
      </w:r>
      <w:proofErr w:type="spellEnd"/>
      <w:r w:rsidRPr="002451B6">
        <w:rPr>
          <w:rFonts w:ascii="Times New Roman" w:eastAsia="Times New Roman" w:hAnsi="Times New Roman" w:cs="Times New Roman"/>
          <w:i/>
          <w:iCs/>
          <w:sz w:val="24"/>
          <w:szCs w:val="24"/>
          <w:highlight w:val="white"/>
        </w:rPr>
        <w:t xml:space="preserve">, </w:t>
      </w:r>
      <w:proofErr w:type="gramStart"/>
      <w:r w:rsidRPr="002451B6">
        <w:rPr>
          <w:rFonts w:ascii="Times New Roman" w:eastAsia="Times New Roman" w:hAnsi="Times New Roman" w:cs="Times New Roman"/>
          <w:i/>
          <w:iCs/>
          <w:sz w:val="24"/>
          <w:szCs w:val="24"/>
          <w:highlight w:val="white"/>
        </w:rPr>
        <w:t>Blanco!</w:t>
      </w:r>
      <w:r w:rsidRPr="002451B6">
        <w:rPr>
          <w:rFonts w:ascii="Times New Roman" w:eastAsia="Times New Roman" w:hAnsi="Times New Roman" w:cs="Times New Roman"/>
          <w:sz w:val="24"/>
          <w:szCs w:val="24"/>
          <w:highlight w:val="white"/>
        </w:rPr>
        <w:t>,</w:t>
      </w:r>
      <w:proofErr w:type="gramEnd"/>
      <w:r w:rsidRPr="002451B6">
        <w:rPr>
          <w:rFonts w:ascii="Times New Roman" w:eastAsia="Times New Roman" w:hAnsi="Times New Roman" w:cs="Times New Roman"/>
          <w:sz w:val="24"/>
          <w:szCs w:val="24"/>
          <w:highlight w:val="white"/>
        </w:rPr>
        <w:t xml:space="preserve"> </w:t>
      </w:r>
      <w:r w:rsidRPr="002451B6">
        <w:rPr>
          <w:rFonts w:ascii="Times New Roman" w:eastAsia="Times New Roman" w:hAnsi="Times New Roman" w:cs="Times New Roman"/>
          <w:i/>
          <w:iCs/>
          <w:sz w:val="24"/>
          <w:szCs w:val="24"/>
          <w:highlight w:val="white"/>
        </w:rPr>
        <w:t>Bombril</w:t>
      </w:r>
      <w:r w:rsidRPr="002451B6">
        <w:rPr>
          <w:rFonts w:ascii="Times New Roman" w:eastAsia="Times New Roman" w:hAnsi="Times New Roman" w:cs="Times New Roman"/>
          <w:sz w:val="24"/>
          <w:szCs w:val="24"/>
          <w:highlight w:val="white"/>
        </w:rPr>
        <w:t xml:space="preserve"> e </w:t>
      </w:r>
      <w:r w:rsidRPr="002451B6">
        <w:rPr>
          <w:rFonts w:ascii="Times New Roman" w:eastAsia="Times New Roman" w:hAnsi="Times New Roman" w:cs="Times New Roman"/>
          <w:i/>
          <w:iCs/>
          <w:sz w:val="24"/>
          <w:szCs w:val="24"/>
          <w:highlight w:val="white"/>
        </w:rPr>
        <w:t>Ama de Leite</w:t>
      </w:r>
      <w:r w:rsidRPr="002451B6">
        <w:rPr>
          <w:rFonts w:ascii="Times New Roman" w:eastAsia="Times New Roman" w:hAnsi="Times New Roman" w:cs="Times New Roman"/>
          <w:sz w:val="24"/>
          <w:szCs w:val="24"/>
          <w:highlight w:val="white"/>
        </w:rPr>
        <w:t xml:space="preserve"> revisitam o passado escravista não como trauma encerrado, mas como estrutura persistente. Ao reinscrever esse passado desde um ponto de vista negro, as artistas realizam, no campo visual, o gesto epistêmico reivindicado por Lélia Gonzalez e por Beatriz Nascimento: narrar a história com categorias gestadas no interior da experiência </w:t>
      </w:r>
      <w:proofErr w:type="spellStart"/>
      <w:r w:rsidRPr="002451B6">
        <w:rPr>
          <w:rFonts w:ascii="Times New Roman" w:eastAsia="Times New Roman" w:hAnsi="Times New Roman" w:cs="Times New Roman"/>
          <w:sz w:val="24"/>
          <w:szCs w:val="24"/>
          <w:highlight w:val="white"/>
        </w:rPr>
        <w:t>racializada</w:t>
      </w:r>
      <w:proofErr w:type="spellEnd"/>
      <w:r w:rsidRPr="002451B6">
        <w:rPr>
          <w:rFonts w:ascii="Times New Roman" w:eastAsia="Times New Roman" w:hAnsi="Times New Roman" w:cs="Times New Roman"/>
          <w:sz w:val="24"/>
          <w:szCs w:val="24"/>
          <w:highlight w:val="white"/>
        </w:rPr>
        <w:t>.</w:t>
      </w:r>
    </w:p>
    <w:p w14:paraId="4E3840FE"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Nesses trabalhos, a dor histórica não é mero testemunho: converte-se em instrumento de elaboração estética e política. Assim como em práticas ativistas, o sofrimento é ativado como estratégia de consciência e reivindicação, transformando o corpo em território epistemológico - não ilustração, mas pensamento incorporado. Tal gesto ressoa com o que Rufino (2019) define como pedagogia das encruzilhadas: um saber em trânsito, produzido na carne, onde ancestralidade, materialidade e invenção cotidiana se cruzam.</w:t>
      </w:r>
    </w:p>
    <w:p w14:paraId="5F22362D"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 xml:space="preserve">No plano simbólico-estético, essas artistas expandem o feminismo negro ao expor o racismo e o sexismo não apenas como sistemas de poder, mas como regimes de imagem. Como argumenta Rosana Paulino (2020), compreender essas obras exige deslocar o olhar eurocentrado e reconhecer nelas epistemologias afro-brasileiras. Ao subverter os regimes </w:t>
      </w:r>
      <w:r w:rsidRPr="002451B6">
        <w:rPr>
          <w:rFonts w:ascii="Times New Roman" w:eastAsia="Times New Roman" w:hAnsi="Times New Roman" w:cs="Times New Roman"/>
          <w:sz w:val="24"/>
          <w:szCs w:val="24"/>
          <w:highlight w:val="white"/>
        </w:rPr>
        <w:lastRenderedPageBreak/>
        <w:t>visuais coloniais, suas produções instauram fissuras cognitivas nos modos de ver, sentir e narrar a mulher negra.</w:t>
      </w:r>
    </w:p>
    <w:p w14:paraId="3E853763"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Assim, o gesto artístico funciona como prática de “</w:t>
      </w:r>
      <w:proofErr w:type="spellStart"/>
      <w:r w:rsidRPr="002451B6">
        <w:rPr>
          <w:rFonts w:ascii="Times New Roman" w:eastAsia="Times New Roman" w:hAnsi="Times New Roman" w:cs="Times New Roman"/>
          <w:sz w:val="24"/>
          <w:szCs w:val="24"/>
          <w:highlight w:val="white"/>
        </w:rPr>
        <w:t>imacumbar</w:t>
      </w:r>
      <w:proofErr w:type="spellEnd"/>
      <w:r w:rsidRPr="002451B6">
        <w:rPr>
          <w:rFonts w:ascii="Times New Roman" w:eastAsia="Times New Roman" w:hAnsi="Times New Roman" w:cs="Times New Roman"/>
          <w:sz w:val="24"/>
          <w:szCs w:val="24"/>
          <w:highlight w:val="white"/>
        </w:rPr>
        <w:t xml:space="preserve"> o saber colonial”, desviando e reinventando significados. As performances de </w:t>
      </w:r>
      <w:proofErr w:type="spellStart"/>
      <w:r w:rsidRPr="002451B6">
        <w:rPr>
          <w:rFonts w:ascii="Times New Roman" w:eastAsia="Times New Roman" w:hAnsi="Times New Roman" w:cs="Times New Roman"/>
          <w:sz w:val="24"/>
          <w:szCs w:val="24"/>
          <w:highlight w:val="white"/>
        </w:rPr>
        <w:t>Mattiuzzi</w:t>
      </w:r>
      <w:proofErr w:type="spellEnd"/>
      <w:r w:rsidRPr="002451B6">
        <w:rPr>
          <w:rFonts w:ascii="Times New Roman" w:eastAsia="Times New Roman" w:hAnsi="Times New Roman" w:cs="Times New Roman"/>
          <w:sz w:val="24"/>
          <w:szCs w:val="24"/>
          <w:highlight w:val="white"/>
        </w:rPr>
        <w:t xml:space="preserve"> e Rezende, especialmente, traduzem um princípio </w:t>
      </w:r>
      <w:proofErr w:type="spellStart"/>
      <w:r w:rsidRPr="002451B6">
        <w:rPr>
          <w:rFonts w:ascii="Times New Roman" w:eastAsia="Times New Roman" w:hAnsi="Times New Roman" w:cs="Times New Roman"/>
          <w:sz w:val="24"/>
          <w:szCs w:val="24"/>
          <w:highlight w:val="white"/>
        </w:rPr>
        <w:t>exuístico</w:t>
      </w:r>
      <w:proofErr w:type="spellEnd"/>
      <w:r w:rsidRPr="002451B6">
        <w:rPr>
          <w:rFonts w:ascii="Times New Roman" w:eastAsia="Times New Roman" w:hAnsi="Times New Roman" w:cs="Times New Roman"/>
          <w:sz w:val="24"/>
          <w:szCs w:val="24"/>
          <w:highlight w:val="white"/>
        </w:rPr>
        <w:t xml:space="preserve"> de comunicação e movimento: elas questionam hierarquias do olhar, desmontam os limites do representável e instauram uma pedagogia do corpo que conjuga dor, desejo e encantamento, resistência à racionalidade desencantada do colonialismo.</w:t>
      </w:r>
    </w:p>
    <w:p w14:paraId="17AA9F0B"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 xml:space="preserve">A estética negra contemporânea, como já indicava Lélia Gonzalez, expressa uma cosmologia </w:t>
      </w:r>
      <w:proofErr w:type="spellStart"/>
      <w:r w:rsidRPr="002451B6">
        <w:rPr>
          <w:rFonts w:ascii="Times New Roman" w:eastAsia="Times New Roman" w:hAnsi="Times New Roman" w:cs="Times New Roman"/>
          <w:sz w:val="24"/>
          <w:szCs w:val="24"/>
          <w:highlight w:val="white"/>
        </w:rPr>
        <w:t>amefricana</w:t>
      </w:r>
      <w:proofErr w:type="spellEnd"/>
      <w:r w:rsidRPr="002451B6">
        <w:rPr>
          <w:rFonts w:ascii="Times New Roman" w:eastAsia="Times New Roman" w:hAnsi="Times New Roman" w:cs="Times New Roman"/>
          <w:sz w:val="24"/>
          <w:szCs w:val="24"/>
          <w:highlight w:val="white"/>
        </w:rPr>
        <w:t xml:space="preserve">: desloca o centro epistêmico, reinscreve ancestralidade como método e afirma o corpo como arquivo. Por isso, mesmo quando não reivindicam explicitamente o rótulo feminista, essas artistas constroem o que </w:t>
      </w:r>
      <w:proofErr w:type="spellStart"/>
      <w:r w:rsidRPr="002451B6">
        <w:rPr>
          <w:rFonts w:ascii="Times New Roman" w:eastAsia="Times New Roman" w:hAnsi="Times New Roman" w:cs="Times New Roman"/>
          <w:sz w:val="24"/>
          <w:szCs w:val="24"/>
          <w:highlight w:val="white"/>
        </w:rPr>
        <w:t>Stubs</w:t>
      </w:r>
      <w:proofErr w:type="spellEnd"/>
      <w:r w:rsidRPr="002451B6">
        <w:rPr>
          <w:rFonts w:ascii="Times New Roman" w:eastAsia="Times New Roman" w:hAnsi="Times New Roman" w:cs="Times New Roman"/>
          <w:sz w:val="24"/>
          <w:szCs w:val="24"/>
          <w:highlight w:val="white"/>
        </w:rPr>
        <w:t xml:space="preserve"> et al. (2018) denomina estética feminista da existência: arte como prática de liberdade, como reorganização sensível do mundo.</w:t>
      </w:r>
    </w:p>
    <w:p w14:paraId="07A426D1" w14:textId="77777777" w:rsidR="00332C33" w:rsidRPr="002451B6" w:rsidRDefault="00000000">
      <w:pPr>
        <w:spacing w:line="36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ab/>
        <w:t>Essa dimensão coletiva e metodológica aparece na cartografia preta de Gracindo (2023), que reinscreve artistas negras no campo da arte brasileira e transforma o gesto crítico em ação política de visibilização. Ao deslocar a mulher negra da posição de “sujeito-objeto” para a condição de produtora de imagem e discurso, Gracindo reivindica a virada epistêmica que o feminismo negro e o artivismo já vinham operando. Nessa mesma direção, Carrera e Meirinho (2020) demonstram que as artistas negras contemporâneas resistem às imagens coloniais de controle por meio de estratégias estéticas de enfrentamento, ressignificação e autonomia - práticas que reafirmam o corpo como lugar de enunciação e de produção de conhecimento. Assim, a arte de mulheres negras constitui um campo político-pedagógico em que criação e crítica se confundem no ato de reexistir.</w:t>
      </w:r>
    </w:p>
    <w:p w14:paraId="3F71CDC8" w14:textId="77777777" w:rsidR="00332C33" w:rsidRPr="002451B6" w:rsidRDefault="00000000">
      <w:pPr>
        <w:spacing w:line="360" w:lineRule="auto"/>
        <w:ind w:firstLine="72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Em síntese, as produções de Michele </w:t>
      </w:r>
      <w:proofErr w:type="spellStart"/>
      <w:r w:rsidRPr="002451B6">
        <w:rPr>
          <w:rFonts w:ascii="Times New Roman" w:eastAsia="Times New Roman" w:hAnsi="Times New Roman" w:cs="Times New Roman"/>
          <w:sz w:val="24"/>
          <w:szCs w:val="24"/>
          <w:highlight w:val="white"/>
        </w:rPr>
        <w:t>Mattiuzzi</w:t>
      </w:r>
      <w:proofErr w:type="spellEnd"/>
      <w:r w:rsidRPr="002451B6">
        <w:rPr>
          <w:rFonts w:ascii="Times New Roman" w:eastAsia="Times New Roman" w:hAnsi="Times New Roman" w:cs="Times New Roman"/>
          <w:sz w:val="24"/>
          <w:szCs w:val="24"/>
          <w:highlight w:val="white"/>
        </w:rPr>
        <w:t>, Priscila Rezende, Rosana Paulino, e de tantas outras artistas negras, evidenciam que o pensamento feminista negro se faz imagem, e a arte negra se faz teoria. Trata-se de uma política do sensível na qual o corpo não apenas resiste, mas pensa.</w:t>
      </w:r>
    </w:p>
    <w:p w14:paraId="0BF051CB" w14:textId="77777777" w:rsidR="00332C33" w:rsidRPr="002451B6" w:rsidRDefault="00332C33">
      <w:pPr>
        <w:spacing w:line="360" w:lineRule="auto"/>
        <w:jc w:val="both"/>
        <w:rPr>
          <w:rFonts w:ascii="Times New Roman" w:eastAsia="Times New Roman" w:hAnsi="Times New Roman" w:cs="Times New Roman"/>
          <w:sz w:val="24"/>
          <w:szCs w:val="24"/>
          <w:highlight w:val="white"/>
        </w:rPr>
      </w:pPr>
    </w:p>
    <w:p w14:paraId="1D7E8DF3" w14:textId="77777777" w:rsidR="00332C33" w:rsidRPr="002451B6" w:rsidRDefault="00000000">
      <w:pPr>
        <w:spacing w:line="360" w:lineRule="auto"/>
        <w:jc w:val="both"/>
        <w:rPr>
          <w:rFonts w:ascii="Times New Roman" w:eastAsia="Times New Roman" w:hAnsi="Times New Roman" w:cs="Times New Roman"/>
          <w:b/>
          <w:bCs/>
          <w:sz w:val="24"/>
          <w:szCs w:val="24"/>
          <w:highlight w:val="white"/>
        </w:rPr>
      </w:pPr>
      <w:r w:rsidRPr="002451B6">
        <w:rPr>
          <w:rFonts w:ascii="Times New Roman" w:eastAsia="Times New Roman" w:hAnsi="Times New Roman" w:cs="Times New Roman"/>
          <w:b/>
          <w:bCs/>
          <w:sz w:val="24"/>
          <w:szCs w:val="24"/>
          <w:highlight w:val="white"/>
        </w:rPr>
        <w:t>Considerações finais</w:t>
      </w:r>
    </w:p>
    <w:p w14:paraId="1B18556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feminismo negro é um movimento múltiplo e dinâmico que articula prática política, produção intelectual e criação estética, tendo como horizonte a dignidade da vida negra. Suas pautas são diversas, mas convergem no enfrentamento às opressões que incidem sobre as mulheres negras e na reconstrução simbólica de sua humanidade. Mais do que um corpo teórico, </w:t>
      </w:r>
      <w:r w:rsidRPr="002451B6">
        <w:rPr>
          <w:rFonts w:ascii="Times New Roman" w:eastAsia="Times New Roman" w:hAnsi="Times New Roman" w:cs="Times New Roman"/>
          <w:sz w:val="24"/>
          <w:szCs w:val="24"/>
        </w:rPr>
        <w:lastRenderedPageBreak/>
        <w:t xml:space="preserve">trata-se de um pensamento situado que nasce da experiência </w:t>
      </w:r>
      <w:proofErr w:type="spellStart"/>
      <w:r w:rsidRPr="002451B6">
        <w:rPr>
          <w:rFonts w:ascii="Times New Roman" w:eastAsia="Times New Roman" w:hAnsi="Times New Roman" w:cs="Times New Roman"/>
          <w:sz w:val="24"/>
          <w:szCs w:val="24"/>
        </w:rPr>
        <w:t>racializada</w:t>
      </w:r>
      <w:proofErr w:type="spellEnd"/>
      <w:r w:rsidRPr="002451B6">
        <w:rPr>
          <w:rFonts w:ascii="Times New Roman" w:eastAsia="Times New Roman" w:hAnsi="Times New Roman" w:cs="Times New Roman"/>
          <w:sz w:val="24"/>
          <w:szCs w:val="24"/>
        </w:rPr>
        <w:t xml:space="preserve"> e converte vivência em linguagem, política e arte.</w:t>
      </w:r>
    </w:p>
    <w:p w14:paraId="0F913E1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análise das obras de Michelle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Priscila Rezende e Rosana Paulino demonstra que o campo do feminismo negro e o da arte de mulheres negras não mantêm relação de ilustração ou hierarquia, mas de mútua insurgência. Se, por um lado, o pensamento feminista negro oferece às artistas categorias como autodefinição, ancestralidade e justiça cognitiva, por outro, são suas práticas estéticas que devolvem à teoria novas formas de pensar, sentir e representar o mundo. A arte, nesse sentido, não é aplicação da teoria, mas seu laboratório sensível e sua expansão crítica.</w:t>
      </w:r>
    </w:p>
    <w:p w14:paraId="5208B56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w:t>
      </w:r>
      <w:proofErr w:type="spellStart"/>
      <w:r w:rsidRPr="002451B6">
        <w:rPr>
          <w:rFonts w:ascii="Times New Roman" w:eastAsia="Times New Roman" w:hAnsi="Times New Roman" w:cs="Times New Roman"/>
          <w:i/>
          <w:iCs/>
          <w:sz w:val="24"/>
          <w:szCs w:val="24"/>
        </w:rPr>
        <w:t>Merci</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Beaucoup</w:t>
      </w:r>
      <w:proofErr w:type="spellEnd"/>
      <w:r w:rsidRPr="002451B6">
        <w:rPr>
          <w:rFonts w:ascii="Times New Roman" w:eastAsia="Times New Roman" w:hAnsi="Times New Roman" w:cs="Times New Roman"/>
          <w:i/>
          <w:iCs/>
          <w:sz w:val="24"/>
          <w:szCs w:val="24"/>
        </w:rPr>
        <w:t>, Blanco, Bombril e Ama de Leite</w:t>
      </w:r>
      <w:r w:rsidRPr="002451B6">
        <w:rPr>
          <w:rFonts w:ascii="Times New Roman" w:eastAsia="Times New Roman" w:hAnsi="Times New Roman" w:cs="Times New Roman"/>
          <w:sz w:val="24"/>
          <w:szCs w:val="24"/>
        </w:rPr>
        <w:t>, o corpo negro não aparece como superfície de representação, mas como pensamento encarnado. Essas obras não ilustram conceitos feministas, elas os produzem, ampliam e tensionam, convertendo dor em método, memória em gesto e imagem em enunciação política. Ao desestabilizar as gramáticas visuais do colonialismo, instauram uma pedagogia da imagem que comunica o indizível e perturba o imaginário racial, transformando o corpo em território de saber.</w:t>
      </w:r>
    </w:p>
    <w:p w14:paraId="332311B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Esse duplo movimento, da teoria à arte e da arte à teoria, evidencia a potência de um pensamento estético feminista negro em expansão. Nas performances e instalações dessas artistas, categorias elaboradas por Lélia Gonzalez, Beatriz Nascimento, </w:t>
      </w:r>
      <w:proofErr w:type="spellStart"/>
      <w:r w:rsidRPr="002451B6">
        <w:rPr>
          <w:rFonts w:ascii="Times New Roman" w:eastAsia="Times New Roman" w:hAnsi="Times New Roman" w:cs="Times New Roman"/>
          <w:sz w:val="24"/>
          <w:szCs w:val="24"/>
        </w:rPr>
        <w:t>Patricia</w:t>
      </w:r>
      <w:proofErr w:type="spellEnd"/>
      <w:r w:rsidRPr="002451B6">
        <w:rPr>
          <w:rFonts w:ascii="Times New Roman" w:eastAsia="Times New Roman" w:hAnsi="Times New Roman" w:cs="Times New Roman"/>
          <w:sz w:val="24"/>
          <w:szCs w:val="24"/>
        </w:rPr>
        <w:t xml:space="preserve"> Hill Collins e Sueli Carneiro ganham corpo, cor, textura e presença. Ao mesmo tempo, a experiência estética devolve à teoria novas chaves analíticas: o corpo como arquivo, a dor como linguagem, a materialidade como método, a imagem como pensamento.</w:t>
      </w:r>
    </w:p>
    <w:p w14:paraId="636BA49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Podemos compreender esse campo compartilhado como uma ecologia de saberes insurgentes, na qual teoria e estética se constituem mutuamente. A autodefinição (Collins), a amefricanidade (Gonzalez), o racismo </w:t>
      </w:r>
      <w:proofErr w:type="spellStart"/>
      <w:r w:rsidRPr="002451B6">
        <w:rPr>
          <w:rFonts w:ascii="Times New Roman" w:eastAsia="Times New Roman" w:hAnsi="Times New Roman" w:cs="Times New Roman"/>
          <w:sz w:val="24"/>
          <w:szCs w:val="24"/>
        </w:rPr>
        <w:t>gendrado</w:t>
      </w:r>
      <w:proofErr w:type="spellEnd"/>
      <w:r w:rsidRPr="002451B6">
        <w:rPr>
          <w:rFonts w:ascii="Times New Roman" w:eastAsia="Times New Roman" w:hAnsi="Times New Roman" w:cs="Times New Roman"/>
          <w:sz w:val="24"/>
          <w:szCs w:val="24"/>
        </w:rPr>
        <w:t xml:space="preserve"> (Carneiro), a epistemologia do desvio (Rufino), a materialidade simbólica (Paulino), a estética feminista da existência (</w:t>
      </w:r>
      <w:proofErr w:type="spellStart"/>
      <w:r w:rsidRPr="002451B6">
        <w:rPr>
          <w:rFonts w:ascii="Times New Roman" w:eastAsia="Times New Roman" w:hAnsi="Times New Roman" w:cs="Times New Roman"/>
          <w:sz w:val="24"/>
          <w:szCs w:val="24"/>
        </w:rPr>
        <w:t>Stubs</w:t>
      </w:r>
      <w:proofErr w:type="spellEnd"/>
      <w:r w:rsidRPr="002451B6">
        <w:rPr>
          <w:rFonts w:ascii="Times New Roman" w:eastAsia="Times New Roman" w:hAnsi="Times New Roman" w:cs="Times New Roman"/>
          <w:sz w:val="24"/>
          <w:szCs w:val="24"/>
        </w:rPr>
        <w:t>) e a justiça cognitiva (Gomes) não operam como blocos doutrinários, mas como forças conceituais em circulação, atravessam teoria, corpo e imagem, e retornam transformadas pela experiência criativa das artistas negras.</w:t>
      </w:r>
    </w:p>
    <w:p w14:paraId="33974D5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Esses fundamentos compõem o que podemos chamar de teoria estética feminista negra brasileira: um campo que reconhece a arte como espaço legítimo de produção de conhecimento, onde ancestralidade, corpo e imaginação se articulam na formulação de mundos possíveis.</w:t>
      </w:r>
    </w:p>
    <w:p w14:paraId="2523387C" w14:textId="0D5C3450" w:rsidR="00332C33" w:rsidRPr="002451B6" w:rsidRDefault="00000000" w:rsidP="00D51B02">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 travessia entre pensamento e criação, feminismo negro e artivismo afirmam-se como práticas de reexistência. Se o feminismo negro inventa categorias para compreender o mundo, o artivismo inventa formas de senti-lo e transformá-lo. Ambos insurgem e, nessa insurgência </w:t>
      </w:r>
      <w:r w:rsidRPr="002451B6">
        <w:rPr>
          <w:rFonts w:ascii="Times New Roman" w:eastAsia="Times New Roman" w:hAnsi="Times New Roman" w:cs="Times New Roman"/>
          <w:sz w:val="24"/>
          <w:szCs w:val="24"/>
        </w:rPr>
        <w:lastRenderedPageBreak/>
        <w:t xml:space="preserve">compartilhada, o corpo negro se </w:t>
      </w:r>
      <w:proofErr w:type="spellStart"/>
      <w:r w:rsidRPr="002451B6">
        <w:rPr>
          <w:rFonts w:ascii="Times New Roman" w:eastAsia="Times New Roman" w:hAnsi="Times New Roman" w:cs="Times New Roman"/>
          <w:sz w:val="24"/>
          <w:szCs w:val="24"/>
        </w:rPr>
        <w:t>afirma</w:t>
      </w:r>
      <w:proofErr w:type="spellEnd"/>
      <w:r w:rsidRPr="002451B6">
        <w:rPr>
          <w:rFonts w:ascii="Times New Roman" w:eastAsia="Times New Roman" w:hAnsi="Times New Roman" w:cs="Times New Roman"/>
          <w:sz w:val="24"/>
          <w:szCs w:val="24"/>
        </w:rPr>
        <w:t xml:space="preserve"> como mediador de mundos, produtor de conhecimento e portador de futuro.</w:t>
      </w:r>
    </w:p>
    <w:p w14:paraId="6656FA4D" w14:textId="77777777" w:rsidR="00332C33" w:rsidRPr="002451B6" w:rsidRDefault="00332C33">
      <w:pPr>
        <w:spacing w:line="360" w:lineRule="auto"/>
        <w:jc w:val="both"/>
        <w:rPr>
          <w:rFonts w:ascii="Times New Roman" w:eastAsia="Times New Roman" w:hAnsi="Times New Roman" w:cs="Times New Roman"/>
          <w:sz w:val="24"/>
          <w:szCs w:val="24"/>
          <w:highlight w:val="white"/>
        </w:rPr>
      </w:pPr>
    </w:p>
    <w:p w14:paraId="31CD5249"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Referências </w:t>
      </w:r>
    </w:p>
    <w:p w14:paraId="2CDA988E" w14:textId="77777777" w:rsidR="00332C33" w:rsidRPr="002451B6" w:rsidRDefault="00332C33">
      <w:pPr>
        <w:spacing w:line="360" w:lineRule="auto"/>
        <w:jc w:val="center"/>
        <w:rPr>
          <w:rFonts w:ascii="Times New Roman" w:eastAsia="Times New Roman" w:hAnsi="Times New Roman" w:cs="Times New Roman"/>
          <w:b/>
          <w:bCs/>
          <w:sz w:val="24"/>
          <w:szCs w:val="24"/>
        </w:rPr>
      </w:pPr>
    </w:p>
    <w:p w14:paraId="591B57DA"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BARRETO, R. A. </w:t>
      </w:r>
      <w:r w:rsidRPr="002451B6">
        <w:rPr>
          <w:rFonts w:ascii="Times New Roman" w:eastAsia="Times New Roman" w:hAnsi="Times New Roman" w:cs="Times New Roman"/>
          <w:i/>
          <w:iCs/>
          <w:sz w:val="24"/>
          <w:szCs w:val="24"/>
        </w:rPr>
        <w:t xml:space="preserve">Enegrecendo o Feminismo ou Feminizando a Raça: Narrativas de Libertação em </w:t>
      </w:r>
      <w:proofErr w:type="spellStart"/>
      <w:r w:rsidRPr="002451B6">
        <w:rPr>
          <w:rFonts w:ascii="Times New Roman" w:eastAsia="Times New Roman" w:hAnsi="Times New Roman" w:cs="Times New Roman"/>
          <w:i/>
          <w:iCs/>
          <w:sz w:val="24"/>
          <w:szCs w:val="24"/>
        </w:rPr>
        <w:t>Angela</w:t>
      </w:r>
      <w:proofErr w:type="spellEnd"/>
      <w:r w:rsidRPr="002451B6">
        <w:rPr>
          <w:rFonts w:ascii="Times New Roman" w:eastAsia="Times New Roman" w:hAnsi="Times New Roman" w:cs="Times New Roman"/>
          <w:i/>
          <w:iCs/>
          <w:sz w:val="24"/>
          <w:szCs w:val="24"/>
        </w:rPr>
        <w:t xml:space="preserve"> Davis e Lélia Gonzalez</w:t>
      </w:r>
      <w:r w:rsidRPr="002451B6">
        <w:rPr>
          <w:rFonts w:ascii="Times New Roman" w:eastAsia="Times New Roman" w:hAnsi="Times New Roman" w:cs="Times New Roman"/>
          <w:sz w:val="24"/>
          <w:szCs w:val="24"/>
        </w:rPr>
        <w:t>. 2005. 128 fls. Dissertação (Mestrado em História). Pontifícia Universidade Católica do Rio de Janeiro, Rio de Janeiro, 2005.</w:t>
      </w:r>
    </w:p>
    <w:p w14:paraId="09061EFD"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CALDWELL, K. L. A institucionalização de estudos sobre a mulher negra: Perspectivas dos Estados Unidos e do Brasil. </w:t>
      </w:r>
      <w:r w:rsidRPr="002451B6">
        <w:rPr>
          <w:rFonts w:ascii="Times New Roman" w:eastAsia="Times New Roman" w:hAnsi="Times New Roman" w:cs="Times New Roman"/>
          <w:i/>
          <w:iCs/>
          <w:sz w:val="24"/>
          <w:szCs w:val="24"/>
        </w:rPr>
        <w:t>Revista ABPN</w:t>
      </w:r>
      <w:r w:rsidRPr="002451B6">
        <w:rPr>
          <w:rFonts w:ascii="Times New Roman" w:eastAsia="Times New Roman" w:hAnsi="Times New Roman" w:cs="Times New Roman"/>
          <w:sz w:val="24"/>
          <w:szCs w:val="24"/>
        </w:rPr>
        <w:t>, v. 1, n. 1, mar-</w:t>
      </w:r>
      <w:proofErr w:type="spellStart"/>
      <w:r w:rsidRPr="002451B6">
        <w:rPr>
          <w:rFonts w:ascii="Times New Roman" w:eastAsia="Times New Roman" w:hAnsi="Times New Roman" w:cs="Times New Roman"/>
          <w:sz w:val="24"/>
          <w:szCs w:val="24"/>
        </w:rPr>
        <w:t>jun</w:t>
      </w:r>
      <w:proofErr w:type="spellEnd"/>
      <w:r w:rsidRPr="002451B6">
        <w:rPr>
          <w:rFonts w:ascii="Times New Roman" w:eastAsia="Times New Roman" w:hAnsi="Times New Roman" w:cs="Times New Roman"/>
          <w:sz w:val="24"/>
          <w:szCs w:val="24"/>
        </w:rPr>
        <w:t xml:space="preserve"> 2010. Disponível em: &lt;</w:t>
      </w:r>
      <w:hyperlink r:id="rId8">
        <w:r w:rsidR="00332C33" w:rsidRPr="002451B6">
          <w:rPr>
            <w:rFonts w:ascii="Times New Roman" w:eastAsia="Times New Roman" w:hAnsi="Times New Roman" w:cs="Times New Roman"/>
            <w:sz w:val="24"/>
            <w:szCs w:val="24"/>
            <w:u w:val="single"/>
          </w:rPr>
          <w:t>www.abpnrevista.org.br/revista/index.php/revistaabpn1/article/download/ 304/282&gt;. Acesso em 13 jun. 20</w:t>
        </w:r>
      </w:hyperlink>
      <w:r w:rsidRPr="002451B6">
        <w:rPr>
          <w:rFonts w:ascii="Times New Roman" w:eastAsia="Times New Roman" w:hAnsi="Times New Roman" w:cs="Times New Roman"/>
          <w:sz w:val="24"/>
          <w:szCs w:val="24"/>
        </w:rPr>
        <w:t>24.</w:t>
      </w:r>
    </w:p>
    <w:p w14:paraId="4ADF8CC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CARDOSO, C. P. </w:t>
      </w:r>
      <w:r w:rsidRPr="002451B6">
        <w:rPr>
          <w:rFonts w:ascii="Times New Roman" w:eastAsia="Times New Roman" w:hAnsi="Times New Roman" w:cs="Times New Roman"/>
          <w:i/>
          <w:iCs/>
          <w:sz w:val="24"/>
          <w:szCs w:val="24"/>
        </w:rPr>
        <w:t>Outras falas:</w:t>
      </w:r>
      <w:r w:rsidRPr="002451B6">
        <w:rPr>
          <w:rFonts w:ascii="Times New Roman" w:eastAsia="Times New Roman" w:hAnsi="Times New Roman" w:cs="Times New Roman"/>
          <w:sz w:val="24"/>
          <w:szCs w:val="24"/>
        </w:rPr>
        <w:t xml:space="preserve"> feminismos na perspectiva de mulheres negras brasileiras. Tese (Doutorado em Estudos Interdisciplinares sobre Mulheres, Gênero e Feminismo). Universidade Federal da Bahia, Salvador, 2012.</w:t>
      </w:r>
    </w:p>
    <w:p w14:paraId="7D278E78" w14:textId="77777777" w:rsidR="00332C33" w:rsidRPr="002451B6" w:rsidRDefault="00000000">
      <w:pPr>
        <w:spacing w:after="200" w:line="240" w:lineRule="auto"/>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 xml:space="preserve">CARNEIRO, S. Enegrecer o Feminismo: A situação da mulher negra na América Latina a partir de uma perspectiva de gênero. In: ASHOKA, Empreendedores Sociais e Takano Cidadania (org.). </w:t>
      </w:r>
      <w:r w:rsidRPr="002451B6">
        <w:rPr>
          <w:rFonts w:ascii="Times New Roman" w:eastAsia="Times New Roman" w:hAnsi="Times New Roman" w:cs="Times New Roman"/>
          <w:i/>
          <w:iCs/>
          <w:sz w:val="24"/>
          <w:szCs w:val="24"/>
        </w:rPr>
        <w:t>Racismos Contemporâneos</w:t>
      </w:r>
      <w:r w:rsidRPr="002451B6">
        <w:rPr>
          <w:rFonts w:ascii="Times New Roman" w:eastAsia="Times New Roman" w:hAnsi="Times New Roman" w:cs="Times New Roman"/>
          <w:sz w:val="24"/>
          <w:szCs w:val="24"/>
        </w:rPr>
        <w:t>. Rio de Janeiro, Takano Ed., 2003</w:t>
      </w:r>
    </w:p>
    <w:p w14:paraId="719180E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COLLINS, P. H</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Pensamento Feminista Negro</w:t>
      </w:r>
      <w:r w:rsidRPr="002451B6">
        <w:rPr>
          <w:rFonts w:ascii="Times New Roman" w:eastAsia="Times New Roman" w:hAnsi="Times New Roman" w:cs="Times New Roman"/>
          <w:sz w:val="24"/>
          <w:szCs w:val="24"/>
        </w:rPr>
        <w:t>. São Paulo, Boitempo, 2019.</w:t>
      </w:r>
    </w:p>
    <w:p w14:paraId="760C4E0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COLLINS, P. H. Rasgos distintivos </w:t>
      </w:r>
      <w:proofErr w:type="spellStart"/>
      <w:r w:rsidRPr="002451B6">
        <w:rPr>
          <w:rFonts w:ascii="Times New Roman" w:eastAsia="Times New Roman" w:hAnsi="Times New Roman" w:cs="Times New Roman"/>
          <w:sz w:val="24"/>
          <w:szCs w:val="24"/>
        </w:rPr>
        <w:t>del</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pensamiento</w:t>
      </w:r>
      <w:proofErr w:type="spellEnd"/>
      <w:r w:rsidRPr="002451B6">
        <w:rPr>
          <w:rFonts w:ascii="Times New Roman" w:eastAsia="Times New Roman" w:hAnsi="Times New Roman" w:cs="Times New Roman"/>
          <w:sz w:val="24"/>
          <w:szCs w:val="24"/>
        </w:rPr>
        <w:t xml:space="preserve"> feminista negro. In </w:t>
      </w:r>
      <w:r w:rsidRPr="002451B6">
        <w:rPr>
          <w:rFonts w:ascii="Times New Roman" w:eastAsia="Times New Roman" w:hAnsi="Times New Roman" w:cs="Times New Roman"/>
          <w:i/>
          <w:iCs/>
          <w:sz w:val="24"/>
          <w:szCs w:val="24"/>
        </w:rPr>
        <w:t>Feminismos negros: Una antologia</w:t>
      </w:r>
      <w:r w:rsidRPr="002451B6">
        <w:rPr>
          <w:rFonts w:ascii="Times New Roman" w:eastAsia="Times New Roman" w:hAnsi="Times New Roman" w:cs="Times New Roman"/>
          <w:sz w:val="24"/>
          <w:szCs w:val="24"/>
        </w:rPr>
        <w:t xml:space="preserve">. Madrid, Traficantes de </w:t>
      </w:r>
      <w:proofErr w:type="spellStart"/>
      <w:r w:rsidRPr="002451B6">
        <w:rPr>
          <w:rFonts w:ascii="Times New Roman" w:eastAsia="Times New Roman" w:hAnsi="Times New Roman" w:cs="Times New Roman"/>
          <w:sz w:val="24"/>
          <w:szCs w:val="24"/>
        </w:rPr>
        <w:t>sueños</w:t>
      </w:r>
      <w:proofErr w:type="spellEnd"/>
      <w:r w:rsidRPr="002451B6">
        <w:rPr>
          <w:rFonts w:ascii="Times New Roman" w:eastAsia="Times New Roman" w:hAnsi="Times New Roman" w:cs="Times New Roman"/>
          <w:sz w:val="24"/>
          <w:szCs w:val="24"/>
        </w:rPr>
        <w:t>, 2012.</w:t>
      </w:r>
    </w:p>
    <w:p w14:paraId="511A507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COLLINS, P. H. Aprendendo com a outsider </w:t>
      </w:r>
      <w:proofErr w:type="spellStart"/>
      <w:r w:rsidRPr="002451B6">
        <w:rPr>
          <w:rFonts w:ascii="Times New Roman" w:eastAsia="Times New Roman" w:hAnsi="Times New Roman" w:cs="Times New Roman"/>
          <w:sz w:val="24"/>
          <w:szCs w:val="24"/>
        </w:rPr>
        <w:t>within</w:t>
      </w:r>
      <w:proofErr w:type="spellEnd"/>
      <w:r w:rsidRPr="002451B6">
        <w:rPr>
          <w:rFonts w:ascii="Times New Roman" w:eastAsia="Times New Roman" w:hAnsi="Times New Roman" w:cs="Times New Roman"/>
          <w:sz w:val="24"/>
          <w:szCs w:val="24"/>
        </w:rPr>
        <w:t>: a significação sociológica do pensamento feminista negro</w:t>
      </w:r>
      <w:r w:rsidRPr="002451B6">
        <w:rPr>
          <w:rFonts w:ascii="Times New Roman" w:eastAsia="Times New Roman" w:hAnsi="Times New Roman" w:cs="Times New Roman"/>
          <w:i/>
          <w:iCs/>
          <w:sz w:val="24"/>
          <w:szCs w:val="24"/>
        </w:rPr>
        <w:t>. Revista Sociedade e Estado</w:t>
      </w:r>
      <w:r w:rsidRPr="002451B6">
        <w:rPr>
          <w:rFonts w:ascii="Times New Roman" w:eastAsia="Times New Roman" w:hAnsi="Times New Roman" w:cs="Times New Roman"/>
          <w:sz w:val="24"/>
          <w:szCs w:val="24"/>
        </w:rPr>
        <w:t>, v. 31, n. 1, jan./</w:t>
      </w:r>
      <w:proofErr w:type="spellStart"/>
      <w:r w:rsidRPr="002451B6">
        <w:rPr>
          <w:rFonts w:ascii="Times New Roman" w:eastAsia="Times New Roman" w:hAnsi="Times New Roman" w:cs="Times New Roman"/>
          <w:sz w:val="24"/>
          <w:szCs w:val="24"/>
        </w:rPr>
        <w:t>abr</w:t>
      </w:r>
      <w:proofErr w:type="spellEnd"/>
      <w:r w:rsidRPr="002451B6">
        <w:rPr>
          <w:rFonts w:ascii="Times New Roman" w:eastAsia="Times New Roman" w:hAnsi="Times New Roman" w:cs="Times New Roman"/>
          <w:sz w:val="24"/>
          <w:szCs w:val="24"/>
        </w:rPr>
        <w:t>, 2016.</w:t>
      </w:r>
    </w:p>
    <w:p w14:paraId="798DAAB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Costa, J. B.; Pereira, B. C. J. O feminismo negro de Patrícia Hill Collins: uma conversa sobre conhecimento, poder e resistência. Entrevista. </w:t>
      </w:r>
      <w:r w:rsidRPr="002451B6">
        <w:rPr>
          <w:rFonts w:ascii="Times New Roman" w:eastAsia="Times New Roman" w:hAnsi="Times New Roman" w:cs="Times New Roman"/>
          <w:i/>
          <w:iCs/>
          <w:sz w:val="24"/>
          <w:szCs w:val="24"/>
        </w:rPr>
        <w:t>Revista Sociedade e estado</w:t>
      </w:r>
      <w:r w:rsidRPr="002451B6">
        <w:rPr>
          <w:rFonts w:ascii="Times New Roman" w:eastAsia="Times New Roman" w:hAnsi="Times New Roman" w:cs="Times New Roman"/>
          <w:sz w:val="24"/>
          <w:szCs w:val="24"/>
        </w:rPr>
        <w:t>, v.36, n.3, set-dez. 2021. Disponível em: https://www.scielo.br/j/se/a/7Nm7KmJy6Vc54JmRMSMd7qD/#. Acesso em: 10 mar. 2024.</w:t>
      </w:r>
    </w:p>
    <w:p w14:paraId="4ADA0A6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CARRERA, F.; MEIRINHO, D. Mulheres negras nas Artes Visuais: modos de resistência às imagens coloniais de controle. </w:t>
      </w:r>
      <w:r w:rsidRPr="002451B6">
        <w:rPr>
          <w:rFonts w:ascii="Times New Roman" w:eastAsia="Times New Roman" w:hAnsi="Times New Roman" w:cs="Times New Roman"/>
          <w:i/>
          <w:iCs/>
          <w:sz w:val="24"/>
          <w:szCs w:val="24"/>
        </w:rPr>
        <w:t xml:space="preserve">Revista </w:t>
      </w:r>
      <w:proofErr w:type="spellStart"/>
      <w:r w:rsidRPr="002451B6">
        <w:rPr>
          <w:rFonts w:ascii="Times New Roman" w:eastAsia="Times New Roman" w:hAnsi="Times New Roman" w:cs="Times New Roman"/>
          <w:i/>
          <w:iCs/>
          <w:sz w:val="24"/>
          <w:szCs w:val="24"/>
        </w:rPr>
        <w:t>ECO-Pós</w:t>
      </w:r>
      <w:proofErr w:type="spellEnd"/>
      <w:r w:rsidRPr="002451B6">
        <w:rPr>
          <w:rFonts w:ascii="Times New Roman" w:eastAsia="Times New Roman" w:hAnsi="Times New Roman" w:cs="Times New Roman"/>
          <w:sz w:val="24"/>
          <w:szCs w:val="24"/>
        </w:rPr>
        <w:t xml:space="preserve">, v. 23 n. 3 (2020), 55–81. Disponível em: </w:t>
      </w:r>
      <w:hyperlink r:id="rId9">
        <w:r w:rsidR="00332C33" w:rsidRPr="002451B6">
          <w:rPr>
            <w:rFonts w:ascii="Times New Roman" w:eastAsia="Times New Roman" w:hAnsi="Times New Roman" w:cs="Times New Roman"/>
            <w:sz w:val="24"/>
            <w:szCs w:val="24"/>
            <w:u w:val="single"/>
          </w:rPr>
          <w:t>https://revistaecopos.eco.ufrj.br/eco_pos/article/view/27572</w:t>
        </w:r>
      </w:hyperlink>
      <w:r w:rsidRPr="002451B6">
        <w:rPr>
          <w:rFonts w:ascii="Times New Roman" w:eastAsia="Times New Roman" w:hAnsi="Times New Roman" w:cs="Times New Roman"/>
          <w:sz w:val="24"/>
          <w:szCs w:val="24"/>
        </w:rPr>
        <w:t>. Acesso em 08 nov. 2025.</w:t>
      </w:r>
    </w:p>
    <w:p w14:paraId="29CD59E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DOMINGUES, P. Entre </w:t>
      </w:r>
      <w:proofErr w:type="spellStart"/>
      <w:r w:rsidRPr="002451B6">
        <w:rPr>
          <w:rFonts w:ascii="Times New Roman" w:eastAsia="Times New Roman" w:hAnsi="Times New Roman" w:cs="Times New Roman"/>
          <w:sz w:val="24"/>
          <w:szCs w:val="24"/>
        </w:rPr>
        <w:t>Dandaras</w:t>
      </w:r>
      <w:proofErr w:type="spellEnd"/>
      <w:r w:rsidRPr="002451B6">
        <w:rPr>
          <w:rFonts w:ascii="Times New Roman" w:eastAsia="Times New Roman" w:hAnsi="Times New Roman" w:cs="Times New Roman"/>
          <w:sz w:val="24"/>
          <w:szCs w:val="24"/>
        </w:rPr>
        <w:t xml:space="preserve"> e </w:t>
      </w:r>
      <w:proofErr w:type="spellStart"/>
      <w:r w:rsidRPr="002451B6">
        <w:rPr>
          <w:rFonts w:ascii="Times New Roman" w:eastAsia="Times New Roman" w:hAnsi="Times New Roman" w:cs="Times New Roman"/>
          <w:sz w:val="24"/>
          <w:szCs w:val="24"/>
        </w:rPr>
        <w:t>Luizas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Mahins</w:t>
      </w:r>
      <w:proofErr w:type="spellEnd"/>
      <w:r w:rsidRPr="002451B6">
        <w:rPr>
          <w:rFonts w:ascii="Times New Roman" w:eastAsia="Times New Roman" w:hAnsi="Times New Roman" w:cs="Times New Roman"/>
          <w:sz w:val="24"/>
          <w:szCs w:val="24"/>
        </w:rPr>
        <w:t xml:space="preserve">: mulheres negras e </w:t>
      </w:r>
      <w:proofErr w:type="spellStart"/>
      <w:proofErr w:type="gramStart"/>
      <w:r w:rsidRPr="002451B6">
        <w:rPr>
          <w:rFonts w:ascii="Times New Roman" w:eastAsia="Times New Roman" w:hAnsi="Times New Roman" w:cs="Times New Roman"/>
          <w:sz w:val="24"/>
          <w:szCs w:val="24"/>
        </w:rPr>
        <w:t>anti-racismo</w:t>
      </w:r>
      <w:proofErr w:type="spellEnd"/>
      <w:proofErr w:type="gramEnd"/>
      <w:r w:rsidRPr="002451B6">
        <w:rPr>
          <w:rFonts w:ascii="Times New Roman" w:eastAsia="Times New Roman" w:hAnsi="Times New Roman" w:cs="Times New Roman"/>
          <w:sz w:val="24"/>
          <w:szCs w:val="24"/>
        </w:rPr>
        <w:t xml:space="preserve"> no Brasil.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In: PEREIRA, Amaury Mendes; SILVA, Joselina (</w:t>
      </w:r>
      <w:proofErr w:type="spellStart"/>
      <w:r w:rsidRPr="002451B6">
        <w:rPr>
          <w:rFonts w:ascii="Times New Roman" w:eastAsia="Times New Roman" w:hAnsi="Times New Roman" w:cs="Times New Roman"/>
          <w:sz w:val="24"/>
          <w:szCs w:val="24"/>
        </w:rPr>
        <w:t>orgs</w:t>
      </w:r>
      <w:proofErr w:type="spellEnd"/>
      <w:r w:rsidRPr="002451B6">
        <w:rPr>
          <w:rFonts w:ascii="Times New Roman" w:eastAsia="Times New Roman" w:hAnsi="Times New Roman" w:cs="Times New Roman"/>
          <w:i/>
          <w:iCs/>
          <w:sz w:val="24"/>
          <w:szCs w:val="24"/>
        </w:rPr>
        <w:t>.). Movimento Negro Brasileiro:</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escritos sobre os sentidos de democracia e justiça social no Brasil. Belo Horizonte, </w:t>
      </w:r>
      <w:proofErr w:type="spellStart"/>
      <w:r w:rsidRPr="002451B6">
        <w:rPr>
          <w:rFonts w:ascii="Times New Roman" w:eastAsia="Times New Roman" w:hAnsi="Times New Roman" w:cs="Times New Roman"/>
          <w:sz w:val="24"/>
          <w:szCs w:val="24"/>
        </w:rPr>
        <w:t>Nandyala</w:t>
      </w:r>
      <w:proofErr w:type="spellEnd"/>
      <w:r w:rsidRPr="002451B6">
        <w:rPr>
          <w:rFonts w:ascii="Times New Roman" w:eastAsia="Times New Roman" w:hAnsi="Times New Roman" w:cs="Times New Roman"/>
          <w:sz w:val="24"/>
          <w:szCs w:val="24"/>
        </w:rPr>
        <w:t>, 2009.</w:t>
      </w:r>
    </w:p>
    <w:p w14:paraId="45FE8F8A"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GOMES, N. L. Intelectuais negros e produção do conhecimento: algumas reflexões sobre a realidade brasileira. In: SANTOS, Boaventura; MENESES, Maria Paula. </w:t>
      </w:r>
      <w:r w:rsidRPr="002451B6">
        <w:rPr>
          <w:rFonts w:ascii="Times New Roman" w:eastAsia="Times New Roman" w:hAnsi="Times New Roman" w:cs="Times New Roman"/>
          <w:i/>
          <w:iCs/>
          <w:sz w:val="24"/>
          <w:szCs w:val="24"/>
        </w:rPr>
        <w:t>Epistemologias do Sul</w:t>
      </w:r>
      <w:r w:rsidRPr="002451B6">
        <w:rPr>
          <w:rFonts w:ascii="Times New Roman" w:eastAsia="Times New Roman" w:hAnsi="Times New Roman" w:cs="Times New Roman"/>
          <w:sz w:val="24"/>
          <w:szCs w:val="24"/>
        </w:rPr>
        <w:t xml:space="preserve">. Coimbra, </w:t>
      </w:r>
      <w:proofErr w:type="spellStart"/>
      <w:r w:rsidRPr="002451B6">
        <w:rPr>
          <w:rFonts w:ascii="Times New Roman" w:eastAsia="Times New Roman" w:hAnsi="Times New Roman" w:cs="Times New Roman"/>
          <w:sz w:val="24"/>
          <w:szCs w:val="24"/>
        </w:rPr>
        <w:t>Alamedina</w:t>
      </w:r>
      <w:proofErr w:type="spellEnd"/>
      <w:r w:rsidRPr="002451B6">
        <w:rPr>
          <w:rFonts w:ascii="Times New Roman" w:eastAsia="Times New Roman" w:hAnsi="Times New Roman" w:cs="Times New Roman"/>
          <w:sz w:val="24"/>
          <w:szCs w:val="24"/>
        </w:rPr>
        <w:t>, 2010.</w:t>
      </w:r>
    </w:p>
    <w:p w14:paraId="51D589C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GONZALEZ, L. (autor); RIOS, F.; LIMA, M. (org.). </w:t>
      </w:r>
      <w:r w:rsidRPr="002451B6">
        <w:rPr>
          <w:rFonts w:ascii="Times New Roman" w:eastAsia="Times New Roman" w:hAnsi="Times New Roman" w:cs="Times New Roman"/>
          <w:i/>
          <w:iCs/>
          <w:sz w:val="24"/>
          <w:szCs w:val="24"/>
        </w:rPr>
        <w:t xml:space="preserve">Por um feminismo </w:t>
      </w:r>
      <w:proofErr w:type="spellStart"/>
      <w:r w:rsidRPr="002451B6">
        <w:rPr>
          <w:rFonts w:ascii="Times New Roman" w:eastAsia="Times New Roman" w:hAnsi="Times New Roman" w:cs="Times New Roman"/>
          <w:i/>
          <w:iCs/>
          <w:sz w:val="24"/>
          <w:szCs w:val="24"/>
        </w:rPr>
        <w:t>afrolatinoamericano</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Rio de Janeiro, Zahar, 2020.</w:t>
      </w:r>
    </w:p>
    <w:p w14:paraId="08149A8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GRACINDO, C. P. C. </w:t>
      </w:r>
      <w:r w:rsidRPr="002451B6">
        <w:rPr>
          <w:rFonts w:ascii="Times New Roman" w:eastAsia="Times New Roman" w:hAnsi="Times New Roman" w:cs="Times New Roman"/>
          <w:i/>
          <w:iCs/>
          <w:sz w:val="24"/>
          <w:szCs w:val="24"/>
        </w:rPr>
        <w:t>Preta nas Artes: o corpo da mulher negra na arte brasileira.</w:t>
      </w:r>
      <w:r w:rsidRPr="002451B6">
        <w:rPr>
          <w:rFonts w:ascii="Times New Roman" w:eastAsia="Times New Roman" w:hAnsi="Times New Roman" w:cs="Times New Roman"/>
          <w:sz w:val="24"/>
          <w:szCs w:val="24"/>
        </w:rPr>
        <w:t xml:space="preserve"> Dissertação (Mestrado em Estética e História da Arte). Universidade de São Paulo, São Paulo, 2023.</w:t>
      </w:r>
    </w:p>
    <w:p w14:paraId="1978D5B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HALL, S. </w:t>
      </w:r>
      <w:r w:rsidRPr="002451B6">
        <w:rPr>
          <w:rFonts w:ascii="Times New Roman" w:eastAsia="Times New Roman" w:hAnsi="Times New Roman" w:cs="Times New Roman"/>
          <w:i/>
          <w:iCs/>
          <w:sz w:val="24"/>
          <w:szCs w:val="24"/>
        </w:rPr>
        <w:t>Cultura e Representação.</w:t>
      </w:r>
      <w:r w:rsidRPr="002451B6">
        <w:rPr>
          <w:rFonts w:ascii="Times New Roman" w:eastAsia="Times New Roman" w:hAnsi="Times New Roman" w:cs="Times New Roman"/>
          <w:sz w:val="24"/>
          <w:szCs w:val="24"/>
        </w:rPr>
        <w:t xml:space="preserve"> Rio de Janeiro: Ed. PUC-Rio, </w:t>
      </w:r>
      <w:proofErr w:type="spellStart"/>
      <w:r w:rsidRPr="002451B6">
        <w:rPr>
          <w:rFonts w:ascii="Times New Roman" w:eastAsia="Times New Roman" w:hAnsi="Times New Roman" w:cs="Times New Roman"/>
          <w:sz w:val="24"/>
          <w:szCs w:val="24"/>
        </w:rPr>
        <w:t>Apicuri</w:t>
      </w:r>
      <w:proofErr w:type="spellEnd"/>
      <w:r w:rsidRPr="002451B6">
        <w:rPr>
          <w:rFonts w:ascii="Times New Roman" w:eastAsia="Times New Roman" w:hAnsi="Times New Roman" w:cs="Times New Roman"/>
          <w:sz w:val="24"/>
          <w:szCs w:val="24"/>
        </w:rPr>
        <w:t>, 2016.</w:t>
      </w:r>
    </w:p>
    <w:p w14:paraId="4BAC329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HULL, G. T.; SCOTT, P. B.; SMITH, B. </w:t>
      </w:r>
      <w:proofErr w:type="spellStart"/>
      <w:r w:rsidRPr="002451B6">
        <w:rPr>
          <w:rFonts w:ascii="Times New Roman" w:eastAsia="Times New Roman" w:hAnsi="Times New Roman" w:cs="Times New Roman"/>
          <w:i/>
          <w:iCs/>
          <w:sz w:val="24"/>
          <w:szCs w:val="24"/>
        </w:rPr>
        <w:t>All</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the</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women</w:t>
      </w:r>
      <w:proofErr w:type="spellEnd"/>
      <w:r w:rsidRPr="002451B6">
        <w:rPr>
          <w:rFonts w:ascii="Times New Roman" w:eastAsia="Times New Roman" w:hAnsi="Times New Roman" w:cs="Times New Roman"/>
          <w:i/>
          <w:iCs/>
          <w:sz w:val="24"/>
          <w:szCs w:val="24"/>
        </w:rPr>
        <w:t xml:space="preserve"> are </w:t>
      </w:r>
      <w:proofErr w:type="spellStart"/>
      <w:r w:rsidRPr="002451B6">
        <w:rPr>
          <w:rFonts w:ascii="Times New Roman" w:eastAsia="Times New Roman" w:hAnsi="Times New Roman" w:cs="Times New Roman"/>
          <w:i/>
          <w:iCs/>
          <w:sz w:val="24"/>
          <w:szCs w:val="24"/>
        </w:rPr>
        <w:t>white</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All</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the</w:t>
      </w:r>
      <w:proofErr w:type="spellEnd"/>
      <w:r w:rsidRPr="002451B6">
        <w:rPr>
          <w:rFonts w:ascii="Times New Roman" w:eastAsia="Times New Roman" w:hAnsi="Times New Roman" w:cs="Times New Roman"/>
          <w:i/>
          <w:iCs/>
          <w:sz w:val="24"/>
          <w:szCs w:val="24"/>
        </w:rPr>
        <w:t xml:space="preserve"> blacks are </w:t>
      </w:r>
      <w:proofErr w:type="spellStart"/>
      <w:r w:rsidRPr="002451B6">
        <w:rPr>
          <w:rFonts w:ascii="Times New Roman" w:eastAsia="Times New Roman" w:hAnsi="Times New Roman" w:cs="Times New Roman"/>
          <w:i/>
          <w:iCs/>
          <w:sz w:val="24"/>
          <w:szCs w:val="24"/>
        </w:rPr>
        <w:t>men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But</w:t>
      </w:r>
      <w:proofErr w:type="spellEnd"/>
      <w:r w:rsidRPr="002451B6">
        <w:rPr>
          <w:rFonts w:ascii="Times New Roman" w:eastAsia="Times New Roman" w:hAnsi="Times New Roman" w:cs="Times New Roman"/>
          <w:i/>
          <w:iCs/>
          <w:sz w:val="24"/>
          <w:szCs w:val="24"/>
        </w:rPr>
        <w:t xml:space="preserve"> Some </w:t>
      </w:r>
      <w:proofErr w:type="spellStart"/>
      <w:r w:rsidRPr="002451B6">
        <w:rPr>
          <w:rFonts w:ascii="Times New Roman" w:eastAsia="Times New Roman" w:hAnsi="Times New Roman" w:cs="Times New Roman"/>
          <w:i/>
          <w:iCs/>
          <w:sz w:val="24"/>
          <w:szCs w:val="24"/>
        </w:rPr>
        <w:t>of</w:t>
      </w:r>
      <w:proofErr w:type="spellEnd"/>
      <w:r w:rsidRPr="002451B6">
        <w:rPr>
          <w:rFonts w:ascii="Times New Roman" w:eastAsia="Times New Roman" w:hAnsi="Times New Roman" w:cs="Times New Roman"/>
          <w:i/>
          <w:iCs/>
          <w:sz w:val="24"/>
          <w:szCs w:val="24"/>
        </w:rPr>
        <w:t xml:space="preserve"> Us Are Brave.</w:t>
      </w:r>
      <w:r w:rsidRPr="002451B6">
        <w:rPr>
          <w:rFonts w:ascii="Times New Roman" w:eastAsia="Times New Roman" w:hAnsi="Times New Roman" w:cs="Times New Roman"/>
          <w:sz w:val="24"/>
          <w:szCs w:val="24"/>
        </w:rPr>
        <w:t xml:space="preserve"> 2a. ed. New York: </w:t>
      </w:r>
      <w:proofErr w:type="spellStart"/>
      <w:r w:rsidRPr="002451B6">
        <w:rPr>
          <w:rFonts w:ascii="Times New Roman" w:eastAsia="Times New Roman" w:hAnsi="Times New Roman" w:cs="Times New Roman"/>
          <w:sz w:val="24"/>
          <w:szCs w:val="24"/>
        </w:rPr>
        <w:t>Feminist</w:t>
      </w:r>
      <w:proofErr w:type="spellEnd"/>
      <w:r w:rsidRPr="002451B6">
        <w:rPr>
          <w:rFonts w:ascii="Times New Roman" w:eastAsia="Times New Roman" w:hAnsi="Times New Roman" w:cs="Times New Roman"/>
          <w:sz w:val="24"/>
          <w:szCs w:val="24"/>
        </w:rPr>
        <w:t xml:space="preserve"> Press </w:t>
      </w:r>
      <w:proofErr w:type="spellStart"/>
      <w:r w:rsidRPr="002451B6">
        <w:rPr>
          <w:rFonts w:ascii="Times New Roman" w:eastAsia="Times New Roman" w:hAnsi="Times New Roman" w:cs="Times New Roman"/>
          <w:sz w:val="24"/>
          <w:szCs w:val="24"/>
        </w:rPr>
        <w:t>at</w:t>
      </w:r>
      <w:proofErr w:type="spellEnd"/>
      <w:r w:rsidRPr="002451B6">
        <w:rPr>
          <w:rFonts w:ascii="Times New Roman" w:eastAsia="Times New Roman" w:hAnsi="Times New Roman" w:cs="Times New Roman"/>
          <w:sz w:val="24"/>
          <w:szCs w:val="24"/>
        </w:rPr>
        <w:t xml:space="preserve"> City </w:t>
      </w:r>
      <w:proofErr w:type="spellStart"/>
      <w:r w:rsidRPr="002451B6">
        <w:rPr>
          <w:rFonts w:ascii="Times New Roman" w:eastAsia="Times New Roman" w:hAnsi="Times New Roman" w:cs="Times New Roman"/>
          <w:sz w:val="24"/>
          <w:szCs w:val="24"/>
        </w:rPr>
        <w:t>University</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of</w:t>
      </w:r>
      <w:proofErr w:type="spellEnd"/>
      <w:r w:rsidRPr="002451B6">
        <w:rPr>
          <w:rFonts w:ascii="Times New Roman" w:eastAsia="Times New Roman" w:hAnsi="Times New Roman" w:cs="Times New Roman"/>
          <w:sz w:val="24"/>
          <w:szCs w:val="24"/>
        </w:rPr>
        <w:t xml:space="preserve"> New York, 2015.</w:t>
      </w:r>
    </w:p>
    <w:p w14:paraId="281E760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LIMA, D. C.</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#Conectadas: O feminismo negro nas redes sociais.</w:t>
      </w:r>
      <w:r w:rsidRPr="002451B6">
        <w:rPr>
          <w:rFonts w:ascii="Times New Roman" w:eastAsia="Times New Roman" w:hAnsi="Times New Roman" w:cs="Times New Roman"/>
          <w:sz w:val="24"/>
          <w:szCs w:val="24"/>
        </w:rPr>
        <w:t xml:space="preserve"> Tese (Doutorado em Ciências Humanas e Sociais). Universidade Federal do ABC, São Bernardo, 2020.</w:t>
      </w:r>
    </w:p>
    <w:p w14:paraId="33A3690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 xml:space="preserve">Lima, D. C. Caracterização dos feminismos negros: dos coletivos da geração MNU às coletividades virtuais. </w:t>
      </w:r>
      <w:proofErr w:type="spellStart"/>
      <w:r w:rsidRPr="002451B6">
        <w:rPr>
          <w:rFonts w:ascii="Times New Roman" w:eastAsia="Times New Roman" w:hAnsi="Times New Roman" w:cs="Times New Roman"/>
          <w:i/>
          <w:iCs/>
          <w:sz w:val="24"/>
          <w:szCs w:val="24"/>
          <w:highlight w:val="white"/>
        </w:rPr>
        <w:t>Civitas</w:t>
      </w:r>
      <w:proofErr w:type="spellEnd"/>
      <w:r w:rsidRPr="002451B6">
        <w:rPr>
          <w:rFonts w:ascii="Times New Roman" w:eastAsia="Times New Roman" w:hAnsi="Times New Roman" w:cs="Times New Roman"/>
          <w:i/>
          <w:iCs/>
          <w:sz w:val="24"/>
          <w:szCs w:val="24"/>
          <w:highlight w:val="white"/>
        </w:rPr>
        <w:t>: Revista De Ciências Sociais, 2025,</w:t>
      </w:r>
      <w:r w:rsidRPr="002451B6">
        <w:rPr>
          <w:rFonts w:ascii="Times New Roman" w:eastAsia="Times New Roman" w:hAnsi="Times New Roman" w:cs="Times New Roman"/>
          <w:sz w:val="24"/>
          <w:szCs w:val="24"/>
          <w:highlight w:val="white"/>
        </w:rPr>
        <w:t xml:space="preserve"> </w:t>
      </w:r>
      <w:r w:rsidRPr="002451B6">
        <w:rPr>
          <w:rFonts w:ascii="Times New Roman" w:eastAsia="Times New Roman" w:hAnsi="Times New Roman" w:cs="Times New Roman"/>
          <w:i/>
          <w:iCs/>
          <w:sz w:val="24"/>
          <w:szCs w:val="24"/>
          <w:highlight w:val="white"/>
        </w:rPr>
        <w:t>25</w:t>
      </w:r>
      <w:r w:rsidRPr="002451B6">
        <w:rPr>
          <w:rFonts w:ascii="Times New Roman" w:eastAsia="Times New Roman" w:hAnsi="Times New Roman" w:cs="Times New Roman"/>
          <w:sz w:val="24"/>
          <w:szCs w:val="24"/>
          <w:highlight w:val="white"/>
        </w:rPr>
        <w:t>(1), e46400. https://doi.org/10.15448/1984-7289.2025.1.46400</w:t>
      </w:r>
    </w:p>
    <w:p w14:paraId="1EFFF92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MUSA MATTIUZZI. In</w:t>
      </w:r>
      <w:r w:rsidRPr="002451B6">
        <w:rPr>
          <w:rFonts w:ascii="Times New Roman" w:eastAsia="Times New Roman" w:hAnsi="Times New Roman" w:cs="Times New Roman"/>
          <w:i/>
          <w:iCs/>
          <w:sz w:val="24"/>
          <w:szCs w:val="24"/>
        </w:rPr>
        <w:t>: ENCICLOPÉDIA Itaú Cultural de Arte e Cultura Brasileira.</w:t>
      </w:r>
      <w:r w:rsidRPr="002451B6">
        <w:rPr>
          <w:rFonts w:ascii="Times New Roman" w:eastAsia="Times New Roman" w:hAnsi="Times New Roman" w:cs="Times New Roman"/>
          <w:sz w:val="24"/>
          <w:szCs w:val="24"/>
        </w:rPr>
        <w:t xml:space="preserve"> São Paulo: Itaú Cultural, 2022. Disponível em: http://enciclopedia.itaucultural.org.br/pessoa638686/musa-mattiuzzi. Acesso em: 17 de fevereiro de 2024. Verbete da Enciclopédia.</w:t>
      </w:r>
    </w:p>
    <w:p w14:paraId="5D05D99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MUSA Michelle </w:t>
      </w:r>
      <w:proofErr w:type="spellStart"/>
      <w:r w:rsidRPr="002451B6">
        <w:rPr>
          <w:rFonts w:ascii="Times New Roman" w:eastAsia="Times New Roman" w:hAnsi="Times New Roman" w:cs="Times New Roman"/>
          <w:sz w:val="24"/>
          <w:szCs w:val="24"/>
        </w:rPr>
        <w:t>Mattiuzzi</w:t>
      </w:r>
      <w:proofErr w:type="spellEnd"/>
      <w:r w:rsidRPr="002451B6">
        <w:rPr>
          <w:rFonts w:ascii="Times New Roman" w:eastAsia="Times New Roman" w:hAnsi="Times New Roman" w:cs="Times New Roman"/>
          <w:sz w:val="24"/>
          <w:szCs w:val="24"/>
        </w:rPr>
        <w:t xml:space="preserve">. In: </w:t>
      </w:r>
      <w:hyperlink r:id="rId10">
        <w:r w:rsidR="00332C33" w:rsidRPr="002451B6">
          <w:rPr>
            <w:rFonts w:ascii="Times New Roman" w:eastAsia="Times New Roman" w:hAnsi="Times New Roman" w:cs="Times New Roman"/>
            <w:sz w:val="24"/>
            <w:szCs w:val="24"/>
            <w:u w:val="single"/>
          </w:rPr>
          <w:t>https://www.pipaprize.com/pag/artists/musa-michelle-mattiuzzi/</w:t>
        </w:r>
      </w:hyperlink>
      <w:r w:rsidRPr="002451B6">
        <w:rPr>
          <w:rFonts w:ascii="Times New Roman" w:eastAsia="Times New Roman" w:hAnsi="Times New Roman" w:cs="Times New Roman"/>
          <w:sz w:val="24"/>
          <w:szCs w:val="24"/>
        </w:rPr>
        <w:t>.</w:t>
      </w:r>
    </w:p>
    <w:p w14:paraId="4479EEF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PAULINO, R. </w:t>
      </w:r>
      <w:r w:rsidRPr="002451B6">
        <w:rPr>
          <w:rFonts w:ascii="Times New Roman" w:eastAsia="Times New Roman" w:hAnsi="Times New Roman" w:cs="Times New Roman"/>
          <w:i/>
          <w:iCs/>
          <w:sz w:val="24"/>
          <w:szCs w:val="24"/>
        </w:rPr>
        <w:t>Notas sobre a leitura das obras de artistas negras e negros no ambiente brasileiro.</w:t>
      </w:r>
      <w:r w:rsidRPr="002451B6">
        <w:rPr>
          <w:rFonts w:ascii="Times New Roman" w:eastAsia="Times New Roman" w:hAnsi="Times New Roman" w:cs="Times New Roman"/>
          <w:sz w:val="24"/>
          <w:szCs w:val="24"/>
        </w:rPr>
        <w:t xml:space="preserve"> MASP/</w:t>
      </w:r>
      <w:proofErr w:type="spellStart"/>
      <w:r w:rsidRPr="002451B6">
        <w:rPr>
          <w:rFonts w:ascii="Times New Roman" w:eastAsia="Times New Roman" w:hAnsi="Times New Roman" w:cs="Times New Roman"/>
          <w:sz w:val="24"/>
          <w:szCs w:val="24"/>
        </w:rPr>
        <w:t>Afterall</w:t>
      </w:r>
      <w:proofErr w:type="spellEnd"/>
      <w:r w:rsidRPr="002451B6">
        <w:rPr>
          <w:rFonts w:ascii="Times New Roman" w:eastAsia="Times New Roman" w:hAnsi="Times New Roman" w:cs="Times New Roman"/>
          <w:sz w:val="24"/>
          <w:szCs w:val="24"/>
        </w:rPr>
        <w:t xml:space="preserve">, 2020. Disponível em: </w:t>
      </w:r>
      <w:hyperlink r:id="rId11">
        <w:r w:rsidR="00332C33" w:rsidRPr="002451B6">
          <w:rPr>
            <w:rFonts w:ascii="Times New Roman" w:eastAsia="Times New Roman" w:hAnsi="Times New Roman" w:cs="Times New Roman"/>
            <w:sz w:val="24"/>
            <w:szCs w:val="24"/>
            <w:u w:val="single"/>
          </w:rPr>
          <w:t>https://assets.masp.org.br/uploads/temp/temp-Yh4JU5Diisv5FvmMb8Vl.pdf</w:t>
        </w:r>
      </w:hyperlink>
      <w:r w:rsidRPr="002451B6">
        <w:rPr>
          <w:rFonts w:ascii="Times New Roman" w:eastAsia="Times New Roman" w:hAnsi="Times New Roman" w:cs="Times New Roman"/>
          <w:sz w:val="24"/>
          <w:szCs w:val="24"/>
        </w:rPr>
        <w:t>. Acesso em 07 nov.2025.</w:t>
      </w:r>
    </w:p>
    <w:p w14:paraId="14D25E64"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PRISCILA REZENDE. In: </w:t>
      </w:r>
      <w:r w:rsidRPr="002451B6">
        <w:rPr>
          <w:rFonts w:ascii="Times New Roman" w:eastAsia="Times New Roman" w:hAnsi="Times New Roman" w:cs="Times New Roman"/>
          <w:i/>
          <w:iCs/>
          <w:sz w:val="24"/>
          <w:szCs w:val="24"/>
        </w:rPr>
        <w:t>ENCICLOPÉDIA Itaú Cultural de Arte e Cultura Brasileira.</w:t>
      </w:r>
      <w:r w:rsidRPr="002451B6">
        <w:rPr>
          <w:rFonts w:ascii="Times New Roman" w:eastAsia="Times New Roman" w:hAnsi="Times New Roman" w:cs="Times New Roman"/>
          <w:sz w:val="24"/>
          <w:szCs w:val="24"/>
        </w:rPr>
        <w:t xml:space="preserve"> São Paulo: Itaú Cultural, 2022. Disponível em: http://enciclopedia.itaucultural.org.br/pessoa262063/priscila-rezende. Acesso em: 17 de fevereiro de 2025. </w:t>
      </w:r>
    </w:p>
    <w:p w14:paraId="657BED2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PRISCILA REZENDE</w:t>
      </w:r>
      <w:r w:rsidRPr="002451B6">
        <w:rPr>
          <w:rFonts w:ascii="Times New Roman" w:eastAsia="Times New Roman" w:hAnsi="Times New Roman" w:cs="Times New Roman"/>
          <w:i/>
          <w:iCs/>
          <w:sz w:val="24"/>
          <w:szCs w:val="24"/>
        </w:rPr>
        <w:t>. Performance no Memorial: Bombril.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Memorial Minas Gerais Vale. Disponível em: </w:t>
      </w:r>
      <w:hyperlink r:id="rId12">
        <w:r w:rsidR="00332C33" w:rsidRPr="002451B6">
          <w:rPr>
            <w:rFonts w:ascii="Times New Roman" w:eastAsia="Times New Roman" w:hAnsi="Times New Roman" w:cs="Times New Roman"/>
            <w:sz w:val="24"/>
            <w:szCs w:val="24"/>
            <w:u w:val="single"/>
          </w:rPr>
          <w:t>https://www.youtube.com/watch?v=lHV2_5naHH8</w:t>
        </w:r>
      </w:hyperlink>
      <w:r w:rsidRPr="002451B6">
        <w:rPr>
          <w:rFonts w:ascii="Times New Roman" w:eastAsia="Times New Roman" w:hAnsi="Times New Roman" w:cs="Times New Roman"/>
          <w:sz w:val="24"/>
          <w:szCs w:val="24"/>
        </w:rPr>
        <w:t>. Acesso em: 17 de fevereiro de 2022.</w:t>
      </w:r>
    </w:p>
    <w:p w14:paraId="5E46E928"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RATTS, A. </w:t>
      </w:r>
      <w:r w:rsidRPr="002451B6">
        <w:rPr>
          <w:rFonts w:ascii="Times New Roman" w:eastAsia="Times New Roman" w:hAnsi="Times New Roman" w:cs="Times New Roman"/>
          <w:i/>
          <w:iCs/>
          <w:sz w:val="24"/>
          <w:szCs w:val="24"/>
        </w:rPr>
        <w:t>Eu sou atlântica: sobre a trajetória de vida de Beatriz Nascimento</w:t>
      </w:r>
      <w:r w:rsidRPr="002451B6">
        <w:rPr>
          <w:rFonts w:ascii="Times New Roman" w:eastAsia="Times New Roman" w:hAnsi="Times New Roman" w:cs="Times New Roman"/>
          <w:sz w:val="24"/>
          <w:szCs w:val="24"/>
        </w:rPr>
        <w:t xml:space="preserve">. São Paulo, Instituto </w:t>
      </w:r>
      <w:proofErr w:type="spellStart"/>
      <w:r w:rsidRPr="002451B6">
        <w:rPr>
          <w:rFonts w:ascii="Times New Roman" w:eastAsia="Times New Roman" w:hAnsi="Times New Roman" w:cs="Times New Roman"/>
          <w:sz w:val="24"/>
          <w:szCs w:val="24"/>
        </w:rPr>
        <w:t>Kuanza</w:t>
      </w:r>
      <w:proofErr w:type="spellEnd"/>
      <w:r w:rsidRPr="002451B6">
        <w:rPr>
          <w:rFonts w:ascii="Times New Roman" w:eastAsia="Times New Roman" w:hAnsi="Times New Roman" w:cs="Times New Roman"/>
          <w:sz w:val="24"/>
          <w:szCs w:val="24"/>
        </w:rPr>
        <w:t>/Imprensa Oficial, 2006.</w:t>
      </w:r>
    </w:p>
    <w:p w14:paraId="616B8F8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ROSANA PAULINO. In: </w:t>
      </w:r>
      <w:r w:rsidRPr="002451B6">
        <w:rPr>
          <w:rFonts w:ascii="Times New Roman" w:eastAsia="Times New Roman" w:hAnsi="Times New Roman" w:cs="Times New Roman"/>
          <w:i/>
          <w:iCs/>
          <w:sz w:val="24"/>
          <w:szCs w:val="24"/>
        </w:rPr>
        <w:t>ENCICLOPÉDIA Itaú Cultural de Arte e Cultura Brasileira.</w:t>
      </w:r>
      <w:r w:rsidRPr="002451B6">
        <w:rPr>
          <w:rFonts w:ascii="Times New Roman" w:eastAsia="Times New Roman" w:hAnsi="Times New Roman" w:cs="Times New Roman"/>
          <w:sz w:val="24"/>
          <w:szCs w:val="24"/>
        </w:rPr>
        <w:t xml:space="preserve"> São Paulo: Itaú Cultural, 2022. Disponível em: http://enciclopedia.itaucultural.org.br/pessoa216153/rosana-paulino. Acesso em: 01 de março de 2022. </w:t>
      </w:r>
    </w:p>
    <w:p w14:paraId="766D17E2"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RUFINO, L</w:t>
      </w:r>
      <w:r w:rsidRPr="002451B6">
        <w:rPr>
          <w:rFonts w:ascii="Times New Roman" w:eastAsia="Times New Roman" w:hAnsi="Times New Roman" w:cs="Times New Roman"/>
          <w:i/>
          <w:iCs/>
          <w:sz w:val="24"/>
          <w:szCs w:val="24"/>
        </w:rPr>
        <w:t>. Pedagogia das encruzilhadas</w:t>
      </w:r>
      <w:r w:rsidRPr="002451B6">
        <w:rPr>
          <w:rFonts w:ascii="Times New Roman" w:eastAsia="Times New Roman" w:hAnsi="Times New Roman" w:cs="Times New Roman"/>
          <w:sz w:val="24"/>
          <w:szCs w:val="24"/>
        </w:rPr>
        <w:t xml:space="preserve">. Rio de Janeiro, Mórula, 2019. </w:t>
      </w:r>
    </w:p>
    <w:p w14:paraId="523A3901" w14:textId="77777777" w:rsidR="00332C33" w:rsidRPr="002451B6" w:rsidRDefault="00000000">
      <w:pPr>
        <w:spacing w:after="200" w:line="24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 xml:space="preserve">STUBS, R.; TEIXEIRA-FILHO, F. S.; LESSA, P. Artivismo, estética feminista e produção de subjetividade. </w:t>
      </w:r>
      <w:r w:rsidRPr="002451B6">
        <w:rPr>
          <w:rFonts w:ascii="Times New Roman" w:eastAsia="Times New Roman" w:hAnsi="Times New Roman" w:cs="Times New Roman"/>
          <w:i/>
          <w:iCs/>
          <w:sz w:val="24"/>
          <w:szCs w:val="24"/>
        </w:rPr>
        <w:t>Revista Estudos Feministas</w:t>
      </w:r>
      <w:r w:rsidRPr="002451B6">
        <w:rPr>
          <w:rFonts w:ascii="Times New Roman" w:eastAsia="Times New Roman" w:hAnsi="Times New Roman" w:cs="Times New Roman"/>
          <w:sz w:val="24"/>
          <w:szCs w:val="24"/>
        </w:rPr>
        <w:t xml:space="preserve">, 2048, </w:t>
      </w:r>
      <w:r w:rsidRPr="002451B6">
        <w:rPr>
          <w:rFonts w:ascii="Times New Roman" w:eastAsia="Times New Roman" w:hAnsi="Times New Roman" w:cs="Times New Roman"/>
          <w:sz w:val="24"/>
          <w:szCs w:val="24"/>
          <w:highlight w:val="white"/>
        </w:rPr>
        <w:t xml:space="preserve">n. 26 (2). Disponível em: </w:t>
      </w:r>
      <w:hyperlink r:id="rId13">
        <w:r w:rsidR="00332C33" w:rsidRPr="002451B6">
          <w:rPr>
            <w:rFonts w:ascii="Times New Roman" w:eastAsia="Times New Roman" w:hAnsi="Times New Roman" w:cs="Times New Roman"/>
            <w:sz w:val="24"/>
            <w:szCs w:val="24"/>
            <w:highlight w:val="white"/>
            <w:u w:val="single"/>
          </w:rPr>
          <w:t>https://www.scielo.br/j/ref/a/Tv5hVNZ5W98QhbHNVV753vS/abstract/?lang=pt</w:t>
        </w:r>
      </w:hyperlink>
      <w:r w:rsidRPr="002451B6">
        <w:rPr>
          <w:rFonts w:ascii="Times New Roman" w:eastAsia="Times New Roman" w:hAnsi="Times New Roman" w:cs="Times New Roman"/>
          <w:sz w:val="24"/>
          <w:szCs w:val="24"/>
          <w:highlight w:val="white"/>
        </w:rPr>
        <w:t>. Acesso em 03 nov. 2025.</w:t>
      </w:r>
    </w:p>
    <w:p w14:paraId="6970F228" w14:textId="77777777" w:rsidR="00332C33" w:rsidRPr="002451B6" w:rsidRDefault="00332C33">
      <w:pPr>
        <w:spacing w:line="360" w:lineRule="auto"/>
        <w:rPr>
          <w:rFonts w:ascii="Times New Roman" w:eastAsia="Times New Roman" w:hAnsi="Times New Roman" w:cs="Times New Roman"/>
          <w:b/>
          <w:bCs/>
          <w:sz w:val="24"/>
          <w:szCs w:val="24"/>
        </w:rPr>
      </w:pPr>
    </w:p>
    <w:p w14:paraId="26334CAE" w14:textId="77777777" w:rsidR="00C945CD" w:rsidRPr="002451B6" w:rsidRDefault="00C945CD">
      <w:pPr>
        <w:spacing w:line="360" w:lineRule="auto"/>
        <w:rPr>
          <w:rFonts w:ascii="Times New Roman" w:eastAsia="Times New Roman" w:hAnsi="Times New Roman" w:cs="Times New Roman"/>
          <w:b/>
          <w:bCs/>
          <w:sz w:val="24"/>
          <w:szCs w:val="24"/>
        </w:rPr>
      </w:pPr>
    </w:p>
    <w:p w14:paraId="2D06E597"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É possível falar em cultura política feminista no Brasil?</w:t>
      </w:r>
    </w:p>
    <w:p w14:paraId="7CA28B66" w14:textId="77777777" w:rsidR="00332C33" w:rsidRPr="002451B6" w:rsidRDefault="00332C33">
      <w:pPr>
        <w:spacing w:line="360" w:lineRule="auto"/>
        <w:jc w:val="center"/>
        <w:rPr>
          <w:rFonts w:ascii="Times New Roman" w:eastAsia="Times New Roman" w:hAnsi="Times New Roman" w:cs="Times New Roman"/>
          <w:i/>
          <w:iCs/>
          <w:sz w:val="24"/>
          <w:szCs w:val="24"/>
        </w:rPr>
      </w:pPr>
    </w:p>
    <w:p w14:paraId="35917ED5" w14:textId="77777777" w:rsidR="00332C33" w:rsidRPr="002451B6" w:rsidRDefault="00332C33">
      <w:pPr>
        <w:spacing w:line="360" w:lineRule="auto"/>
        <w:jc w:val="both"/>
        <w:rPr>
          <w:rFonts w:ascii="Times New Roman" w:eastAsia="Times New Roman" w:hAnsi="Times New Roman" w:cs="Times New Roman"/>
          <w:sz w:val="24"/>
          <w:szCs w:val="24"/>
        </w:rPr>
      </w:pPr>
    </w:p>
    <w:p w14:paraId="29BB7E8F"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Introdução</w:t>
      </w:r>
    </w:p>
    <w:p w14:paraId="4C1D7EEF" w14:textId="77777777" w:rsidR="00C945CD" w:rsidRPr="002451B6" w:rsidRDefault="00C945CD">
      <w:pPr>
        <w:spacing w:line="360" w:lineRule="auto"/>
        <w:jc w:val="both"/>
        <w:rPr>
          <w:rFonts w:ascii="Times New Roman" w:eastAsia="Times New Roman" w:hAnsi="Times New Roman" w:cs="Times New Roman"/>
          <w:sz w:val="24"/>
          <w:szCs w:val="24"/>
        </w:rPr>
      </w:pPr>
    </w:p>
    <w:p w14:paraId="18F301E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cultura política, entendida como o conjunto de práticas e representações que orientam a participação dos sujeitos na vida pública, constitui-se em um campo de disputa. Dentro desse campo, as mulheres historicamente encontraram obstáculos para fazer ouvir suas vozes, tendo sua presença marcada pela invisibilidade, pela exclusão e pela sub-representação nos espaços de poder. Essa ausência não se limita ao plano material da política institucional, mas se inscreve no imaginário social e nas formas simbólicas de legitimação da autoridade. Entretanto, ao longo do século XX e nas primeiras décadas do XXI, temos vivenciado o avanço das reivindicações feministas no mundo ocidental e ocidentalizado. </w:t>
      </w:r>
    </w:p>
    <w:p w14:paraId="3D9BC49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presente capítulo busca refletir sobre a formação de uma cultura política feminista, tomando como ponto de partida o percurso histórico das mulheres na política e suas lutas por reconhecimento e representatividade, a partir do cenário brasileiro. O objetivo é compreender como o feminismo, ao longo de sua trajetória no Brasil, constrói modos próprios de agir e de pensar politicamente, articulando dimensões individuais e coletivas de emancipação.</w:t>
      </w:r>
    </w:p>
    <w:p w14:paraId="1BD2BDD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Parte-se do argumento de que o feminismo, enquanto prática política e campo de produção de saberes, constitui uma cultura política </w:t>
      </w:r>
      <w:proofErr w:type="spellStart"/>
      <w:r w:rsidRPr="002451B6">
        <w:rPr>
          <w:rFonts w:ascii="Times New Roman" w:eastAsia="Times New Roman" w:hAnsi="Times New Roman" w:cs="Times New Roman"/>
          <w:sz w:val="24"/>
          <w:szCs w:val="24"/>
        </w:rPr>
        <w:t>contra-hegemônica</w:t>
      </w:r>
      <w:proofErr w:type="spellEnd"/>
      <w:r w:rsidRPr="002451B6">
        <w:rPr>
          <w:rFonts w:ascii="Times New Roman" w:eastAsia="Times New Roman" w:hAnsi="Times New Roman" w:cs="Times New Roman"/>
          <w:sz w:val="24"/>
          <w:szCs w:val="24"/>
        </w:rPr>
        <w:t xml:space="preserve">, capaz de tensionar as estruturas patriarcais e </w:t>
      </w:r>
      <w:proofErr w:type="spellStart"/>
      <w:r w:rsidRPr="002451B6">
        <w:rPr>
          <w:rFonts w:ascii="Times New Roman" w:eastAsia="Times New Roman" w:hAnsi="Times New Roman" w:cs="Times New Roman"/>
          <w:sz w:val="24"/>
          <w:szCs w:val="24"/>
        </w:rPr>
        <w:t>racializadas</w:t>
      </w:r>
      <w:proofErr w:type="spellEnd"/>
      <w:r w:rsidRPr="002451B6">
        <w:rPr>
          <w:rFonts w:ascii="Times New Roman" w:eastAsia="Times New Roman" w:hAnsi="Times New Roman" w:cs="Times New Roman"/>
          <w:sz w:val="24"/>
          <w:szCs w:val="24"/>
        </w:rPr>
        <w:t xml:space="preserve"> da sociedade brasileira; apoiando-se na ideia de que o feminismo não apenas reivindica direitos, mas também produz novas formas de sensibilidade, sociabilidade e de percepção do mundo.</w:t>
      </w:r>
    </w:p>
    <w:p w14:paraId="7ECA804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análise estabelece diálogo com autoras como Sueli Carneiro (2019) e Constância Lima Duarte (2019), que permitem pensar o feminismo brasileiro em sua pluralidade, reconhecendo as diferentes experiências de gênero, raça e classe que atravessam o corpo político das mulheres. Além disso, o trabalho dialoga com </w:t>
      </w:r>
      <w:proofErr w:type="spellStart"/>
      <w:r w:rsidRPr="002451B6">
        <w:rPr>
          <w:rFonts w:ascii="Times New Roman" w:eastAsia="Times New Roman" w:hAnsi="Times New Roman" w:cs="Times New Roman"/>
          <w:sz w:val="24"/>
          <w:szCs w:val="24"/>
        </w:rPr>
        <w:t>Angela</w:t>
      </w:r>
      <w:proofErr w:type="spellEnd"/>
      <w:r w:rsidRPr="002451B6">
        <w:rPr>
          <w:rFonts w:ascii="Times New Roman" w:eastAsia="Times New Roman" w:hAnsi="Times New Roman" w:cs="Times New Roman"/>
          <w:sz w:val="24"/>
          <w:szCs w:val="24"/>
        </w:rPr>
        <w:t xml:space="preserve"> Figueiredo (2018) e </w:t>
      </w:r>
      <w:proofErr w:type="spellStart"/>
      <w:r w:rsidRPr="002451B6">
        <w:rPr>
          <w:rFonts w:ascii="Times New Roman" w:eastAsia="Times New Roman" w:hAnsi="Times New Roman" w:cs="Times New Roman"/>
          <w:sz w:val="24"/>
          <w:szCs w:val="24"/>
        </w:rPr>
        <w:t>Céli</w:t>
      </w:r>
      <w:proofErr w:type="spellEnd"/>
      <w:r w:rsidRPr="002451B6">
        <w:rPr>
          <w:rFonts w:ascii="Times New Roman" w:eastAsia="Times New Roman" w:hAnsi="Times New Roman" w:cs="Times New Roman"/>
          <w:sz w:val="24"/>
          <w:szCs w:val="24"/>
        </w:rPr>
        <w:t xml:space="preserve"> Pinto (2010), entre outras, cujas reflexões sobre a presença feminina na política institucional e sobre as relações entre poder e feminismo ajudam a compreender as resistências e as transformações em curso.</w:t>
      </w:r>
    </w:p>
    <w:p w14:paraId="39A912F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Ampliando esse olhar, é possível compreender que a cultura política feminista se constitui não apenas como reação a um modelo excludente, mas como produção ativa de novos sentidos de cidadania, ética e democracia. Tal cultura opera simultaneamente nos campos simbólico e material, constituindo-se tanto como uma forma de pensamento quanto uma prática </w:t>
      </w:r>
      <w:r w:rsidRPr="002451B6">
        <w:rPr>
          <w:rFonts w:ascii="Times New Roman" w:eastAsia="Times New Roman" w:hAnsi="Times New Roman" w:cs="Times New Roman"/>
          <w:sz w:val="24"/>
          <w:szCs w:val="24"/>
        </w:rPr>
        <w:lastRenderedPageBreak/>
        <w:t>de transformação social. Em tempos de avanço do conservadorismo, pensar o feminismo como cultura política é também reafirmar o caráter ético e emancipador de suas lutas.</w:t>
      </w:r>
    </w:p>
    <w:p w14:paraId="264882E4" w14:textId="77777777" w:rsidR="00332C33" w:rsidRPr="002451B6" w:rsidRDefault="00332C33">
      <w:pPr>
        <w:spacing w:line="360" w:lineRule="auto"/>
        <w:jc w:val="both"/>
        <w:rPr>
          <w:rFonts w:ascii="Times New Roman" w:eastAsia="Times New Roman" w:hAnsi="Times New Roman" w:cs="Times New Roman"/>
          <w:sz w:val="24"/>
          <w:szCs w:val="24"/>
        </w:rPr>
      </w:pPr>
    </w:p>
    <w:p w14:paraId="46D2286A"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Culturas políticas</w:t>
      </w:r>
    </w:p>
    <w:p w14:paraId="07653E35" w14:textId="77777777" w:rsidR="00332C33" w:rsidRPr="002451B6" w:rsidRDefault="00332C33">
      <w:pPr>
        <w:spacing w:line="360" w:lineRule="auto"/>
        <w:jc w:val="both"/>
        <w:rPr>
          <w:rFonts w:ascii="Times New Roman" w:eastAsia="Times New Roman" w:hAnsi="Times New Roman" w:cs="Times New Roman"/>
          <w:sz w:val="24"/>
          <w:szCs w:val="24"/>
        </w:rPr>
      </w:pPr>
    </w:p>
    <w:p w14:paraId="5210269C"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Segundo Serge </w:t>
      </w:r>
      <w:proofErr w:type="spellStart"/>
      <w:r w:rsidRPr="002451B6">
        <w:rPr>
          <w:rFonts w:ascii="Times New Roman" w:eastAsia="Times New Roman" w:hAnsi="Times New Roman" w:cs="Times New Roman"/>
          <w:sz w:val="24"/>
          <w:szCs w:val="24"/>
        </w:rPr>
        <w:t>Berstein</w:t>
      </w:r>
      <w:proofErr w:type="spellEnd"/>
      <w:r w:rsidRPr="002451B6">
        <w:rPr>
          <w:rFonts w:ascii="Times New Roman" w:eastAsia="Times New Roman" w:hAnsi="Times New Roman" w:cs="Times New Roman"/>
          <w:sz w:val="24"/>
          <w:szCs w:val="24"/>
        </w:rPr>
        <w:t xml:space="preserve"> (2009), o termo cultura política torna-se importante chave para o entendimento dos comportamentos políticos no contexto da renovação da História Política nos anos de 1990 na França. O teórico se opõe à concepção até então predominante que enfatizava a história de personagens, partidos políticos e instituições, tanto à esquerda quanto à direita, e que se colocava à serviço de um ou de outro desses extremos. Rompendo com este binarismo e buscando o diálogo com as ciências humanas e sociais, bem como com as novas abordagens da História como a História Cultural, afirma que a cultura política se constitui como um sistema de representações partilhado por um grupo social expressivo e que explica o comportamento de seus membros.</w:t>
      </w:r>
    </w:p>
    <w:p w14:paraId="50A600B8"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0B7668B7"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Os historiadores entendem por cultura política um grupo de representações, portadoras de normas e valores, que constituem a identidade das grandes famílias políticas e que vão muito além da noção reducionista de partido político (</w:t>
      </w:r>
      <w:proofErr w:type="spellStart"/>
      <w:r w:rsidRPr="002451B6">
        <w:rPr>
          <w:rFonts w:ascii="Times New Roman" w:eastAsia="Times New Roman" w:hAnsi="Times New Roman" w:cs="Times New Roman"/>
        </w:rPr>
        <w:t>Berstein</w:t>
      </w:r>
      <w:proofErr w:type="spellEnd"/>
      <w:r w:rsidRPr="002451B6">
        <w:rPr>
          <w:rFonts w:ascii="Times New Roman" w:eastAsia="Times New Roman" w:hAnsi="Times New Roman" w:cs="Times New Roman"/>
        </w:rPr>
        <w:t xml:space="preserve">, 2009, p. 31). </w:t>
      </w:r>
    </w:p>
    <w:p w14:paraId="589BEE19" w14:textId="77777777" w:rsidR="00332C33" w:rsidRPr="002451B6" w:rsidRDefault="00000000">
      <w:pPr>
        <w:spacing w:line="360" w:lineRule="auto"/>
        <w:jc w:val="both"/>
        <w:rPr>
          <w:rFonts w:ascii="Times New Roman" w:eastAsia="Times New Roman" w:hAnsi="Times New Roman" w:cs="Times New Roman"/>
        </w:rPr>
      </w:pPr>
      <w:r w:rsidRPr="002451B6">
        <w:rPr>
          <w:rFonts w:ascii="Times New Roman" w:eastAsia="Times New Roman" w:hAnsi="Times New Roman" w:cs="Times New Roman"/>
          <w:sz w:val="24"/>
          <w:szCs w:val="24"/>
        </w:rPr>
        <w:tab/>
      </w:r>
    </w:p>
    <w:p w14:paraId="710A291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São elas que “determinam a visão que os homens que deles participam têm da sociedade, de sua organização, do lugar que aí eles ocupam, dos problemas de transmissão do poder, sistemas que motivam e explicam seus comportamentos políticos” (</w:t>
      </w:r>
      <w:proofErr w:type="spellStart"/>
      <w:r w:rsidRPr="002451B6">
        <w:rPr>
          <w:rFonts w:ascii="Times New Roman" w:eastAsia="Times New Roman" w:hAnsi="Times New Roman" w:cs="Times New Roman"/>
          <w:sz w:val="24"/>
          <w:szCs w:val="24"/>
        </w:rPr>
        <w:t>Berstein</w:t>
      </w:r>
      <w:proofErr w:type="spellEnd"/>
      <w:r w:rsidRPr="002451B6">
        <w:rPr>
          <w:rFonts w:ascii="Times New Roman" w:eastAsia="Times New Roman" w:hAnsi="Times New Roman" w:cs="Times New Roman"/>
          <w:sz w:val="24"/>
          <w:szCs w:val="24"/>
        </w:rPr>
        <w:t xml:space="preserve">, 2009, p. 32). Uma vez que o político atravessa todo o tecido social, a cultura política é um fenômeno histórico, variando no tempo e no espaço.  Como categoria de análise, possibilita a compreensão dos sentidos dos acontecimentos compartilhados por um grupo e que orientam os seus comportamentos. A concepção de cultura política de </w:t>
      </w:r>
      <w:proofErr w:type="spellStart"/>
      <w:r w:rsidRPr="002451B6">
        <w:rPr>
          <w:rFonts w:ascii="Times New Roman" w:eastAsia="Times New Roman" w:hAnsi="Times New Roman" w:cs="Times New Roman"/>
          <w:sz w:val="24"/>
          <w:szCs w:val="24"/>
        </w:rPr>
        <w:t>Berstein</w:t>
      </w:r>
      <w:proofErr w:type="spellEnd"/>
      <w:r w:rsidRPr="002451B6">
        <w:rPr>
          <w:rFonts w:ascii="Times New Roman" w:eastAsia="Times New Roman" w:hAnsi="Times New Roman" w:cs="Times New Roman"/>
          <w:sz w:val="24"/>
          <w:szCs w:val="24"/>
        </w:rPr>
        <w:t xml:space="preserve"> (2009) rompe também com a explicação marxista que buscava explicações materiais para as mudanças. Para o estudioso, além de rejeitar determinismos, é preciso levar em consideração o discurso, o dito e o não dito, as redes de sociabilidade, os símbolos e os rituais. Por fim, segundo ele, as culturas políticas mudam ao longo do tempo, adaptando-se às mudanças sociais no presente. Entretanto, salienta que elas nascem, se transformam e envelhecem, mas jamais desaparecem totalmente. Assim, embora possa existir hegemonia de uma, em uma mesma época podem coexistir culturas políticas diversas. Podemos ainda acrescentar que essa pluralidade produz antagonismos, disputas e conflitos externos e internos. Embora </w:t>
      </w:r>
      <w:proofErr w:type="spellStart"/>
      <w:r w:rsidRPr="002451B6">
        <w:rPr>
          <w:rFonts w:ascii="Times New Roman" w:eastAsia="Times New Roman" w:hAnsi="Times New Roman" w:cs="Times New Roman"/>
          <w:sz w:val="24"/>
          <w:szCs w:val="24"/>
        </w:rPr>
        <w:t>Berstein</w:t>
      </w:r>
      <w:proofErr w:type="spellEnd"/>
      <w:r w:rsidRPr="002451B6">
        <w:rPr>
          <w:rFonts w:ascii="Times New Roman" w:eastAsia="Times New Roman" w:hAnsi="Times New Roman" w:cs="Times New Roman"/>
          <w:sz w:val="24"/>
          <w:szCs w:val="24"/>
        </w:rPr>
        <w:t xml:space="preserve"> (2009), no texto citado, não tenha </w:t>
      </w:r>
      <w:r w:rsidRPr="002451B6">
        <w:rPr>
          <w:rFonts w:ascii="Times New Roman" w:eastAsia="Times New Roman" w:hAnsi="Times New Roman" w:cs="Times New Roman"/>
          <w:sz w:val="24"/>
          <w:szCs w:val="24"/>
        </w:rPr>
        <w:lastRenderedPageBreak/>
        <w:t xml:space="preserve">explorado esta dimensão, ela é fundamental para o entendimento da nossa história política, tal como pode ser visto através da história do feminismo no Brasil. </w:t>
      </w:r>
    </w:p>
    <w:p w14:paraId="2DD67846"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17D0DC17"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Culturas políticas feministas no Brasil</w:t>
      </w:r>
    </w:p>
    <w:p w14:paraId="42981CD9" w14:textId="77777777" w:rsidR="00332C33" w:rsidRPr="002451B6" w:rsidRDefault="00332C33">
      <w:pPr>
        <w:spacing w:line="360" w:lineRule="auto"/>
        <w:jc w:val="both"/>
        <w:rPr>
          <w:rFonts w:ascii="Times New Roman" w:eastAsia="Times New Roman" w:hAnsi="Times New Roman" w:cs="Times New Roman"/>
          <w:sz w:val="24"/>
          <w:szCs w:val="24"/>
        </w:rPr>
      </w:pPr>
    </w:p>
    <w:p w14:paraId="6097770A"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ab/>
      </w:r>
      <w:r w:rsidRPr="002451B6">
        <w:rPr>
          <w:rFonts w:ascii="Times New Roman" w:eastAsia="Times New Roman" w:hAnsi="Times New Roman" w:cs="Times New Roman"/>
          <w:sz w:val="24"/>
          <w:szCs w:val="24"/>
        </w:rPr>
        <w:t xml:space="preserve">Seria pertinente falar em cultura política feminista no Brasil, tendo em vista o questionamento abaixo? </w:t>
      </w:r>
    </w:p>
    <w:p w14:paraId="2DBE9C0B" w14:textId="77777777" w:rsidR="00332C33" w:rsidRPr="002451B6" w:rsidRDefault="00332C33">
      <w:pPr>
        <w:spacing w:line="360" w:lineRule="auto"/>
        <w:jc w:val="both"/>
        <w:rPr>
          <w:rFonts w:ascii="Times New Roman" w:eastAsia="Times New Roman" w:hAnsi="Times New Roman" w:cs="Times New Roman"/>
          <w:sz w:val="24"/>
          <w:szCs w:val="24"/>
        </w:rPr>
      </w:pPr>
    </w:p>
    <w:p w14:paraId="04750A92"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se a abordagem por meio das culturas políticas parece funcional para a explicação histórica nos períodos e países em que as representações políticas são fortemente estruturadas e diversificadas, convém questionar sua pertinência para o período mais contemporâneo, a partir do momento em que o desaparecimento dos grandes projetos alternativos de sociedade tende a confundir as fronteiras entre as grandes famílias políticas, a provocar uma crise da representação democrática e a fazer emergirem movimentos sociais não diretamente partidários em torno de questões setoriais cuja justaposição não resulta claramente num todo coerente, capaz de constituir o germe de culturas políticas em gestação, quer se trate da ecologia, do feminismo ou do antiglobalismo (</w:t>
      </w:r>
      <w:proofErr w:type="spellStart"/>
      <w:r w:rsidRPr="002451B6">
        <w:rPr>
          <w:rFonts w:ascii="Times New Roman" w:eastAsia="Times New Roman" w:hAnsi="Times New Roman" w:cs="Times New Roman"/>
        </w:rPr>
        <w:t>Berstein</w:t>
      </w:r>
      <w:proofErr w:type="spellEnd"/>
      <w:r w:rsidRPr="002451B6">
        <w:rPr>
          <w:rFonts w:ascii="Times New Roman" w:eastAsia="Times New Roman" w:hAnsi="Times New Roman" w:cs="Times New Roman"/>
        </w:rPr>
        <w:t>, 2009, p. 45).</w:t>
      </w:r>
    </w:p>
    <w:p w14:paraId="19233BD6" w14:textId="77777777" w:rsidR="00332C33" w:rsidRPr="002451B6" w:rsidRDefault="00332C33">
      <w:pPr>
        <w:spacing w:line="360" w:lineRule="auto"/>
        <w:jc w:val="both"/>
        <w:rPr>
          <w:rFonts w:ascii="Times New Roman" w:eastAsia="Times New Roman" w:hAnsi="Times New Roman" w:cs="Times New Roman"/>
          <w:sz w:val="24"/>
          <w:szCs w:val="24"/>
        </w:rPr>
      </w:pPr>
    </w:p>
    <w:p w14:paraId="77BB4E7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Podemos encontrar uma resposta para esta questão na afirmação de Rachel </w:t>
      </w:r>
      <w:proofErr w:type="spellStart"/>
      <w:r w:rsidRPr="002451B6">
        <w:rPr>
          <w:rFonts w:ascii="Times New Roman" w:eastAsia="Times New Roman" w:hAnsi="Times New Roman" w:cs="Times New Roman"/>
          <w:sz w:val="24"/>
          <w:szCs w:val="24"/>
        </w:rPr>
        <w:t>Soihet</w:t>
      </w:r>
      <w:proofErr w:type="spellEnd"/>
      <w:r w:rsidRPr="002451B6">
        <w:rPr>
          <w:rFonts w:ascii="Times New Roman" w:eastAsia="Times New Roman" w:hAnsi="Times New Roman" w:cs="Times New Roman"/>
          <w:sz w:val="24"/>
          <w:szCs w:val="24"/>
        </w:rPr>
        <w:t xml:space="preserve"> (2009, p. 3) para quem “[...] os feminismos na década de 1980 se tornaram uma força política e social consolidada, em que as relações de gênero passaram ao primeiro plano”. Contrapondo-se a </w:t>
      </w:r>
      <w:proofErr w:type="spellStart"/>
      <w:r w:rsidRPr="002451B6">
        <w:rPr>
          <w:rFonts w:ascii="Times New Roman" w:eastAsia="Times New Roman" w:hAnsi="Times New Roman" w:cs="Times New Roman"/>
          <w:sz w:val="24"/>
          <w:szCs w:val="24"/>
        </w:rPr>
        <w:t>Berstein</w:t>
      </w:r>
      <w:proofErr w:type="spellEnd"/>
      <w:r w:rsidRPr="002451B6">
        <w:rPr>
          <w:rFonts w:ascii="Times New Roman" w:eastAsia="Times New Roman" w:hAnsi="Times New Roman" w:cs="Times New Roman"/>
          <w:sz w:val="24"/>
          <w:szCs w:val="24"/>
        </w:rPr>
        <w:t xml:space="preserve"> (2009), a historiadora defende a existência de uma cultura política feminista. Analisando o contexto brasileiro, enfatiza as ações de organizações feministas como o Centro da Mulher Brasileira, do Coletivo Mulheres, da Sociedade Brasil Mulher e do SOS Mulher/RJ nas décadas de 70 e 80 do século XX, os debates internos e externos e as lutas promovidas por estas organizações. Destaca ainda a volta das exiladas, após a aprovação da Lei de Anistia em 1979, como fato que contribuiu para reconfigurar e fortalecer o feminismo no Brasil a partir da influência do feminismo europeu. De acordo com a autora, no fim dos anos 70 havia divergências quanto à inclusão de temas como sexualidade e violência contra a mulher nas pautas de reivindicação, porém tais questões terminam por ser incorporadas logo depois, somando-se às já existentes como a luta por direitos civis e trabalhistas. </w:t>
      </w:r>
    </w:p>
    <w:p w14:paraId="67BD2CC0"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5F6AAA93"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Assim, temos um repertório de ações que nos permite reiterar a presença de uma cultura política nesse movimento. Para tal conclusão, volto a Daniel </w:t>
      </w:r>
      <w:proofErr w:type="spellStart"/>
      <w:r w:rsidRPr="002451B6">
        <w:rPr>
          <w:rFonts w:ascii="Times New Roman" w:eastAsia="Times New Roman" w:hAnsi="Times New Roman" w:cs="Times New Roman"/>
        </w:rPr>
        <w:t>Cefaï</w:t>
      </w:r>
      <w:proofErr w:type="spellEnd"/>
      <w:r w:rsidRPr="002451B6">
        <w:rPr>
          <w:rFonts w:ascii="Times New Roman" w:eastAsia="Times New Roman" w:hAnsi="Times New Roman" w:cs="Times New Roman"/>
        </w:rPr>
        <w:t xml:space="preserve"> o qual acentua que “os estudos de repertórios de ação têm alargado consideravelmente o campo de análise das culturas políticas” (</w:t>
      </w:r>
      <w:proofErr w:type="spellStart"/>
      <w:r w:rsidRPr="002451B6">
        <w:rPr>
          <w:rFonts w:ascii="Times New Roman" w:eastAsia="Times New Roman" w:hAnsi="Times New Roman" w:cs="Times New Roman"/>
        </w:rPr>
        <w:t>Soihet</w:t>
      </w:r>
      <w:proofErr w:type="spellEnd"/>
      <w:r w:rsidRPr="002451B6">
        <w:rPr>
          <w:rFonts w:ascii="Times New Roman" w:eastAsia="Times New Roman" w:hAnsi="Times New Roman" w:cs="Times New Roman"/>
        </w:rPr>
        <w:t>, 2009, p. 6).</w:t>
      </w:r>
    </w:p>
    <w:p w14:paraId="1A1EA7AA" w14:textId="77777777" w:rsidR="00332C33" w:rsidRPr="002451B6" w:rsidRDefault="00332C33">
      <w:pPr>
        <w:spacing w:line="360" w:lineRule="auto"/>
        <w:ind w:left="2268"/>
        <w:rPr>
          <w:rFonts w:ascii="Times New Roman" w:eastAsia="Times New Roman" w:hAnsi="Times New Roman" w:cs="Times New Roman"/>
          <w:sz w:val="24"/>
          <w:szCs w:val="24"/>
        </w:rPr>
      </w:pPr>
    </w:p>
    <w:p w14:paraId="2512EB91"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ab/>
        <w:t xml:space="preserve">Se, por um lado, é possível afirmar, em sintonia com </w:t>
      </w:r>
      <w:proofErr w:type="spellStart"/>
      <w:r w:rsidRPr="002451B6">
        <w:rPr>
          <w:rFonts w:ascii="Times New Roman" w:eastAsia="Times New Roman" w:hAnsi="Times New Roman" w:cs="Times New Roman"/>
          <w:sz w:val="24"/>
          <w:szCs w:val="24"/>
        </w:rPr>
        <w:t>Soihet</w:t>
      </w:r>
      <w:proofErr w:type="spellEnd"/>
      <w:r w:rsidRPr="002451B6">
        <w:rPr>
          <w:rFonts w:ascii="Times New Roman" w:eastAsia="Times New Roman" w:hAnsi="Times New Roman" w:cs="Times New Roman"/>
          <w:sz w:val="24"/>
          <w:szCs w:val="24"/>
        </w:rPr>
        <w:t xml:space="preserve">, que uma cultura política feminista tenha começado a se consolidar no Brasil nos últimos cinquenta anos, por outro, é preciso considerar que as lutas das mulheres por direitos e representatividade vêm de longa data, abarcando inciativas coletivas, mas também individuais. Apesar de pouco conhecida, segundo Constância Lima Duarte (2019), esta história remonta ao XIX, quando surgiu a primeira bandeira que foi o direito à instrução escolar. Neste primeiro momento, Duarte destaca o papel de Nísia Floresta (1810-1885), mulher de elite e letrada, autora do livro “Direito das mulheres e injustiça dos homens”, de 1832, em que questiona a ideia de superioridade masculina e reivindica o direito da mulher à educação e ao trabalho. Embora o termo feminismo ainda não fosse empregado à época, a autora argumenta que o livro de Nísia Floresta se configura como “texto fundante do feminismo brasileiro” (Duarte, 2019, p. 21). Sublinha também que os primeiros jornais dirigidos por mulheres datam de meados do século XIX pautando também o direito à instrução, ao ensino superior e ao trabalho remunerado.  </w:t>
      </w:r>
    </w:p>
    <w:p w14:paraId="61E3E61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segundo momento, de acordo com a autora, compreende o fim do século XIX e o início do XX, quando a luta pelo direito ao voto, soma-se aos demais, ganhando espaço nas páginas desses jornais. Enfatiza a atuação da jornalista Josefina Álvares de Azevedo como uma das mais ativas no questionamento da tutela masculina e em defesa dos direitos das mulheres à educação, ao trabalho remunerado e ao voto. O terceiro momento corresponde à primeira metade do século XX, quando, conforme a autora, outros nomes vão aparecer, entre os quais se destaca Bertha Lutz, conhecida por seu ativismo em defesa do voto feminino. </w:t>
      </w:r>
    </w:p>
    <w:p w14:paraId="7EFF57C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Cita ainda o movimento </w:t>
      </w:r>
      <w:proofErr w:type="spellStart"/>
      <w:r w:rsidRPr="002451B6">
        <w:rPr>
          <w:rFonts w:ascii="Times New Roman" w:eastAsia="Times New Roman" w:hAnsi="Times New Roman" w:cs="Times New Roman"/>
          <w:sz w:val="24"/>
          <w:szCs w:val="24"/>
        </w:rPr>
        <w:t>anarcofeminista</w:t>
      </w:r>
      <w:proofErr w:type="spellEnd"/>
      <w:r w:rsidRPr="002451B6">
        <w:rPr>
          <w:rFonts w:ascii="Times New Roman" w:eastAsia="Times New Roman" w:hAnsi="Times New Roman" w:cs="Times New Roman"/>
          <w:sz w:val="24"/>
          <w:szCs w:val="24"/>
        </w:rPr>
        <w:t xml:space="preserve"> que, na década de 1920, propunha a emancipação feminina como um dos fundamentos para a construção de uma sociedade libertária. É também nesta década, em 1927, que o governador do Rio Grande do Norte aprova o direito de voto, antecipando-se ao governo federal, que sob pressão das sufragistas, incorpora-o ao Código Eleitoral em 1932. No campo literário, ressalta autoras como Rosalina Lisboa, Gilka Machado, Marina Coelho, Rachel de Queiroz e Adalgiza Bittencourt como escritoras que trouxeram o tema da emancipação feminina para as suas obras. </w:t>
      </w:r>
    </w:p>
    <w:p w14:paraId="24D7291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quarto e último momento, correspondente aos anos de 1970 e 1980, foi o de maior efervescência e de maiores conquistas, para a estudiosa. Tomando a especificidade do contexto político brasileiro neste período, que se encontrava sob uma Ditadura Militar, Duarte argumenta que o movimento feminista no Brasil teve sua especificidade, empenhando-se na luta pela redemocratização, além dos direitos das mulheres. Apesar de a autora demarcar quatro momentos, ela não os vê numa perspectiva evolutiva, mas como uma longa luta que contou com a participação das mulheres, sobretudo das elites. Convém notar que as análises de </w:t>
      </w:r>
      <w:proofErr w:type="spellStart"/>
      <w:r w:rsidRPr="002451B6">
        <w:rPr>
          <w:rFonts w:ascii="Times New Roman" w:eastAsia="Times New Roman" w:hAnsi="Times New Roman" w:cs="Times New Roman"/>
          <w:sz w:val="24"/>
          <w:szCs w:val="24"/>
        </w:rPr>
        <w:t>Soihet</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lastRenderedPageBreak/>
        <w:t xml:space="preserve">(2009) e de Duarte (2019), apesar de extremamente relevantes, focam na atuação de mulheres brancas e de elite, deixando uma lacuna quanto a atuação das mulheres negras, bem como para a ausência dos direitos destas nas pautas do movimento.   </w:t>
      </w:r>
    </w:p>
    <w:p w14:paraId="6D500908"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estudo sobre relações de poder na história recente do feminismo, </w:t>
      </w:r>
      <w:proofErr w:type="spellStart"/>
      <w:r w:rsidRPr="002451B6">
        <w:rPr>
          <w:rFonts w:ascii="Times New Roman" w:eastAsia="Times New Roman" w:hAnsi="Times New Roman" w:cs="Times New Roman"/>
          <w:sz w:val="24"/>
          <w:szCs w:val="24"/>
        </w:rPr>
        <w:t>Céli</w:t>
      </w:r>
      <w:proofErr w:type="spellEnd"/>
      <w:r w:rsidRPr="002451B6">
        <w:rPr>
          <w:rFonts w:ascii="Times New Roman" w:eastAsia="Times New Roman" w:hAnsi="Times New Roman" w:cs="Times New Roman"/>
          <w:sz w:val="24"/>
          <w:szCs w:val="24"/>
        </w:rPr>
        <w:t xml:space="preserve"> Regina Jardim Pinto (2010), embora limite o nascimento do feminismo no Brasil a partir do movimento sufragista nas primeiras décadas do século XX, desconsiderando as ações anteriores, avança até os anos 2000 e sinaliza para a existência de um intercâmbio com as classes populares. </w:t>
      </w:r>
    </w:p>
    <w:p w14:paraId="32776228"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28FD61E3"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Com a redemocratização dos anos 1980, o feminismo no Brasil entra em uma fase de grande efervescência na luta pelos direitos das mulheres: há inúmeros grupos e coletivos em todas as regiões tratando de uma gama muito ampla de temas – violência, sexualidade, direito ao trabalho, igualdade no casamento, direito à terra, direito à saúde materno-infantil, luta contra o racismo, opções sexuais. Estes grupos organizavam-se, algumas vezes, muito próximos dos movimentos populares de mulheres, que estavam nos bairros pobres e favelas, lutando por educação, saneamento, habitação e saúde, fortemente influenciados pelas Comunidades Eclesiais de Base da Igreja Católica. Este encontro foi muito importante para os dois lados: o movimento feminista brasileiro, apesar de ter origens na classe média intelectualizada teve uma interface com as classes populares, o que provocou novas percepções, discursos e ações em ambos os lados (Pinto, 2010, p. 17).</w:t>
      </w:r>
    </w:p>
    <w:p w14:paraId="1BA114A3" w14:textId="77777777" w:rsidR="00332C33" w:rsidRPr="002451B6" w:rsidRDefault="00332C33">
      <w:pPr>
        <w:spacing w:line="360" w:lineRule="auto"/>
        <w:jc w:val="both"/>
        <w:rPr>
          <w:rFonts w:ascii="Times New Roman" w:eastAsia="Times New Roman" w:hAnsi="Times New Roman" w:cs="Times New Roman"/>
          <w:sz w:val="24"/>
          <w:szCs w:val="24"/>
        </w:rPr>
      </w:pPr>
    </w:p>
    <w:p w14:paraId="0DA17C85"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ab/>
        <w:t xml:space="preserve">Apesar de identificar a inclusão de questões como o direito à saúde, à terra, sexualidade, o combate ao racismo, entre outras, a autora vê este intercâmbio a partir apenas da aproximação com setores engajados da Igreja Católica, sem mencionar a atuação das feministas negras. Neste sentido, segue na mesma linha de pensamento de </w:t>
      </w:r>
      <w:proofErr w:type="spellStart"/>
      <w:r w:rsidRPr="002451B6">
        <w:rPr>
          <w:rFonts w:ascii="Times New Roman" w:eastAsia="Times New Roman" w:hAnsi="Times New Roman" w:cs="Times New Roman"/>
          <w:sz w:val="24"/>
          <w:szCs w:val="24"/>
        </w:rPr>
        <w:t>Soihet</w:t>
      </w:r>
      <w:proofErr w:type="spellEnd"/>
      <w:r w:rsidRPr="002451B6">
        <w:rPr>
          <w:rFonts w:ascii="Times New Roman" w:eastAsia="Times New Roman" w:hAnsi="Times New Roman" w:cs="Times New Roman"/>
          <w:sz w:val="24"/>
          <w:szCs w:val="24"/>
        </w:rPr>
        <w:t xml:space="preserve"> (2009) e Pinto (2019), tomando o movimento feminista como movimento de mulheres brancas e de elite. Não se pode negar esta dimensão do movimento e atuação destas últimas como fundamentais para a consolidação de muitas conquistas, porém é preciso alargar a nossa concepção e pensar o feminismo numa perspectiva plural. Nesta direção, faz-se necessário incluir as mulheres negras cujas lutas foram também fundamentais para consolidação do feminismo, dando-lhes novas tonalidades, sobretudo no tempo presente. Rompendo com esta invisibilização, militantes e intelectuais negras, pioneiras no campo da interseccionalidade, como Sueli Carneiro (2019), vêm utilizando a expressão “enegrecendo o feminismo” para ressaltar a participação das mulheres negras na história do feminismo brasileiro. </w:t>
      </w:r>
    </w:p>
    <w:p w14:paraId="0732C2D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Carneiro problematiza a concepção universalista de mulher que por muito tempo permeou o feminismo branco, o qual não incorporou as demandas específicas das mulheres negras, subalternizadas não apenas pelas relações de gênero, mas também de raça e classe. </w:t>
      </w:r>
      <w:r w:rsidRPr="002451B6">
        <w:rPr>
          <w:rFonts w:ascii="Times New Roman" w:eastAsia="Times New Roman" w:hAnsi="Times New Roman" w:cs="Times New Roman"/>
          <w:sz w:val="24"/>
          <w:szCs w:val="24"/>
        </w:rPr>
        <w:lastRenderedPageBreak/>
        <w:t>Trazendo uma visão interseccional</w:t>
      </w:r>
      <w:r w:rsidRPr="002451B6">
        <w:rPr>
          <w:rFonts w:ascii="Times New Roman" w:eastAsia="Times New Roman" w:hAnsi="Times New Roman" w:cs="Times New Roman"/>
          <w:sz w:val="24"/>
          <w:szCs w:val="24"/>
          <w:vertAlign w:val="superscript"/>
        </w:rPr>
        <w:footnoteReference w:id="6"/>
      </w:r>
      <w:r w:rsidRPr="002451B6">
        <w:rPr>
          <w:rFonts w:ascii="Times New Roman" w:eastAsia="Times New Roman" w:hAnsi="Times New Roman" w:cs="Times New Roman"/>
          <w:sz w:val="24"/>
          <w:szCs w:val="24"/>
        </w:rPr>
        <w:t xml:space="preserve">, Carneiro chama a atenção para a insuficiência teórica da categoria gênero se esta não for pensada a partir de uma perspectiva racial, já que a identidade de gênero não produz necessariamente solidariedade entre mulheres brancas e negras. Para ela, é preciso questionar as desigualdades </w:t>
      </w:r>
      <w:proofErr w:type="spellStart"/>
      <w:r w:rsidRPr="002451B6">
        <w:rPr>
          <w:rFonts w:ascii="Times New Roman" w:eastAsia="Times New Roman" w:hAnsi="Times New Roman" w:cs="Times New Roman"/>
          <w:sz w:val="24"/>
          <w:szCs w:val="24"/>
        </w:rPr>
        <w:t>intragênero</w:t>
      </w:r>
      <w:proofErr w:type="spellEnd"/>
      <w:r w:rsidRPr="002451B6">
        <w:rPr>
          <w:rFonts w:ascii="Times New Roman" w:eastAsia="Times New Roman" w:hAnsi="Times New Roman" w:cs="Times New Roman"/>
          <w:sz w:val="24"/>
          <w:szCs w:val="24"/>
        </w:rPr>
        <w:t xml:space="preserve">, que possibilitou às mulheres brancas conquistarem espaços a partir da submissão das mulheres negras à exploração. Salienta a necessidade de o feminismo incorporar as lutas contra as opressões de gênero, de raça, de classe, entre outras, que atravessam a vida dos sujeitos e sobretudo das mulheres negras que experienciam estas múltiplas opressões. Ressalta como um passo importante a Plataforma Política Feminista elaborada na Conferência Nacional de Mulheres Brasileiras, ocorrida em 2002, que incorporou a luta antirracista e pela equidade étnica e racial em sua agenda, dando uma feição justa e democrática ao movimento. </w:t>
      </w:r>
    </w:p>
    <w:p w14:paraId="4169D21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Apesar de a visibilidade ser recente, a autora destaca que o protagonismo das mulheres negras vem de longe, movido inicialmente pelo desejo de liberdade e de recuperação da humanidade que a escravização negou aos negros e negras, e posteriormente pelas organizações e articulações nacionais em luta pela reparação de perdas históricas. Coube às ativistas negras levarem as questões raciais para dentro do movimento feminista e as questões de gênero para dentro do movimento negro. A este respeito, Ângela Figueiredo (2018) afirma que o feminismo negro contemporâneo surge após a criação do Movimento Negro Unificado em meados dos anos de 1970. Uma vez que este priorizava a luta pela cidadania e direitos dos negros sem abarcar a luta contra as desigualdades entre homens e mulheres, estas passam a criar suas próprias organizações. Na década de 1990, segundo Figueiredo, o número de organizações negras aumentou significativamente, destacando-se o Grupo de Mulheres do Movimento Negro Unificado, o GELEDÉS, o CRIOLA, o ODARA, entre outros. Neste percurso, a autora cita Luiza Bairros, Beatriz Nascimento, Lélia Gonzalez, Sueli Carneiro, Edna Roland, Jurema Werneck, Nilza Iraci, Matilde Ribeiro, entre outras, como mulheres que se destacaram na luta pelos direitos das mulheres negras. Analisando as ações mais recentes do movimento, destaca a Marcha das Mulheres Negras, ocorrida em 2015, cujas demandas foram registradas na Carta das Mulheres Negras: direito à vida, à liberdade, ao trabalho, à educação, à justiça, à moradia, à terra e à cidade, à segurança pública, à cultura e à promoção da igualdade racial.</w:t>
      </w:r>
    </w:p>
    <w:p w14:paraId="13AD1B8A"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Como é possível perceber, a história do feminismo tem uma longa duração e se constitui como um movimento plural, permeado por tensões não apenas externas, mas também internas. </w:t>
      </w:r>
      <w:r w:rsidRPr="002451B6">
        <w:rPr>
          <w:rFonts w:ascii="Times New Roman" w:eastAsia="Times New Roman" w:hAnsi="Times New Roman" w:cs="Times New Roman"/>
          <w:sz w:val="24"/>
          <w:szCs w:val="24"/>
        </w:rPr>
        <w:lastRenderedPageBreak/>
        <w:t xml:space="preserve">O contexto político atual, no entanto, tem apontado para a convergência daquelas concepções que antes se encontravam dispersas. O feminismo contemporâneo vem se configurando como um movimento não apenas antimachista, mas antirracista e </w:t>
      </w:r>
      <w:proofErr w:type="spellStart"/>
      <w:r w:rsidRPr="002451B6">
        <w:rPr>
          <w:rFonts w:ascii="Times New Roman" w:eastAsia="Times New Roman" w:hAnsi="Times New Roman" w:cs="Times New Roman"/>
          <w:sz w:val="24"/>
          <w:szCs w:val="24"/>
        </w:rPr>
        <w:t>anticlassita</w:t>
      </w:r>
      <w:proofErr w:type="spellEnd"/>
      <w:r w:rsidRPr="002451B6">
        <w:rPr>
          <w:rFonts w:ascii="Times New Roman" w:eastAsia="Times New Roman" w:hAnsi="Times New Roman" w:cs="Times New Roman"/>
          <w:sz w:val="24"/>
          <w:szCs w:val="24"/>
        </w:rPr>
        <w:t>, colocando-se cada vez mais à esquerda.</w:t>
      </w:r>
    </w:p>
    <w:p w14:paraId="7306418A" w14:textId="77777777" w:rsidR="00332C33" w:rsidRPr="002451B6" w:rsidRDefault="00332C33">
      <w:pPr>
        <w:spacing w:line="360" w:lineRule="auto"/>
        <w:jc w:val="both"/>
        <w:rPr>
          <w:rFonts w:ascii="Times New Roman" w:eastAsia="Times New Roman" w:hAnsi="Times New Roman" w:cs="Times New Roman"/>
          <w:sz w:val="24"/>
          <w:szCs w:val="24"/>
        </w:rPr>
      </w:pPr>
    </w:p>
    <w:p w14:paraId="520D451E"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O cenário atual: apontamentos</w:t>
      </w:r>
    </w:p>
    <w:p w14:paraId="62215EA5" w14:textId="77777777" w:rsidR="00332C33" w:rsidRPr="002451B6" w:rsidRDefault="00332C33">
      <w:pPr>
        <w:spacing w:line="360" w:lineRule="auto"/>
        <w:jc w:val="both"/>
        <w:rPr>
          <w:rFonts w:ascii="Times New Roman" w:eastAsia="Times New Roman" w:hAnsi="Times New Roman" w:cs="Times New Roman"/>
          <w:sz w:val="24"/>
          <w:szCs w:val="24"/>
        </w:rPr>
      </w:pPr>
    </w:p>
    <w:p w14:paraId="3538DC79"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É possível falar numa cultura política feminista, ainda que esta não tenha se traduzido na eleição de um número de mulheres eleitas para o legislativo e para o executivo brasileiros, equiparável ao número de homens. Apesar de ainda ser desigual, o número de mulheres na política vem crescendo nos últimos anos. A este respeito, resta ainda uma questão: a simples presença de mulheres na política institucional garante a defesa de pautas feministas? </w:t>
      </w:r>
    </w:p>
    <w:p w14:paraId="616EE373"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Debruçando-se sobre esta questão, Celi Pinto e Maria Freitas Moritz (2009) afirmam que não. A partir dos conceitos de política da ideia e política de presença, tomados de empréstimo a Anne Phillips, ressaltam que a presença não garante a ideia, ao mesmo tempo em que, sem a presença, na política, de mulheres, negros, indígenas, entre outros, não é possível atender às suas reivindicações. No caso das mulheres, apesar de a presença em si expressar uma nova configuração no cenário social, político e cultural do país, demonstrando que muitos brasileiros têm votado em mulheres, a presença delas por si só não tem sido, para as estudiosas, suficiente para colocar em evidência as questões de gênero. </w:t>
      </w:r>
    </w:p>
    <w:p w14:paraId="76189647"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Debruçando-se sobre o cenário das eleições municipais à prefeitura de Porto Alegre em 2008, as autoras questionam se as três candidatas, Manuela Dávila (PC do B), Luciana Genro (PSOL) e Maria do Rosário (PT), que disputaram a vaga para o segundo turno com o candidato José Fogaça (MDB) possuíam uma pauta política mediada pelas questões de gênero. Para responder a essa questão, elas analisaram os dez dias da propaganda eleitoral gratuita na TV que antecederam a eleição para o primeiro turno, bem como os programas de governo de cada uma delas. Concluíram que as três candidatas deram pouco espaço para os direitos das mulheres nos seus respectivos programas e blogs, sendo esta questão completamente ausente na propaganda da TV. Para as pesquisadoras, isto se deve ao fato de suas biografias estarem mais ligadas ao movimento estudantil, Luciana Genro e Manuela </w:t>
      </w:r>
      <w:proofErr w:type="gramStart"/>
      <w:r w:rsidRPr="002451B6">
        <w:rPr>
          <w:rFonts w:ascii="Times New Roman" w:eastAsia="Times New Roman" w:hAnsi="Times New Roman" w:cs="Times New Roman"/>
          <w:sz w:val="24"/>
          <w:szCs w:val="24"/>
        </w:rPr>
        <w:t>Dávila,  e</w:t>
      </w:r>
      <w:proofErr w:type="gramEnd"/>
      <w:r w:rsidRPr="002451B6">
        <w:rPr>
          <w:rFonts w:ascii="Times New Roman" w:eastAsia="Times New Roman" w:hAnsi="Times New Roman" w:cs="Times New Roman"/>
          <w:sz w:val="24"/>
          <w:szCs w:val="24"/>
        </w:rPr>
        <w:t xml:space="preserve"> sindical, caso de Maria do Rosário, não sendo identificada nenhuma atividade ligada às lutas das mulheres em suas trajetórias anteriores. </w:t>
      </w:r>
    </w:p>
    <w:p w14:paraId="284A2A64"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Outro ponto que pode ter contribuído para este silêncio, segundo Pinto e Moritz, é o fato de as candidatas não perceberem a existência de eleitores sensíveis a esta problemática. Isto nos </w:t>
      </w:r>
      <w:r w:rsidRPr="002451B6">
        <w:rPr>
          <w:rFonts w:ascii="Times New Roman" w:eastAsia="Times New Roman" w:hAnsi="Times New Roman" w:cs="Times New Roman"/>
          <w:sz w:val="24"/>
          <w:szCs w:val="24"/>
        </w:rPr>
        <w:lastRenderedPageBreak/>
        <w:t>leva a uma discussão que as autoras não exploram, mas que não pode ser ignorada. Trata-se da noção que por muito tempo permeou o pensamento das esquerdas de que as pautas identitárias atrapalhariam o processo eleitoral, uma vez que a luta contra a desigualdade social seria mais urgente e com melhor recepção entre os eleitores do que as demais.</w:t>
      </w:r>
      <w:r w:rsidRPr="002451B6">
        <w:rPr>
          <w:rFonts w:ascii="Times New Roman" w:eastAsia="Times New Roman" w:hAnsi="Times New Roman" w:cs="Times New Roman"/>
          <w:sz w:val="24"/>
          <w:szCs w:val="24"/>
          <w:vertAlign w:val="superscript"/>
        </w:rPr>
        <w:footnoteReference w:id="7"/>
      </w:r>
      <w:r w:rsidRPr="002451B6">
        <w:rPr>
          <w:rFonts w:ascii="Times New Roman" w:eastAsia="Times New Roman" w:hAnsi="Times New Roman" w:cs="Times New Roman"/>
          <w:sz w:val="24"/>
          <w:szCs w:val="24"/>
        </w:rPr>
        <w:t xml:space="preserve"> Sobre esta questão, </w:t>
      </w:r>
      <w:proofErr w:type="spellStart"/>
      <w:r w:rsidRPr="002451B6">
        <w:rPr>
          <w:rFonts w:ascii="Times New Roman" w:eastAsia="Times New Roman" w:hAnsi="Times New Roman" w:cs="Times New Roman"/>
          <w:sz w:val="24"/>
          <w:szCs w:val="24"/>
        </w:rPr>
        <w:t>Djamila</w:t>
      </w:r>
      <w:proofErr w:type="spellEnd"/>
      <w:r w:rsidRPr="002451B6">
        <w:rPr>
          <w:rFonts w:ascii="Times New Roman" w:eastAsia="Times New Roman" w:hAnsi="Times New Roman" w:cs="Times New Roman"/>
          <w:sz w:val="24"/>
          <w:szCs w:val="24"/>
        </w:rPr>
        <w:t xml:space="preserve"> Ribeiro (2019) afirma que se trata de um argumento falacioso uma vez que, ao confrontar a norma, o objetivo é expor a opressão e o privilégio resultantes do uso que as instituições fazem das identidades produzidas pelo colonialismo. </w:t>
      </w:r>
    </w:p>
    <w:p w14:paraId="4048F6E6"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4A34B4B7"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Essa insistência em não se perceberem como marcados, em discutir como as identidades foram forjadas no seio das sociedades coloniais, faz com que pessoas brancas, por exemplo, ainda insistam no argumento de que somente elas pensam na coletividade, que pessoas negras, ao reivindicarem suas existências e modos de fazer político e intelectuais, sejam vistas como separatistas ou pensando somente nelas mesmas. Ao persistirem na ideia de que são universais e falam por todos, insistem em falar pelos outros, quando na verdade estão falando por si ao se julgarem universais (Ribeiro, 2019, p. 31).</w:t>
      </w:r>
    </w:p>
    <w:p w14:paraId="63059E2E"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69923269"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Daí porque, para a autora, dois pontos são fundamentais: não hierarquizar opressões e a reivindicação do lugar de fala. Sobre o primeiro, evidencia que, para o feminismo negro, gênero, raça e classe não podem ser pensados separadamente, pois se entrecruzam, produzindo diferentes experiências de opressão que não podem ser hierarquizadas. Além de defender que o feminismo negro é interseccional e, portanto, é inclusivo e não </w:t>
      </w:r>
      <w:proofErr w:type="gramStart"/>
      <w:r w:rsidRPr="002451B6">
        <w:rPr>
          <w:rFonts w:ascii="Times New Roman" w:eastAsia="Times New Roman" w:hAnsi="Times New Roman" w:cs="Times New Roman"/>
          <w:sz w:val="24"/>
          <w:szCs w:val="24"/>
        </w:rPr>
        <w:t>excludente,  a</w:t>
      </w:r>
      <w:proofErr w:type="gramEnd"/>
      <w:r w:rsidRPr="002451B6">
        <w:rPr>
          <w:rFonts w:ascii="Times New Roman" w:eastAsia="Times New Roman" w:hAnsi="Times New Roman" w:cs="Times New Roman"/>
          <w:sz w:val="24"/>
          <w:szCs w:val="24"/>
        </w:rPr>
        <w:t xml:space="preserve"> intelectual também argumenta a existência do lugar de fala. Sobre este, Ribeiro afirma que</w:t>
      </w:r>
    </w:p>
    <w:p w14:paraId="28A4CEF9" w14:textId="77777777" w:rsidR="00332C33" w:rsidRPr="002451B6" w:rsidRDefault="00332C33">
      <w:pPr>
        <w:spacing w:line="360" w:lineRule="auto"/>
        <w:jc w:val="both"/>
        <w:rPr>
          <w:rFonts w:ascii="Times New Roman" w:eastAsia="Times New Roman" w:hAnsi="Times New Roman" w:cs="Times New Roman"/>
          <w:sz w:val="24"/>
          <w:szCs w:val="24"/>
        </w:rPr>
      </w:pPr>
    </w:p>
    <w:p w14:paraId="55A4DE5A"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não poder acessar certos espaços acarreta a não existência de produções e epistemologias desses grupos nesses espaços; não poder estar de forma justa nas universidades, nos meios de comunicação e instituições, por exemplo, impossibilita que as vozes dos indivíduos desses grupos sejam catalogadas, ouvidas [...}. O falar não se restringe ao ato de emitir palavras, mas a poder existir (Ribeiro, 2019, p. 64).</w:t>
      </w:r>
    </w:p>
    <w:p w14:paraId="30F30FDE"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77B48412"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Assim, não se pode lutar contra uma opressão silenciando outras vozes, negando-lhes a sua humanidade. Ocupar os espaços políticos é garantir o lugar de fala e, portanto, o direito de existir, como enfatiza a ativista. Isto não quer dizer que pessoas brancas não possam falar sobre </w:t>
      </w:r>
      <w:r w:rsidRPr="002451B6">
        <w:rPr>
          <w:rFonts w:ascii="Times New Roman" w:eastAsia="Times New Roman" w:hAnsi="Times New Roman" w:cs="Times New Roman"/>
          <w:sz w:val="24"/>
          <w:szCs w:val="24"/>
        </w:rPr>
        <w:lastRenderedPageBreak/>
        <w:t>questões raciais, porém não reivindicar este lugar é manter as estruturas de poder que historicamente têm tentado silenciar a voz das mulheres negras.</w:t>
      </w:r>
    </w:p>
    <w:p w14:paraId="633BB13B"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Com base nos apontamentos feitos até aqui, convém destacar a existência de movimentos políticos feministas de caráter interseccional, pleiteando lugares no legislativo brasileiro na recente história política do Brasil. Neste contexto, destaca-se a plataforma “Meu voto será feminista”</w:t>
      </w:r>
      <w:r w:rsidRPr="002451B6">
        <w:rPr>
          <w:rFonts w:ascii="Times New Roman" w:eastAsia="Times New Roman" w:hAnsi="Times New Roman" w:cs="Times New Roman"/>
          <w:sz w:val="24"/>
          <w:szCs w:val="24"/>
          <w:vertAlign w:val="superscript"/>
        </w:rPr>
        <w:footnoteReference w:id="8"/>
      </w:r>
      <w:r w:rsidRPr="002451B6">
        <w:rPr>
          <w:rFonts w:ascii="Times New Roman" w:eastAsia="Times New Roman" w:hAnsi="Times New Roman" w:cs="Times New Roman"/>
          <w:sz w:val="24"/>
          <w:szCs w:val="24"/>
        </w:rPr>
        <w:t xml:space="preserve">, movimento que surgiu nas eleições de 2018 e que ganhou força nas redes sociais com o objetivo de promover a eleição de mulheres feministas. Criada pelo coletivo </w:t>
      </w:r>
      <w:proofErr w:type="spellStart"/>
      <w:r w:rsidRPr="002451B6">
        <w:rPr>
          <w:rFonts w:ascii="Times New Roman" w:eastAsia="Times New Roman" w:hAnsi="Times New Roman" w:cs="Times New Roman"/>
          <w:sz w:val="24"/>
          <w:szCs w:val="24"/>
        </w:rPr>
        <w:t>PartidA</w:t>
      </w:r>
      <w:proofErr w:type="spellEnd"/>
      <w:r w:rsidRPr="002451B6">
        <w:rPr>
          <w:rFonts w:ascii="Times New Roman" w:eastAsia="Times New Roman" w:hAnsi="Times New Roman" w:cs="Times New Roman"/>
          <w:sz w:val="24"/>
          <w:szCs w:val="24"/>
          <w:vertAlign w:val="superscript"/>
        </w:rPr>
        <w:footnoteReference w:id="9"/>
      </w:r>
      <w:r w:rsidRPr="002451B6">
        <w:rPr>
          <w:rFonts w:ascii="Times New Roman" w:eastAsia="Times New Roman" w:hAnsi="Times New Roman" w:cs="Times New Roman"/>
          <w:sz w:val="24"/>
          <w:szCs w:val="24"/>
        </w:rPr>
        <w:t>, destacou-se por ser autônomo, tendo como objetivo impulsionar e dar visibilidade a candidatas com pautas feministas para construir uma cultura de voto feminista, conforme divulgado em seu site:</w:t>
      </w:r>
    </w:p>
    <w:p w14:paraId="040B06AB"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360B869E"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A inciativa busca ampliar as condições de construção de uma democracia feminista a partir da ocupação política com, para e por feministas que pensam em um projeto de democracia com justiça social, diálogo e inegociável enfrentamento a todas as formas de igualdade e opressão. </w:t>
      </w:r>
    </w:p>
    <w:p w14:paraId="73383396"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 violência cotidiana e a ausência de direitos reais e simbólicos para as mulheres, especialmente para as mulheres negras, periféricas, indígenas, LGT, é fruto dessa nossa ausência nas câmeras estaduais e federais, no senado, nas prefeituras e nos governos estaduais e na presidência. [...]</w:t>
      </w:r>
    </w:p>
    <w:p w14:paraId="4E1FF9AD"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 proposta é que as mulheres estejam nos lugares onde está o poder de decisão e participem da construção de políticas públicas que promovam uma sociedade mais justa e igualitárias onde a vida da mulher e seus direitos sejam respeitados e valorizados</w:t>
      </w:r>
      <w:r w:rsidRPr="002451B6">
        <w:rPr>
          <w:rFonts w:ascii="Times New Roman" w:eastAsia="Times New Roman" w:hAnsi="Times New Roman" w:cs="Times New Roman"/>
          <w:vertAlign w:val="superscript"/>
        </w:rPr>
        <w:footnoteReference w:id="10"/>
      </w:r>
      <w:r w:rsidRPr="002451B6">
        <w:rPr>
          <w:rFonts w:ascii="Times New Roman" w:eastAsia="Times New Roman" w:hAnsi="Times New Roman" w:cs="Times New Roman"/>
        </w:rPr>
        <w:t xml:space="preserve">. </w:t>
      </w:r>
    </w:p>
    <w:p w14:paraId="3BBA492D"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74960954"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Como podemos notar, o movimento se fundamentou numa perspectiva interseccional, entrecruzando gênero, raça, classe e sexualidade, defendendo a necessidade de lutar contra todas as formas de opressão e desigualdades. Para tanto reivindicavam que isto só seria possível ocupando espaços de poder, historicamente ocupado por homens brancos. Para alcançar tal objetivo, argumentavam que não seria suficiente votar em mulher, mas votar em candidatas feministas, evidenciando, assim, uma articulação entre a política da presença e a política da ideia (Anne Phillips, apud Pinto e Moritz, 2009).</w:t>
      </w:r>
    </w:p>
    <w:p w14:paraId="3AF0CE62"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Entre as principais bandeiras levantadas pela campanha, pontuavam: a ideia de que o voto feminista deve levar em consideração a defesa dos direitos das mulheres, o combate à violência de gênero, ao racismo e à opressão de classe; apesar de entenderem que homens podem trazer pautas como essas, sendo aliados na luta,  defendiam que as mulheres feministas  devem se fazer presentes na arena política institucional, visto que 90% dos cargos no Brasil é </w:t>
      </w:r>
      <w:r w:rsidRPr="002451B6">
        <w:rPr>
          <w:rFonts w:ascii="Times New Roman" w:eastAsia="Times New Roman" w:hAnsi="Times New Roman" w:cs="Times New Roman"/>
          <w:sz w:val="24"/>
          <w:szCs w:val="24"/>
        </w:rPr>
        <w:lastRenderedPageBreak/>
        <w:t xml:space="preserve">ocupado por homens; defendiam também que as decisões políticas que incidem sobre os corpos femininos não deveriam ser tomadas por homens, daí a necessidade de ocupar as ruas e os espaços de tomada de decisões; apontavam ainda que era um movimento de esquerda, uma vez que as mulheres de direita tinham projetos políticos divergentes, não questionando a opressão de classe; não recusam a colaboração dos homens, desde que alinhados às pautas da campanha, não se caracterizando como uma ação contra estes, mas contra os seus modelos de fazer política. </w:t>
      </w:r>
    </w:p>
    <w:p w14:paraId="432A4A9C"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Os resultados eleitorais de 2018 refletiram os limites e, ao mesmo tempo, os avanços desse movimento: de um total de 96 candidatas, 14 da plataforma foram eleitas em 12 estados, somando quase 11 milhões de votos. Resultado que foi comemorado, apesar de ter sido um número pequeno, uma vez que muitos partidos costumam burlam a obrigatoriedade de destinar 30% das vagas para as candidatas mulheres, além de elas contarem com menos financiamentos para suas campanhas</w:t>
      </w:r>
      <w:r w:rsidRPr="002451B6">
        <w:rPr>
          <w:rFonts w:ascii="Times New Roman" w:eastAsia="Times New Roman" w:hAnsi="Times New Roman" w:cs="Times New Roman"/>
          <w:sz w:val="24"/>
          <w:szCs w:val="24"/>
          <w:vertAlign w:val="superscript"/>
        </w:rPr>
        <w:footnoteReference w:id="11"/>
      </w:r>
      <w:r w:rsidRPr="002451B6">
        <w:rPr>
          <w:rFonts w:ascii="Times New Roman" w:eastAsia="Times New Roman" w:hAnsi="Times New Roman" w:cs="Times New Roman"/>
          <w:sz w:val="24"/>
          <w:szCs w:val="24"/>
        </w:rPr>
        <w:t>, em comparação aos homens, muitas ficando na invisibilidade.</w:t>
      </w:r>
    </w:p>
    <w:p w14:paraId="487D27AD"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Movimentos como esses não se limitaram às eleições de 2018, apresentando, desde então, uma tendência de crescimento. Analisando dados mais recentes, Brenda Gonçalves </w:t>
      </w:r>
      <w:proofErr w:type="spellStart"/>
      <w:r w:rsidRPr="002451B6">
        <w:rPr>
          <w:rFonts w:ascii="Times New Roman" w:eastAsia="Times New Roman" w:hAnsi="Times New Roman" w:cs="Times New Roman"/>
          <w:sz w:val="24"/>
          <w:szCs w:val="24"/>
        </w:rPr>
        <w:t>Andujas</w:t>
      </w:r>
      <w:proofErr w:type="spellEnd"/>
      <w:r w:rsidRPr="002451B6">
        <w:rPr>
          <w:rFonts w:ascii="Times New Roman" w:eastAsia="Times New Roman" w:hAnsi="Times New Roman" w:cs="Times New Roman"/>
          <w:sz w:val="24"/>
          <w:szCs w:val="24"/>
        </w:rPr>
        <w:t xml:space="preserve"> (2024) revela um panorama de avanço da participação feminina na política brasileira, especialmente no que tange </w:t>
      </w:r>
      <w:proofErr w:type="spellStart"/>
      <w:proofErr w:type="gramStart"/>
      <w:r w:rsidRPr="002451B6">
        <w:rPr>
          <w:rFonts w:ascii="Times New Roman" w:eastAsia="Times New Roman" w:hAnsi="Times New Roman" w:cs="Times New Roman"/>
          <w:sz w:val="24"/>
          <w:szCs w:val="24"/>
        </w:rPr>
        <w:t>a</w:t>
      </w:r>
      <w:proofErr w:type="spellEnd"/>
      <w:r w:rsidRPr="002451B6">
        <w:rPr>
          <w:rFonts w:ascii="Times New Roman" w:eastAsia="Times New Roman" w:hAnsi="Times New Roman" w:cs="Times New Roman"/>
          <w:sz w:val="24"/>
          <w:szCs w:val="24"/>
        </w:rPr>
        <w:t xml:space="preserve">  candidaturas</w:t>
      </w:r>
      <w:proofErr w:type="gramEnd"/>
      <w:r w:rsidRPr="002451B6">
        <w:rPr>
          <w:rFonts w:ascii="Times New Roman" w:eastAsia="Times New Roman" w:hAnsi="Times New Roman" w:cs="Times New Roman"/>
          <w:sz w:val="24"/>
          <w:szCs w:val="24"/>
        </w:rPr>
        <w:t xml:space="preserve"> e mandatos coletivos. Segundo sua pesquisa, entre 1994 e 2019, houve um total de 110 candidaturas espalhadas pelo país, das quais 32 resultaram em vitórias eleitorais, abrangendo uma diversidade de partidos de esquerda e de direita. Em 2020, esse número aumentou significativamente para 319 candidaturas, com 30 candidatas assumindo seus mandatos e 133 permanecendo como suplentes, demonstrando um avanço na presença feminina na arena política. Destas, 25 candidaturas foram municipais, sendo que 10 delas eram exclusivamente compostas por mulheres, das quais cinco foram eleitas pelo PSOL, apresentando uma configuração interseccional e uma tentativa de disputar espaços tradicionais de poder com uma agenda voltada à representatividade.</w:t>
      </w:r>
    </w:p>
    <w:p w14:paraId="0467EBFF"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21D54871" w14:textId="77777777" w:rsidR="00332C33" w:rsidRPr="002451B6" w:rsidRDefault="00000000">
      <w:pPr>
        <w:spacing w:before="165" w:after="165"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De acordo com a frente de mandatos e mandatos coletivos, foram eleitos 25 mandatos coletivos para as câmaras Municipais na eleição de 2020. Destas 25 experiências, 10 são coletivos compostos apenas por mulheres, que se intitulam com mandatas coletivas. Considerando os casos eleitos pelo PSOL, que foi o partido que mais lançou mandatos coletivos em 2020. Temos quatro dessas experiências foram eleitas em capitais: Nossa cara – CE, em Fortaleza, composta por três mulheres negras; </w:t>
      </w:r>
      <w:proofErr w:type="gramStart"/>
      <w:r w:rsidRPr="002451B6">
        <w:rPr>
          <w:rFonts w:ascii="Times New Roman" w:eastAsia="Times New Roman" w:hAnsi="Times New Roman" w:cs="Times New Roman"/>
        </w:rPr>
        <w:t>Pretas</w:t>
      </w:r>
      <w:proofErr w:type="gramEnd"/>
      <w:r w:rsidRPr="002451B6">
        <w:rPr>
          <w:rFonts w:ascii="Times New Roman" w:eastAsia="Times New Roman" w:hAnsi="Times New Roman" w:cs="Times New Roman"/>
        </w:rPr>
        <w:t xml:space="preserve"> por </w:t>
      </w:r>
      <w:proofErr w:type="spellStart"/>
      <w:r w:rsidRPr="002451B6">
        <w:rPr>
          <w:rFonts w:ascii="Times New Roman" w:eastAsia="Times New Roman" w:hAnsi="Times New Roman" w:cs="Times New Roman"/>
        </w:rPr>
        <w:t>Salvador-BA</w:t>
      </w:r>
      <w:proofErr w:type="spellEnd"/>
      <w:r w:rsidRPr="002451B6">
        <w:rPr>
          <w:rFonts w:ascii="Times New Roman" w:eastAsia="Times New Roman" w:hAnsi="Times New Roman" w:cs="Times New Roman"/>
        </w:rPr>
        <w:t xml:space="preserve">, em Salvador, que também foi composta por três mulheres negras; Bancada </w:t>
      </w:r>
      <w:proofErr w:type="spellStart"/>
      <w:r w:rsidRPr="002451B6">
        <w:rPr>
          <w:rFonts w:ascii="Times New Roman" w:eastAsia="Times New Roman" w:hAnsi="Times New Roman" w:cs="Times New Roman"/>
        </w:rPr>
        <w:t>Feminista-SP</w:t>
      </w:r>
      <w:proofErr w:type="spellEnd"/>
      <w:r w:rsidRPr="002451B6">
        <w:rPr>
          <w:rFonts w:ascii="Times New Roman" w:eastAsia="Times New Roman" w:hAnsi="Times New Roman" w:cs="Times New Roman"/>
        </w:rPr>
        <w:t xml:space="preserve">, em São Paulo, composta por 5 mulheres, sendo 3 mulheres negras, sendo uma </w:t>
      </w:r>
      <w:r w:rsidRPr="002451B6">
        <w:rPr>
          <w:rFonts w:ascii="Times New Roman" w:eastAsia="Times New Roman" w:hAnsi="Times New Roman" w:cs="Times New Roman"/>
        </w:rPr>
        <w:lastRenderedPageBreak/>
        <w:t>delas travesti e intersexo; Coletiva Bem Viver-SC, em Florianópolis, composta por 5 mulheres, sendo duas negras e uma indígena, todas as quatro pelo PSOL. Na região Sudeste, além da Bancada Feminista, foi eleita a mandata coletiva Mulheres por + direitos, em São Caetano do Sul, interior de São Paulo, composta por três mulheres, pelo PSOL (</w:t>
      </w:r>
      <w:proofErr w:type="spellStart"/>
      <w:r w:rsidRPr="002451B6">
        <w:rPr>
          <w:rFonts w:ascii="Times New Roman" w:eastAsia="Times New Roman" w:hAnsi="Times New Roman" w:cs="Times New Roman"/>
        </w:rPr>
        <w:t>Andujas</w:t>
      </w:r>
      <w:proofErr w:type="spellEnd"/>
      <w:r w:rsidRPr="002451B6">
        <w:rPr>
          <w:rFonts w:ascii="Times New Roman" w:eastAsia="Times New Roman" w:hAnsi="Times New Roman" w:cs="Times New Roman"/>
        </w:rPr>
        <w:t>, 2024, p. 146).</w:t>
      </w:r>
    </w:p>
    <w:p w14:paraId="0E48D060" w14:textId="77777777" w:rsidR="00332C33" w:rsidRPr="002451B6" w:rsidRDefault="00332C33">
      <w:pPr>
        <w:spacing w:line="240" w:lineRule="auto"/>
        <w:ind w:left="2268"/>
        <w:jc w:val="both"/>
        <w:rPr>
          <w:rFonts w:ascii="Times New Roman" w:eastAsia="Times New Roman" w:hAnsi="Times New Roman" w:cs="Times New Roman"/>
        </w:rPr>
      </w:pPr>
    </w:p>
    <w:p w14:paraId="1A6EA4A1" w14:textId="77777777" w:rsidR="00332C33" w:rsidRPr="002451B6" w:rsidRDefault="00000000">
      <w:pPr>
        <w:widowControl w:val="0"/>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Calibri" w:eastAsia="Calibri" w:hAnsi="Calibri" w:cs="Calibri"/>
        </w:rPr>
        <w:tab/>
      </w:r>
      <w:r w:rsidRPr="002451B6">
        <w:rPr>
          <w:rFonts w:ascii="Times New Roman" w:eastAsia="Times New Roman" w:hAnsi="Times New Roman" w:cs="Times New Roman"/>
          <w:sz w:val="24"/>
          <w:szCs w:val="24"/>
        </w:rPr>
        <w:t xml:space="preserve">Ao analisar esses mandatos com maior profundidade, </w:t>
      </w:r>
      <w:proofErr w:type="spellStart"/>
      <w:r w:rsidRPr="002451B6">
        <w:rPr>
          <w:rFonts w:ascii="Times New Roman" w:eastAsia="Times New Roman" w:hAnsi="Times New Roman" w:cs="Times New Roman"/>
          <w:sz w:val="24"/>
          <w:szCs w:val="24"/>
        </w:rPr>
        <w:t>Andujas</w:t>
      </w:r>
      <w:proofErr w:type="spellEnd"/>
      <w:r w:rsidRPr="002451B6">
        <w:rPr>
          <w:rFonts w:ascii="Times New Roman" w:eastAsia="Times New Roman" w:hAnsi="Times New Roman" w:cs="Times New Roman"/>
          <w:sz w:val="24"/>
          <w:szCs w:val="24"/>
        </w:rPr>
        <w:t xml:space="preserve"> evidencia a aprovação de Projetos de Lei (</w:t>
      </w:r>
      <w:proofErr w:type="spellStart"/>
      <w:r w:rsidRPr="002451B6">
        <w:rPr>
          <w:rFonts w:ascii="Times New Roman" w:eastAsia="Times New Roman" w:hAnsi="Times New Roman" w:cs="Times New Roman"/>
          <w:sz w:val="24"/>
          <w:szCs w:val="24"/>
        </w:rPr>
        <w:t>PLs</w:t>
      </w:r>
      <w:proofErr w:type="spellEnd"/>
      <w:r w:rsidRPr="002451B6">
        <w:rPr>
          <w:rFonts w:ascii="Times New Roman" w:eastAsia="Times New Roman" w:hAnsi="Times New Roman" w:cs="Times New Roman"/>
          <w:sz w:val="24"/>
          <w:szCs w:val="24"/>
        </w:rPr>
        <w:t>) direcionados ao combate à violência de gênero, à proteção dos direitos das mulheres e ao enfrentamento do racismo. Tais projetos incluem também iniciativas relacionadas à luta contra a fome, programas de moradia popular, incentivo à agricultura familiar e ações contra a crise climática, demonstrando que as demandas femininas se articulam com uma perspectiva interseccional e de justiça social mais ampla.</w:t>
      </w:r>
    </w:p>
    <w:p w14:paraId="21AE7F58" w14:textId="77777777" w:rsidR="00332C33" w:rsidRPr="002451B6" w:rsidRDefault="00000000">
      <w:pPr>
        <w:widowControl w:val="0"/>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Apesar desses avanços, percebe-se que o caminho por uma maior participação feminina e direitos mais efetivos ainda é longo e repleto de desafios. Contudo, a história e a força do movimento feminista no Brasil evidenciam a consolidação de uma cultura feminista ao sul do Equador, que, embora ainda não seja hegemônica, vai ganhando cada vez mais espaço na relação de forças políticas. Essa cultura convive, de maneira ambígua, com outras tradições políticas conservadoras, configurando uma arena de disputa por visibilidade, representatividade e políticas públicas que atendam às demandas de equidade de gênero e raça, entre outras. </w:t>
      </w:r>
    </w:p>
    <w:p w14:paraId="3E58180E" w14:textId="77777777" w:rsidR="00332C33" w:rsidRPr="002451B6" w:rsidRDefault="00332C33">
      <w:pPr>
        <w:widowControl w:val="0"/>
        <w:spacing w:line="360" w:lineRule="auto"/>
        <w:ind w:firstLine="708"/>
        <w:jc w:val="both"/>
        <w:rPr>
          <w:rFonts w:ascii="Times New Roman" w:eastAsia="Times New Roman" w:hAnsi="Times New Roman" w:cs="Times New Roman"/>
          <w:sz w:val="24"/>
          <w:szCs w:val="24"/>
        </w:rPr>
      </w:pPr>
    </w:p>
    <w:p w14:paraId="549F96B2" w14:textId="77777777" w:rsidR="00332C33" w:rsidRPr="002451B6" w:rsidRDefault="00000000">
      <w:pPr>
        <w:widowControl w:val="0"/>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b/>
          <w:bCs/>
          <w:sz w:val="24"/>
          <w:szCs w:val="24"/>
        </w:rPr>
        <w:t>Considerações finais</w:t>
      </w:r>
    </w:p>
    <w:p w14:paraId="0964FAB1" w14:textId="77777777" w:rsidR="00332C33" w:rsidRPr="002451B6" w:rsidRDefault="00332C33">
      <w:pPr>
        <w:widowControl w:val="0"/>
        <w:spacing w:line="360" w:lineRule="auto"/>
        <w:jc w:val="both"/>
        <w:rPr>
          <w:rFonts w:ascii="Times New Roman" w:eastAsia="Times New Roman" w:hAnsi="Times New Roman" w:cs="Times New Roman"/>
          <w:sz w:val="24"/>
          <w:szCs w:val="24"/>
        </w:rPr>
      </w:pPr>
    </w:p>
    <w:p w14:paraId="01F20B7B" w14:textId="77777777" w:rsidR="00332C33" w:rsidRPr="002451B6" w:rsidRDefault="00000000">
      <w:pPr>
        <w:widowControl w:val="0"/>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análise apresentada neste capítulo permite afirmar que existe, sim, uma cultura política feminista no Brasil. Essa cultura política se constrói a partir de múltiplas experiências, tensões e interseções, envolvendo diferentes gerações, classes sociais e grupos étnico-raciais. Ao longo da história, observamos que a luta pelas reivindicações feministas não foi linear nem homogênea, tendo passado por fases de maior visibilidade e conquistas, mas também por momentos de silenciamento e exclusão de determinadas vozes, sobretudo das mulheres negras, periféricas e indígenas.</w:t>
      </w:r>
    </w:p>
    <w:p w14:paraId="3DAF237C" w14:textId="77777777" w:rsidR="00332C33" w:rsidRPr="002451B6" w:rsidRDefault="00000000">
      <w:pPr>
        <w:widowControl w:val="0"/>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percurso do feminismo no Brasil mostra uma trajetória de pluralidade e complexidade. Essa pluralidade evidencia que a cultura política feminista não é monolítica, mas um campo de disputas, negociações e tensões internas, entre diferentes experiências e identidades de mulheres. É uma cultura que incorpora conflitos e antagonismos, mas que, ao mesmo tempo, cria repertórios comuns de ação, estratégias e valores compartilhados, desde a organização de grupos e coletivos, passando por movimentos sociais e redes digitais, até a atuação institucional na política.</w:t>
      </w:r>
    </w:p>
    <w:p w14:paraId="02F10F90" w14:textId="77777777" w:rsidR="00332C33" w:rsidRPr="002451B6" w:rsidRDefault="00000000">
      <w:pPr>
        <w:widowControl w:val="0"/>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O cenário político atual mostra avanços, mas também limites: a presença feminina na política tem crescido, mas ainda não se traduz em hegemonia nem em políticas públicas sistemáticas de combate às desigualdades de gênero, raça e classe. Iniciativas como a plataforma “Meu voto será feminista” demonstram que a articulação entre política da presença e política da ideia é fundamental para avançar na consolidação de um feminismo político efetivo. A ocupação dos espaços institucionais e o fortalecimento de redes sociais de mobilização indicam que as mulheres não apenas participam, mas redefinem a política, trazendo pautas históricas e contemporâneas que antes eram marginalizadas.</w:t>
      </w:r>
    </w:p>
    <w:p w14:paraId="4411647A" w14:textId="229B8259" w:rsidR="00332C33" w:rsidRPr="002451B6" w:rsidRDefault="00000000" w:rsidP="00C945CD">
      <w:pPr>
        <w:widowControl w:val="0"/>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Finalmente, é possível concluir que a cultura política feminista no Brasil é dinâmica e plural, constituindo-se, assim, como um caminho sem volta, ainda que permeado por recuos e avanços, como demostrado ao longo deste trabalho. Ela se constitui a partir da história de lutas contínuas, do protagonismo das mulheres negras e da criação de novas formas de ação política como os mandatos coletivos. Reconhecer essa cultura política significa valorizar a diversidade de vozes e experiências, compreender a interseccionalidade das opressões e afirmar que a transformação social depende da participação ativa e inclusiva de todas as mulheres. Essa perspectiva reforça a hipótese inicial: apesar das barreiras históricas, a cultura política feminista brasileira se consolida como um fenômeno relevante, capaz de influenciar o comportamento político, as práticas sociais e a construção de uma democracia mais inclusiva e justa. </w:t>
      </w:r>
    </w:p>
    <w:p w14:paraId="6A4886A4" w14:textId="77777777" w:rsidR="00332C33" w:rsidRPr="002451B6" w:rsidRDefault="00332C33">
      <w:pPr>
        <w:spacing w:line="360" w:lineRule="auto"/>
        <w:rPr>
          <w:rFonts w:ascii="Times New Roman" w:eastAsia="Times New Roman" w:hAnsi="Times New Roman" w:cs="Times New Roman"/>
          <w:b/>
          <w:bCs/>
          <w:sz w:val="24"/>
          <w:szCs w:val="24"/>
        </w:rPr>
      </w:pPr>
    </w:p>
    <w:p w14:paraId="7B62381D"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Referências </w:t>
      </w:r>
    </w:p>
    <w:p w14:paraId="020F9804"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ALVES, I. </w:t>
      </w:r>
      <w:proofErr w:type="spellStart"/>
      <w:r w:rsidRPr="002451B6">
        <w:rPr>
          <w:rFonts w:ascii="Times New Roman" w:eastAsia="Times New Roman" w:hAnsi="Times New Roman" w:cs="Times New Roman"/>
          <w:sz w:val="24"/>
          <w:szCs w:val="24"/>
        </w:rPr>
        <w:t>da</w:t>
      </w:r>
      <w:proofErr w:type="spellEnd"/>
      <w:r w:rsidRPr="002451B6">
        <w:rPr>
          <w:rFonts w:ascii="Times New Roman" w:eastAsia="Times New Roman" w:hAnsi="Times New Roman" w:cs="Times New Roman"/>
          <w:sz w:val="24"/>
          <w:szCs w:val="24"/>
        </w:rPr>
        <w:t xml:space="preserve"> C. </w:t>
      </w:r>
      <w:r w:rsidRPr="002451B6">
        <w:rPr>
          <w:rFonts w:ascii="Times New Roman" w:eastAsia="Times New Roman" w:hAnsi="Times New Roman" w:cs="Times New Roman"/>
          <w:i/>
          <w:iCs/>
          <w:sz w:val="24"/>
          <w:szCs w:val="24"/>
        </w:rPr>
        <w:t>Feminismo entre ondas</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mulheres, PCB e política no Brasil. 2020. Tese (Doutorado em História) - Programa de Pós-Graduação em História, Instituto de História, Universidade Federal Fluminense, Rio de Janeiro, 2020.</w:t>
      </w:r>
    </w:p>
    <w:p w14:paraId="2B477F16" w14:textId="77777777" w:rsidR="00332C33" w:rsidRPr="002451B6" w:rsidRDefault="00332C33">
      <w:pPr>
        <w:spacing w:line="240" w:lineRule="auto"/>
        <w:jc w:val="both"/>
        <w:rPr>
          <w:rFonts w:ascii="Times New Roman" w:eastAsia="Times New Roman" w:hAnsi="Times New Roman" w:cs="Times New Roman"/>
          <w:sz w:val="24"/>
          <w:szCs w:val="24"/>
        </w:rPr>
      </w:pPr>
    </w:p>
    <w:p w14:paraId="70E33A38"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ANDUJAS, B. G. O formato, a composição e o conteúdo político das mandatas coletivas em 2020. In.: GASPARDO. Murilo (Org.). </w:t>
      </w:r>
      <w:r w:rsidRPr="002451B6">
        <w:rPr>
          <w:rFonts w:ascii="Times New Roman" w:eastAsia="Times New Roman" w:hAnsi="Times New Roman" w:cs="Times New Roman"/>
          <w:i/>
          <w:iCs/>
          <w:sz w:val="24"/>
          <w:szCs w:val="24"/>
        </w:rPr>
        <w:t>Desafios da democracia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brasileira</w:t>
      </w:r>
      <w:r w:rsidRPr="002451B6">
        <w:rPr>
          <w:rFonts w:ascii="Times New Roman" w:eastAsia="Times New Roman" w:hAnsi="Times New Roman" w:cs="Times New Roman"/>
          <w:sz w:val="24"/>
          <w:szCs w:val="24"/>
        </w:rPr>
        <w:t xml:space="preserve">: um diálogo entre o direito e a ciência política. São Paulo: Cultura Acadêmica, </w:t>
      </w:r>
      <w:proofErr w:type="gramStart"/>
      <w:r w:rsidRPr="002451B6">
        <w:rPr>
          <w:rFonts w:ascii="Times New Roman" w:eastAsia="Times New Roman" w:hAnsi="Times New Roman" w:cs="Times New Roman"/>
          <w:sz w:val="24"/>
          <w:szCs w:val="24"/>
        </w:rPr>
        <w:t>2024,  p.</w:t>
      </w:r>
      <w:proofErr w:type="gramEnd"/>
      <w:r w:rsidRPr="002451B6">
        <w:rPr>
          <w:rFonts w:ascii="Times New Roman" w:eastAsia="Times New Roman" w:hAnsi="Times New Roman" w:cs="Times New Roman"/>
          <w:sz w:val="24"/>
          <w:szCs w:val="24"/>
        </w:rPr>
        <w:t xml:space="preserve"> 144-166.  Disponível em: </w:t>
      </w:r>
      <w:hyperlink r:id="rId14">
        <w:r w:rsidR="00332C33" w:rsidRPr="002451B6">
          <w:rPr>
            <w:rFonts w:ascii="Times New Roman" w:eastAsia="Times New Roman" w:hAnsi="Times New Roman" w:cs="Times New Roman"/>
            <w:sz w:val="24"/>
            <w:szCs w:val="24"/>
            <w:u w:val="single"/>
          </w:rPr>
          <w:t>https://www.franca.unesp.br/Home/Publicacoes/e-book---desafios-da-democracia-brasileira---prof-murilo-gaspardo.pdf</w:t>
        </w:r>
      </w:hyperlink>
      <w:r w:rsidRPr="002451B6">
        <w:rPr>
          <w:rFonts w:ascii="Times New Roman" w:eastAsia="Times New Roman" w:hAnsi="Times New Roman" w:cs="Times New Roman"/>
          <w:sz w:val="24"/>
          <w:szCs w:val="24"/>
        </w:rPr>
        <w:t>. Acesso em: 11/11/2025.</w:t>
      </w:r>
    </w:p>
    <w:p w14:paraId="583D7545"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AKOTIRENE, C. </w:t>
      </w:r>
      <w:r w:rsidRPr="002451B6">
        <w:rPr>
          <w:rFonts w:ascii="Times New Roman" w:eastAsia="Times New Roman" w:hAnsi="Times New Roman" w:cs="Times New Roman"/>
          <w:i/>
          <w:iCs/>
          <w:sz w:val="24"/>
          <w:szCs w:val="24"/>
        </w:rPr>
        <w:t>O que é interseccionalidade?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Belo Horizonte: Letramento: Justificando, 2018.</w:t>
      </w:r>
    </w:p>
    <w:p w14:paraId="48C8CCE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BARRANCOS, Dora. Feminismo y democracia: notas sobre sus vínculos.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PEDRO, Joana Maria; ZANDONÁ, Jair.</w:t>
      </w:r>
      <w:r w:rsidRPr="002451B6">
        <w:rPr>
          <w:rFonts w:ascii="Times New Roman" w:eastAsia="Times New Roman" w:hAnsi="Times New Roman" w:cs="Times New Roman"/>
          <w:i/>
          <w:iCs/>
          <w:sz w:val="24"/>
          <w:szCs w:val="24"/>
        </w:rPr>
        <w:t xml:space="preserve"> Feminismos &amp; Democracia.</w:t>
      </w:r>
      <w:r w:rsidRPr="002451B6">
        <w:rPr>
          <w:rFonts w:ascii="Times New Roman" w:eastAsia="Times New Roman" w:hAnsi="Times New Roman" w:cs="Times New Roman"/>
          <w:sz w:val="24"/>
          <w:szCs w:val="24"/>
        </w:rPr>
        <w:t xml:space="preserve"> Belo Horizonte: Fino Traço, 2019. p. 19-36.</w:t>
      </w:r>
    </w:p>
    <w:p w14:paraId="5A68B465"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BERNSTEIN, S. Culturas políticas e historiografia. In: AZEVEDO, Cecília </w:t>
      </w:r>
      <w:r w:rsidRPr="002451B6">
        <w:rPr>
          <w:rFonts w:ascii="Times New Roman" w:eastAsia="Times New Roman" w:hAnsi="Times New Roman" w:cs="Times New Roman"/>
          <w:i/>
          <w:iCs/>
          <w:sz w:val="24"/>
          <w:szCs w:val="24"/>
        </w:rPr>
        <w:t>et a</w:t>
      </w:r>
      <w:r w:rsidRPr="002451B6">
        <w:rPr>
          <w:rFonts w:ascii="Times New Roman" w:eastAsia="Times New Roman" w:hAnsi="Times New Roman" w:cs="Times New Roman"/>
          <w:sz w:val="24"/>
          <w:szCs w:val="24"/>
        </w:rPr>
        <w:t>l (</w:t>
      </w:r>
      <w:proofErr w:type="spellStart"/>
      <w:r w:rsidRPr="002451B6">
        <w:rPr>
          <w:rFonts w:ascii="Times New Roman" w:eastAsia="Times New Roman" w:hAnsi="Times New Roman" w:cs="Times New Roman"/>
          <w:sz w:val="24"/>
          <w:szCs w:val="24"/>
        </w:rPr>
        <w:t>orgs</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Cultura política, memória e historiografia</w:t>
      </w:r>
      <w:r w:rsidRPr="002451B6">
        <w:rPr>
          <w:rFonts w:ascii="Times New Roman" w:eastAsia="Times New Roman" w:hAnsi="Times New Roman" w:cs="Times New Roman"/>
          <w:sz w:val="24"/>
          <w:szCs w:val="24"/>
        </w:rPr>
        <w:t>. Rio de Janeiro: FGV, 2009. 29-4.</w:t>
      </w:r>
    </w:p>
    <w:p w14:paraId="7DDD6CAA"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CARNEIRO, S. Mulheres em movimento: contribuições do movimento negro.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HOLANDA, H. B de. </w:t>
      </w:r>
      <w:r w:rsidRPr="002451B6">
        <w:rPr>
          <w:rFonts w:ascii="Times New Roman" w:eastAsia="Times New Roman" w:hAnsi="Times New Roman" w:cs="Times New Roman"/>
          <w:i/>
          <w:iCs/>
          <w:sz w:val="24"/>
          <w:szCs w:val="24"/>
        </w:rPr>
        <w:t>Pensamento feminista brasileiro:</w:t>
      </w:r>
      <w:r w:rsidRPr="002451B6">
        <w:rPr>
          <w:rFonts w:ascii="Times New Roman" w:eastAsia="Times New Roman" w:hAnsi="Times New Roman" w:cs="Times New Roman"/>
          <w:sz w:val="24"/>
          <w:szCs w:val="24"/>
        </w:rPr>
        <w:t xml:space="preserve"> formação e contexto. Rio de Janeiro: Bazar do Tempo, 2019.</w:t>
      </w:r>
    </w:p>
    <w:p w14:paraId="329EBE2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DUARTE, C. L. </w:t>
      </w:r>
      <w:r w:rsidRPr="002451B6">
        <w:rPr>
          <w:rFonts w:ascii="Times New Roman" w:eastAsia="Times New Roman" w:hAnsi="Times New Roman" w:cs="Times New Roman"/>
          <w:i/>
          <w:iCs/>
          <w:sz w:val="24"/>
          <w:szCs w:val="24"/>
        </w:rPr>
        <w:t>Feminismo:</w:t>
      </w:r>
      <w:r w:rsidRPr="002451B6">
        <w:rPr>
          <w:rFonts w:ascii="Times New Roman" w:eastAsia="Times New Roman" w:hAnsi="Times New Roman" w:cs="Times New Roman"/>
          <w:sz w:val="24"/>
          <w:szCs w:val="24"/>
        </w:rPr>
        <w:t xml:space="preserve"> uma história a ser contada. In: HOLANDA, H. B. de. Pensamento feminista brasileiro: formação e contexto. Rio de Janeiro: Bazar do Tempo, 2019.</w:t>
      </w:r>
    </w:p>
    <w:p w14:paraId="0EF0C1F2"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RIBEIRO, D. </w:t>
      </w:r>
      <w:r w:rsidRPr="002451B6">
        <w:rPr>
          <w:rFonts w:ascii="Times New Roman" w:eastAsia="Times New Roman" w:hAnsi="Times New Roman" w:cs="Times New Roman"/>
          <w:i/>
          <w:iCs/>
          <w:sz w:val="24"/>
          <w:szCs w:val="24"/>
        </w:rPr>
        <w:t>O que é lugar de fala?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São Paulo: Pólen, 2019.</w:t>
      </w:r>
    </w:p>
    <w:p w14:paraId="454D1F1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FIGUEIREDO, A. Perspectivas e contribuições das organizações de mulheres negras e feministas negras contra o racismo e o sexismo na sociedade brasileira. </w:t>
      </w:r>
      <w:r w:rsidRPr="002451B6">
        <w:rPr>
          <w:rFonts w:ascii="Times New Roman" w:eastAsia="Times New Roman" w:hAnsi="Times New Roman" w:cs="Times New Roman"/>
          <w:i/>
          <w:iCs/>
          <w:sz w:val="24"/>
          <w:szCs w:val="24"/>
        </w:rPr>
        <w:t>Rev. Direito e Práxis</w:t>
      </w:r>
      <w:r w:rsidRPr="002451B6">
        <w:rPr>
          <w:rFonts w:ascii="Times New Roman" w:eastAsia="Times New Roman" w:hAnsi="Times New Roman" w:cs="Times New Roman"/>
          <w:sz w:val="24"/>
          <w:szCs w:val="24"/>
        </w:rPr>
        <w:t xml:space="preserve">., Rio de Janeiro, Vol. 9, N. 2, 2018, p. 1080-1099. Disponível em: </w:t>
      </w:r>
      <w:hyperlink r:id="rId15">
        <w:r w:rsidR="00332C33" w:rsidRPr="002451B6">
          <w:rPr>
            <w:rFonts w:ascii="Times New Roman" w:eastAsia="Times New Roman" w:hAnsi="Times New Roman" w:cs="Times New Roman"/>
            <w:sz w:val="24"/>
            <w:szCs w:val="24"/>
            <w:u w:val="single"/>
          </w:rPr>
          <w:t>http://www.scielo.br/pdf/rdp/v9n2/2179-8966-rdp-09-02-1080.pdf. Acesso em 06/07/2019</w:t>
        </w:r>
      </w:hyperlink>
      <w:r w:rsidRPr="002451B6">
        <w:rPr>
          <w:rFonts w:ascii="Times New Roman" w:eastAsia="Times New Roman" w:hAnsi="Times New Roman" w:cs="Times New Roman"/>
          <w:sz w:val="24"/>
          <w:szCs w:val="24"/>
        </w:rPr>
        <w:t>.</w:t>
      </w:r>
    </w:p>
    <w:p w14:paraId="3AAF1F82"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GUZZO, M. </w:t>
      </w:r>
      <w:r w:rsidRPr="002451B6">
        <w:rPr>
          <w:rFonts w:ascii="Times New Roman" w:eastAsia="Times New Roman" w:hAnsi="Times New Roman" w:cs="Times New Roman"/>
          <w:i/>
          <w:iCs/>
          <w:sz w:val="24"/>
          <w:szCs w:val="24"/>
        </w:rPr>
        <w:t>Corpos e campos plurais:</w:t>
      </w:r>
      <w:r w:rsidRPr="002451B6">
        <w:rPr>
          <w:rFonts w:ascii="Times New Roman" w:eastAsia="Times New Roman" w:hAnsi="Times New Roman" w:cs="Times New Roman"/>
          <w:sz w:val="24"/>
          <w:szCs w:val="24"/>
        </w:rPr>
        <w:t xml:space="preserve"> os feminismos das marchas das vadias no Brasil. 2019. 356p. Tese (Doutorado em Ciências Humanas) — Pós-graduação Interdisciplinar em Ciências Humanas da Universidade Federal de Santa Catarina, 2019.</w:t>
      </w:r>
    </w:p>
    <w:p w14:paraId="6B5889C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HARAWAY, D. Manifesto ciborgue. Ciência, tecnologia e feminismo-socialista no final do século XX. In: HARAWAY, D.; KUNZRU, H.; TADEU, T.</w:t>
      </w:r>
      <w:r w:rsidRPr="002451B6">
        <w:rPr>
          <w:rFonts w:ascii="Times New Roman" w:eastAsia="Times New Roman" w:hAnsi="Times New Roman" w:cs="Times New Roman"/>
          <w:i/>
          <w:iCs/>
          <w:sz w:val="24"/>
          <w:szCs w:val="24"/>
        </w:rPr>
        <w:t xml:space="preserve"> Antropologia do ciborgue</w:t>
      </w:r>
      <w:r w:rsidRPr="002451B6">
        <w:rPr>
          <w:rFonts w:ascii="Times New Roman" w:eastAsia="Times New Roman" w:hAnsi="Times New Roman" w:cs="Times New Roman"/>
          <w:sz w:val="24"/>
          <w:szCs w:val="24"/>
        </w:rPr>
        <w:t>: as vertigens do pós-humano. Belo Horizonte: Autêntica, 2009, p. 33-118</w:t>
      </w:r>
    </w:p>
    <w:p w14:paraId="3EA98E8D"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HARAWAY, D. Saberes localizados: a questão da ciência para o feminismo e o privilégio da perspectiva parcial. </w:t>
      </w:r>
      <w:r w:rsidRPr="002451B6">
        <w:rPr>
          <w:rFonts w:ascii="Times New Roman" w:eastAsia="Times New Roman" w:hAnsi="Times New Roman" w:cs="Times New Roman"/>
          <w:i/>
          <w:iCs/>
          <w:sz w:val="24"/>
          <w:szCs w:val="24"/>
        </w:rPr>
        <w:t>Cadernos Pagu</w:t>
      </w:r>
      <w:r w:rsidRPr="002451B6">
        <w:rPr>
          <w:rFonts w:ascii="Times New Roman" w:eastAsia="Times New Roman" w:hAnsi="Times New Roman" w:cs="Times New Roman"/>
          <w:sz w:val="24"/>
          <w:szCs w:val="24"/>
        </w:rPr>
        <w:t>, Campinas, v. 5, p. 07-41, 1995.</w:t>
      </w:r>
    </w:p>
    <w:p w14:paraId="09CE7E2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HEMMINGS, C. Contando estórias feministas. </w:t>
      </w:r>
      <w:r w:rsidRPr="002451B6">
        <w:rPr>
          <w:rFonts w:ascii="Times New Roman" w:eastAsia="Times New Roman" w:hAnsi="Times New Roman" w:cs="Times New Roman"/>
          <w:i/>
          <w:iCs/>
          <w:sz w:val="24"/>
          <w:szCs w:val="24"/>
        </w:rPr>
        <w:t xml:space="preserve">Revista Estudos Feministas, </w:t>
      </w:r>
      <w:r w:rsidRPr="002451B6">
        <w:rPr>
          <w:rFonts w:ascii="Times New Roman" w:eastAsia="Times New Roman" w:hAnsi="Times New Roman" w:cs="Times New Roman"/>
          <w:sz w:val="24"/>
          <w:szCs w:val="24"/>
        </w:rPr>
        <w:t>Florianópolis, v. 17, n. 1, p. 215-241, 2009.</w:t>
      </w:r>
    </w:p>
    <w:p w14:paraId="51CB851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HOLLANDA, H. B. de. </w:t>
      </w:r>
      <w:r w:rsidRPr="002451B6">
        <w:rPr>
          <w:rFonts w:ascii="Times New Roman" w:eastAsia="Times New Roman" w:hAnsi="Times New Roman" w:cs="Times New Roman"/>
          <w:i/>
          <w:iCs/>
          <w:sz w:val="24"/>
          <w:szCs w:val="24"/>
        </w:rPr>
        <w:t xml:space="preserve">Explosão feminista: </w:t>
      </w:r>
      <w:r w:rsidRPr="002451B6">
        <w:rPr>
          <w:rFonts w:ascii="Times New Roman" w:eastAsia="Times New Roman" w:hAnsi="Times New Roman" w:cs="Times New Roman"/>
          <w:sz w:val="24"/>
          <w:szCs w:val="24"/>
        </w:rPr>
        <w:t>arte, cultura, política e diversidade. São Paulo: Companhia das Letras, 2018. 544 p.</w:t>
      </w:r>
    </w:p>
    <w:p w14:paraId="07BD05F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KILOMBA, G. </w:t>
      </w:r>
      <w:r w:rsidRPr="002451B6">
        <w:rPr>
          <w:rFonts w:ascii="Times New Roman" w:eastAsia="Times New Roman" w:hAnsi="Times New Roman" w:cs="Times New Roman"/>
          <w:i/>
          <w:iCs/>
          <w:sz w:val="24"/>
          <w:szCs w:val="24"/>
        </w:rPr>
        <w:t xml:space="preserve">Memórias da plantação: </w:t>
      </w:r>
      <w:r w:rsidRPr="002451B6">
        <w:rPr>
          <w:rFonts w:ascii="Times New Roman" w:eastAsia="Times New Roman" w:hAnsi="Times New Roman" w:cs="Times New Roman"/>
          <w:sz w:val="24"/>
          <w:szCs w:val="24"/>
        </w:rPr>
        <w:t xml:space="preserve">episódios de racismo cotidiano. Rio de Janeiro: </w:t>
      </w:r>
      <w:proofErr w:type="spellStart"/>
      <w:r w:rsidRPr="002451B6">
        <w:rPr>
          <w:rFonts w:ascii="Times New Roman" w:eastAsia="Times New Roman" w:hAnsi="Times New Roman" w:cs="Times New Roman"/>
          <w:sz w:val="24"/>
          <w:szCs w:val="24"/>
        </w:rPr>
        <w:t>Cobogò</w:t>
      </w:r>
      <w:proofErr w:type="spellEnd"/>
      <w:r w:rsidRPr="002451B6">
        <w:rPr>
          <w:rFonts w:ascii="Times New Roman" w:eastAsia="Times New Roman" w:hAnsi="Times New Roman" w:cs="Times New Roman"/>
          <w:sz w:val="24"/>
          <w:szCs w:val="24"/>
        </w:rPr>
        <w:t>, 2019.</w:t>
      </w:r>
    </w:p>
    <w:p w14:paraId="799B9DD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PINTO, C. R. J.; MORITZ, M. L. R. de </w:t>
      </w:r>
      <w:proofErr w:type="gramStart"/>
      <w:r w:rsidRPr="002451B6">
        <w:rPr>
          <w:rFonts w:ascii="Times New Roman" w:eastAsia="Times New Roman" w:hAnsi="Times New Roman" w:cs="Times New Roman"/>
          <w:sz w:val="24"/>
          <w:szCs w:val="24"/>
        </w:rPr>
        <w:t>F..</w:t>
      </w:r>
      <w:proofErr w:type="gramEnd"/>
      <w:r w:rsidRPr="002451B6">
        <w:rPr>
          <w:rFonts w:ascii="Times New Roman" w:eastAsia="Times New Roman" w:hAnsi="Times New Roman" w:cs="Times New Roman"/>
          <w:sz w:val="24"/>
          <w:szCs w:val="24"/>
        </w:rPr>
        <w:t xml:space="preserve"> A tímida presença da mulher na política brasileira: eleições municipais em Porto Alegre (2009). </w:t>
      </w:r>
      <w:r w:rsidRPr="002451B6">
        <w:rPr>
          <w:rFonts w:ascii="Times New Roman" w:eastAsia="Times New Roman" w:hAnsi="Times New Roman" w:cs="Times New Roman"/>
          <w:i/>
          <w:iCs/>
          <w:sz w:val="24"/>
          <w:szCs w:val="24"/>
        </w:rPr>
        <w:t>Revista brasileira de ciência política</w:t>
      </w:r>
      <w:r w:rsidRPr="002451B6">
        <w:rPr>
          <w:rFonts w:ascii="Times New Roman" w:eastAsia="Times New Roman" w:hAnsi="Times New Roman" w:cs="Times New Roman"/>
          <w:sz w:val="24"/>
          <w:szCs w:val="24"/>
        </w:rPr>
        <w:t xml:space="preserve">. Brasília, DF. N. 2 (jul./dez. 2009), p. 61-87, 2009. </w:t>
      </w:r>
    </w:p>
    <w:p w14:paraId="62022BC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PINTO, C. R. J. </w:t>
      </w:r>
      <w:r w:rsidRPr="002451B6">
        <w:rPr>
          <w:rFonts w:ascii="Times New Roman" w:eastAsia="Times New Roman" w:hAnsi="Times New Roman" w:cs="Times New Roman"/>
          <w:i/>
          <w:iCs/>
          <w:sz w:val="24"/>
          <w:szCs w:val="24"/>
        </w:rPr>
        <w:t>Feminismo, história e poder.</w:t>
      </w:r>
      <w:r w:rsidRPr="002451B6">
        <w:rPr>
          <w:rFonts w:ascii="Times New Roman" w:eastAsia="Times New Roman" w:hAnsi="Times New Roman" w:cs="Times New Roman"/>
          <w:sz w:val="24"/>
          <w:szCs w:val="24"/>
        </w:rPr>
        <w:t xml:space="preserve"> Rev. Sociol. </w:t>
      </w:r>
      <w:proofErr w:type="spellStart"/>
      <w:r w:rsidRPr="002451B6">
        <w:rPr>
          <w:rFonts w:ascii="Times New Roman" w:eastAsia="Times New Roman" w:hAnsi="Times New Roman" w:cs="Times New Roman"/>
          <w:sz w:val="24"/>
          <w:szCs w:val="24"/>
        </w:rPr>
        <w:t>Polit</w:t>
      </w:r>
      <w:proofErr w:type="spell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Curitiba ,</w:t>
      </w:r>
      <w:proofErr w:type="gramEnd"/>
      <w:r w:rsidRPr="002451B6">
        <w:rPr>
          <w:rFonts w:ascii="Times New Roman" w:eastAsia="Times New Roman" w:hAnsi="Times New Roman" w:cs="Times New Roman"/>
          <w:sz w:val="24"/>
          <w:szCs w:val="24"/>
        </w:rPr>
        <w:t xml:space="preserve"> v. 18, n. 36, p. 15-23, </w:t>
      </w:r>
      <w:proofErr w:type="spellStart"/>
      <w:r w:rsidRPr="002451B6">
        <w:rPr>
          <w:rFonts w:ascii="Times New Roman" w:eastAsia="Times New Roman" w:hAnsi="Times New Roman" w:cs="Times New Roman"/>
          <w:sz w:val="24"/>
          <w:szCs w:val="24"/>
        </w:rPr>
        <w:t>June</w:t>
      </w:r>
      <w:proofErr w:type="spellEnd"/>
      <w:r w:rsidRPr="002451B6">
        <w:rPr>
          <w:rFonts w:ascii="Times New Roman" w:eastAsia="Times New Roman" w:hAnsi="Times New Roman" w:cs="Times New Roman"/>
          <w:sz w:val="24"/>
          <w:szCs w:val="24"/>
        </w:rPr>
        <w:t xml:space="preserve"> 2010. </w:t>
      </w:r>
    </w:p>
    <w:p w14:paraId="08562479"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PINTO, Celi. </w:t>
      </w:r>
      <w:r w:rsidRPr="002451B6">
        <w:rPr>
          <w:rFonts w:ascii="Times New Roman" w:eastAsia="Times New Roman" w:hAnsi="Times New Roman" w:cs="Times New Roman"/>
          <w:i/>
          <w:iCs/>
          <w:sz w:val="24"/>
          <w:szCs w:val="24"/>
        </w:rPr>
        <w:t>Uma história do feminismo no Brasil.</w:t>
      </w:r>
      <w:r w:rsidRPr="002451B6">
        <w:rPr>
          <w:rFonts w:ascii="Times New Roman" w:eastAsia="Times New Roman" w:hAnsi="Times New Roman" w:cs="Times New Roman"/>
          <w:sz w:val="24"/>
          <w:szCs w:val="24"/>
        </w:rPr>
        <w:t xml:space="preserve"> São Paulo: Fundação Perseu Abramo, 2003. 119 p.</w:t>
      </w:r>
    </w:p>
    <w:p w14:paraId="6BC1EBC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SCOTT, J. Gênero: uma categoria útil de análise histórica. </w:t>
      </w:r>
      <w:r w:rsidRPr="002451B6">
        <w:rPr>
          <w:rFonts w:ascii="Times New Roman" w:eastAsia="Times New Roman" w:hAnsi="Times New Roman" w:cs="Times New Roman"/>
          <w:i/>
          <w:iCs/>
          <w:sz w:val="24"/>
          <w:szCs w:val="24"/>
        </w:rPr>
        <w:t>Educação e Realidade</w:t>
      </w:r>
      <w:r w:rsidRPr="002451B6">
        <w:rPr>
          <w:rFonts w:ascii="Times New Roman" w:eastAsia="Times New Roman" w:hAnsi="Times New Roman" w:cs="Times New Roman"/>
          <w:sz w:val="24"/>
          <w:szCs w:val="24"/>
        </w:rPr>
        <w:t>, Porto Alegre, v. 20, n. 2, p. 78-99, 1995.</w:t>
      </w:r>
    </w:p>
    <w:p w14:paraId="097E34F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TIBURI, M.; BORGES, M. de L. (</w:t>
      </w:r>
      <w:proofErr w:type="spellStart"/>
      <w:r w:rsidRPr="002451B6">
        <w:rPr>
          <w:rFonts w:ascii="Times New Roman" w:eastAsia="Times New Roman" w:hAnsi="Times New Roman" w:cs="Times New Roman"/>
          <w:sz w:val="24"/>
          <w:szCs w:val="24"/>
        </w:rPr>
        <w:t>Orgs</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Filosofia</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machismos e feminismos. Florianópolis: Ed. da UFSC, 2014.</w:t>
      </w:r>
    </w:p>
    <w:p w14:paraId="49C39AB6" w14:textId="77777777" w:rsidR="00332C33" w:rsidRPr="002451B6" w:rsidRDefault="00332C33">
      <w:pPr>
        <w:spacing w:after="200" w:line="240" w:lineRule="auto"/>
        <w:jc w:val="both"/>
        <w:rPr>
          <w:rFonts w:ascii="Times New Roman" w:eastAsia="Times New Roman" w:hAnsi="Times New Roman" w:cs="Times New Roman"/>
          <w:sz w:val="24"/>
          <w:szCs w:val="24"/>
        </w:rPr>
      </w:pPr>
    </w:p>
    <w:p w14:paraId="752C7CC7" w14:textId="0F99E7A1" w:rsidR="00332C33" w:rsidRPr="002451B6" w:rsidRDefault="00000000">
      <w:pPr>
        <w:pStyle w:val="Ttulo1"/>
        <w:spacing w:before="0" w:after="0" w:line="360" w:lineRule="auto"/>
        <w:jc w:val="center"/>
        <w:rPr>
          <w:rFonts w:ascii="Times New Roman" w:eastAsia="Times New Roman" w:hAnsi="Times New Roman" w:cs="Times New Roman"/>
          <w:b/>
          <w:bCs/>
          <w:sz w:val="24"/>
          <w:szCs w:val="24"/>
        </w:rPr>
      </w:pPr>
      <w:bookmarkStart w:id="2" w:name="_axqm3v4mp0aq" w:colFirst="0" w:colLast="0"/>
      <w:bookmarkEnd w:id="2"/>
      <w:proofErr w:type="spellStart"/>
      <w:r w:rsidRPr="002451B6">
        <w:rPr>
          <w:rFonts w:ascii="Times New Roman" w:eastAsia="Times New Roman" w:hAnsi="Times New Roman" w:cs="Times New Roman"/>
          <w:b/>
          <w:bCs/>
          <w:sz w:val="24"/>
          <w:szCs w:val="24"/>
        </w:rPr>
        <w:lastRenderedPageBreak/>
        <w:t>epensar</w:t>
      </w:r>
      <w:proofErr w:type="spellEnd"/>
      <w:r w:rsidRPr="002451B6">
        <w:rPr>
          <w:rFonts w:ascii="Times New Roman" w:eastAsia="Times New Roman" w:hAnsi="Times New Roman" w:cs="Times New Roman"/>
          <w:b/>
          <w:bCs/>
          <w:sz w:val="24"/>
          <w:szCs w:val="24"/>
        </w:rPr>
        <w:t xml:space="preserve"> Deus: gênero, poder e resistência teológica </w:t>
      </w:r>
    </w:p>
    <w:p w14:paraId="46BBDB59" w14:textId="77777777" w:rsidR="00332C33" w:rsidRPr="002451B6" w:rsidRDefault="00000000">
      <w:pPr>
        <w:pStyle w:val="Ttulo1"/>
        <w:spacing w:before="0" w:after="0" w:line="360" w:lineRule="auto"/>
        <w:jc w:val="center"/>
        <w:rPr>
          <w:rFonts w:ascii="Times New Roman" w:eastAsia="Times New Roman" w:hAnsi="Times New Roman" w:cs="Times New Roman"/>
          <w:b/>
          <w:bCs/>
          <w:i/>
          <w:iCs/>
          <w:sz w:val="24"/>
          <w:szCs w:val="24"/>
        </w:rPr>
      </w:pPr>
      <w:bookmarkStart w:id="3" w:name="_4m3b10lp6b95" w:colFirst="0" w:colLast="0"/>
      <w:bookmarkEnd w:id="3"/>
      <w:r w:rsidRPr="002451B6">
        <w:rPr>
          <w:rFonts w:ascii="Times New Roman" w:eastAsia="Times New Roman" w:hAnsi="Times New Roman" w:cs="Times New Roman"/>
          <w:b/>
          <w:bCs/>
          <w:sz w:val="24"/>
          <w:szCs w:val="24"/>
        </w:rPr>
        <w:t xml:space="preserve">Teologias Feministas como caminho pedagógico de desmonte de </w:t>
      </w:r>
      <w:proofErr w:type="spellStart"/>
      <w:r w:rsidRPr="002451B6">
        <w:rPr>
          <w:rFonts w:ascii="Times New Roman" w:eastAsia="Times New Roman" w:hAnsi="Times New Roman" w:cs="Times New Roman"/>
          <w:b/>
          <w:bCs/>
          <w:i/>
          <w:iCs/>
          <w:sz w:val="24"/>
          <w:szCs w:val="24"/>
        </w:rPr>
        <w:t>Necroteologias</w:t>
      </w:r>
      <w:proofErr w:type="spellEnd"/>
    </w:p>
    <w:p w14:paraId="2FDAC551" w14:textId="77777777" w:rsidR="00332C33" w:rsidRPr="002451B6" w:rsidRDefault="00332C33">
      <w:pPr>
        <w:spacing w:line="360" w:lineRule="auto"/>
        <w:rPr>
          <w:rFonts w:ascii="Times New Roman" w:eastAsia="Times New Roman" w:hAnsi="Times New Roman" w:cs="Times New Roman"/>
          <w:sz w:val="24"/>
          <w:szCs w:val="24"/>
        </w:rPr>
      </w:pPr>
    </w:p>
    <w:p w14:paraId="381A0D75" w14:textId="77777777" w:rsidR="00332C33" w:rsidRPr="002451B6" w:rsidRDefault="00332C33">
      <w:pPr>
        <w:spacing w:line="360" w:lineRule="auto"/>
        <w:jc w:val="both"/>
        <w:rPr>
          <w:rFonts w:ascii="Times New Roman" w:eastAsia="Times New Roman" w:hAnsi="Times New Roman" w:cs="Times New Roman"/>
          <w:sz w:val="24"/>
          <w:szCs w:val="24"/>
        </w:rPr>
      </w:pPr>
    </w:p>
    <w:p w14:paraId="5A830829"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conto “The </w:t>
      </w:r>
      <w:proofErr w:type="spellStart"/>
      <w:r w:rsidRPr="002451B6">
        <w:rPr>
          <w:rFonts w:ascii="Times New Roman" w:eastAsia="Times New Roman" w:hAnsi="Times New Roman" w:cs="Times New Roman"/>
          <w:sz w:val="24"/>
          <w:szCs w:val="24"/>
        </w:rPr>
        <w:t>Ones</w:t>
      </w:r>
      <w:proofErr w:type="spellEnd"/>
      <w:r w:rsidRPr="002451B6">
        <w:rPr>
          <w:rFonts w:ascii="Times New Roman" w:eastAsia="Times New Roman" w:hAnsi="Times New Roman" w:cs="Times New Roman"/>
          <w:sz w:val="24"/>
          <w:szCs w:val="24"/>
        </w:rPr>
        <w:t xml:space="preserve"> Who Walk Away </w:t>
      </w:r>
      <w:proofErr w:type="spellStart"/>
      <w:r w:rsidRPr="002451B6">
        <w:rPr>
          <w:rFonts w:ascii="Times New Roman" w:eastAsia="Times New Roman" w:hAnsi="Times New Roman" w:cs="Times New Roman"/>
          <w:sz w:val="24"/>
          <w:szCs w:val="24"/>
        </w:rPr>
        <w:t>from</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Omelas</w:t>
      </w:r>
      <w:proofErr w:type="spellEnd"/>
      <w:r w:rsidRPr="002451B6">
        <w:rPr>
          <w:rFonts w:ascii="Times New Roman" w:eastAsia="Times New Roman" w:hAnsi="Times New Roman" w:cs="Times New Roman"/>
          <w:sz w:val="24"/>
          <w:szCs w:val="24"/>
        </w:rPr>
        <w:t>”</w:t>
      </w:r>
      <w:r w:rsidRPr="002451B6">
        <w:rPr>
          <w:rFonts w:ascii="Times New Roman" w:eastAsia="Times New Roman" w:hAnsi="Times New Roman" w:cs="Times New Roman"/>
          <w:sz w:val="24"/>
          <w:szCs w:val="24"/>
          <w:vertAlign w:val="superscript"/>
        </w:rPr>
        <w:footnoteReference w:id="12"/>
      </w:r>
      <w:r w:rsidRPr="002451B6">
        <w:rPr>
          <w:rFonts w:ascii="Times New Roman" w:eastAsia="Times New Roman" w:hAnsi="Times New Roman" w:cs="Times New Roman"/>
          <w:sz w:val="24"/>
          <w:szCs w:val="24"/>
        </w:rPr>
        <w:t xml:space="preserve">, de Ursula K. Le </w:t>
      </w:r>
      <w:proofErr w:type="spellStart"/>
      <w:r w:rsidRPr="002451B6">
        <w:rPr>
          <w:rFonts w:ascii="Times New Roman" w:eastAsia="Times New Roman" w:hAnsi="Times New Roman" w:cs="Times New Roman"/>
          <w:sz w:val="24"/>
          <w:szCs w:val="24"/>
        </w:rPr>
        <w:t>Guin</w:t>
      </w:r>
      <w:proofErr w:type="spellEnd"/>
      <w:r w:rsidRPr="002451B6">
        <w:rPr>
          <w:rFonts w:ascii="Times New Roman" w:eastAsia="Times New Roman" w:hAnsi="Times New Roman" w:cs="Times New Roman"/>
          <w:sz w:val="24"/>
          <w:szCs w:val="24"/>
        </w:rPr>
        <w:t xml:space="preserve"> (1973), a autora nos conduz a uma cidade fantástica, idílica, onde seus habitantes desfrutam de uma felicidade que - a olhos um pouco céticos - parece quase irreal. Le </w:t>
      </w:r>
      <w:proofErr w:type="spellStart"/>
      <w:r w:rsidRPr="002451B6">
        <w:rPr>
          <w:rFonts w:ascii="Times New Roman" w:eastAsia="Times New Roman" w:hAnsi="Times New Roman" w:cs="Times New Roman"/>
          <w:sz w:val="24"/>
          <w:szCs w:val="24"/>
        </w:rPr>
        <w:t>Guin</w:t>
      </w:r>
      <w:proofErr w:type="spellEnd"/>
      <w:r w:rsidRPr="002451B6">
        <w:rPr>
          <w:rFonts w:ascii="Times New Roman" w:eastAsia="Times New Roman" w:hAnsi="Times New Roman" w:cs="Times New Roman"/>
          <w:sz w:val="24"/>
          <w:szCs w:val="24"/>
        </w:rPr>
        <w:t xml:space="preserve"> nos apresenta uma cidade maravilhosa em dia de festa. As estruturas belíssimas povoam o horizonte em uma descrição impressionante, que nos conduz em uma narrativa bastante sedutora. Essa sociedade completamente utópica vive em paz, sem políticos corruptos ou quaisquer problemas com os quais estamos acostumados em nossa sociedade, não há pobreza nem preconceito.</w:t>
      </w:r>
    </w:p>
    <w:p w14:paraId="6FDCF1BF"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leitor chega à cidade durante um Festival de Verão e encontra músicas bem executadas em meio à celebração que envolve todos os habitantes. Toma-nos de supetão a narrativa da autora, que nos conduz a uma verdade cruel: há um pacto oculto que permite que aquela sociedade subsista. A era de ouro de </w:t>
      </w:r>
      <w:proofErr w:type="spellStart"/>
      <w:r w:rsidRPr="002451B6">
        <w:rPr>
          <w:rFonts w:ascii="Times New Roman" w:eastAsia="Times New Roman" w:hAnsi="Times New Roman" w:cs="Times New Roman"/>
          <w:sz w:val="24"/>
          <w:szCs w:val="24"/>
        </w:rPr>
        <w:t>Omelas</w:t>
      </w:r>
      <w:proofErr w:type="spellEnd"/>
      <w:r w:rsidRPr="002451B6">
        <w:rPr>
          <w:rFonts w:ascii="Times New Roman" w:eastAsia="Times New Roman" w:hAnsi="Times New Roman" w:cs="Times New Roman"/>
          <w:sz w:val="24"/>
          <w:szCs w:val="24"/>
        </w:rPr>
        <w:t xml:space="preserve"> dependia da miséria e infelicidade de um indivíduo, apenas um, uma criança que vivia aprisionada no porão de um dos mais belos prédios da cidade. Essa criança teve família, que hoje é apenas mais uma lembrança que a tortura; ela soube o que era o calor do sol e o preenchimento de uma refeição completa, lembranças que hoje a apavoram. Quando alcançam idade suficiente para entender, por cerca de 8 anos, os habitantes de </w:t>
      </w:r>
      <w:proofErr w:type="spellStart"/>
      <w:r w:rsidRPr="002451B6">
        <w:rPr>
          <w:rFonts w:ascii="Times New Roman" w:eastAsia="Times New Roman" w:hAnsi="Times New Roman" w:cs="Times New Roman"/>
          <w:sz w:val="24"/>
          <w:szCs w:val="24"/>
        </w:rPr>
        <w:t>Omelas</w:t>
      </w:r>
      <w:proofErr w:type="spellEnd"/>
      <w:r w:rsidRPr="002451B6">
        <w:rPr>
          <w:rFonts w:ascii="Times New Roman" w:eastAsia="Times New Roman" w:hAnsi="Times New Roman" w:cs="Times New Roman"/>
          <w:sz w:val="24"/>
          <w:szCs w:val="24"/>
        </w:rPr>
        <w:t xml:space="preserve"> são levados por seus pais para conhecer a criança e entender que a prosperidade e fartura de </w:t>
      </w:r>
      <w:proofErr w:type="spellStart"/>
      <w:r w:rsidRPr="002451B6">
        <w:rPr>
          <w:rFonts w:ascii="Times New Roman" w:eastAsia="Times New Roman" w:hAnsi="Times New Roman" w:cs="Times New Roman"/>
          <w:sz w:val="24"/>
          <w:szCs w:val="24"/>
        </w:rPr>
        <w:t>Omelas</w:t>
      </w:r>
      <w:proofErr w:type="spellEnd"/>
      <w:r w:rsidRPr="002451B6">
        <w:rPr>
          <w:rFonts w:ascii="Times New Roman" w:eastAsia="Times New Roman" w:hAnsi="Times New Roman" w:cs="Times New Roman"/>
          <w:sz w:val="24"/>
          <w:szCs w:val="24"/>
        </w:rPr>
        <w:t xml:space="preserve"> dependem da infelicidade de outrem. </w:t>
      </w:r>
    </w:p>
    <w:p w14:paraId="0A3318F6"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conto de Le </w:t>
      </w:r>
      <w:proofErr w:type="spellStart"/>
      <w:r w:rsidRPr="002451B6">
        <w:rPr>
          <w:rFonts w:ascii="Times New Roman" w:eastAsia="Times New Roman" w:hAnsi="Times New Roman" w:cs="Times New Roman"/>
          <w:sz w:val="24"/>
          <w:szCs w:val="24"/>
        </w:rPr>
        <w:t>Guin</w:t>
      </w:r>
      <w:proofErr w:type="spellEnd"/>
      <w:r w:rsidRPr="002451B6">
        <w:rPr>
          <w:rFonts w:ascii="Times New Roman" w:eastAsia="Times New Roman" w:hAnsi="Times New Roman" w:cs="Times New Roman"/>
          <w:sz w:val="24"/>
          <w:szCs w:val="24"/>
        </w:rPr>
        <w:t xml:space="preserve"> nos provoca a pensar sobre muitos temas, e não à toa o trouxe aqui para introduzir meu pensamento sobre como os usos de uma determinada </w:t>
      </w:r>
      <w:proofErr w:type="gramStart"/>
      <w:r w:rsidRPr="002451B6">
        <w:rPr>
          <w:rFonts w:ascii="Times New Roman" w:eastAsia="Times New Roman" w:hAnsi="Times New Roman" w:cs="Times New Roman"/>
          <w:sz w:val="24"/>
          <w:szCs w:val="24"/>
        </w:rPr>
        <w:t>teologia podem</w:t>
      </w:r>
      <w:proofErr w:type="gramEnd"/>
      <w:r w:rsidRPr="002451B6">
        <w:rPr>
          <w:rFonts w:ascii="Times New Roman" w:eastAsia="Times New Roman" w:hAnsi="Times New Roman" w:cs="Times New Roman"/>
          <w:sz w:val="24"/>
          <w:szCs w:val="24"/>
        </w:rPr>
        <w:t xml:space="preserve"> ser destrutivos. A autora parece nos alertar que estruturas muitas vezes aparentemente inofensivas ou belíssimas podem esconder altos custos a indivíduos ou grupos invisíveis. Neste sentido, acredito que o conto pode ser usado como representativo de muitas coisas, e - conforme deixarei claro neste capítulo - pode também dizer dos custos ocultos de certas narrativas teológicas que povoam a sociedade na qual estamos inseridos. </w:t>
      </w:r>
    </w:p>
    <w:p w14:paraId="6551507C"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Durante muito tempo acreditei que a Educação Cristã era o que acontecia nas Escolas Bíblicas Dominicais (as </w:t>
      </w:r>
      <w:proofErr w:type="spellStart"/>
      <w:r w:rsidRPr="002451B6">
        <w:rPr>
          <w:rFonts w:ascii="Times New Roman" w:eastAsia="Times New Roman" w:hAnsi="Times New Roman" w:cs="Times New Roman"/>
          <w:sz w:val="24"/>
          <w:szCs w:val="24"/>
        </w:rPr>
        <w:t>EBDs</w:t>
      </w:r>
      <w:proofErr w:type="spellEnd"/>
      <w:r w:rsidRPr="002451B6">
        <w:rPr>
          <w:rFonts w:ascii="Times New Roman" w:eastAsia="Times New Roman" w:hAnsi="Times New Roman" w:cs="Times New Roman"/>
          <w:sz w:val="24"/>
          <w:szCs w:val="24"/>
        </w:rPr>
        <w:t xml:space="preserve">). Evangélica desde a infância, não me lembro se houve algum momento em que a EBD não estivesse presente na minha vida de maneira individual. Esse testemunho, que diz respeito apenas à minha experiência pessoal, se conecta a um equívoco </w:t>
      </w:r>
      <w:r w:rsidRPr="002451B6">
        <w:rPr>
          <w:rFonts w:ascii="Times New Roman" w:eastAsia="Times New Roman" w:hAnsi="Times New Roman" w:cs="Times New Roman"/>
          <w:sz w:val="24"/>
          <w:szCs w:val="24"/>
        </w:rPr>
        <w:lastRenderedPageBreak/>
        <w:t xml:space="preserve">muitas vezes presentes no senso comum: o de que a Educação Cristã está restrita aos espaços eclesiásticos. </w:t>
      </w:r>
    </w:p>
    <w:p w14:paraId="7B898AF2"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2020, a Pandemia de Covid-19 pareceu arrancar de dentro dos edifícios a educação cristã - que era até certo ponto uma experiência privada de cada comunidade - e torná-la pública para o mundo através de inúmeras lives, vídeos no YouTube e a forma como mais e mais igrejas usaram esse espaço para publicizar seus pensamentos foi uma mudança importante; mesmo igrejas que nunca tiveram o costume de transmitir seus cultos se viram obrigadas a alterar sua forma de adorar e ensinar. </w:t>
      </w:r>
    </w:p>
    <w:p w14:paraId="66A4675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Certamente a presença midiática de algumas igrejas não representou nenhuma novidade em 2020. Muitas comunidades já tinham o costume de fazer transmissões online via YouTube, porém, todo o formato do culto e do ensino foi repensado. Evangélicos têm se feito presente em mídias de massa desde a Era do rádio e os anos 2000 (Cunha, 2007) são o marco de uma voz crescente em programas televisivos. Além disso, com o surgimento da plataforma YouTube em 2005, aos poucos, esse espaço também começou a ser ocupado não apenas por indivíduos, os famosos </w:t>
      </w:r>
      <w:r w:rsidRPr="002451B6">
        <w:rPr>
          <w:rFonts w:ascii="Times New Roman" w:eastAsia="Times New Roman" w:hAnsi="Times New Roman" w:cs="Times New Roman"/>
          <w:i/>
          <w:iCs/>
          <w:sz w:val="24"/>
          <w:szCs w:val="24"/>
        </w:rPr>
        <w:t>youtubers</w:t>
      </w:r>
      <w:r w:rsidRPr="002451B6">
        <w:rPr>
          <w:rFonts w:ascii="Times New Roman" w:eastAsia="Times New Roman" w:hAnsi="Times New Roman" w:cs="Times New Roman"/>
          <w:sz w:val="24"/>
          <w:szCs w:val="24"/>
        </w:rPr>
        <w:t xml:space="preserve">, cantores evangélicos, pastores, mas também por instituições religiosas como espaço de compartilhamento de conhecimento e de posicionamentos. </w:t>
      </w:r>
    </w:p>
    <w:p w14:paraId="4C1C5C9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Brasil, porém, a disseminação de uma pedagogia cristã não acontece apenas em espaços religiosos. Ao contrário, a cultura judaico-cristã está emaranhada na sociedade de tal modo que toda e qualquer análise da sociedade que a ignore se torna também ela incompleta ou míope. </w:t>
      </w:r>
    </w:p>
    <w:p w14:paraId="77185E8C"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pandemia de Covid-19 tornou-se um momento interessante de análise de como esse discurso religioso tomou conta das redes. Ao longo dos anos que se seguiram, ampliou-se a quantidade de vídeos que tentaram explicar os eventos do mundo - e a própria pandemia - a partir de uma interpretação bíblica</w:t>
      </w:r>
      <w:r w:rsidRPr="002451B6">
        <w:rPr>
          <w:rFonts w:ascii="Times New Roman" w:eastAsia="Times New Roman" w:hAnsi="Times New Roman" w:cs="Times New Roman"/>
          <w:sz w:val="24"/>
          <w:szCs w:val="24"/>
          <w:vertAlign w:val="superscript"/>
        </w:rPr>
        <w:footnoteReference w:id="13"/>
      </w:r>
      <w:r w:rsidRPr="002451B6">
        <w:rPr>
          <w:rFonts w:ascii="Times New Roman" w:eastAsia="Times New Roman" w:hAnsi="Times New Roman" w:cs="Times New Roman"/>
          <w:sz w:val="24"/>
          <w:szCs w:val="24"/>
        </w:rPr>
        <w:t xml:space="preserve">. Além desse evento, o contexto brasileiro da época que se desenhara de maneira mais clara nos dois anos que antecederam o pleito eleitoral de 2018, trouxe desafios e disputadas narrativas, que aos poucos </w:t>
      </w:r>
      <w:proofErr w:type="gramStart"/>
      <w:r w:rsidRPr="002451B6">
        <w:rPr>
          <w:rFonts w:ascii="Times New Roman" w:eastAsia="Times New Roman" w:hAnsi="Times New Roman" w:cs="Times New Roman"/>
          <w:sz w:val="24"/>
          <w:szCs w:val="24"/>
        </w:rPr>
        <w:t>criaram novas</w:t>
      </w:r>
      <w:proofErr w:type="gramEnd"/>
      <w:r w:rsidRPr="002451B6">
        <w:rPr>
          <w:rFonts w:ascii="Times New Roman" w:eastAsia="Times New Roman" w:hAnsi="Times New Roman" w:cs="Times New Roman"/>
          <w:sz w:val="24"/>
          <w:szCs w:val="24"/>
        </w:rPr>
        <w:t xml:space="preserve"> cisões internas e intensificaram rupturas que já existiam dentro dos espaços eclesiásticos. Já em 2018, o apoio aberto de igrejas à candidatura do ex-presidente representou um conflito interno que acabou por delinear ainda mais as diferenças entre as narrativas religiosas evangélicas. (Pereira, 2025)</w:t>
      </w:r>
    </w:p>
    <w:p w14:paraId="7CF0175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Um tema recorrente nas pautas midiáticas é justamente o de gênero. A política </w:t>
      </w:r>
      <w:proofErr w:type="spellStart"/>
      <w:r w:rsidRPr="002451B6">
        <w:rPr>
          <w:rFonts w:ascii="Times New Roman" w:eastAsia="Times New Roman" w:hAnsi="Times New Roman" w:cs="Times New Roman"/>
          <w:sz w:val="24"/>
          <w:szCs w:val="24"/>
        </w:rPr>
        <w:t>anti-gênero</w:t>
      </w:r>
      <w:proofErr w:type="spellEnd"/>
      <w:r w:rsidRPr="002451B6">
        <w:rPr>
          <w:rFonts w:ascii="Times New Roman" w:eastAsia="Times New Roman" w:hAnsi="Times New Roman" w:cs="Times New Roman"/>
          <w:sz w:val="24"/>
          <w:szCs w:val="24"/>
        </w:rPr>
        <w:t xml:space="preserve"> não é novidade nas narrativas cristãs. Ainda que neste ensaio meu foco esteja na </w:t>
      </w:r>
      <w:r w:rsidRPr="002451B6">
        <w:rPr>
          <w:rFonts w:ascii="Times New Roman" w:eastAsia="Times New Roman" w:hAnsi="Times New Roman" w:cs="Times New Roman"/>
          <w:sz w:val="24"/>
          <w:szCs w:val="24"/>
        </w:rPr>
        <w:lastRenderedPageBreak/>
        <w:t xml:space="preserve">experiência evangélica, Sonia Corrêa e Isabela Kalil (2024) demonstram que desde meados dos anos de 1940, a questão de gênero permeia a política a partir de uma gramática cristã, em um primeiro momento fruto de um forte lobby da Igreja Católica. </w:t>
      </w:r>
    </w:p>
    <w:p w14:paraId="21BB856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Falar de gênero hoje torna-se cada vez mais urgente e trata-se de um caminho espinhoso sobretudo pela disputa de narrativas construída cuidadosamente a partir de uma gramática que demoniza gênero e silencia as mulheres. Para compreender como as teologias feministas operam para demonstrar máquinas opressoras produtoras de </w:t>
      </w:r>
      <w:proofErr w:type="spellStart"/>
      <w:r w:rsidRPr="002451B6">
        <w:rPr>
          <w:rFonts w:ascii="Times New Roman" w:eastAsia="Times New Roman" w:hAnsi="Times New Roman" w:cs="Times New Roman"/>
          <w:sz w:val="24"/>
          <w:szCs w:val="24"/>
        </w:rPr>
        <w:t>necroteologias</w:t>
      </w:r>
      <w:proofErr w:type="spellEnd"/>
      <w:r w:rsidRPr="002451B6">
        <w:rPr>
          <w:rFonts w:ascii="Times New Roman" w:eastAsia="Times New Roman" w:hAnsi="Times New Roman" w:cs="Times New Roman"/>
          <w:sz w:val="24"/>
          <w:szCs w:val="24"/>
        </w:rPr>
        <w:t xml:space="preserve">, torna-se necessário, primeiro, um mergulho no texto bíblico a fim de compreendermos em face a </w:t>
      </w:r>
      <w:proofErr w:type="spellStart"/>
      <w:r w:rsidRPr="002451B6">
        <w:rPr>
          <w:rFonts w:ascii="Times New Roman" w:eastAsia="Times New Roman" w:hAnsi="Times New Roman" w:cs="Times New Roman"/>
          <w:sz w:val="24"/>
          <w:szCs w:val="24"/>
        </w:rPr>
        <w:t>quê</w:t>
      </w:r>
      <w:proofErr w:type="spellEnd"/>
      <w:r w:rsidRPr="002451B6">
        <w:rPr>
          <w:rFonts w:ascii="Times New Roman" w:eastAsia="Times New Roman" w:hAnsi="Times New Roman" w:cs="Times New Roman"/>
          <w:sz w:val="24"/>
          <w:szCs w:val="24"/>
        </w:rPr>
        <w:t xml:space="preserve"> essa teologia se coloca. </w:t>
      </w:r>
    </w:p>
    <w:p w14:paraId="31F86C99" w14:textId="77777777" w:rsidR="00332C33" w:rsidRPr="002451B6" w:rsidRDefault="00000000">
      <w:pPr>
        <w:pStyle w:val="Ttulo3"/>
        <w:spacing w:line="360" w:lineRule="auto"/>
        <w:jc w:val="both"/>
        <w:rPr>
          <w:rFonts w:ascii="Times New Roman" w:eastAsia="Times New Roman" w:hAnsi="Times New Roman" w:cs="Times New Roman"/>
          <w:b/>
          <w:bCs/>
          <w:color w:val="auto"/>
          <w:sz w:val="24"/>
          <w:szCs w:val="24"/>
        </w:rPr>
      </w:pPr>
      <w:bookmarkStart w:id="4" w:name="_ifkcj5ng0txx" w:colFirst="0" w:colLast="0"/>
      <w:bookmarkEnd w:id="4"/>
      <w:r w:rsidRPr="002451B6">
        <w:rPr>
          <w:rFonts w:ascii="Times New Roman" w:eastAsia="Times New Roman" w:hAnsi="Times New Roman" w:cs="Times New Roman"/>
          <w:b/>
          <w:bCs/>
          <w:color w:val="auto"/>
          <w:sz w:val="24"/>
          <w:szCs w:val="24"/>
        </w:rPr>
        <w:t>Mulheres e o texto Bíblico: uma longa história de abuso</w:t>
      </w:r>
    </w:p>
    <w:p w14:paraId="226AF051"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7B9218E2"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princípio criou Deus os céus e a terra…”, o livro de Gênesis (Bíblia, Gênesis, Capítulo 1) é uma narrativa fundante do cristianismo através da elaboração de uma cronologia da criação. A epopeia poética do mundo sendo criado das trevas para a luz nunca se pretendeu como narrativa científica, ao contrário, tratava-se de uma construção imaginativa sobre o poder de Deus diante de outros deuses e tinha como um dos seus principais objetivos reforçar Javé como único Deus. </w:t>
      </w:r>
    </w:p>
    <w:p w14:paraId="2ED17E8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despeito de seu intuito e usos originais, o livro dos começos representou muitas mortes para as mulheres ao longo da história. A narrativa bíblica interpretada como “o relato da queda” ou como “história do pecado original” conta como Eva - a primeira mulher - é enganada por uma serpente no Jardim do Éden e escolhe provar o fruto do conhecimento. Sua transgressão resulta em sua expulsão do Paraíso e em simbólicas dores de parto. (Bíblia, Gênesis, Capítulo 4)</w:t>
      </w:r>
    </w:p>
    <w:p w14:paraId="35F0C92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 múltiplas interpretações desse texto perseguiram as mulheres por milênios. Tertuliano (160 </w:t>
      </w:r>
      <w:proofErr w:type="gramStart"/>
      <w:r w:rsidRPr="002451B6">
        <w:rPr>
          <w:rFonts w:ascii="Times New Roman" w:eastAsia="Times New Roman" w:hAnsi="Times New Roman" w:cs="Times New Roman"/>
          <w:sz w:val="24"/>
          <w:szCs w:val="24"/>
        </w:rPr>
        <w:t>CE  -</w:t>
      </w:r>
      <w:proofErr w:type="gramEnd"/>
      <w:r w:rsidRPr="002451B6">
        <w:rPr>
          <w:rFonts w:ascii="Times New Roman" w:eastAsia="Times New Roman" w:hAnsi="Times New Roman" w:cs="Times New Roman"/>
          <w:sz w:val="24"/>
          <w:szCs w:val="24"/>
        </w:rPr>
        <w:t xml:space="preserve"> 220 CE), um dos pais da Igreja, leu nesse texto a prova cabal de que as mulheres - por causa de </w:t>
      </w:r>
      <w:proofErr w:type="spellStart"/>
      <w:r w:rsidRPr="002451B6">
        <w:rPr>
          <w:rFonts w:ascii="Times New Roman" w:eastAsia="Times New Roman" w:hAnsi="Times New Roman" w:cs="Times New Roman"/>
          <w:sz w:val="24"/>
          <w:szCs w:val="24"/>
        </w:rPr>
        <w:t>eva</w:t>
      </w:r>
      <w:proofErr w:type="spellEnd"/>
      <w:r w:rsidRPr="002451B6">
        <w:rPr>
          <w:rFonts w:ascii="Times New Roman" w:eastAsia="Times New Roman" w:hAnsi="Times New Roman" w:cs="Times New Roman"/>
          <w:sz w:val="24"/>
          <w:szCs w:val="24"/>
        </w:rPr>
        <w:t xml:space="preserve"> - são a porta de entrada do demônio no mundo.</w:t>
      </w:r>
    </w:p>
    <w:p w14:paraId="7161C684"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4F099EA1"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E vocês não sabem quem são (cada uma) Eva? A sentença de Deus sobre este seu sexo vive nesta era: a culpa deve necessariamente viver também. Você é a porta do diabo: você é o </w:t>
      </w:r>
      <w:proofErr w:type="spellStart"/>
      <w:r w:rsidRPr="002451B6">
        <w:rPr>
          <w:rFonts w:ascii="Times New Roman" w:eastAsia="Times New Roman" w:hAnsi="Times New Roman" w:cs="Times New Roman"/>
        </w:rPr>
        <w:t>deslacrador</w:t>
      </w:r>
      <w:proofErr w:type="spellEnd"/>
      <w:r w:rsidRPr="002451B6">
        <w:rPr>
          <w:rFonts w:ascii="Times New Roman" w:eastAsia="Times New Roman" w:hAnsi="Times New Roman" w:cs="Times New Roman"/>
        </w:rPr>
        <w:t xml:space="preserve"> daquela árvore (proibida): você é a primeiro desertor da lei divina: você é aquela que persuadiu aquele a quem o diabo não foi valente o suficiente para atacar (Tertuliano, 197).</w:t>
      </w:r>
    </w:p>
    <w:p w14:paraId="3F1756E3" w14:textId="77777777" w:rsidR="00332C33" w:rsidRPr="002451B6" w:rsidRDefault="00332C33">
      <w:pPr>
        <w:spacing w:line="240" w:lineRule="auto"/>
        <w:ind w:left="2268"/>
        <w:jc w:val="both"/>
        <w:rPr>
          <w:rFonts w:ascii="Times New Roman" w:eastAsia="Times New Roman" w:hAnsi="Times New Roman" w:cs="Times New Roman"/>
        </w:rPr>
      </w:pPr>
    </w:p>
    <w:p w14:paraId="7D6D187B"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padre, nascido provavelmente em Cartago, encontra na figura da mulher uma culpa original. São elas, a partir de Eva, as responsáveis pela perdição da humanidade; pela morte do </w:t>
      </w:r>
      <w:r w:rsidRPr="002451B6">
        <w:rPr>
          <w:rFonts w:ascii="Times New Roman" w:eastAsia="Times New Roman" w:hAnsi="Times New Roman" w:cs="Times New Roman"/>
          <w:sz w:val="24"/>
          <w:szCs w:val="24"/>
        </w:rPr>
        <w:lastRenderedPageBreak/>
        <w:t xml:space="preserve">próprio Deus - Jesus; por persuadir “aquele a quem o diabo não foi valente o suficiente para atacar”, o homem. A leitura de Tertuliano, ainda que travestida de análise teológica, está repleta do sentimento e das filosofias de um mundo profundamente patriarcal. </w:t>
      </w:r>
      <w:proofErr w:type="spellStart"/>
      <w:r w:rsidRPr="002451B6">
        <w:rPr>
          <w:rFonts w:ascii="Times New Roman" w:eastAsia="Times New Roman" w:hAnsi="Times New Roman" w:cs="Times New Roman"/>
          <w:sz w:val="24"/>
          <w:szCs w:val="24"/>
        </w:rPr>
        <w:t>Hannelie</w:t>
      </w:r>
      <w:proofErr w:type="spellEnd"/>
      <w:r w:rsidRPr="002451B6">
        <w:rPr>
          <w:rFonts w:ascii="Times New Roman" w:eastAsia="Times New Roman" w:hAnsi="Times New Roman" w:cs="Times New Roman"/>
          <w:sz w:val="24"/>
          <w:szCs w:val="24"/>
        </w:rPr>
        <w:t xml:space="preserve"> Wood demonstra como os pais da Igreja bebiam de fontes como o platonismo e a filosofia de Aristóteles, além de interpretações helênicas de textos bíblicos que ratificam o silenciamento das mulheres e sua incapacidade para liderança dentro de espaços eclesiásticos. </w:t>
      </w:r>
    </w:p>
    <w:p w14:paraId="5D51149A"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0A9043C5" w14:textId="77777777" w:rsidR="00332C33" w:rsidRPr="002451B6" w:rsidRDefault="00000000">
      <w:pPr>
        <w:spacing w:line="240" w:lineRule="auto"/>
        <w:ind w:left="2268"/>
        <w:jc w:val="both"/>
        <w:rPr>
          <w:rFonts w:ascii="Times New Roman" w:eastAsia="Times New Roman" w:hAnsi="Times New Roman" w:cs="Times New Roman"/>
        </w:rPr>
      </w:pPr>
      <w:proofErr w:type="spellStart"/>
      <w:r w:rsidRPr="002451B6">
        <w:rPr>
          <w:rFonts w:ascii="Times New Roman" w:eastAsia="Times New Roman" w:hAnsi="Times New Roman" w:cs="Times New Roman"/>
        </w:rPr>
        <w:t>Views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of</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the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church</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fathers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such</w:t>
      </w:r>
      <w:proofErr w:type="spellEnd"/>
      <w:r w:rsidRPr="002451B6">
        <w:rPr>
          <w:rFonts w:ascii="Times New Roman" w:eastAsia="Times New Roman" w:hAnsi="Times New Roman" w:cs="Times New Roman"/>
        </w:rPr>
        <w:t xml:space="preserve"> as </w:t>
      </w:r>
      <w:proofErr w:type="spellStart"/>
      <w:r w:rsidRPr="002451B6">
        <w:rPr>
          <w:rFonts w:ascii="Times New Roman" w:eastAsia="Times New Roman" w:hAnsi="Times New Roman" w:cs="Times New Roman"/>
        </w:rPr>
        <w:t>the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Latin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church</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fathers</w:t>
      </w:r>
      <w:proofErr w:type="spellEnd"/>
      <w:r w:rsidRPr="002451B6">
        <w:rPr>
          <w:rFonts w:ascii="Times New Roman" w:eastAsia="Times New Roman" w:hAnsi="Times New Roman" w:cs="Times New Roman"/>
        </w:rPr>
        <w:t xml:space="preserve"> - </w:t>
      </w:r>
      <w:proofErr w:type="spellStart"/>
      <w:r w:rsidRPr="002451B6">
        <w:rPr>
          <w:rFonts w:ascii="Times New Roman" w:eastAsia="Times New Roman" w:hAnsi="Times New Roman" w:cs="Times New Roman"/>
        </w:rPr>
        <w:t>Tertullian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Cyprian</w:t>
      </w:r>
      <w:proofErr w:type="spellEnd"/>
      <w:r w:rsidRPr="002451B6">
        <w:rPr>
          <w:rFonts w:ascii="Times New Roman" w:eastAsia="Times New Roman" w:hAnsi="Times New Roman" w:cs="Times New Roman"/>
        </w:rPr>
        <w:t xml:space="preserve">, Jerome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Augustine -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the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Greek</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church</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fathers</w:t>
      </w:r>
      <w:proofErr w:type="spellEnd"/>
      <w:r w:rsidRPr="002451B6">
        <w:rPr>
          <w:rFonts w:ascii="Times New Roman" w:eastAsia="Times New Roman" w:hAnsi="Times New Roman" w:cs="Times New Roman"/>
        </w:rPr>
        <w:t xml:space="preserve"> - Clement </w:t>
      </w:r>
      <w:proofErr w:type="spellStart"/>
      <w:r w:rsidRPr="002451B6">
        <w:rPr>
          <w:rFonts w:ascii="Times New Roman" w:eastAsia="Times New Roman" w:hAnsi="Times New Roman" w:cs="Times New Roman"/>
        </w:rPr>
        <w:t>of</w:t>
      </w:r>
      <w:proofErr w:type="spellEnd"/>
      <w:r w:rsidRPr="002451B6">
        <w:rPr>
          <w:rFonts w:ascii="Times New Roman" w:eastAsia="Times New Roman" w:hAnsi="Times New Roman" w:cs="Times New Roman"/>
        </w:rPr>
        <w:t xml:space="preserve"> Alexander, </w:t>
      </w:r>
      <w:proofErr w:type="spellStart"/>
      <w:r w:rsidRPr="002451B6">
        <w:rPr>
          <w:rFonts w:ascii="Times New Roman" w:eastAsia="Times New Roman" w:hAnsi="Times New Roman" w:cs="Times New Roman"/>
        </w:rPr>
        <w:t>Origen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Chrysostom</w:t>
      </w:r>
      <w:proofErr w:type="spellEnd"/>
      <w:r w:rsidRPr="002451B6">
        <w:rPr>
          <w:rFonts w:ascii="Times New Roman" w:eastAsia="Times New Roman" w:hAnsi="Times New Roman" w:cs="Times New Roman"/>
        </w:rPr>
        <w:t xml:space="preserve"> - </w:t>
      </w:r>
      <w:proofErr w:type="spellStart"/>
      <w:r w:rsidRPr="002451B6">
        <w:rPr>
          <w:rFonts w:ascii="Times New Roman" w:eastAsia="Times New Roman" w:hAnsi="Times New Roman" w:cs="Times New Roman"/>
        </w:rPr>
        <w:t>were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not</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only</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built</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upon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the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anthropology</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of</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Plato</w:t>
      </w:r>
      <w:proofErr w:type="spellEnd"/>
      <w:r w:rsidRPr="002451B6">
        <w:rPr>
          <w:rFonts w:ascii="Times New Roman" w:eastAsia="Times New Roman" w:hAnsi="Times New Roman" w:cs="Times New Roman"/>
        </w:rPr>
        <w:t xml:space="preserve"> (428/427-348/347 BC)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Aristotle</w:t>
      </w:r>
      <w:proofErr w:type="spellEnd"/>
      <w:r w:rsidRPr="002451B6">
        <w:rPr>
          <w:rFonts w:ascii="Times New Roman" w:eastAsia="Times New Roman" w:hAnsi="Times New Roman" w:cs="Times New Roman"/>
        </w:rPr>
        <w:t xml:space="preserve"> (384-322 BC) </w:t>
      </w:r>
      <w:proofErr w:type="spellStart"/>
      <w:r w:rsidRPr="002451B6">
        <w:rPr>
          <w:rFonts w:ascii="Times New Roman" w:eastAsia="Times New Roman" w:hAnsi="Times New Roman" w:cs="Times New Roman"/>
        </w:rPr>
        <w:t>but</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also</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Scripture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especially</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those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of</w:t>
      </w:r>
      <w:proofErr w:type="spellEnd"/>
      <w:r w:rsidRPr="002451B6">
        <w:rPr>
          <w:rFonts w:ascii="Times New Roman" w:eastAsia="Times New Roman" w:hAnsi="Times New Roman" w:cs="Times New Roman"/>
        </w:rPr>
        <w:t xml:space="preserve"> Paul. 1 Corinthians 14:34-35 </w:t>
      </w:r>
      <w:proofErr w:type="spellStart"/>
      <w:r w:rsidRPr="002451B6">
        <w:rPr>
          <w:rFonts w:ascii="Times New Roman" w:eastAsia="Times New Roman" w:hAnsi="Times New Roman" w:cs="Times New Roman"/>
        </w:rPr>
        <w:t>was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often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cited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used</w:t>
      </w:r>
      <w:proofErr w:type="spellEnd"/>
      <w:r w:rsidRPr="002451B6">
        <w:rPr>
          <w:rFonts w:ascii="Times New Roman" w:eastAsia="Times New Roman" w:hAnsi="Times New Roman" w:cs="Times New Roman"/>
        </w:rPr>
        <w:t xml:space="preserve"> as a </w:t>
      </w:r>
      <w:proofErr w:type="spellStart"/>
      <w:r w:rsidRPr="002451B6">
        <w:rPr>
          <w:rFonts w:ascii="Times New Roman" w:eastAsia="Times New Roman" w:hAnsi="Times New Roman" w:cs="Times New Roman"/>
        </w:rPr>
        <w:t>justification</w:t>
      </w:r>
      <w:proofErr w:type="spellEnd"/>
      <w:r w:rsidRPr="002451B6">
        <w:rPr>
          <w:rFonts w:ascii="Times New Roman" w:eastAsia="Times New Roman" w:hAnsi="Times New Roman" w:cs="Times New Roman"/>
        </w:rPr>
        <w:t xml:space="preserve"> for </w:t>
      </w:r>
      <w:proofErr w:type="spellStart"/>
      <w:r w:rsidRPr="002451B6">
        <w:rPr>
          <w:rFonts w:ascii="Times New Roman" w:eastAsia="Times New Roman" w:hAnsi="Times New Roman" w:cs="Times New Roman"/>
        </w:rPr>
        <w:t>gender</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inequality</w:t>
      </w:r>
      <w:proofErr w:type="spellEnd"/>
      <w:r w:rsidRPr="002451B6">
        <w:rPr>
          <w:rFonts w:ascii="Times New Roman" w:eastAsia="Times New Roman" w:hAnsi="Times New Roman" w:cs="Times New Roman"/>
        </w:rPr>
        <w:t xml:space="preserve">. They </w:t>
      </w:r>
      <w:proofErr w:type="spellStart"/>
      <w:r w:rsidRPr="002451B6">
        <w:rPr>
          <w:rFonts w:ascii="Times New Roman" w:eastAsia="Times New Roman" w:hAnsi="Times New Roman" w:cs="Times New Roman"/>
        </w:rPr>
        <w:t>based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their</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views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of</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women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texts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such</w:t>
      </w:r>
      <w:proofErr w:type="spellEnd"/>
      <w:r w:rsidRPr="002451B6">
        <w:rPr>
          <w:rFonts w:ascii="Times New Roman" w:eastAsia="Times New Roman" w:hAnsi="Times New Roman" w:cs="Times New Roman"/>
        </w:rPr>
        <w:t xml:space="preserve"> as Genesis 1:27, Genesis 2:20-23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Genesis 3:1-24 in </w:t>
      </w:r>
      <w:proofErr w:type="spellStart"/>
      <w:r w:rsidRPr="002451B6">
        <w:rPr>
          <w:rFonts w:ascii="Times New Roman" w:eastAsia="Times New Roman" w:hAnsi="Times New Roman" w:cs="Times New Roman"/>
        </w:rPr>
        <w:t>the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Old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Testament</w:t>
      </w:r>
      <w:proofErr w:type="spellEnd"/>
      <w:r w:rsidRPr="002451B6">
        <w:rPr>
          <w:rFonts w:ascii="Times New Roman" w:eastAsia="Times New Roman" w:hAnsi="Times New Roman" w:cs="Times New Roman"/>
        </w:rPr>
        <w:t xml:space="preserve">. The fusion </w:t>
      </w:r>
      <w:proofErr w:type="spellStart"/>
      <w:r w:rsidRPr="002451B6">
        <w:rPr>
          <w:rFonts w:ascii="Times New Roman" w:eastAsia="Times New Roman" w:hAnsi="Times New Roman" w:cs="Times New Roman"/>
        </w:rPr>
        <w:t>of</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all</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women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with</w:t>
      </w:r>
      <w:proofErr w:type="spellEnd"/>
      <w:r w:rsidRPr="002451B6">
        <w:rPr>
          <w:rFonts w:ascii="Times New Roman" w:eastAsia="Times New Roman" w:hAnsi="Times New Roman" w:cs="Times New Roman"/>
        </w:rPr>
        <w:t xml:space="preserve"> Eve came </w:t>
      </w:r>
      <w:proofErr w:type="spellStart"/>
      <w:r w:rsidRPr="002451B6">
        <w:rPr>
          <w:rFonts w:ascii="Times New Roman" w:eastAsia="Times New Roman" w:hAnsi="Times New Roman" w:cs="Times New Roman"/>
        </w:rPr>
        <w:t>with</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the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apostolic</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sanction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Eve </w:t>
      </w:r>
      <w:proofErr w:type="spellStart"/>
      <w:r w:rsidRPr="002451B6">
        <w:rPr>
          <w:rFonts w:ascii="Times New Roman" w:eastAsia="Times New Roman" w:hAnsi="Times New Roman" w:cs="Times New Roman"/>
        </w:rPr>
        <w:t>become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the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scapegoat</w:t>
      </w:r>
      <w:proofErr w:type="spellEnd"/>
      <w:r w:rsidRPr="002451B6">
        <w:rPr>
          <w:rFonts w:ascii="Times New Roman" w:eastAsia="Times New Roman" w:hAnsi="Times New Roman" w:cs="Times New Roman"/>
        </w:rPr>
        <w:t xml:space="preserve"> for </w:t>
      </w:r>
      <w:proofErr w:type="spellStart"/>
      <w:r w:rsidRPr="002451B6">
        <w:rPr>
          <w:rFonts w:ascii="Times New Roman" w:eastAsia="Times New Roman" w:hAnsi="Times New Roman" w:cs="Times New Roman"/>
        </w:rPr>
        <w:t>the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limiting</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of</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women's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activities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authority</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to</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generally</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justify</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women's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submission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to</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men</w:t>
      </w:r>
      <w:proofErr w:type="spellEnd"/>
      <w:r w:rsidRPr="002451B6">
        <w:rPr>
          <w:rFonts w:ascii="Times New Roman" w:eastAsia="Times New Roman" w:hAnsi="Times New Roman" w:cs="Times New Roman"/>
        </w:rPr>
        <w:t xml:space="preserve"> (Clark, 1994, p. 168). (Wood, 2017)</w:t>
      </w:r>
    </w:p>
    <w:p w14:paraId="5B849EA7" w14:textId="77777777" w:rsidR="00332C33" w:rsidRPr="002451B6" w:rsidRDefault="00332C33">
      <w:pPr>
        <w:spacing w:line="360" w:lineRule="auto"/>
        <w:ind w:left="2268" w:firstLine="720"/>
        <w:jc w:val="both"/>
        <w:rPr>
          <w:rFonts w:ascii="Times New Roman" w:eastAsia="Times New Roman" w:hAnsi="Times New Roman" w:cs="Times New Roman"/>
          <w:sz w:val="24"/>
          <w:szCs w:val="24"/>
        </w:rPr>
      </w:pPr>
    </w:p>
    <w:p w14:paraId="09C74E7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Porém, será que cabe falar de Gênesis em uma coletânea sobre gênero? Acredito que sim, sobretudo, pois esse sobrevoo pela narrativa de Gênesis é minha porta de entrada para discutir como o texto bíblico tem sido usado, em diversos momentos históricos diferentes, para controlar o corpo feminino, subjugar seu poder e silenciar suas vozes. A leitura de Tertuliano tem uma longa-duração</w:t>
      </w:r>
      <w:r w:rsidRPr="002451B6">
        <w:rPr>
          <w:rFonts w:ascii="Times New Roman" w:eastAsia="Times New Roman" w:hAnsi="Times New Roman" w:cs="Times New Roman"/>
          <w:sz w:val="24"/>
          <w:szCs w:val="24"/>
          <w:vertAlign w:val="superscript"/>
        </w:rPr>
        <w:footnoteReference w:id="14"/>
      </w:r>
      <w:r w:rsidRPr="002451B6">
        <w:rPr>
          <w:rFonts w:ascii="Times New Roman" w:eastAsia="Times New Roman" w:hAnsi="Times New Roman" w:cs="Times New Roman"/>
          <w:sz w:val="24"/>
          <w:szCs w:val="24"/>
        </w:rPr>
        <w:t xml:space="preserve"> no imaginário ocidental e parece manchar uma enormidade de exegeses feitas dessas narrativas, especialmente aquelas feitas por homens. E eis um ponto fundamental deste breve ensaio: o senso comum lê o texto bíblico e fala sobre Deus com olhos de homem, ainda que nem sempre nos apercebamos disso. Gênesis está mais presente do que conseguimos dar conta. </w:t>
      </w:r>
    </w:p>
    <w:p w14:paraId="3E196D3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Além disso, a figura de Deus - com o decorrer da história do cristianismo - foi se tornando cada vez mais masculina. A força das culturas cristãs patriarcais imprimiu no divino a sua própria imagem de ideal: um homem todo poderoso, entronizado, regendo o mundo. Não há nenhuma novidade em dizer que quando Deus se torna um homem - exemplar do sexo masculino -; o masculino também se torna Deus. A imaginação ocidental aprisionou Deus a essa imagem e rechaçou toda e qualquer leitura dissidente. </w:t>
      </w:r>
    </w:p>
    <w:p w14:paraId="707EBB5A"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Não faltam exemplos de como o texto bíblico foi e é usado para controlar corpos e subjetividades femininas. Recentemente, pesquisas como “A construção da Feminilidade </w:t>
      </w:r>
      <w:r w:rsidRPr="002451B6">
        <w:rPr>
          <w:rFonts w:ascii="Times New Roman" w:eastAsia="Times New Roman" w:hAnsi="Times New Roman" w:cs="Times New Roman"/>
          <w:sz w:val="24"/>
          <w:szCs w:val="24"/>
        </w:rPr>
        <w:lastRenderedPageBreak/>
        <w:t xml:space="preserve">Bíblica”, de Beth Alison Barr (2022), ou “Jesus e John Wayne”, de Kristin </w:t>
      </w:r>
      <w:proofErr w:type="spellStart"/>
      <w:r w:rsidRPr="002451B6">
        <w:rPr>
          <w:rFonts w:ascii="Times New Roman" w:eastAsia="Times New Roman" w:hAnsi="Times New Roman" w:cs="Times New Roman"/>
          <w:sz w:val="24"/>
          <w:szCs w:val="24"/>
        </w:rPr>
        <w:t>Kobez</w:t>
      </w:r>
      <w:proofErr w:type="spellEnd"/>
      <w:r w:rsidRPr="002451B6">
        <w:rPr>
          <w:rFonts w:ascii="Times New Roman" w:eastAsia="Times New Roman" w:hAnsi="Times New Roman" w:cs="Times New Roman"/>
          <w:sz w:val="24"/>
          <w:szCs w:val="24"/>
        </w:rPr>
        <w:t xml:space="preserve"> Du </w:t>
      </w:r>
      <w:proofErr w:type="spellStart"/>
      <w:r w:rsidRPr="002451B6">
        <w:rPr>
          <w:rFonts w:ascii="Times New Roman" w:eastAsia="Times New Roman" w:hAnsi="Times New Roman" w:cs="Times New Roman"/>
          <w:sz w:val="24"/>
          <w:szCs w:val="24"/>
        </w:rPr>
        <w:t>Mez</w:t>
      </w:r>
      <w:proofErr w:type="spellEnd"/>
      <w:r w:rsidRPr="002451B6">
        <w:rPr>
          <w:rFonts w:ascii="Times New Roman" w:eastAsia="Times New Roman" w:hAnsi="Times New Roman" w:cs="Times New Roman"/>
          <w:sz w:val="24"/>
          <w:szCs w:val="24"/>
        </w:rPr>
        <w:t xml:space="preserve"> (2022), demonstram como os usos interessados do texto foram cruciais para elaborar os pilares patriarcais da sociedade cristã ocidental na qual vivemos. As dores de Eva, simbólicas ou não, são as dores às quais todas as mulheres sob a égide do cristianismo por vezes são expostas. </w:t>
      </w:r>
    </w:p>
    <w:p w14:paraId="48E661A2" w14:textId="77777777" w:rsidR="00332C33" w:rsidRPr="002451B6" w:rsidRDefault="00000000">
      <w:pPr>
        <w:pStyle w:val="Ttulo3"/>
        <w:spacing w:line="360" w:lineRule="auto"/>
        <w:jc w:val="both"/>
        <w:rPr>
          <w:rFonts w:ascii="Times New Roman" w:eastAsia="Times New Roman" w:hAnsi="Times New Roman" w:cs="Times New Roman"/>
          <w:b/>
          <w:bCs/>
          <w:color w:val="auto"/>
          <w:sz w:val="24"/>
          <w:szCs w:val="24"/>
        </w:rPr>
      </w:pPr>
      <w:bookmarkStart w:id="5" w:name="_u3yt0xi9fwr6" w:colFirst="0" w:colLast="0"/>
      <w:bookmarkEnd w:id="5"/>
      <w:proofErr w:type="spellStart"/>
      <w:r w:rsidRPr="002451B6">
        <w:rPr>
          <w:rFonts w:ascii="Times New Roman" w:eastAsia="Times New Roman" w:hAnsi="Times New Roman" w:cs="Times New Roman"/>
          <w:b/>
          <w:bCs/>
          <w:color w:val="auto"/>
          <w:sz w:val="24"/>
          <w:szCs w:val="24"/>
        </w:rPr>
        <w:t>Necroteologias</w:t>
      </w:r>
      <w:proofErr w:type="spellEnd"/>
      <w:r w:rsidRPr="002451B6">
        <w:rPr>
          <w:rFonts w:ascii="Times New Roman" w:eastAsia="Times New Roman" w:hAnsi="Times New Roman" w:cs="Times New Roman"/>
          <w:b/>
          <w:bCs/>
          <w:color w:val="auto"/>
          <w:sz w:val="24"/>
          <w:szCs w:val="24"/>
        </w:rPr>
        <w:t>: um deus que mata…</w:t>
      </w:r>
    </w:p>
    <w:p w14:paraId="493C5A18" w14:textId="77777777" w:rsidR="00332C33" w:rsidRPr="002451B6" w:rsidRDefault="00332C33">
      <w:pPr>
        <w:spacing w:line="360" w:lineRule="auto"/>
        <w:jc w:val="both"/>
        <w:rPr>
          <w:rFonts w:ascii="Times New Roman" w:eastAsia="Times New Roman" w:hAnsi="Times New Roman" w:cs="Times New Roman"/>
          <w:sz w:val="24"/>
          <w:szCs w:val="24"/>
        </w:rPr>
      </w:pPr>
    </w:p>
    <w:p w14:paraId="2B59272F"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vocábulo deus é amplo e múltiplo em seus usos e significados e sua plasticidade soma à sua complexidade. Além disso, a despeito do que a cultura judaico-cristã apresenta, sobretudo, novamente, nas Igrejas - um conceito </w:t>
      </w:r>
      <w:proofErr w:type="spellStart"/>
      <w:r w:rsidRPr="002451B6">
        <w:rPr>
          <w:rFonts w:ascii="Times New Roman" w:eastAsia="Times New Roman" w:hAnsi="Times New Roman" w:cs="Times New Roman"/>
          <w:sz w:val="24"/>
          <w:szCs w:val="24"/>
        </w:rPr>
        <w:t>trans-histórico</w:t>
      </w:r>
      <w:proofErr w:type="spellEnd"/>
      <w:r w:rsidRPr="002451B6">
        <w:rPr>
          <w:rFonts w:ascii="Times New Roman" w:eastAsia="Times New Roman" w:hAnsi="Times New Roman" w:cs="Times New Roman"/>
          <w:sz w:val="24"/>
          <w:szCs w:val="24"/>
        </w:rPr>
        <w:t xml:space="preserve"> que sempre existiu -, a ideia de Deus não apenas muda ao longo do tempo, como culturas distintas podem se referir ao sagrado com outros nomes, ou mesmo usar essa nomenclatura para dar conta de coisas completamente distintas.</w:t>
      </w:r>
    </w:p>
    <w:p w14:paraId="1640EF19"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controle da narrativa sobre Deus é fruto da construção de uma narrativa de poder. Quem controla a ideia de Deus controla o acesso ao sagrado. Esse controle também dita em que corpos Deus habita e quais rejeita. Quais almas merecem salvação e às quais reserva danação eterna. Controlar a ideia de Deus significa o controle e o abuso em nome do que se espera desse Deus.  </w:t>
      </w:r>
    </w:p>
    <w:p w14:paraId="54214E5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Quando Achille </w:t>
      </w:r>
      <w:proofErr w:type="spellStart"/>
      <w:r w:rsidRPr="002451B6">
        <w:rPr>
          <w:rFonts w:ascii="Times New Roman" w:eastAsia="Times New Roman" w:hAnsi="Times New Roman" w:cs="Times New Roman"/>
          <w:sz w:val="24"/>
          <w:szCs w:val="24"/>
        </w:rPr>
        <w:t>Mbembe</w:t>
      </w:r>
      <w:proofErr w:type="spellEnd"/>
      <w:r w:rsidRPr="002451B6">
        <w:rPr>
          <w:rFonts w:ascii="Times New Roman" w:eastAsia="Times New Roman" w:hAnsi="Times New Roman" w:cs="Times New Roman"/>
          <w:sz w:val="24"/>
          <w:szCs w:val="24"/>
        </w:rPr>
        <w:t xml:space="preserve"> (2021) escreve sobre Necropolítica, ele elabora a ideia de que há corpos matáveis, o argumento de que existem políticas promotoras de morte. Trago o autor juntamente com Paul Preciado (2019) e Judith Butler (2009) para elaborarmos aqui o neologismo </w:t>
      </w:r>
      <w:proofErr w:type="spellStart"/>
      <w:r w:rsidRPr="002451B6">
        <w:rPr>
          <w:rFonts w:ascii="Times New Roman" w:eastAsia="Times New Roman" w:hAnsi="Times New Roman" w:cs="Times New Roman"/>
          <w:i/>
          <w:iCs/>
          <w:sz w:val="24"/>
          <w:szCs w:val="24"/>
        </w:rPr>
        <w:t>necroteologia</w:t>
      </w:r>
      <w:proofErr w:type="spellEnd"/>
      <w:r w:rsidRPr="002451B6">
        <w:rPr>
          <w:rFonts w:ascii="Times New Roman" w:eastAsia="Times New Roman" w:hAnsi="Times New Roman" w:cs="Times New Roman"/>
          <w:sz w:val="24"/>
          <w:szCs w:val="24"/>
        </w:rPr>
        <w:t xml:space="preserve"> - ainda que não contenha nenhum ineditismo nessa flexão que conjuga o prefixo </w:t>
      </w:r>
      <w:proofErr w:type="spellStart"/>
      <w:r w:rsidRPr="002451B6">
        <w:rPr>
          <w:rFonts w:ascii="Times New Roman" w:eastAsia="Times New Roman" w:hAnsi="Times New Roman" w:cs="Times New Roman"/>
          <w:sz w:val="24"/>
          <w:szCs w:val="24"/>
        </w:rPr>
        <w:t>necro</w:t>
      </w:r>
      <w:proofErr w:type="spellEnd"/>
      <w:r w:rsidRPr="002451B6">
        <w:rPr>
          <w:rFonts w:ascii="Times New Roman" w:eastAsia="Times New Roman" w:hAnsi="Times New Roman" w:cs="Times New Roman"/>
          <w:sz w:val="24"/>
          <w:szCs w:val="24"/>
        </w:rPr>
        <w:t xml:space="preserve"> à palavra teologia. Judith Butler, por exemplo, questiona quais corpos são </w:t>
      </w:r>
      <w:r w:rsidRPr="002451B6">
        <w:rPr>
          <w:rFonts w:ascii="Times New Roman" w:eastAsia="Times New Roman" w:hAnsi="Times New Roman" w:cs="Times New Roman"/>
          <w:i/>
          <w:iCs/>
          <w:sz w:val="24"/>
          <w:szCs w:val="24"/>
        </w:rPr>
        <w:t>lutáveis</w:t>
      </w:r>
      <w:r w:rsidRPr="002451B6">
        <w:rPr>
          <w:rFonts w:ascii="Times New Roman" w:eastAsia="Times New Roman" w:hAnsi="Times New Roman" w:cs="Times New Roman"/>
          <w:sz w:val="24"/>
          <w:szCs w:val="24"/>
        </w:rPr>
        <w:t xml:space="preserve">. Por quais mortos choramos? À primeira vista, talvez, pensar a teologia como um campo onde alguns poucos decidem quais corpos valem mais, que vidas valem mais, pode parecer assustador, e de fato o é, sobretudo quando nos damos conta de como o abuso do texto bíblico representa sentenças de morte para tantos rostos sem nome. </w:t>
      </w:r>
    </w:p>
    <w:p w14:paraId="1CC6A17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Quem controla a ideia de Deus controla o acesso ao sagrado, repito a premissa do início desse movimento do texto. Quem controla a ideia de Deus controla a própria vida e decide quem cabe e quem não cabe, quem vive </w:t>
      </w:r>
      <w:proofErr w:type="gramStart"/>
      <w:r w:rsidRPr="002451B6">
        <w:rPr>
          <w:rFonts w:ascii="Times New Roman" w:eastAsia="Times New Roman" w:hAnsi="Times New Roman" w:cs="Times New Roman"/>
          <w:sz w:val="24"/>
          <w:szCs w:val="24"/>
        </w:rPr>
        <w:t>e também</w:t>
      </w:r>
      <w:proofErr w:type="gramEnd"/>
      <w:r w:rsidRPr="002451B6">
        <w:rPr>
          <w:rFonts w:ascii="Times New Roman" w:eastAsia="Times New Roman" w:hAnsi="Times New Roman" w:cs="Times New Roman"/>
          <w:sz w:val="24"/>
          <w:szCs w:val="24"/>
        </w:rPr>
        <w:t xml:space="preserve"> quem precisa morrer. As leituras hegemônicas da teologia ao longo da história fizeram esse movimento e alguns dos corpos mais massacrados por essa </w:t>
      </w:r>
      <w:proofErr w:type="spellStart"/>
      <w:r w:rsidRPr="002451B6">
        <w:rPr>
          <w:rFonts w:ascii="Times New Roman" w:eastAsia="Times New Roman" w:hAnsi="Times New Roman" w:cs="Times New Roman"/>
          <w:i/>
          <w:iCs/>
          <w:sz w:val="24"/>
          <w:szCs w:val="24"/>
        </w:rPr>
        <w:t>necroteologia</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foram justamente os corpos femininos.</w:t>
      </w:r>
    </w:p>
    <w:p w14:paraId="0B2E225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 partir de leituras teológicas equívocas foi imputada às mulheres, por exemplo, a culpa por todas as mazelas do mundo. A partir de leituras descontextualizadas da carta de Paulo aos Coríntios, em outro exemplo, foi dito às mulheres que seu corpo, sua cabeça, seu cabelo, sua </w:t>
      </w:r>
      <w:r w:rsidRPr="002451B6">
        <w:rPr>
          <w:rFonts w:ascii="Times New Roman" w:eastAsia="Times New Roman" w:hAnsi="Times New Roman" w:cs="Times New Roman"/>
          <w:sz w:val="24"/>
          <w:szCs w:val="24"/>
        </w:rPr>
        <w:lastRenderedPageBreak/>
        <w:t xml:space="preserve">beleza, precisavam ser ocultados dos olhos dos homens. A partir de textos como o de Provérbios, que narra as características de uma mulher virtuosa, mulheres ainda hoje são incentivadas a manterem-se em casamento violentos ao lado de parceiros que as maltratam. A pulsão de morte das </w:t>
      </w:r>
      <w:proofErr w:type="spellStart"/>
      <w:r w:rsidRPr="002451B6">
        <w:rPr>
          <w:rFonts w:ascii="Times New Roman" w:eastAsia="Times New Roman" w:hAnsi="Times New Roman" w:cs="Times New Roman"/>
          <w:sz w:val="24"/>
          <w:szCs w:val="24"/>
        </w:rPr>
        <w:t>necroteologias</w:t>
      </w:r>
      <w:proofErr w:type="spellEnd"/>
      <w:r w:rsidRPr="002451B6">
        <w:rPr>
          <w:rFonts w:ascii="Times New Roman" w:eastAsia="Times New Roman" w:hAnsi="Times New Roman" w:cs="Times New Roman"/>
          <w:sz w:val="24"/>
          <w:szCs w:val="24"/>
        </w:rPr>
        <w:t xml:space="preserve"> segue deixando um rastro de destruição. </w:t>
      </w:r>
    </w:p>
    <w:p w14:paraId="03E8F71F"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Diante desse quadro que elaborei, quero apresentar as Teologias Feministas como caminho de refundação do Cristianismo e da própria ideia de Deus. A disputa de narrativas é algo que parece acompanhar a história do cristianismo. Investigações demonstram que as cisões e dissidências internas sempre estiveram presentes ao longo de sua história. Certamente, não é novidade alguma que </w:t>
      </w:r>
      <w:proofErr w:type="spellStart"/>
      <w:r w:rsidRPr="002451B6">
        <w:rPr>
          <w:rFonts w:ascii="Times New Roman" w:eastAsia="Times New Roman" w:hAnsi="Times New Roman" w:cs="Times New Roman"/>
          <w:sz w:val="24"/>
          <w:szCs w:val="24"/>
        </w:rPr>
        <w:t>existam</w:t>
      </w:r>
      <w:proofErr w:type="spellEnd"/>
      <w:r w:rsidRPr="002451B6">
        <w:rPr>
          <w:rFonts w:ascii="Times New Roman" w:eastAsia="Times New Roman" w:hAnsi="Times New Roman" w:cs="Times New Roman"/>
          <w:sz w:val="24"/>
          <w:szCs w:val="24"/>
        </w:rPr>
        <w:t xml:space="preserve"> diversas interpretações e leituras não apenas do texto Bíblico, mas também das tradições e expectativas morais que o grupo tem para com seus pares. O discurso hegemônico, ainda que forte, não é unívoco, e nas fissuras desse discurso é que as mulheres têm aberto brechas para deixar a luz entrar. </w:t>
      </w:r>
    </w:p>
    <w:p w14:paraId="1B5D0F9E" w14:textId="77777777" w:rsidR="00332C33" w:rsidRPr="002451B6" w:rsidRDefault="00000000">
      <w:pPr>
        <w:pStyle w:val="Ttulo4"/>
        <w:spacing w:line="360" w:lineRule="auto"/>
        <w:jc w:val="both"/>
        <w:rPr>
          <w:rFonts w:ascii="Times New Roman" w:eastAsia="Times New Roman" w:hAnsi="Times New Roman" w:cs="Times New Roman"/>
          <w:b/>
          <w:bCs/>
          <w:color w:val="auto"/>
        </w:rPr>
      </w:pPr>
      <w:bookmarkStart w:id="6" w:name="_3sf12vqt1g0t" w:colFirst="0" w:colLast="0"/>
      <w:bookmarkEnd w:id="6"/>
      <w:r w:rsidRPr="002451B6">
        <w:rPr>
          <w:rFonts w:ascii="Times New Roman" w:eastAsia="Times New Roman" w:hAnsi="Times New Roman" w:cs="Times New Roman"/>
          <w:b/>
          <w:bCs/>
          <w:color w:val="auto"/>
        </w:rPr>
        <w:t>As teologias feministas tracejando um caminho de vida</w:t>
      </w:r>
    </w:p>
    <w:p w14:paraId="5C2CF272"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ab/>
      </w:r>
    </w:p>
    <w:p w14:paraId="435DD54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desenvolvimento das teologias feministas se apoia em alguns pilares, certamente um deles são as elaborações das teorias feministas. Por outro lado, quando pensamos no contexto latino-americano, as teologias feministas têm como uma de suas faces o diálogo com movimentos populares, a leitura popular da Bíblia e a disputa contrapoderes e vozes hegemônicas. Fazer uma cronologia dessa leitura teológica é especialmente difícil, pois seria incompleto precisar quando o movimento começa. Mulheres têm lido e produzido teologia desde tempos primordiais, ainda que suas leituras e palavras tenham sido rechaçadas e ignoradas. Para este ensaio, focarei na trajetória brasileira e demonstrarei como algumas autoras têm trabalhado no desmonte de uma leitura teológica patriarcal e misógina. </w:t>
      </w:r>
    </w:p>
    <w:p w14:paraId="01CC0B25"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Ivone Gebara, teóloga católica brasileira, em seu artigo “A mulher faz teologia” (1986), inicia sua reflexão com uma provocação sobre a relevância ou não de explicitar o gênero do autor de uma determinada leitura teológica. O texto de 1986 tem como principal mote demonstrar como o fazer teológico feminino se difere das construções machistas que dominam o campo. A autora explica como o labor teológico feminista - no contexto latino-americano - parte do chão de onde se pisa, no trato cotidiano com as mulheres. Diferencia-se, portanto, daquela teologia encastelada, conhecimento para poucos esclarecidos, cujo acesso controlado garantia a exclusão daqueles considerados indignos. </w:t>
      </w:r>
    </w:p>
    <w:p w14:paraId="0BD431B5"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ab/>
        <w:t>A capacidade de adicionar leituras e leitoras ao universo teológico é certamente uma das mais importantes contribuições das teologias feministas. Sobre o tema, Mary Hunt resumiu da seguinte forma:</w:t>
      </w:r>
    </w:p>
    <w:p w14:paraId="6683A720" w14:textId="77777777" w:rsidR="00332C33" w:rsidRPr="002451B6" w:rsidRDefault="00000000">
      <w:pPr>
        <w:spacing w:line="240" w:lineRule="auto"/>
        <w:ind w:left="2268"/>
        <w:jc w:val="both"/>
        <w:rPr>
          <w:rFonts w:ascii="Times New Roman" w:eastAsia="Times New Roman" w:hAnsi="Times New Roman" w:cs="Times New Roman"/>
          <w:sz w:val="24"/>
          <w:szCs w:val="24"/>
        </w:rPr>
      </w:pPr>
      <w:r w:rsidRPr="002451B6">
        <w:rPr>
          <w:rFonts w:ascii="Times New Roman" w:eastAsia="Times New Roman" w:hAnsi="Times New Roman" w:cs="Times New Roman"/>
        </w:rPr>
        <w:t xml:space="preserve">A teologia feminista muda tanto a linguagem a respeito do divino quanto a dinâmica de poder da nomeação. Tendo recebido a linguagem que fala de “Pai, Senhor, Rei, Soberano” de uma tradição patriarcal, as teólogas feministas têm trabalhado com Sofia ou Sabedoria, Amigo/a, Fonte e Companheiro/a, entre muitas outras formulações, para designar o divino. Em cada caso, temos tido o cuidado de dizer que nossas concepções são parciais, limitadas e contextuais, e não a única palavra verdadeira, como têm reivindicado as abordagens patriarcais. Mais importante do que quaisquer nomes novos é o empoderamento de muitas novas nomeadoras. As feministas constataram que as dimensões </w:t>
      </w:r>
      <w:proofErr w:type="spellStart"/>
      <w:r w:rsidRPr="002451B6">
        <w:rPr>
          <w:rFonts w:ascii="Times New Roman" w:eastAsia="Times New Roman" w:hAnsi="Times New Roman" w:cs="Times New Roman"/>
        </w:rPr>
        <w:t>teopolíticas</w:t>
      </w:r>
      <w:proofErr w:type="spellEnd"/>
      <w:r w:rsidRPr="002451B6">
        <w:rPr>
          <w:rFonts w:ascii="Times New Roman" w:eastAsia="Times New Roman" w:hAnsi="Times New Roman" w:cs="Times New Roman"/>
        </w:rPr>
        <w:t xml:space="preserve"> do trabalho são tão claras – a maneira como as ideias teológicas moldam o fórum público – que precisamos incluir muitas e variadas vozes na reflexão teológica. Este é um deslocamento na autoridade e no poder teológicos que, em última análise, é mais eficaz do que qualquer nome novo</w:t>
      </w:r>
      <w:r w:rsidRPr="002451B6">
        <w:rPr>
          <w:rFonts w:ascii="Times New Roman" w:eastAsia="Times New Roman" w:hAnsi="Times New Roman" w:cs="Times New Roman"/>
          <w:sz w:val="24"/>
          <w:szCs w:val="24"/>
        </w:rPr>
        <w:t>. (Hunt, 2009)</w:t>
      </w:r>
    </w:p>
    <w:p w14:paraId="63AF5433" w14:textId="77777777" w:rsidR="00332C33" w:rsidRPr="002451B6" w:rsidRDefault="00332C33">
      <w:pPr>
        <w:spacing w:line="240" w:lineRule="auto"/>
        <w:jc w:val="both"/>
        <w:rPr>
          <w:rFonts w:ascii="Times New Roman" w:eastAsia="Times New Roman" w:hAnsi="Times New Roman" w:cs="Times New Roman"/>
          <w:sz w:val="24"/>
          <w:szCs w:val="24"/>
        </w:rPr>
      </w:pPr>
    </w:p>
    <w:p w14:paraId="583E146C"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Analisar e desconstruir a ideia de Deus tem implicações políticas. As teólogas feministas estão propondo trazer não apenas os seus corpos para pensar Deus, mas também os corpos de mulheres periféricas, tantas vezes esquecidas por </w:t>
      </w:r>
      <w:proofErr w:type="spellStart"/>
      <w:r w:rsidRPr="002451B6">
        <w:rPr>
          <w:rFonts w:ascii="Times New Roman" w:eastAsia="Times New Roman" w:hAnsi="Times New Roman" w:cs="Times New Roman"/>
          <w:sz w:val="24"/>
          <w:szCs w:val="24"/>
        </w:rPr>
        <w:t>necroteologias</w:t>
      </w:r>
      <w:proofErr w:type="spellEnd"/>
      <w:r w:rsidRPr="002451B6">
        <w:rPr>
          <w:rFonts w:ascii="Times New Roman" w:eastAsia="Times New Roman" w:hAnsi="Times New Roman" w:cs="Times New Roman"/>
          <w:sz w:val="24"/>
          <w:szCs w:val="24"/>
        </w:rPr>
        <w:t xml:space="preserve"> que as silenciam e ignoram. Esse fazer teológico defende ainda que não se pode falar de Deus sem levar em consideração o corpo sacrificado das mulheres, não se pode fazer teologia sem falar da dor de parir filho, da cólica menstrual, da dor de amamentar, ou da alegria de mãozinhas pequeninas que envolvem os dedos gordos das suas mães enquanto repousam. Não se pode fazer teologia sem se sujar de sangue menstrual, ou das lágrimas das mães cujo leite secou e não têm como alimentar seus filhos, do suor que escorre dos rostos das mulheres do campo que carregam nas costas fardos pesados, da dor de olhares que as objetificam. Não se pode falar de Deus sem falar desses corpos. O grito da teologia feminista é justamente esse, Deus precisa habitar todos esses corpos. </w:t>
      </w:r>
    </w:p>
    <w:p w14:paraId="60A262A7"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teologia feminista chega em cena reivindicando um espaço que nem mesmo os teólogos da libertação tinham dado às mulheres. Em muitos momentos, a própria teologia da libertação não deu conta de contar a histórias de seus corpos, e nem poderia, uma vez que ainda era composta majoritariamente por homens.  </w:t>
      </w:r>
    </w:p>
    <w:p w14:paraId="50AF7E54"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778E384D"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Nesta perspectiva, a fenomenologia do mal no feminino não inclui prioritariamente o discurso dos ‘acusadores’, isto é, daqueles que consideram o corpo das mulheres como lugar privilegiado do mal ou da fragilidade, nem os discursos daqueles e daquelas que tomaram sua defesa. O discurso dessas pessoas é um discurso interpretativo sobre a experiência dos outros. [...] Trata-se de deixar-se envolver e interpelar pelo testemunho das mulheres e entrar na interpretação que elas </w:t>
      </w:r>
      <w:proofErr w:type="gramStart"/>
      <w:r w:rsidRPr="002451B6">
        <w:rPr>
          <w:rFonts w:ascii="Times New Roman" w:eastAsia="Times New Roman" w:hAnsi="Times New Roman" w:cs="Times New Roman"/>
        </w:rPr>
        <w:t>propõem.[</w:t>
      </w:r>
      <w:proofErr w:type="gramEnd"/>
      <w:r w:rsidRPr="002451B6">
        <w:rPr>
          <w:rFonts w:ascii="Times New Roman" w:eastAsia="Times New Roman" w:hAnsi="Times New Roman" w:cs="Times New Roman"/>
        </w:rPr>
        <w:t xml:space="preserve"> ...] Muitas vezes o discurso sobre a igualdade universal dos seres humanos ocultou a desigualdade histórica e cultural na </w:t>
      </w:r>
      <w:r w:rsidRPr="002451B6">
        <w:rPr>
          <w:rFonts w:ascii="Times New Roman" w:eastAsia="Times New Roman" w:hAnsi="Times New Roman" w:cs="Times New Roman"/>
        </w:rPr>
        <w:lastRenderedPageBreak/>
        <w:t xml:space="preserve">experiência vivida. E este ‘oculto’ ou este ‘velado’ certamente atingiu muito mais as mulheres do que os homens, muito mais negros do que os brancos, muito mais os pobres do que os ricos. Há como que um cruzamento de elementos naquilo que chamamos de experiência do mal. (Gebara, 2000, p. 45) </w:t>
      </w:r>
    </w:p>
    <w:p w14:paraId="2612CF5F"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sz w:val="24"/>
          <w:szCs w:val="24"/>
        </w:rPr>
      </w:pPr>
    </w:p>
    <w:p w14:paraId="3AAA2A7B"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Ao construir sua fenomenologia feminista do Mal, Ivone Gebara (2000) chama atenção para os silêncios que habitam as frestas do discurso hegemônico. Entre esses silêncios, podemos mencionar como Deus e a sua trindade foram resumidos a figuras exclusivamente masculinas. Trata-se do que ela chama de ironia androcêntrica, em seu livro </w:t>
      </w:r>
      <w:r w:rsidRPr="002451B6">
        <w:rPr>
          <w:rFonts w:ascii="Times New Roman" w:eastAsia="Times New Roman" w:hAnsi="Times New Roman" w:cs="Times New Roman"/>
          <w:i/>
          <w:iCs/>
          <w:sz w:val="24"/>
          <w:szCs w:val="24"/>
        </w:rPr>
        <w:t>Trindade: palavras sobre coisas novas e velhas</w:t>
      </w:r>
      <w:r w:rsidRPr="002451B6">
        <w:rPr>
          <w:rFonts w:ascii="Times New Roman" w:eastAsia="Times New Roman" w:hAnsi="Times New Roman" w:cs="Times New Roman"/>
          <w:sz w:val="24"/>
          <w:szCs w:val="24"/>
        </w:rPr>
        <w:t xml:space="preserve">.  </w:t>
      </w:r>
    </w:p>
    <w:p w14:paraId="2D2C88A7"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20832B96"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sz w:val="24"/>
          <w:szCs w:val="24"/>
        </w:rPr>
      </w:pPr>
      <w:r w:rsidRPr="002451B6">
        <w:rPr>
          <w:rFonts w:ascii="Times New Roman" w:eastAsia="Times New Roman" w:hAnsi="Times New Roman" w:cs="Times New Roman"/>
        </w:rPr>
        <w:t xml:space="preserve">No dizer da teóloga norte-americana Sandra </w:t>
      </w:r>
      <w:proofErr w:type="spellStart"/>
      <w:r w:rsidRPr="002451B6">
        <w:rPr>
          <w:rFonts w:ascii="Times New Roman" w:eastAsia="Times New Roman" w:hAnsi="Times New Roman" w:cs="Times New Roman"/>
        </w:rPr>
        <w:t>Schneiders</w:t>
      </w:r>
      <w:proofErr w:type="spellEnd"/>
      <w:r w:rsidRPr="002451B6">
        <w:rPr>
          <w:rFonts w:ascii="Times New Roman" w:eastAsia="Times New Roman" w:hAnsi="Times New Roman" w:cs="Times New Roman"/>
        </w:rPr>
        <w:t>, nossa imaginação religiosa necessita de uma verdadeira terapia, pois reduziu a trindade ‘a um homem velho, um homem jovem e um pássaro’. [...] Se as palavras Pai, Filho e Espírito Santo são símbolos, estes precisam ser decodificados, precisam ser compreendidos sempre de novo para que sua extraordinária riqueza apareça</w:t>
      </w:r>
      <w:r w:rsidRPr="002451B6">
        <w:rPr>
          <w:rFonts w:ascii="Times New Roman" w:eastAsia="Times New Roman" w:hAnsi="Times New Roman" w:cs="Times New Roman"/>
          <w:sz w:val="24"/>
          <w:szCs w:val="24"/>
        </w:rPr>
        <w:t xml:space="preserve">. (Gebara, 1994, p. 19)  </w:t>
      </w:r>
    </w:p>
    <w:p w14:paraId="632BE6D1"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1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p>
    <w:p w14:paraId="2642CB26"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Ivone Gebara é - ainda hoje - um dos nomes mais importantes da teologia feminista latino-americana. Sua primeira obra, em colaboração com Maria Clara Bingemer, foi publicada em 1988, unindo-se a uma linha de publicações feministas que ganharam força na década anterior. Beatriz </w:t>
      </w:r>
      <w:proofErr w:type="spellStart"/>
      <w:r w:rsidRPr="002451B6">
        <w:rPr>
          <w:rFonts w:ascii="Times New Roman" w:eastAsia="Times New Roman" w:hAnsi="Times New Roman" w:cs="Times New Roman"/>
          <w:sz w:val="24"/>
          <w:szCs w:val="24"/>
        </w:rPr>
        <w:t>Melano</w:t>
      </w:r>
      <w:proofErr w:type="spellEnd"/>
      <w:r w:rsidRPr="002451B6">
        <w:rPr>
          <w:rFonts w:ascii="Times New Roman" w:eastAsia="Times New Roman" w:hAnsi="Times New Roman" w:cs="Times New Roman"/>
          <w:sz w:val="24"/>
          <w:szCs w:val="24"/>
        </w:rPr>
        <w:t xml:space="preserve">, por exemplo, publicou em 1973 </w:t>
      </w:r>
      <w:r w:rsidRPr="002451B6">
        <w:rPr>
          <w:rFonts w:ascii="Times New Roman" w:eastAsia="Times New Roman" w:hAnsi="Times New Roman" w:cs="Times New Roman"/>
          <w:i/>
          <w:iCs/>
          <w:sz w:val="24"/>
          <w:szCs w:val="24"/>
        </w:rPr>
        <w:t xml:space="preserve">La </w:t>
      </w:r>
      <w:proofErr w:type="spellStart"/>
      <w:r w:rsidRPr="002451B6">
        <w:rPr>
          <w:rFonts w:ascii="Times New Roman" w:eastAsia="Times New Roman" w:hAnsi="Times New Roman" w:cs="Times New Roman"/>
          <w:i/>
          <w:iCs/>
          <w:sz w:val="24"/>
          <w:szCs w:val="24"/>
        </w:rPr>
        <w:t>mujer</w:t>
      </w:r>
      <w:proofErr w:type="spellEnd"/>
      <w:r w:rsidRPr="002451B6">
        <w:rPr>
          <w:rFonts w:ascii="Times New Roman" w:eastAsia="Times New Roman" w:hAnsi="Times New Roman" w:cs="Times New Roman"/>
          <w:i/>
          <w:iCs/>
          <w:sz w:val="24"/>
          <w:szCs w:val="24"/>
        </w:rPr>
        <w:t xml:space="preserve"> y </w:t>
      </w:r>
      <w:proofErr w:type="spellStart"/>
      <w:r w:rsidRPr="002451B6">
        <w:rPr>
          <w:rFonts w:ascii="Times New Roman" w:eastAsia="Times New Roman" w:hAnsi="Times New Roman" w:cs="Times New Roman"/>
          <w:i/>
          <w:iCs/>
          <w:sz w:val="24"/>
          <w:szCs w:val="24"/>
        </w:rPr>
        <w:t>la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Iglesia</w:t>
      </w:r>
      <w:proofErr w:type="spellEnd"/>
      <w:r w:rsidRPr="002451B6">
        <w:rPr>
          <w:rFonts w:ascii="Times New Roman" w:eastAsia="Times New Roman" w:hAnsi="Times New Roman" w:cs="Times New Roman"/>
          <w:sz w:val="24"/>
          <w:szCs w:val="24"/>
        </w:rPr>
        <w:t xml:space="preserve">; a norte americana Rosemary </w:t>
      </w:r>
      <w:proofErr w:type="spellStart"/>
      <w:r w:rsidRPr="002451B6">
        <w:rPr>
          <w:rFonts w:ascii="Times New Roman" w:eastAsia="Times New Roman" w:hAnsi="Times New Roman" w:cs="Times New Roman"/>
          <w:sz w:val="24"/>
          <w:szCs w:val="24"/>
        </w:rPr>
        <w:t>Ruether</w:t>
      </w:r>
      <w:proofErr w:type="spellEnd"/>
      <w:r w:rsidRPr="002451B6">
        <w:rPr>
          <w:rFonts w:ascii="Times New Roman" w:eastAsia="Times New Roman" w:hAnsi="Times New Roman" w:cs="Times New Roman"/>
          <w:sz w:val="24"/>
          <w:szCs w:val="24"/>
        </w:rPr>
        <w:t xml:space="preserve"> publicou uma década depois: </w:t>
      </w:r>
      <w:proofErr w:type="spellStart"/>
      <w:r w:rsidRPr="002451B6">
        <w:rPr>
          <w:rFonts w:ascii="Times New Roman" w:eastAsia="Times New Roman" w:hAnsi="Times New Roman" w:cs="Times New Roman"/>
          <w:i/>
          <w:iCs/>
          <w:sz w:val="24"/>
          <w:szCs w:val="24"/>
        </w:rPr>
        <w:t>Sexism</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and</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God-talk</w:t>
      </w:r>
      <w:proofErr w:type="spellEnd"/>
      <w:r w:rsidRPr="002451B6">
        <w:rPr>
          <w:rFonts w:ascii="Times New Roman" w:eastAsia="Times New Roman" w:hAnsi="Times New Roman" w:cs="Times New Roman"/>
          <w:sz w:val="24"/>
          <w:szCs w:val="24"/>
        </w:rPr>
        <w:t xml:space="preserve">; (1985) mesmo ano em que Elizabeth </w:t>
      </w:r>
      <w:proofErr w:type="spellStart"/>
      <w:r w:rsidRPr="002451B6">
        <w:rPr>
          <w:rFonts w:ascii="Times New Roman" w:eastAsia="Times New Roman" w:hAnsi="Times New Roman" w:cs="Times New Roman"/>
          <w:sz w:val="24"/>
          <w:szCs w:val="24"/>
        </w:rPr>
        <w:t>Schussler</w:t>
      </w:r>
      <w:proofErr w:type="spellEnd"/>
      <w:r w:rsidRPr="002451B6">
        <w:rPr>
          <w:rFonts w:ascii="Times New Roman" w:eastAsia="Times New Roman" w:hAnsi="Times New Roman" w:cs="Times New Roman"/>
          <w:sz w:val="24"/>
          <w:szCs w:val="24"/>
        </w:rPr>
        <w:t xml:space="preserve"> Fiorenza lançou </w:t>
      </w:r>
      <w:r w:rsidRPr="002451B6">
        <w:rPr>
          <w:rFonts w:ascii="Times New Roman" w:eastAsia="Times New Roman" w:hAnsi="Times New Roman" w:cs="Times New Roman"/>
          <w:i/>
          <w:iCs/>
          <w:sz w:val="24"/>
          <w:szCs w:val="24"/>
        </w:rPr>
        <w:t xml:space="preserve">In </w:t>
      </w:r>
      <w:proofErr w:type="spellStart"/>
      <w:r w:rsidRPr="002451B6">
        <w:rPr>
          <w:rFonts w:ascii="Times New Roman" w:eastAsia="Times New Roman" w:hAnsi="Times New Roman" w:cs="Times New Roman"/>
          <w:i/>
          <w:iCs/>
          <w:sz w:val="24"/>
          <w:szCs w:val="24"/>
        </w:rPr>
        <w:t>memory</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of</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her</w:t>
      </w:r>
      <w:proofErr w:type="spellEnd"/>
      <w:r w:rsidRPr="002451B6">
        <w:rPr>
          <w:rFonts w:ascii="Times New Roman" w:eastAsia="Times New Roman" w:hAnsi="Times New Roman" w:cs="Times New Roman"/>
          <w:sz w:val="24"/>
          <w:szCs w:val="24"/>
        </w:rPr>
        <w:t xml:space="preserve"> (1985); a norte-americana citada por Gebara, Sandra </w:t>
      </w:r>
      <w:proofErr w:type="spellStart"/>
      <w:r w:rsidRPr="002451B6">
        <w:rPr>
          <w:rFonts w:ascii="Times New Roman" w:eastAsia="Times New Roman" w:hAnsi="Times New Roman" w:cs="Times New Roman"/>
          <w:sz w:val="24"/>
          <w:szCs w:val="24"/>
        </w:rPr>
        <w:t>Schneiders</w:t>
      </w:r>
      <w:proofErr w:type="spellEnd"/>
      <w:r w:rsidRPr="002451B6">
        <w:rPr>
          <w:rFonts w:ascii="Times New Roman" w:eastAsia="Times New Roman" w:hAnsi="Times New Roman" w:cs="Times New Roman"/>
          <w:sz w:val="24"/>
          <w:szCs w:val="24"/>
        </w:rPr>
        <w:t xml:space="preserve">, escreveu em 1986: </w:t>
      </w:r>
      <w:proofErr w:type="spellStart"/>
      <w:r w:rsidRPr="002451B6">
        <w:rPr>
          <w:rFonts w:ascii="Times New Roman" w:eastAsia="Times New Roman" w:hAnsi="Times New Roman" w:cs="Times New Roman"/>
          <w:i/>
          <w:iCs/>
          <w:sz w:val="24"/>
          <w:szCs w:val="24"/>
        </w:rPr>
        <w:t>Women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and</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the</w:t>
      </w:r>
      <w:proofErr w:type="spellEnd"/>
      <w:r w:rsidRPr="002451B6">
        <w:rPr>
          <w:rFonts w:ascii="Times New Roman" w:eastAsia="Times New Roman" w:hAnsi="Times New Roman" w:cs="Times New Roman"/>
          <w:i/>
          <w:iCs/>
          <w:sz w:val="24"/>
          <w:szCs w:val="24"/>
        </w:rPr>
        <w:t xml:space="preserve"> word: The fender </w:t>
      </w:r>
      <w:proofErr w:type="spellStart"/>
      <w:r w:rsidRPr="002451B6">
        <w:rPr>
          <w:rFonts w:ascii="Times New Roman" w:eastAsia="Times New Roman" w:hAnsi="Times New Roman" w:cs="Times New Roman"/>
          <w:i/>
          <w:iCs/>
          <w:sz w:val="24"/>
          <w:szCs w:val="24"/>
        </w:rPr>
        <w:t>of</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God</w:t>
      </w:r>
      <w:proofErr w:type="spellEnd"/>
      <w:r w:rsidRPr="002451B6">
        <w:rPr>
          <w:rFonts w:ascii="Times New Roman" w:eastAsia="Times New Roman" w:hAnsi="Times New Roman" w:cs="Times New Roman"/>
          <w:i/>
          <w:iCs/>
          <w:sz w:val="24"/>
          <w:szCs w:val="24"/>
        </w:rPr>
        <w:t xml:space="preserve"> in </w:t>
      </w:r>
      <w:proofErr w:type="spellStart"/>
      <w:r w:rsidRPr="002451B6">
        <w:rPr>
          <w:rFonts w:ascii="Times New Roman" w:eastAsia="Times New Roman" w:hAnsi="Times New Roman" w:cs="Times New Roman"/>
          <w:i/>
          <w:iCs/>
          <w:sz w:val="24"/>
          <w:szCs w:val="24"/>
        </w:rPr>
        <w:t>the</w:t>
      </w:r>
      <w:proofErr w:type="spellEnd"/>
      <w:r w:rsidRPr="002451B6">
        <w:rPr>
          <w:rFonts w:ascii="Times New Roman" w:eastAsia="Times New Roman" w:hAnsi="Times New Roman" w:cs="Times New Roman"/>
          <w:i/>
          <w:iCs/>
          <w:sz w:val="24"/>
          <w:szCs w:val="24"/>
        </w:rPr>
        <w:t xml:space="preserve"> New </w:t>
      </w:r>
      <w:proofErr w:type="spellStart"/>
      <w:r w:rsidRPr="002451B6">
        <w:rPr>
          <w:rFonts w:ascii="Times New Roman" w:eastAsia="Times New Roman" w:hAnsi="Times New Roman" w:cs="Times New Roman"/>
          <w:i/>
          <w:iCs/>
          <w:sz w:val="24"/>
          <w:szCs w:val="24"/>
        </w:rPr>
        <w:t>Testament</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and</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the</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spirituality</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of</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women</w:t>
      </w:r>
      <w:proofErr w:type="spellEnd"/>
      <w:r w:rsidRPr="002451B6">
        <w:rPr>
          <w:rFonts w:ascii="Times New Roman" w:eastAsia="Times New Roman" w:hAnsi="Times New Roman" w:cs="Times New Roman"/>
          <w:sz w:val="24"/>
          <w:szCs w:val="24"/>
        </w:rPr>
        <w:t xml:space="preserve">.  </w:t>
      </w:r>
    </w:p>
    <w:p w14:paraId="6B7847DE"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universo protestante latino-americano, Elsa </w:t>
      </w:r>
      <w:proofErr w:type="spellStart"/>
      <w:r w:rsidRPr="002451B6">
        <w:rPr>
          <w:rFonts w:ascii="Times New Roman" w:eastAsia="Times New Roman" w:hAnsi="Times New Roman" w:cs="Times New Roman"/>
          <w:sz w:val="24"/>
          <w:szCs w:val="24"/>
        </w:rPr>
        <w:t>Tamez</w:t>
      </w:r>
      <w:proofErr w:type="spellEnd"/>
      <w:r w:rsidRPr="002451B6">
        <w:rPr>
          <w:rFonts w:ascii="Times New Roman" w:eastAsia="Times New Roman" w:hAnsi="Times New Roman" w:cs="Times New Roman"/>
          <w:sz w:val="24"/>
          <w:szCs w:val="24"/>
        </w:rPr>
        <w:t xml:space="preserve">, que já era reconhecida pelo seu trabalho em “Teologia da Libertação” na obra </w:t>
      </w:r>
      <w:r w:rsidRPr="002451B6">
        <w:rPr>
          <w:rFonts w:ascii="Times New Roman" w:eastAsia="Times New Roman" w:hAnsi="Times New Roman" w:cs="Times New Roman"/>
          <w:i/>
          <w:iCs/>
          <w:sz w:val="24"/>
          <w:szCs w:val="24"/>
        </w:rPr>
        <w:t>A Bíblia dos oprimidos</w:t>
      </w:r>
      <w:r w:rsidRPr="002451B6">
        <w:rPr>
          <w:rFonts w:ascii="Times New Roman" w:eastAsia="Times New Roman" w:hAnsi="Times New Roman" w:cs="Times New Roman"/>
          <w:sz w:val="24"/>
          <w:szCs w:val="24"/>
        </w:rPr>
        <w:t xml:space="preserve"> - publicada em 1979 -, publica na década de 1980 dois livros pensando o fazer teológico feminino: um primeiro (1989), no qual entrevista seus colegas homens teólogos da libertação e convida três mulheres para comentar as respostas; e um segundo (1990), no qual entrevista as teólogas feministas, inclusive Nancy Cardoso, outro nome importante para o feminismo latino-americano. A produção de Nancy Cardoso tem início logo após sua formação em teologia, em 1987, e na década de 1990 já há artigos como “Ruptura e Continuidade - o lugar da mulher no Salmo 128”. </w:t>
      </w:r>
    </w:p>
    <w:p w14:paraId="006A1267"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Nancy Cardoso trabalhou e ainda colabora com a Comissão Pastoral da Terra como assessora de formação, e sua aproximação com a leitura popular da Bíblia é também elemento importante quando pensamos que a teologia feminista, em muitos aspectos, é fruto de uma </w:t>
      </w:r>
      <w:r w:rsidRPr="002451B6">
        <w:rPr>
          <w:rFonts w:ascii="Times New Roman" w:eastAsia="Times New Roman" w:hAnsi="Times New Roman" w:cs="Times New Roman"/>
          <w:sz w:val="24"/>
          <w:szCs w:val="24"/>
        </w:rPr>
        <w:lastRenderedPageBreak/>
        <w:t xml:space="preserve">práxis e não apenas de uma reflexão acadêmica. Nesse sentido, ela adentra portas de uma teologia contextual que a Teologia da Libertação indicou anos antes, mas que falhou em abarcar também as opressões femininas.  </w:t>
      </w:r>
    </w:p>
    <w:p w14:paraId="0050AB8D"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p>
    <w:p w14:paraId="31D1E132"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sz w:val="24"/>
          <w:szCs w:val="24"/>
        </w:rPr>
      </w:pPr>
      <w:proofErr w:type="spellStart"/>
      <w:r w:rsidRPr="002451B6">
        <w:rPr>
          <w:rFonts w:ascii="Times New Roman" w:eastAsia="Times New Roman" w:hAnsi="Times New Roman" w:cs="Times New Roman"/>
        </w:rPr>
        <w:t>En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el</w:t>
      </w:r>
      <w:proofErr w:type="spellEnd"/>
      <w:r w:rsidRPr="002451B6">
        <w:rPr>
          <w:rFonts w:ascii="Times New Roman" w:eastAsia="Times New Roman" w:hAnsi="Times New Roman" w:cs="Times New Roman"/>
        </w:rPr>
        <w:t xml:space="preserve"> centro de esta perspectiva teológica se </w:t>
      </w:r>
      <w:proofErr w:type="spellStart"/>
      <w:r w:rsidRPr="002451B6">
        <w:rPr>
          <w:rFonts w:ascii="Times New Roman" w:eastAsia="Times New Roman" w:hAnsi="Times New Roman" w:cs="Times New Roman"/>
        </w:rPr>
        <w:t>encuentra</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la</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preocupación</w:t>
      </w:r>
      <w:proofErr w:type="spellEnd"/>
      <w:r w:rsidRPr="002451B6">
        <w:rPr>
          <w:rFonts w:ascii="Times New Roman" w:eastAsia="Times New Roman" w:hAnsi="Times New Roman" w:cs="Times New Roman"/>
        </w:rPr>
        <w:t xml:space="preserve"> por </w:t>
      </w:r>
      <w:proofErr w:type="spellStart"/>
      <w:r w:rsidRPr="002451B6">
        <w:rPr>
          <w:rFonts w:ascii="Times New Roman" w:eastAsia="Times New Roman" w:hAnsi="Times New Roman" w:cs="Times New Roman"/>
        </w:rPr>
        <w:t>establecer</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la</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religión</w:t>
      </w:r>
      <w:proofErr w:type="spellEnd"/>
      <w:r w:rsidRPr="002451B6">
        <w:rPr>
          <w:rFonts w:ascii="Times New Roman" w:eastAsia="Times New Roman" w:hAnsi="Times New Roman" w:cs="Times New Roman"/>
        </w:rPr>
        <w:t xml:space="preserve"> que existe entre </w:t>
      </w:r>
      <w:proofErr w:type="spellStart"/>
      <w:r w:rsidRPr="002451B6">
        <w:rPr>
          <w:rFonts w:ascii="Times New Roman" w:eastAsia="Times New Roman" w:hAnsi="Times New Roman" w:cs="Times New Roman"/>
        </w:rPr>
        <w:t>la</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revelación</w:t>
      </w:r>
      <w:proofErr w:type="spellEnd"/>
      <w:r w:rsidRPr="002451B6">
        <w:rPr>
          <w:rFonts w:ascii="Times New Roman" w:eastAsia="Times New Roman" w:hAnsi="Times New Roman" w:cs="Times New Roman"/>
        </w:rPr>
        <w:t xml:space="preserve"> de Dios y </w:t>
      </w:r>
      <w:proofErr w:type="spellStart"/>
      <w:r w:rsidRPr="002451B6">
        <w:rPr>
          <w:rFonts w:ascii="Times New Roman" w:eastAsia="Times New Roman" w:hAnsi="Times New Roman" w:cs="Times New Roman"/>
        </w:rPr>
        <w:t>la</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realidad</w:t>
      </w:r>
      <w:proofErr w:type="spellEnd"/>
      <w:r w:rsidRPr="002451B6">
        <w:rPr>
          <w:rFonts w:ascii="Times New Roman" w:eastAsia="Times New Roman" w:hAnsi="Times New Roman" w:cs="Times New Roman"/>
        </w:rPr>
        <w:t xml:space="preserve"> vivida por </w:t>
      </w:r>
      <w:proofErr w:type="spellStart"/>
      <w:r w:rsidRPr="002451B6">
        <w:rPr>
          <w:rFonts w:ascii="Times New Roman" w:eastAsia="Times New Roman" w:hAnsi="Times New Roman" w:cs="Times New Roman"/>
        </w:rPr>
        <w:t>las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mujeres</w:t>
      </w:r>
      <w:proofErr w:type="spellEnd"/>
      <w:r w:rsidRPr="002451B6">
        <w:rPr>
          <w:rFonts w:ascii="Times New Roman" w:eastAsia="Times New Roman" w:hAnsi="Times New Roman" w:cs="Times New Roman"/>
        </w:rPr>
        <w:t xml:space="preserve">. La </w:t>
      </w:r>
      <w:proofErr w:type="spellStart"/>
      <w:r w:rsidRPr="002451B6">
        <w:rPr>
          <w:rFonts w:ascii="Times New Roman" w:eastAsia="Times New Roman" w:hAnsi="Times New Roman" w:cs="Times New Roman"/>
        </w:rPr>
        <w:t>teología</w:t>
      </w:r>
      <w:proofErr w:type="spellEnd"/>
      <w:r w:rsidRPr="002451B6">
        <w:rPr>
          <w:rFonts w:ascii="Times New Roman" w:eastAsia="Times New Roman" w:hAnsi="Times New Roman" w:cs="Times New Roman"/>
        </w:rPr>
        <w:t xml:space="preserve"> feminista </w:t>
      </w:r>
      <w:proofErr w:type="spellStart"/>
      <w:r w:rsidRPr="002451B6">
        <w:rPr>
          <w:rFonts w:ascii="Times New Roman" w:eastAsia="Times New Roman" w:hAnsi="Times New Roman" w:cs="Times New Roman"/>
        </w:rPr>
        <w:t>latinoamericana</w:t>
      </w:r>
      <w:proofErr w:type="spellEnd"/>
      <w:r w:rsidRPr="002451B6">
        <w:rPr>
          <w:rFonts w:ascii="Times New Roman" w:eastAsia="Times New Roman" w:hAnsi="Times New Roman" w:cs="Times New Roman"/>
        </w:rPr>
        <w:t xml:space="preserve"> trata de explicar </w:t>
      </w:r>
      <w:proofErr w:type="spellStart"/>
      <w:r w:rsidRPr="002451B6">
        <w:rPr>
          <w:rFonts w:ascii="Times New Roman" w:eastAsia="Times New Roman" w:hAnsi="Times New Roman" w:cs="Times New Roman"/>
        </w:rPr>
        <w:t>la</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conexión</w:t>
      </w:r>
      <w:proofErr w:type="spellEnd"/>
      <w:r w:rsidRPr="002451B6">
        <w:rPr>
          <w:rFonts w:ascii="Times New Roman" w:eastAsia="Times New Roman" w:hAnsi="Times New Roman" w:cs="Times New Roman"/>
        </w:rPr>
        <w:t xml:space="preserve"> entre </w:t>
      </w:r>
      <w:proofErr w:type="spellStart"/>
      <w:r w:rsidRPr="002451B6">
        <w:rPr>
          <w:rFonts w:ascii="Times New Roman" w:eastAsia="Times New Roman" w:hAnsi="Times New Roman" w:cs="Times New Roman"/>
        </w:rPr>
        <w:t>el</w:t>
      </w:r>
      <w:proofErr w:type="spellEnd"/>
      <w:r w:rsidRPr="002451B6">
        <w:rPr>
          <w:rFonts w:ascii="Times New Roman" w:eastAsia="Times New Roman" w:hAnsi="Times New Roman" w:cs="Times New Roman"/>
        </w:rPr>
        <w:t xml:space="preserve"> mundo de Dios caracterizado por </w:t>
      </w:r>
      <w:proofErr w:type="spellStart"/>
      <w:r w:rsidRPr="002451B6">
        <w:rPr>
          <w:rFonts w:ascii="Times New Roman" w:eastAsia="Times New Roman" w:hAnsi="Times New Roman" w:cs="Times New Roman"/>
        </w:rPr>
        <w:t>la</w:t>
      </w:r>
      <w:proofErr w:type="spellEnd"/>
      <w:r w:rsidRPr="002451B6">
        <w:rPr>
          <w:rFonts w:ascii="Times New Roman" w:eastAsia="Times New Roman" w:hAnsi="Times New Roman" w:cs="Times New Roman"/>
        </w:rPr>
        <w:t xml:space="preserve"> </w:t>
      </w:r>
      <w:proofErr w:type="gramStart"/>
      <w:r w:rsidRPr="002451B6">
        <w:rPr>
          <w:rFonts w:ascii="Times New Roman" w:eastAsia="Times New Roman" w:hAnsi="Times New Roman" w:cs="Times New Roman"/>
        </w:rPr>
        <w:t>abundancia</w:t>
      </w:r>
      <w:proofErr w:type="gramEnd"/>
      <w:r w:rsidRPr="002451B6">
        <w:rPr>
          <w:rFonts w:ascii="Times New Roman" w:eastAsia="Times New Roman" w:hAnsi="Times New Roman" w:cs="Times New Roman"/>
        </w:rPr>
        <w:t xml:space="preserve"> de </w:t>
      </w:r>
      <w:proofErr w:type="spellStart"/>
      <w:r w:rsidRPr="002451B6">
        <w:rPr>
          <w:rFonts w:ascii="Times New Roman" w:eastAsia="Times New Roman" w:hAnsi="Times New Roman" w:cs="Times New Roman"/>
        </w:rPr>
        <w:t>salvación</w:t>
      </w:r>
      <w:proofErr w:type="spellEnd"/>
      <w:r w:rsidRPr="002451B6">
        <w:rPr>
          <w:rFonts w:ascii="Times New Roman" w:eastAsia="Times New Roman" w:hAnsi="Times New Roman" w:cs="Times New Roman"/>
        </w:rPr>
        <w:t xml:space="preserve">, de </w:t>
      </w:r>
      <w:proofErr w:type="spellStart"/>
      <w:r w:rsidRPr="002451B6">
        <w:rPr>
          <w:rFonts w:ascii="Times New Roman" w:eastAsia="Times New Roman" w:hAnsi="Times New Roman" w:cs="Times New Roman"/>
        </w:rPr>
        <w:t>gracia</w:t>
      </w:r>
      <w:proofErr w:type="spellEnd"/>
      <w:r w:rsidRPr="002451B6">
        <w:rPr>
          <w:rFonts w:ascii="Times New Roman" w:eastAsia="Times New Roman" w:hAnsi="Times New Roman" w:cs="Times New Roman"/>
        </w:rPr>
        <w:t xml:space="preserve"> e </w:t>
      </w:r>
      <w:proofErr w:type="spellStart"/>
      <w:r w:rsidRPr="002451B6">
        <w:rPr>
          <w:rFonts w:ascii="Times New Roman" w:eastAsia="Times New Roman" w:hAnsi="Times New Roman" w:cs="Times New Roman"/>
        </w:rPr>
        <w:t>integridad</w:t>
      </w:r>
      <w:proofErr w:type="spellEnd"/>
      <w:r w:rsidRPr="002451B6">
        <w:rPr>
          <w:rFonts w:ascii="Times New Roman" w:eastAsia="Times New Roman" w:hAnsi="Times New Roman" w:cs="Times New Roman"/>
        </w:rPr>
        <w:t xml:space="preserve"> de vida, y </w:t>
      </w:r>
      <w:proofErr w:type="spellStart"/>
      <w:r w:rsidRPr="002451B6">
        <w:rPr>
          <w:rFonts w:ascii="Times New Roman" w:eastAsia="Times New Roman" w:hAnsi="Times New Roman" w:cs="Times New Roman"/>
        </w:rPr>
        <w:t>el</w:t>
      </w:r>
      <w:proofErr w:type="spellEnd"/>
      <w:r w:rsidRPr="002451B6">
        <w:rPr>
          <w:rFonts w:ascii="Times New Roman" w:eastAsia="Times New Roman" w:hAnsi="Times New Roman" w:cs="Times New Roman"/>
        </w:rPr>
        <w:t xml:space="preserve"> mundo de </w:t>
      </w:r>
      <w:proofErr w:type="spellStart"/>
      <w:r w:rsidRPr="002451B6">
        <w:rPr>
          <w:rFonts w:ascii="Times New Roman" w:eastAsia="Times New Roman" w:hAnsi="Times New Roman" w:cs="Times New Roman"/>
        </w:rPr>
        <w:t>las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mujeres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interesadas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en</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la</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propia</w:t>
      </w:r>
      <w:proofErr w:type="spellEnd"/>
      <w:r w:rsidRPr="002451B6">
        <w:rPr>
          <w:rFonts w:ascii="Times New Roman" w:eastAsia="Times New Roman" w:hAnsi="Times New Roman" w:cs="Times New Roman"/>
        </w:rPr>
        <w:t xml:space="preserve"> </w:t>
      </w:r>
      <w:proofErr w:type="gramStart"/>
      <w:r w:rsidRPr="002451B6">
        <w:rPr>
          <w:rFonts w:ascii="Times New Roman" w:eastAsia="Times New Roman" w:hAnsi="Times New Roman" w:cs="Times New Roman"/>
        </w:rPr>
        <w:t>vivencia</w:t>
      </w:r>
      <w:proofErr w:type="gramEnd"/>
      <w:r w:rsidRPr="002451B6">
        <w:rPr>
          <w:rFonts w:ascii="Times New Roman" w:eastAsia="Times New Roman" w:hAnsi="Times New Roman" w:cs="Times New Roman"/>
        </w:rPr>
        <w:t xml:space="preserve"> integral </w:t>
      </w:r>
      <w:proofErr w:type="spellStart"/>
      <w:r w:rsidRPr="002451B6">
        <w:rPr>
          <w:rFonts w:ascii="Times New Roman" w:eastAsia="Times New Roman" w:hAnsi="Times New Roman" w:cs="Times New Roman"/>
        </w:rPr>
        <w:t>del</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mensaje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del</w:t>
      </w:r>
      <w:proofErr w:type="spellEnd"/>
      <w:r w:rsidRPr="002451B6">
        <w:rPr>
          <w:rFonts w:ascii="Times New Roman" w:eastAsia="Times New Roman" w:hAnsi="Times New Roman" w:cs="Times New Roman"/>
        </w:rPr>
        <w:t xml:space="preserve"> </w:t>
      </w:r>
      <w:proofErr w:type="spellStart"/>
      <w:proofErr w:type="gramStart"/>
      <w:r w:rsidRPr="002451B6">
        <w:rPr>
          <w:rFonts w:ascii="Times New Roman" w:eastAsia="Times New Roman" w:hAnsi="Times New Roman" w:cs="Times New Roman"/>
        </w:rPr>
        <w:t>Evangelio</w:t>
      </w:r>
      <w:proofErr w:type="spellEnd"/>
      <w:r w:rsidRPr="002451B6">
        <w:rPr>
          <w:rFonts w:ascii="Times New Roman" w:eastAsia="Times New Roman" w:hAnsi="Times New Roman" w:cs="Times New Roman"/>
          <w:sz w:val="24"/>
          <w:szCs w:val="24"/>
        </w:rPr>
        <w:t xml:space="preserve">  (</w:t>
      </w:r>
      <w:proofErr w:type="spellStart"/>
      <w:proofErr w:type="gramEnd"/>
      <w:r w:rsidRPr="002451B6">
        <w:rPr>
          <w:rFonts w:ascii="Times New Roman" w:eastAsia="Times New Roman" w:hAnsi="Times New Roman" w:cs="Times New Roman"/>
          <w:sz w:val="24"/>
          <w:szCs w:val="24"/>
        </w:rPr>
        <w:t>Tamez</w:t>
      </w:r>
      <w:proofErr w:type="spellEnd"/>
      <w:r w:rsidRPr="002451B6">
        <w:rPr>
          <w:rFonts w:ascii="Times New Roman" w:eastAsia="Times New Roman" w:hAnsi="Times New Roman" w:cs="Times New Roman"/>
          <w:sz w:val="24"/>
          <w:szCs w:val="24"/>
        </w:rPr>
        <w:t>; Aquino, 1998, p. 15).</w:t>
      </w:r>
    </w:p>
    <w:p w14:paraId="5BB8F724"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both"/>
        <w:rPr>
          <w:rFonts w:ascii="Times New Roman" w:eastAsia="Times New Roman" w:hAnsi="Times New Roman" w:cs="Times New Roman"/>
          <w:sz w:val="24"/>
          <w:szCs w:val="24"/>
        </w:rPr>
      </w:pPr>
    </w:p>
    <w:p w14:paraId="61EE0874"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Ana Ester Pádua Freire (2015), partindo de Ivone Gebara, resumiu da seguinte maneira o fazer teológico feminista: </w:t>
      </w:r>
    </w:p>
    <w:p w14:paraId="03C724F5"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Para Gebara (2000), se trata, primeiramente, de dar palavra às situações em que “os gritos das mulheres para Deus são mais fortes e mais frequentes” (Gebara, 2000, p. 203). Por isso, o método de Gebara passa pela escolha das mulheres, buscando ouvir as que foram silenciadas pela pobreza, pela discriminação e pelas contingências da vida. Depois de dar a palavra a essas mulheres, é preciso tentar esboçar uma interpretação, sabendo, porém, que esta interpretação é uma dentre uma pluralidade de possibilidades. Assim, o trabalho fenomenológico proposto por Gebara não é um discurso sobre Deus, mas sobre a experiência das mulheres quando elas dizem ‘Deus’ (Freire, 2015, p. 74). </w:t>
      </w:r>
    </w:p>
    <w:p w14:paraId="09E1842E"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jc w:val="both"/>
        <w:rPr>
          <w:rFonts w:ascii="Times New Roman" w:eastAsia="Times New Roman" w:hAnsi="Times New Roman" w:cs="Times New Roman"/>
          <w:sz w:val="24"/>
          <w:szCs w:val="24"/>
        </w:rPr>
      </w:pPr>
    </w:p>
    <w:p w14:paraId="2B987C87"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Pensar a experiência das mulheres quando elas pensam sobre Deus altera a forma como se constrói toda a reflexão teológica. Entretanto, cabe mencionar que também a Teologia Feminista, sobretudo a norte-americana, falhou em dar conta de abarcar os corpos negros, tanto quanto a própria Teologia Negra falhara anteriormente - essa é uma das principais críticas de Delores S. Williams ao trabalho de James Cone. Williams produziu sua obra </w:t>
      </w:r>
      <w:r w:rsidRPr="002451B6">
        <w:rPr>
          <w:rFonts w:ascii="Times New Roman" w:eastAsia="Times New Roman" w:hAnsi="Times New Roman" w:cs="Times New Roman"/>
          <w:i/>
          <w:iCs/>
          <w:sz w:val="24"/>
          <w:szCs w:val="24"/>
        </w:rPr>
        <w:t xml:space="preserve">Sisters in </w:t>
      </w:r>
      <w:proofErr w:type="spellStart"/>
      <w:r w:rsidRPr="002451B6">
        <w:rPr>
          <w:rFonts w:ascii="Times New Roman" w:eastAsia="Times New Roman" w:hAnsi="Times New Roman" w:cs="Times New Roman"/>
          <w:i/>
          <w:iCs/>
          <w:sz w:val="24"/>
          <w:szCs w:val="24"/>
        </w:rPr>
        <w:t>the</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wilderness</w:t>
      </w:r>
      <w:proofErr w:type="spellEnd"/>
      <w:r w:rsidRPr="002451B6">
        <w:rPr>
          <w:rFonts w:ascii="Times New Roman" w:eastAsia="Times New Roman" w:hAnsi="Times New Roman" w:cs="Times New Roman"/>
          <w:sz w:val="24"/>
          <w:szCs w:val="24"/>
        </w:rPr>
        <w:t xml:space="preserve"> em 1995, que é uma das obras inaugurais de uma teologia mulherista.  </w:t>
      </w:r>
    </w:p>
    <w:p w14:paraId="13EE1A24"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sintonia com uma crítica feita pelo movimento de mulheres ao feminismo branco europeu e norte-americano, teólogas mulheristas constroem uma nova percepção do texto bíblico não apenas denunciando as opressões singulares das mulheres negras, mas também enegrecendo o texto e oferecendo novas interpretações a textos vetustos, como o de Hagar. A obra de </w:t>
      </w:r>
      <w:proofErr w:type="spellStart"/>
      <w:r w:rsidRPr="002451B6">
        <w:rPr>
          <w:rFonts w:ascii="Times New Roman" w:eastAsia="Times New Roman" w:hAnsi="Times New Roman" w:cs="Times New Roman"/>
          <w:sz w:val="24"/>
          <w:szCs w:val="24"/>
        </w:rPr>
        <w:t>Jacquelyn</w:t>
      </w:r>
      <w:proofErr w:type="spellEnd"/>
      <w:r w:rsidRPr="002451B6">
        <w:rPr>
          <w:rFonts w:ascii="Times New Roman" w:eastAsia="Times New Roman" w:hAnsi="Times New Roman" w:cs="Times New Roman"/>
          <w:sz w:val="24"/>
          <w:szCs w:val="24"/>
        </w:rPr>
        <w:t xml:space="preserve"> Grant, publicada em 1989, </w:t>
      </w:r>
      <w:r w:rsidRPr="002451B6">
        <w:rPr>
          <w:rFonts w:ascii="Times New Roman" w:eastAsia="Times New Roman" w:hAnsi="Times New Roman" w:cs="Times New Roman"/>
          <w:i/>
          <w:iCs/>
          <w:sz w:val="24"/>
          <w:szCs w:val="24"/>
        </w:rPr>
        <w:t xml:space="preserve">White </w:t>
      </w:r>
      <w:proofErr w:type="spellStart"/>
      <w:r w:rsidRPr="002451B6">
        <w:rPr>
          <w:rFonts w:ascii="Times New Roman" w:eastAsia="Times New Roman" w:hAnsi="Times New Roman" w:cs="Times New Roman"/>
          <w:i/>
          <w:iCs/>
          <w:sz w:val="24"/>
          <w:szCs w:val="24"/>
        </w:rPr>
        <w:t>women's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christ</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and</w:t>
      </w:r>
      <w:proofErr w:type="spellEnd"/>
      <w:r w:rsidRPr="002451B6">
        <w:rPr>
          <w:rFonts w:ascii="Times New Roman" w:eastAsia="Times New Roman" w:hAnsi="Times New Roman" w:cs="Times New Roman"/>
          <w:i/>
          <w:iCs/>
          <w:sz w:val="24"/>
          <w:szCs w:val="24"/>
        </w:rPr>
        <w:t xml:space="preserve"> black </w:t>
      </w:r>
      <w:proofErr w:type="spellStart"/>
      <w:r w:rsidRPr="002451B6">
        <w:rPr>
          <w:rFonts w:ascii="Times New Roman" w:eastAsia="Times New Roman" w:hAnsi="Times New Roman" w:cs="Times New Roman"/>
          <w:i/>
          <w:iCs/>
          <w:sz w:val="24"/>
          <w:szCs w:val="24"/>
        </w:rPr>
        <w:t>women's</w:t>
      </w:r>
      <w:proofErr w:type="spellEnd"/>
      <w:r w:rsidRPr="002451B6">
        <w:rPr>
          <w:rFonts w:ascii="Times New Roman" w:eastAsia="Times New Roman" w:hAnsi="Times New Roman" w:cs="Times New Roman"/>
          <w:i/>
          <w:iCs/>
          <w:sz w:val="24"/>
          <w:szCs w:val="24"/>
        </w:rPr>
        <w:t xml:space="preserve"> Jesus: </w:t>
      </w:r>
      <w:proofErr w:type="spellStart"/>
      <w:r w:rsidRPr="002451B6">
        <w:rPr>
          <w:rFonts w:ascii="Times New Roman" w:eastAsia="Times New Roman" w:hAnsi="Times New Roman" w:cs="Times New Roman"/>
          <w:i/>
          <w:iCs/>
          <w:sz w:val="24"/>
          <w:szCs w:val="24"/>
        </w:rPr>
        <w:t>feminist</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christology</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and</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womanist</w:t>
      </w:r>
      <w:proofErr w:type="spellEnd"/>
      <w:r w:rsidRPr="002451B6">
        <w:rPr>
          <w:rFonts w:ascii="Times New Roman" w:eastAsia="Times New Roman" w:hAnsi="Times New Roman" w:cs="Times New Roman"/>
          <w:i/>
          <w:iCs/>
          <w:sz w:val="24"/>
          <w:szCs w:val="24"/>
        </w:rPr>
        <w:t xml:space="preserve"> response</w:t>
      </w:r>
      <w:r w:rsidRPr="002451B6">
        <w:rPr>
          <w:rFonts w:ascii="Times New Roman" w:eastAsia="Times New Roman" w:hAnsi="Times New Roman" w:cs="Times New Roman"/>
          <w:sz w:val="24"/>
          <w:szCs w:val="24"/>
        </w:rPr>
        <w:t xml:space="preserve">, oferece caminhos inclusive para uma cristologia feminista, denunciando essa diferenciação entre um Jesus que não é o mesmo para mulheres brancas e para mulheres negras, de certa forma em diálogo com a denúncia que James Cone fez sobre a distância entre o Deus dos opressores e o Deus dos oprimidos (1975).  </w:t>
      </w:r>
    </w:p>
    <w:p w14:paraId="306D9B6A"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p>
    <w:p w14:paraId="77EFFE28"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A sociedade escravocrata, na qual o Brasil se formou, colocou as mulheres negras na posição de subalternas. Essa relação foi construída com a legitimação da Bíblia, a partir de traduções e interpretações de cunho eurocêntrico, sobretudo no período colonial. É importante ressaltar que, em momento algum, a Bíblia foi neutra diante da escravidão, antes serviu como “ferro em brasa” e “algemas” que aprisionavam negras e negros no “doce inferno” do engenho de açúcar. Nesse sentido, teólogas negras e teólogos negros não têm medo de dizer que a Bíblia, para a comunidade negra, é uma “fonte amarga” porque foi usada não apenas para legitimar a escravidão, mas também para amaldiçoar o povo negro, através de sua interpretação repleta de etnocentrismo. </w:t>
      </w:r>
      <w:proofErr w:type="gramStart"/>
      <w:r w:rsidRPr="002451B6">
        <w:rPr>
          <w:rFonts w:ascii="Times New Roman" w:eastAsia="Times New Roman" w:hAnsi="Times New Roman" w:cs="Times New Roman"/>
        </w:rPr>
        <w:t>À  mulher</w:t>
      </w:r>
      <w:proofErr w:type="gramEnd"/>
      <w:r w:rsidRPr="002451B6">
        <w:rPr>
          <w:rFonts w:ascii="Times New Roman" w:eastAsia="Times New Roman" w:hAnsi="Times New Roman" w:cs="Times New Roman"/>
        </w:rPr>
        <w:t xml:space="preserve">  </w:t>
      </w:r>
      <w:proofErr w:type="gramStart"/>
      <w:r w:rsidRPr="002451B6">
        <w:rPr>
          <w:rFonts w:ascii="Times New Roman" w:eastAsia="Times New Roman" w:hAnsi="Times New Roman" w:cs="Times New Roman"/>
        </w:rPr>
        <w:t>negra  foi</w:t>
      </w:r>
      <w:proofErr w:type="gramEnd"/>
      <w:r w:rsidRPr="002451B6">
        <w:rPr>
          <w:rFonts w:ascii="Times New Roman" w:eastAsia="Times New Roman" w:hAnsi="Times New Roman" w:cs="Times New Roman"/>
        </w:rPr>
        <w:t xml:space="preserve">  </w:t>
      </w:r>
      <w:proofErr w:type="gramStart"/>
      <w:r w:rsidRPr="002451B6">
        <w:rPr>
          <w:rFonts w:ascii="Times New Roman" w:eastAsia="Times New Roman" w:hAnsi="Times New Roman" w:cs="Times New Roman"/>
        </w:rPr>
        <w:t>relegado  o</w:t>
      </w:r>
      <w:proofErr w:type="gramEnd"/>
      <w:r w:rsidRPr="002451B6">
        <w:rPr>
          <w:rFonts w:ascii="Times New Roman" w:eastAsia="Times New Roman" w:hAnsi="Times New Roman" w:cs="Times New Roman"/>
        </w:rPr>
        <w:t xml:space="preserve">  </w:t>
      </w:r>
      <w:proofErr w:type="gramStart"/>
      <w:r w:rsidRPr="002451B6">
        <w:rPr>
          <w:rFonts w:ascii="Times New Roman" w:eastAsia="Times New Roman" w:hAnsi="Times New Roman" w:cs="Times New Roman"/>
        </w:rPr>
        <w:t>papel  de</w:t>
      </w:r>
      <w:proofErr w:type="gramEnd"/>
      <w:r w:rsidRPr="002451B6">
        <w:rPr>
          <w:rFonts w:ascii="Times New Roman" w:eastAsia="Times New Roman" w:hAnsi="Times New Roman" w:cs="Times New Roman"/>
        </w:rPr>
        <w:t xml:space="preserve">  feiticeira, escrava, sensual, pecadora, libertina, o que contribuiu para a construção de um imaginário negativo em relação ao seu corpo: estereotipado e considerado feio (Caldeira, 2013).</w:t>
      </w:r>
    </w:p>
    <w:p w14:paraId="4CF63DC4" w14:textId="77777777" w:rsidR="00332C33" w:rsidRPr="002451B6" w:rsidRDefault="00332C33">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jc w:val="both"/>
        <w:rPr>
          <w:rFonts w:ascii="Times New Roman" w:eastAsia="Times New Roman" w:hAnsi="Times New Roman" w:cs="Times New Roman"/>
          <w:sz w:val="24"/>
          <w:szCs w:val="24"/>
        </w:rPr>
      </w:pPr>
    </w:p>
    <w:p w14:paraId="1DAC5E26" w14:textId="77777777" w:rsidR="00332C33" w:rsidRPr="002451B6"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crítica da Teologia Mulherista adensa o discurso sobre Deus e traz contribuições muito importantes para um país como o Brasil, imerso em um passado escravocrata e na ignorância dos sistemas de privilégio e opressão ao qual pessoas negras estão submetidas, sobretudo em meio a um silenciamento também alimentado por produções acadêmicas como </w:t>
      </w:r>
      <w:r w:rsidRPr="002451B6">
        <w:rPr>
          <w:rFonts w:ascii="Times New Roman" w:eastAsia="Times New Roman" w:hAnsi="Times New Roman" w:cs="Times New Roman"/>
          <w:i/>
          <w:iCs/>
          <w:sz w:val="24"/>
          <w:szCs w:val="24"/>
        </w:rPr>
        <w:t>Casa-grande &amp; senzala</w:t>
      </w:r>
      <w:r w:rsidRPr="002451B6">
        <w:rPr>
          <w:rFonts w:ascii="Times New Roman" w:eastAsia="Times New Roman" w:hAnsi="Times New Roman" w:cs="Times New Roman"/>
          <w:sz w:val="24"/>
          <w:szCs w:val="24"/>
        </w:rPr>
        <w:t xml:space="preserve"> (1933) que ratificam a falácia de uma democracia racial no Brasil. </w:t>
      </w:r>
    </w:p>
    <w:p w14:paraId="78A4986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Esta breve revisão bibliográfica tem como objetivo demonstrar como as leituras das mulheres vão aos poucos alterando não a face da religião e da religiosidade apenas, mas também o próprio Deus. </w:t>
      </w:r>
    </w:p>
    <w:p w14:paraId="5D772432" w14:textId="77777777" w:rsidR="00332C33" w:rsidRPr="002451B6" w:rsidRDefault="00000000">
      <w:pPr>
        <w:pStyle w:val="Ttulo4"/>
        <w:spacing w:line="360" w:lineRule="auto"/>
        <w:jc w:val="both"/>
        <w:rPr>
          <w:rFonts w:ascii="Times New Roman" w:eastAsia="Times New Roman" w:hAnsi="Times New Roman" w:cs="Times New Roman"/>
          <w:b/>
          <w:bCs/>
          <w:color w:val="auto"/>
        </w:rPr>
      </w:pPr>
      <w:bookmarkStart w:id="7" w:name="_4g7kwbar5mip" w:colFirst="0" w:colLast="0"/>
      <w:bookmarkEnd w:id="7"/>
      <w:r w:rsidRPr="002451B6">
        <w:rPr>
          <w:rFonts w:ascii="Times New Roman" w:eastAsia="Times New Roman" w:hAnsi="Times New Roman" w:cs="Times New Roman"/>
          <w:b/>
          <w:bCs/>
          <w:color w:val="auto"/>
        </w:rPr>
        <w:t>Vozes dissidentes de um discurso hegemônico</w:t>
      </w:r>
    </w:p>
    <w:p w14:paraId="3EB47359" w14:textId="77777777" w:rsidR="00332C33" w:rsidRPr="002451B6" w:rsidRDefault="00332C33"/>
    <w:p w14:paraId="2BB9E75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Nos últimos anos, vimos as mídias sociais serem inundadas de discursos antifeministas e movimentos de </w:t>
      </w:r>
      <w:proofErr w:type="spellStart"/>
      <w:r w:rsidRPr="002451B6">
        <w:rPr>
          <w:rFonts w:ascii="Times New Roman" w:eastAsia="Times New Roman" w:hAnsi="Times New Roman" w:cs="Times New Roman"/>
          <w:i/>
          <w:iCs/>
          <w:sz w:val="24"/>
          <w:szCs w:val="24"/>
        </w:rPr>
        <w:t>tradwifes</w:t>
      </w:r>
      <w:proofErr w:type="spellEnd"/>
      <w:r w:rsidRPr="002451B6">
        <w:rPr>
          <w:rFonts w:ascii="Times New Roman" w:eastAsia="Times New Roman" w:hAnsi="Times New Roman" w:cs="Times New Roman"/>
          <w:sz w:val="24"/>
          <w:szCs w:val="24"/>
        </w:rPr>
        <w:t xml:space="preserve"> incentivando meninas e jovens a se voltarem contra um discurso feminista, que seria um discurso anticristão. Influenciadoras cristãs ou não vêm ganhando cada vez mais espaço nessa luta, que é também parte da cruzada </w:t>
      </w:r>
      <w:proofErr w:type="spellStart"/>
      <w:r w:rsidRPr="002451B6">
        <w:rPr>
          <w:rFonts w:ascii="Times New Roman" w:eastAsia="Times New Roman" w:hAnsi="Times New Roman" w:cs="Times New Roman"/>
          <w:sz w:val="24"/>
          <w:szCs w:val="24"/>
        </w:rPr>
        <w:t>anti-gênero</w:t>
      </w:r>
      <w:proofErr w:type="spellEnd"/>
      <w:r w:rsidRPr="002451B6">
        <w:rPr>
          <w:rFonts w:ascii="Times New Roman" w:eastAsia="Times New Roman" w:hAnsi="Times New Roman" w:cs="Times New Roman"/>
          <w:sz w:val="24"/>
          <w:szCs w:val="24"/>
        </w:rPr>
        <w:t xml:space="preserve"> que vemos na política. Conteúdos reforçando que o propósito de Deus para a mulher é o casamento e a maternidade não apenas tem adquirido maior alcance, bem como são muitas vezes beneficiados pelos algoritmos. </w:t>
      </w:r>
    </w:p>
    <w:p w14:paraId="15ED9FF2" w14:textId="77777777" w:rsidR="00332C33" w:rsidRPr="002451B6" w:rsidRDefault="00000000">
      <w:pP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Este Williams, uma representante do movimento, conta que o uso do termo </w:t>
      </w:r>
      <w:proofErr w:type="spellStart"/>
      <w:r w:rsidRPr="002451B6">
        <w:rPr>
          <w:rFonts w:ascii="Times New Roman" w:eastAsia="Times New Roman" w:hAnsi="Times New Roman" w:cs="Times New Roman"/>
          <w:i/>
          <w:iCs/>
          <w:sz w:val="24"/>
          <w:szCs w:val="24"/>
        </w:rPr>
        <w:t>tradwife</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vem da busca por resgatar papéis de gênero tradicionais, segundo a influenciadora: “uma esposa tradicional é uma mulher que adere aos papéis de gênero tradicionais em seu casamento: esposa, </w:t>
      </w:r>
      <w:r w:rsidRPr="002451B6">
        <w:rPr>
          <w:rFonts w:ascii="Times New Roman" w:eastAsia="Times New Roman" w:hAnsi="Times New Roman" w:cs="Times New Roman"/>
          <w:sz w:val="24"/>
          <w:szCs w:val="24"/>
        </w:rPr>
        <w:lastRenderedPageBreak/>
        <w:t>dona de casa, marido provedor”</w:t>
      </w:r>
      <w:r w:rsidRPr="002451B6">
        <w:rPr>
          <w:rFonts w:ascii="Times New Roman" w:eastAsia="Times New Roman" w:hAnsi="Times New Roman" w:cs="Times New Roman"/>
          <w:sz w:val="24"/>
          <w:szCs w:val="24"/>
          <w:vertAlign w:val="superscript"/>
        </w:rPr>
        <w:footnoteReference w:id="15"/>
      </w:r>
      <w:r w:rsidRPr="002451B6">
        <w:rPr>
          <w:rFonts w:ascii="Times New Roman" w:eastAsia="Times New Roman" w:hAnsi="Times New Roman" w:cs="Times New Roman"/>
          <w:sz w:val="24"/>
          <w:szCs w:val="24"/>
        </w:rPr>
        <w:t xml:space="preserve">. O movimento tem um forte recorte de classe, em sua grande maioria, são mulheres brancas de classe média e média alta, nos Estados Unidos - local de origem do movimento - muitas destas mulheres são também adeptas do </w:t>
      </w:r>
      <w:proofErr w:type="spellStart"/>
      <w:r w:rsidRPr="002451B6">
        <w:rPr>
          <w:rFonts w:ascii="Times New Roman" w:eastAsia="Times New Roman" w:hAnsi="Times New Roman" w:cs="Times New Roman"/>
          <w:i/>
          <w:iCs/>
          <w:sz w:val="24"/>
          <w:szCs w:val="24"/>
        </w:rPr>
        <w:t>homeschooling</w:t>
      </w:r>
      <w:proofErr w:type="spellEnd"/>
      <w:r w:rsidRPr="002451B6">
        <w:rPr>
          <w:rFonts w:ascii="Times New Roman" w:eastAsia="Times New Roman" w:hAnsi="Times New Roman" w:cs="Times New Roman"/>
          <w:sz w:val="24"/>
          <w:szCs w:val="24"/>
        </w:rPr>
        <w:t xml:space="preserve">, ou seja, da educação caseira para seus filhos e filhas. </w:t>
      </w:r>
    </w:p>
    <w:p w14:paraId="581DD37D" w14:textId="77777777" w:rsidR="00332C33" w:rsidRPr="002451B6" w:rsidRDefault="00000000">
      <w:pP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Nos Estados Unidos a constituição permite que famílias gerenciem a educação dos filhos de forma caseira, coisa que no Brasil a legislação ainda é nebulosa. A discussão tem se aprofundado também aqui graças ao forte lobby pela legalização desse tipo de prática que ainda esbarra em uma área cinzenta juridicamente. Hoje a instrução do STF é de que famílias busquem autorização legal para realização da prática. Há materiais específicos preparados para essas famílias, majoritariamente produzido a partir de uma visão cristã, muitos materiais são problemáticos por negarem ou omitirem fatos cientificamente comprovados. </w:t>
      </w:r>
    </w:p>
    <w:p w14:paraId="0B4754A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 discussão sobre o papel de gênero adequado da mulher se entrelaça com muitas outras pautas, a discussão sobre o aborto, a questão da educação infantil e da famigerada “ideologia de gênero”, a discussão sobre censura das redes sociais e o pânico moral que muitas vezes é acionado para mover certas discussões para o campo religioso. Tem crescido o número de mulheres que se identificam como antifeministas e este é um campo que se beneficia dessas leituras patriarcais e misóginas do texto bíblico. Em uma entrevista, a pesquisadora Camila Galetti explicou: </w:t>
      </w:r>
    </w:p>
    <w:p w14:paraId="4A884AC3"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Apesar de serem mulheres brancas e de uma elite, no que diz respeito à questão de classe, elas alcançam um eleitorado de mulheres periféricas, principalmente evangélicas pentecostais, que também estão amparadas no discurso de submissão, na necessidade de validação e no sentimento de desamparo. Tem afetos que só a igreja produz nos indivíduos e quem está nesse espaço vai sentir esse sentimento. O antifeminismo é muito evidente nas igrejas neopentecostais, nos discursos de fundamentalistas religiosos, impulsionado pelo medo de confrontar a maneira como a sociedade é estruturada, de entender quem detém o poder e quem não detém. Ele se manifesta de inúmeras formas, especialmente por meio do discurso religioso, que busca manter as tradições e o modelo de família tradicional, utilizando uma narrativa de ameaça (Galetti, 2024).</w:t>
      </w:r>
    </w:p>
    <w:p w14:paraId="69A8F37A" w14:textId="77777777" w:rsidR="00332C33" w:rsidRPr="002451B6" w:rsidRDefault="00332C33">
      <w:pPr>
        <w:spacing w:line="240" w:lineRule="auto"/>
        <w:jc w:val="both"/>
        <w:rPr>
          <w:rFonts w:ascii="Times New Roman" w:eastAsia="Times New Roman" w:hAnsi="Times New Roman" w:cs="Times New Roman"/>
        </w:rPr>
      </w:pPr>
    </w:p>
    <w:p w14:paraId="11918AF5"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 teologia feminista, por sua vez, age na contramão desse discurso, defendendo leituras do texto bíblico protagonizadas pelas vozes das mulheres que já estavam na narrativa e que muitas vezes foram ignoradas. São trabalhos como esses que demonstram que esse lugar definido para o gênero feminino não é uma construção bíblica, trata-se, ao contrário, de um complexo emaranhado cultural, patriarcal, capitalista que se traveste de discurso bíblico de </w:t>
      </w:r>
      <w:r w:rsidRPr="002451B6">
        <w:rPr>
          <w:rFonts w:ascii="Times New Roman" w:eastAsia="Times New Roman" w:hAnsi="Times New Roman" w:cs="Times New Roman"/>
          <w:sz w:val="24"/>
          <w:szCs w:val="24"/>
        </w:rPr>
        <w:lastRenderedPageBreak/>
        <w:t xml:space="preserve">moralidade superior. Estas teólogas reescrevem o lugar da mulher e revelam uma outra face de Deus. </w:t>
      </w:r>
    </w:p>
    <w:p w14:paraId="178C813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Retomo o conto de Ursula Le </w:t>
      </w:r>
      <w:proofErr w:type="spellStart"/>
      <w:r w:rsidRPr="002451B6">
        <w:rPr>
          <w:rFonts w:ascii="Times New Roman" w:eastAsia="Times New Roman" w:hAnsi="Times New Roman" w:cs="Times New Roman"/>
          <w:sz w:val="24"/>
          <w:szCs w:val="24"/>
        </w:rPr>
        <w:t>Guin</w:t>
      </w:r>
      <w:proofErr w:type="spellEnd"/>
      <w:r w:rsidRPr="002451B6">
        <w:rPr>
          <w:rFonts w:ascii="Times New Roman" w:eastAsia="Times New Roman" w:hAnsi="Times New Roman" w:cs="Times New Roman"/>
          <w:sz w:val="24"/>
          <w:szCs w:val="24"/>
        </w:rPr>
        <w:t xml:space="preserve"> do início deste capítulo. A narrativa cristã em muitos momentos se apresenta como esse lugar de beleza e de igualdade, onde as pessoas vivem uma felicidade plena, como os habitantes de </w:t>
      </w:r>
      <w:proofErr w:type="spellStart"/>
      <w:r w:rsidRPr="002451B6">
        <w:rPr>
          <w:rFonts w:ascii="Times New Roman" w:eastAsia="Times New Roman" w:hAnsi="Times New Roman" w:cs="Times New Roman"/>
          <w:sz w:val="24"/>
          <w:szCs w:val="24"/>
        </w:rPr>
        <w:t>Omelas</w:t>
      </w:r>
      <w:proofErr w:type="spellEnd"/>
      <w:r w:rsidRPr="002451B6">
        <w:rPr>
          <w:rFonts w:ascii="Times New Roman" w:eastAsia="Times New Roman" w:hAnsi="Times New Roman" w:cs="Times New Roman"/>
          <w:sz w:val="24"/>
          <w:szCs w:val="24"/>
        </w:rPr>
        <w:t xml:space="preserve">. As teólogas feministas, por sua vez, nos tomam pela mão e nos conduzem aos subterrâneos dessa dita “beleza” para ver o alto custo que tem sido pago ao longo dos últimos milênios. Elas apontam para aquilo que a teologia hegemônica não quer que vejamos, o seu lado putrefato, sua capacidade tétrica de matar e eliminar todo o diferente. </w:t>
      </w:r>
    </w:p>
    <w:p w14:paraId="66E7256C" w14:textId="289BEC04" w:rsidR="00332C33" w:rsidRPr="002451B6" w:rsidRDefault="00000000" w:rsidP="00C945CD">
      <w:pPr>
        <w:spacing w:line="360" w:lineRule="auto"/>
        <w:ind w:firstLine="709"/>
        <w:jc w:val="both"/>
        <w:rPr>
          <w:rFonts w:ascii="Times New Roman" w:eastAsia="Times New Roman" w:hAnsi="Times New Roman" w:cs="Times New Roman"/>
          <w:b/>
          <w:bCs/>
        </w:rPr>
      </w:pPr>
      <w:r w:rsidRPr="002451B6">
        <w:rPr>
          <w:rFonts w:ascii="Times New Roman" w:eastAsia="Times New Roman" w:hAnsi="Times New Roman" w:cs="Times New Roman"/>
          <w:sz w:val="24"/>
          <w:szCs w:val="24"/>
        </w:rPr>
        <w:tab/>
        <w:t xml:space="preserve">Ao nos convidar a repensar Deus, essas mulheres têm refundado a política, reelaborado soluções e costurado novas possibilidades de futuro em um mundo dominado por sistemas opressores como o patriarcado e o capitalismo. Corajosamente, elas têm demonstrado que esse edifício opressor que foi erigido a partir do texto bíblico não contém o monopólio do sagrado, nem da palavra de Deus e nem dos corpos femininos. </w:t>
      </w:r>
      <w:bookmarkStart w:id="8" w:name="_8l00kkxdneee" w:colFirst="0" w:colLast="0"/>
      <w:bookmarkStart w:id="9" w:name="_mhuagge0942" w:colFirst="0" w:colLast="0"/>
      <w:bookmarkEnd w:id="8"/>
      <w:bookmarkEnd w:id="9"/>
    </w:p>
    <w:p w14:paraId="4C93835D" w14:textId="77777777" w:rsidR="00332C33" w:rsidRPr="002451B6" w:rsidRDefault="00332C33"/>
    <w:p w14:paraId="52236C89" w14:textId="77777777" w:rsidR="00332C33" w:rsidRPr="002451B6" w:rsidRDefault="00000000">
      <w:pPr>
        <w:pStyle w:val="Ttulo4"/>
        <w:spacing w:line="360" w:lineRule="auto"/>
        <w:jc w:val="center"/>
        <w:rPr>
          <w:rFonts w:ascii="Times New Roman" w:eastAsia="Times New Roman" w:hAnsi="Times New Roman" w:cs="Times New Roman"/>
          <w:color w:val="auto"/>
        </w:rPr>
      </w:pPr>
      <w:bookmarkStart w:id="10" w:name="_x24oa4nhmi64" w:colFirst="0" w:colLast="0"/>
      <w:bookmarkEnd w:id="10"/>
      <w:r w:rsidRPr="002451B6">
        <w:rPr>
          <w:rFonts w:ascii="Times New Roman" w:eastAsia="Times New Roman" w:hAnsi="Times New Roman" w:cs="Times New Roman"/>
          <w:b/>
          <w:bCs/>
          <w:color w:val="auto"/>
        </w:rPr>
        <w:t>Referências</w:t>
      </w:r>
    </w:p>
    <w:p w14:paraId="3407B73C" w14:textId="77777777" w:rsidR="00332C33" w:rsidRPr="002451B6" w:rsidRDefault="00332C33">
      <w:pPr>
        <w:spacing w:line="240" w:lineRule="auto"/>
        <w:jc w:val="both"/>
        <w:rPr>
          <w:rFonts w:ascii="Times New Roman" w:eastAsia="Times New Roman" w:hAnsi="Times New Roman" w:cs="Times New Roman"/>
          <w:sz w:val="24"/>
          <w:szCs w:val="24"/>
        </w:rPr>
      </w:pPr>
    </w:p>
    <w:p w14:paraId="270D4F1E"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BARR, B. A. </w:t>
      </w:r>
      <w:r w:rsidRPr="002451B6">
        <w:rPr>
          <w:rFonts w:ascii="Times New Roman" w:eastAsia="Times New Roman" w:hAnsi="Times New Roman" w:cs="Times New Roman"/>
          <w:i/>
          <w:iCs/>
          <w:sz w:val="24"/>
          <w:szCs w:val="24"/>
        </w:rPr>
        <w:t>A construção da Feminilidade Bíblica</w:t>
      </w:r>
      <w:r w:rsidRPr="002451B6">
        <w:rPr>
          <w:rFonts w:ascii="Times New Roman" w:eastAsia="Times New Roman" w:hAnsi="Times New Roman" w:cs="Times New Roman"/>
          <w:sz w:val="24"/>
          <w:szCs w:val="24"/>
        </w:rPr>
        <w:t>. São Paulo: Editora Thomas Nelson, 2022.</w:t>
      </w:r>
    </w:p>
    <w:p w14:paraId="44A0EEF7" w14:textId="77777777" w:rsidR="00332C33" w:rsidRPr="002451B6" w:rsidRDefault="00332C33">
      <w:pPr>
        <w:spacing w:line="240" w:lineRule="auto"/>
        <w:jc w:val="both"/>
        <w:rPr>
          <w:rFonts w:ascii="Times New Roman" w:eastAsia="Times New Roman" w:hAnsi="Times New Roman" w:cs="Times New Roman"/>
          <w:sz w:val="24"/>
          <w:szCs w:val="24"/>
        </w:rPr>
      </w:pPr>
    </w:p>
    <w:p w14:paraId="6CFC54FE"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BRAUDEL, F. A longa duração.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BRAUDEL, F. </w:t>
      </w:r>
      <w:r w:rsidRPr="002451B6">
        <w:rPr>
          <w:rFonts w:ascii="Times New Roman" w:eastAsia="Times New Roman" w:hAnsi="Times New Roman" w:cs="Times New Roman"/>
          <w:i/>
          <w:iCs/>
          <w:sz w:val="24"/>
          <w:szCs w:val="24"/>
        </w:rPr>
        <w:t>Escritos sobre a História</w:t>
      </w:r>
      <w:r w:rsidRPr="002451B6">
        <w:rPr>
          <w:rFonts w:ascii="Times New Roman" w:eastAsia="Times New Roman" w:hAnsi="Times New Roman" w:cs="Times New Roman"/>
          <w:sz w:val="24"/>
          <w:szCs w:val="24"/>
        </w:rPr>
        <w:t>. Lisboa: Perspectiva, 1992.</w:t>
      </w:r>
    </w:p>
    <w:p w14:paraId="27557741" w14:textId="77777777" w:rsidR="00332C33" w:rsidRPr="002451B6" w:rsidRDefault="00332C33">
      <w:pPr>
        <w:spacing w:line="240" w:lineRule="auto"/>
        <w:jc w:val="both"/>
        <w:rPr>
          <w:rFonts w:ascii="Times New Roman" w:eastAsia="Times New Roman" w:hAnsi="Times New Roman" w:cs="Times New Roman"/>
          <w:sz w:val="24"/>
          <w:szCs w:val="24"/>
        </w:rPr>
      </w:pPr>
    </w:p>
    <w:p w14:paraId="14CCD082"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CALDEIRA, C. Hermenêutica negra feminista: </w:t>
      </w:r>
      <w:proofErr w:type="gramStart"/>
      <w:r w:rsidRPr="002451B6">
        <w:rPr>
          <w:rFonts w:ascii="Times New Roman" w:eastAsia="Times New Roman" w:hAnsi="Times New Roman" w:cs="Times New Roman"/>
          <w:sz w:val="24"/>
          <w:szCs w:val="24"/>
        </w:rPr>
        <w:t>um  ensaio</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de  interpretação</w:t>
      </w:r>
      <w:proofErr w:type="gramEnd"/>
      <w:r w:rsidRPr="002451B6">
        <w:rPr>
          <w:rFonts w:ascii="Times New Roman" w:eastAsia="Times New Roman" w:hAnsi="Times New Roman" w:cs="Times New Roman"/>
          <w:sz w:val="24"/>
          <w:szCs w:val="24"/>
        </w:rPr>
        <w:t xml:space="preserve">  de </w:t>
      </w:r>
      <w:proofErr w:type="gramStart"/>
      <w:r w:rsidRPr="002451B6">
        <w:rPr>
          <w:rFonts w:ascii="Times New Roman" w:eastAsia="Times New Roman" w:hAnsi="Times New Roman" w:cs="Times New Roman"/>
          <w:sz w:val="24"/>
          <w:szCs w:val="24"/>
        </w:rPr>
        <w:t>Cântico  dos</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Cânticos  1.5</w:t>
      </w:r>
      <w:proofErr w:type="gramEnd"/>
      <w:r w:rsidRPr="002451B6">
        <w:rPr>
          <w:rFonts w:ascii="Times New Roman" w:eastAsia="Times New Roman" w:hAnsi="Times New Roman" w:cs="Times New Roman"/>
          <w:sz w:val="24"/>
          <w:szCs w:val="24"/>
        </w:rPr>
        <w:t xml:space="preserve">-6. </w:t>
      </w:r>
      <w:r w:rsidRPr="002451B6">
        <w:rPr>
          <w:rFonts w:ascii="Times New Roman" w:eastAsia="Times New Roman" w:hAnsi="Times New Roman" w:cs="Times New Roman"/>
          <w:i/>
          <w:iCs/>
          <w:sz w:val="24"/>
          <w:szCs w:val="24"/>
        </w:rPr>
        <w:t>Estudos Feministas,</w:t>
      </w:r>
      <w:r w:rsidRPr="002451B6">
        <w:rPr>
          <w:rFonts w:ascii="Times New Roman" w:eastAsia="Times New Roman" w:hAnsi="Times New Roman" w:cs="Times New Roman"/>
          <w:sz w:val="24"/>
          <w:szCs w:val="24"/>
        </w:rPr>
        <w:t xml:space="preserve"> Florianópolis, v.21, n.3: 496, p. 1189-1210, setembro-dezembro/2013. Disponível em: </w:t>
      </w:r>
      <w:hyperlink r:id="rId16">
        <w:r w:rsidR="00332C33" w:rsidRPr="002451B6">
          <w:rPr>
            <w:rFonts w:ascii="Times New Roman" w:eastAsia="Times New Roman" w:hAnsi="Times New Roman" w:cs="Times New Roman"/>
            <w:sz w:val="24"/>
            <w:szCs w:val="24"/>
            <w:u w:val="single"/>
          </w:rPr>
          <w:t>https://www.scielo.br/j/ref/a/v9Zjmt8XzN8DmFSyZCcNsKg/abstract/?lang=pt</w:t>
        </w:r>
      </w:hyperlink>
      <w:r w:rsidRPr="002451B6">
        <w:rPr>
          <w:rFonts w:ascii="Times New Roman" w:eastAsia="Times New Roman" w:hAnsi="Times New Roman" w:cs="Times New Roman"/>
          <w:sz w:val="24"/>
          <w:szCs w:val="24"/>
        </w:rPr>
        <w:t xml:space="preserve"> </w:t>
      </w:r>
    </w:p>
    <w:p w14:paraId="1067C12E" w14:textId="77777777" w:rsidR="00332C33" w:rsidRPr="002451B6" w:rsidRDefault="00332C33">
      <w:pPr>
        <w:spacing w:line="240" w:lineRule="auto"/>
        <w:jc w:val="both"/>
        <w:rPr>
          <w:rFonts w:ascii="Times New Roman" w:eastAsia="Times New Roman" w:hAnsi="Times New Roman" w:cs="Times New Roman"/>
          <w:sz w:val="24"/>
          <w:szCs w:val="24"/>
        </w:rPr>
      </w:pPr>
    </w:p>
    <w:p w14:paraId="776AACCB"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CONE, J. H. </w:t>
      </w:r>
      <w:proofErr w:type="spellStart"/>
      <w:r w:rsidRPr="002451B6">
        <w:rPr>
          <w:rFonts w:ascii="Times New Roman" w:eastAsia="Times New Roman" w:hAnsi="Times New Roman" w:cs="Times New Roman"/>
          <w:i/>
          <w:iCs/>
          <w:sz w:val="24"/>
          <w:szCs w:val="24"/>
        </w:rPr>
        <w:t>God</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of</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the</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opressed</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New York: </w:t>
      </w:r>
      <w:proofErr w:type="spellStart"/>
      <w:r w:rsidRPr="002451B6">
        <w:rPr>
          <w:rFonts w:ascii="Times New Roman" w:eastAsia="Times New Roman" w:hAnsi="Times New Roman" w:cs="Times New Roman"/>
          <w:sz w:val="24"/>
          <w:szCs w:val="24"/>
        </w:rPr>
        <w:t>Orbis</w:t>
      </w:r>
      <w:proofErr w:type="spellEnd"/>
      <w:r w:rsidRPr="002451B6">
        <w:rPr>
          <w:rFonts w:ascii="Times New Roman" w:eastAsia="Times New Roman" w:hAnsi="Times New Roman" w:cs="Times New Roman"/>
          <w:sz w:val="24"/>
          <w:szCs w:val="24"/>
        </w:rPr>
        <w:t xml:space="preserve"> Books, 1997. [1975]</w:t>
      </w:r>
    </w:p>
    <w:p w14:paraId="5273D298" w14:textId="77777777" w:rsidR="00332C33" w:rsidRPr="002451B6" w:rsidRDefault="00332C33">
      <w:pPr>
        <w:spacing w:line="240" w:lineRule="auto"/>
        <w:jc w:val="both"/>
        <w:rPr>
          <w:rFonts w:ascii="Times New Roman" w:eastAsia="Times New Roman" w:hAnsi="Times New Roman" w:cs="Times New Roman"/>
          <w:sz w:val="24"/>
          <w:szCs w:val="24"/>
        </w:rPr>
      </w:pPr>
    </w:p>
    <w:p w14:paraId="4062EBF5"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CORRÊA, S.; KALIL, I. </w:t>
      </w:r>
      <w:r w:rsidRPr="002451B6">
        <w:rPr>
          <w:rFonts w:ascii="Times New Roman" w:eastAsia="Times New Roman" w:hAnsi="Times New Roman" w:cs="Times New Roman"/>
          <w:i/>
          <w:iCs/>
          <w:sz w:val="24"/>
          <w:szCs w:val="24"/>
        </w:rPr>
        <w:t xml:space="preserve">Políticas </w:t>
      </w:r>
      <w:proofErr w:type="spellStart"/>
      <w:r w:rsidRPr="002451B6">
        <w:rPr>
          <w:rFonts w:ascii="Times New Roman" w:eastAsia="Times New Roman" w:hAnsi="Times New Roman" w:cs="Times New Roman"/>
          <w:i/>
          <w:iCs/>
          <w:sz w:val="24"/>
          <w:szCs w:val="24"/>
        </w:rPr>
        <w:t>antigénero</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en</w:t>
      </w:r>
      <w:proofErr w:type="spellEnd"/>
      <w:r w:rsidRPr="002451B6">
        <w:rPr>
          <w:rFonts w:ascii="Times New Roman" w:eastAsia="Times New Roman" w:hAnsi="Times New Roman" w:cs="Times New Roman"/>
          <w:i/>
          <w:iCs/>
          <w:sz w:val="24"/>
          <w:szCs w:val="24"/>
        </w:rPr>
        <w:t xml:space="preserve"> América Latina: Brasil</w:t>
      </w:r>
      <w:r w:rsidRPr="002451B6">
        <w:rPr>
          <w:rFonts w:ascii="Times New Roman" w:eastAsia="Times New Roman" w:hAnsi="Times New Roman" w:cs="Times New Roman"/>
          <w:sz w:val="23"/>
          <w:szCs w:val="23"/>
        </w:rPr>
        <w:t xml:space="preserve"> </w:t>
      </w:r>
      <w:r w:rsidRPr="002451B6">
        <w:rPr>
          <w:rFonts w:ascii="Times New Roman" w:eastAsia="Times New Roman" w:hAnsi="Times New Roman" w:cs="Times New Roman"/>
          <w:sz w:val="24"/>
          <w:szCs w:val="24"/>
        </w:rPr>
        <w:t xml:space="preserve">– ¿La catástrofe </w:t>
      </w:r>
      <w:proofErr w:type="spellStart"/>
      <w:r w:rsidRPr="002451B6">
        <w:rPr>
          <w:rFonts w:ascii="Times New Roman" w:eastAsia="Times New Roman" w:hAnsi="Times New Roman" w:cs="Times New Roman"/>
          <w:sz w:val="24"/>
          <w:szCs w:val="24"/>
        </w:rPr>
        <w:t>perfecta</w:t>
      </w:r>
      <w:proofErr w:type="spellEnd"/>
      <w:r w:rsidRPr="002451B6">
        <w:rPr>
          <w:rFonts w:ascii="Times New Roman" w:eastAsia="Times New Roman" w:hAnsi="Times New Roman" w:cs="Times New Roman"/>
          <w:sz w:val="24"/>
          <w:szCs w:val="24"/>
        </w:rPr>
        <w:t xml:space="preserve">?”. Rio de Janeiro: Asociación </w:t>
      </w:r>
      <w:proofErr w:type="spellStart"/>
      <w:r w:rsidRPr="002451B6">
        <w:rPr>
          <w:rFonts w:ascii="Times New Roman" w:eastAsia="Times New Roman" w:hAnsi="Times New Roman" w:cs="Times New Roman"/>
          <w:sz w:val="24"/>
          <w:szCs w:val="24"/>
        </w:rPr>
        <w:t>Brasileña</w:t>
      </w:r>
      <w:proofErr w:type="spellEnd"/>
      <w:r w:rsidRPr="002451B6">
        <w:rPr>
          <w:rFonts w:ascii="Times New Roman" w:eastAsia="Times New Roman" w:hAnsi="Times New Roman" w:cs="Times New Roman"/>
          <w:sz w:val="24"/>
          <w:szCs w:val="24"/>
        </w:rPr>
        <w:t xml:space="preserve"> Interdisciplinar de SIDA, 2020. Disponível em: https://sxpolitics.org/gpal/. Acesso em: 10 dez. 2025.</w:t>
      </w:r>
    </w:p>
    <w:p w14:paraId="2E02EE92" w14:textId="77777777" w:rsidR="00332C33" w:rsidRPr="002451B6" w:rsidRDefault="00332C33">
      <w:pPr>
        <w:spacing w:line="240" w:lineRule="auto"/>
        <w:jc w:val="both"/>
        <w:rPr>
          <w:rFonts w:ascii="Times New Roman" w:eastAsia="Times New Roman" w:hAnsi="Times New Roman" w:cs="Times New Roman"/>
          <w:sz w:val="24"/>
          <w:szCs w:val="24"/>
        </w:rPr>
      </w:pPr>
    </w:p>
    <w:p w14:paraId="41872557"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CUNHA, M.  </w:t>
      </w:r>
      <w:r w:rsidRPr="002451B6">
        <w:rPr>
          <w:rFonts w:ascii="Times New Roman" w:eastAsia="Times New Roman" w:hAnsi="Times New Roman" w:cs="Times New Roman"/>
          <w:i/>
          <w:iCs/>
          <w:sz w:val="24"/>
          <w:szCs w:val="24"/>
        </w:rPr>
        <w:t>A explosão gospel</w:t>
      </w:r>
      <w:r w:rsidRPr="002451B6">
        <w:rPr>
          <w:rFonts w:ascii="Times New Roman" w:eastAsia="Times New Roman" w:hAnsi="Times New Roman" w:cs="Times New Roman"/>
          <w:sz w:val="24"/>
          <w:szCs w:val="24"/>
        </w:rPr>
        <w:t>: um olhar das ciências humanas sobre o cenário evangélico no Brasil.  Rio de Janeiro: Mauad X, 2007.</w:t>
      </w:r>
    </w:p>
    <w:p w14:paraId="78B04D53" w14:textId="77777777" w:rsidR="00332C33" w:rsidRPr="002451B6" w:rsidRDefault="00332C33">
      <w:pPr>
        <w:spacing w:line="240" w:lineRule="auto"/>
        <w:jc w:val="both"/>
        <w:rPr>
          <w:rFonts w:ascii="Times New Roman" w:eastAsia="Times New Roman" w:hAnsi="Times New Roman" w:cs="Times New Roman"/>
          <w:sz w:val="24"/>
          <w:szCs w:val="24"/>
        </w:rPr>
      </w:pPr>
    </w:p>
    <w:p w14:paraId="1E935760"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DU MEZ, K. K. </w:t>
      </w:r>
      <w:r w:rsidRPr="002451B6">
        <w:rPr>
          <w:rFonts w:ascii="Times New Roman" w:eastAsia="Times New Roman" w:hAnsi="Times New Roman" w:cs="Times New Roman"/>
          <w:i/>
          <w:iCs/>
          <w:sz w:val="24"/>
          <w:szCs w:val="24"/>
        </w:rPr>
        <w:t>Jesus e John Wayne</w:t>
      </w:r>
      <w:r w:rsidRPr="002451B6">
        <w:rPr>
          <w:rFonts w:ascii="Times New Roman" w:eastAsia="Times New Roman" w:hAnsi="Times New Roman" w:cs="Times New Roman"/>
          <w:sz w:val="24"/>
          <w:szCs w:val="24"/>
        </w:rPr>
        <w:t xml:space="preserve">. São Paulo: Thomas Nelson Editora, 2022. </w:t>
      </w:r>
    </w:p>
    <w:p w14:paraId="158BB8D9" w14:textId="77777777" w:rsidR="00332C33" w:rsidRPr="002451B6" w:rsidRDefault="00332C33">
      <w:pPr>
        <w:spacing w:line="240" w:lineRule="auto"/>
        <w:jc w:val="both"/>
        <w:rPr>
          <w:rFonts w:ascii="Times New Roman" w:eastAsia="Times New Roman" w:hAnsi="Times New Roman" w:cs="Times New Roman"/>
          <w:sz w:val="24"/>
          <w:szCs w:val="24"/>
        </w:rPr>
      </w:pPr>
    </w:p>
    <w:p w14:paraId="2C3F0E70"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FIORENZA, E. S. </w:t>
      </w:r>
      <w:r w:rsidRPr="002451B6">
        <w:rPr>
          <w:rFonts w:ascii="Times New Roman" w:eastAsia="Times New Roman" w:hAnsi="Times New Roman" w:cs="Times New Roman"/>
          <w:i/>
          <w:iCs/>
          <w:sz w:val="24"/>
          <w:szCs w:val="24"/>
        </w:rPr>
        <w:t>As origens cristãs a partir da mulher</w:t>
      </w:r>
      <w:r w:rsidRPr="002451B6">
        <w:rPr>
          <w:rFonts w:ascii="Times New Roman" w:eastAsia="Times New Roman" w:hAnsi="Times New Roman" w:cs="Times New Roman"/>
          <w:sz w:val="24"/>
          <w:szCs w:val="24"/>
        </w:rPr>
        <w:t xml:space="preserve"> - uma nova hermenêutica. São Paulo: Editora Paulinas, 1992. [1985]   </w:t>
      </w:r>
    </w:p>
    <w:p w14:paraId="0A199B9C" w14:textId="77777777" w:rsidR="00332C33" w:rsidRPr="002451B6" w:rsidRDefault="00332C33">
      <w:pPr>
        <w:spacing w:line="240" w:lineRule="auto"/>
        <w:jc w:val="both"/>
        <w:rPr>
          <w:rFonts w:ascii="Times New Roman" w:eastAsia="Times New Roman" w:hAnsi="Times New Roman" w:cs="Times New Roman"/>
          <w:sz w:val="24"/>
          <w:szCs w:val="24"/>
        </w:rPr>
      </w:pPr>
    </w:p>
    <w:p w14:paraId="137356A3"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FREIRE, A. E. P. </w:t>
      </w:r>
      <w:r w:rsidRPr="002451B6">
        <w:rPr>
          <w:rFonts w:ascii="Times New Roman" w:eastAsia="Times New Roman" w:hAnsi="Times New Roman" w:cs="Times New Roman"/>
          <w:i/>
          <w:iCs/>
          <w:sz w:val="24"/>
          <w:szCs w:val="24"/>
        </w:rPr>
        <w:t>A abordagem feminista nas Ciências da Religião</w:t>
      </w:r>
      <w:r w:rsidRPr="002451B6">
        <w:rPr>
          <w:rFonts w:ascii="Times New Roman" w:eastAsia="Times New Roman" w:hAnsi="Times New Roman" w:cs="Times New Roman"/>
          <w:sz w:val="24"/>
          <w:szCs w:val="24"/>
        </w:rPr>
        <w:t>: contribuições para o estudo do fenômeno religioso. 2015. Dissertação (Mestrado em Ciências da Religião) - Programa de Pós-Graduação em Ciências da Religião, Pontifícia Universidade Católica de Minas Gerais, Belo Horizonte, 2015.</w:t>
      </w:r>
    </w:p>
    <w:p w14:paraId="4ACF7013" w14:textId="77777777" w:rsidR="00332C33" w:rsidRPr="002451B6" w:rsidRDefault="00332C33">
      <w:pPr>
        <w:spacing w:line="240" w:lineRule="auto"/>
        <w:jc w:val="both"/>
        <w:rPr>
          <w:rFonts w:ascii="Times New Roman" w:eastAsia="Times New Roman" w:hAnsi="Times New Roman" w:cs="Times New Roman"/>
          <w:sz w:val="24"/>
          <w:szCs w:val="24"/>
        </w:rPr>
      </w:pPr>
    </w:p>
    <w:p w14:paraId="130B5FF9"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GALETTI, C.  </w:t>
      </w:r>
      <w:r w:rsidRPr="002451B6">
        <w:rPr>
          <w:rFonts w:ascii="Times New Roman" w:eastAsia="Times New Roman" w:hAnsi="Times New Roman" w:cs="Times New Roman"/>
          <w:i/>
          <w:iCs/>
          <w:sz w:val="24"/>
          <w:szCs w:val="24"/>
        </w:rPr>
        <w:t>Antifeminismo culpabiliza mulheres pela violência e recompensa parlamentares da extrema direita</w:t>
      </w:r>
      <w:r w:rsidRPr="002451B6">
        <w:rPr>
          <w:rFonts w:ascii="Times New Roman" w:eastAsia="Times New Roman" w:hAnsi="Times New Roman" w:cs="Times New Roman"/>
          <w:sz w:val="24"/>
          <w:szCs w:val="24"/>
        </w:rPr>
        <w:t xml:space="preserve">. Disponível em: </w:t>
      </w:r>
      <w:hyperlink r:id="rId17">
        <w:r w:rsidR="00332C33" w:rsidRPr="002451B6">
          <w:rPr>
            <w:rFonts w:ascii="Times New Roman" w:eastAsia="Times New Roman" w:hAnsi="Times New Roman" w:cs="Times New Roman"/>
            <w:sz w:val="24"/>
            <w:szCs w:val="24"/>
            <w:u w:val="single"/>
          </w:rPr>
          <w:t>https://catarinas.info/antifeminismo-culpabiliza-mulheres-pela-violencia-e-recompensa-parlamentares-da-extrema-direita/</w:t>
        </w:r>
      </w:hyperlink>
      <w:r w:rsidRPr="002451B6">
        <w:rPr>
          <w:rFonts w:ascii="Times New Roman" w:eastAsia="Times New Roman" w:hAnsi="Times New Roman" w:cs="Times New Roman"/>
          <w:sz w:val="24"/>
          <w:szCs w:val="24"/>
        </w:rPr>
        <w:t>. Acesso em: 10 dez. 2025.</w:t>
      </w:r>
    </w:p>
    <w:p w14:paraId="366D897B" w14:textId="77777777" w:rsidR="00332C33" w:rsidRPr="002451B6" w:rsidRDefault="00332C33">
      <w:pPr>
        <w:spacing w:line="240" w:lineRule="auto"/>
        <w:jc w:val="both"/>
        <w:rPr>
          <w:rFonts w:ascii="Times New Roman" w:eastAsia="Times New Roman" w:hAnsi="Times New Roman" w:cs="Times New Roman"/>
          <w:sz w:val="24"/>
          <w:szCs w:val="24"/>
        </w:rPr>
      </w:pPr>
    </w:p>
    <w:p w14:paraId="23400C1A"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GRANT, J. </w:t>
      </w:r>
      <w:r w:rsidRPr="002451B6">
        <w:rPr>
          <w:rFonts w:ascii="Times New Roman" w:eastAsia="Times New Roman" w:hAnsi="Times New Roman" w:cs="Times New Roman"/>
          <w:i/>
          <w:iCs/>
          <w:sz w:val="24"/>
          <w:szCs w:val="24"/>
        </w:rPr>
        <w:t xml:space="preserve">White </w:t>
      </w:r>
      <w:proofErr w:type="spellStart"/>
      <w:r w:rsidRPr="002451B6">
        <w:rPr>
          <w:rFonts w:ascii="Times New Roman" w:eastAsia="Times New Roman" w:hAnsi="Times New Roman" w:cs="Times New Roman"/>
          <w:i/>
          <w:iCs/>
          <w:sz w:val="24"/>
          <w:szCs w:val="24"/>
        </w:rPr>
        <w:t>women's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christ</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and</w:t>
      </w:r>
      <w:proofErr w:type="spellEnd"/>
      <w:r w:rsidRPr="002451B6">
        <w:rPr>
          <w:rFonts w:ascii="Times New Roman" w:eastAsia="Times New Roman" w:hAnsi="Times New Roman" w:cs="Times New Roman"/>
          <w:i/>
          <w:iCs/>
          <w:sz w:val="24"/>
          <w:szCs w:val="24"/>
        </w:rPr>
        <w:t xml:space="preserve"> black </w:t>
      </w:r>
      <w:proofErr w:type="spellStart"/>
      <w:r w:rsidRPr="002451B6">
        <w:rPr>
          <w:rFonts w:ascii="Times New Roman" w:eastAsia="Times New Roman" w:hAnsi="Times New Roman" w:cs="Times New Roman"/>
          <w:i/>
          <w:iCs/>
          <w:sz w:val="24"/>
          <w:szCs w:val="24"/>
        </w:rPr>
        <w:t>women's</w:t>
      </w:r>
      <w:proofErr w:type="spellEnd"/>
      <w:r w:rsidRPr="002451B6">
        <w:rPr>
          <w:rFonts w:ascii="Times New Roman" w:eastAsia="Times New Roman" w:hAnsi="Times New Roman" w:cs="Times New Roman"/>
          <w:i/>
          <w:iCs/>
          <w:sz w:val="24"/>
          <w:szCs w:val="24"/>
        </w:rPr>
        <w:t xml:space="preserve"> Jesus</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feminist</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christology</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and</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womanist</w:t>
      </w:r>
      <w:proofErr w:type="spellEnd"/>
      <w:r w:rsidRPr="002451B6">
        <w:rPr>
          <w:rFonts w:ascii="Times New Roman" w:eastAsia="Times New Roman" w:hAnsi="Times New Roman" w:cs="Times New Roman"/>
          <w:sz w:val="24"/>
          <w:szCs w:val="24"/>
        </w:rPr>
        <w:t xml:space="preserve"> response. Atlanta: Scholar Press, 1989.</w:t>
      </w:r>
    </w:p>
    <w:p w14:paraId="6B1D01CE" w14:textId="77777777" w:rsidR="00332C33" w:rsidRPr="002451B6" w:rsidRDefault="00332C33">
      <w:pPr>
        <w:spacing w:line="240" w:lineRule="auto"/>
        <w:jc w:val="both"/>
        <w:rPr>
          <w:rFonts w:ascii="Times New Roman" w:eastAsia="Times New Roman" w:hAnsi="Times New Roman" w:cs="Times New Roman"/>
          <w:sz w:val="24"/>
          <w:szCs w:val="24"/>
        </w:rPr>
      </w:pPr>
    </w:p>
    <w:p w14:paraId="52DB3D29"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GEBARA, I. A mulher faz Teologia: Um ensaio para reflexão. </w:t>
      </w:r>
      <w:r w:rsidRPr="002451B6">
        <w:rPr>
          <w:rFonts w:ascii="Times New Roman" w:eastAsia="Times New Roman" w:hAnsi="Times New Roman" w:cs="Times New Roman"/>
          <w:i/>
          <w:iCs/>
          <w:sz w:val="24"/>
          <w:szCs w:val="24"/>
        </w:rPr>
        <w:t>Revista Eclesiástica Brasileira</w:t>
      </w:r>
      <w:r w:rsidRPr="002451B6">
        <w:rPr>
          <w:rFonts w:ascii="Times New Roman" w:eastAsia="Times New Roman" w:hAnsi="Times New Roman" w:cs="Times New Roman"/>
          <w:sz w:val="24"/>
          <w:szCs w:val="24"/>
        </w:rPr>
        <w:t>, v. 46, n. 181, p. 514, 1986.</w:t>
      </w:r>
    </w:p>
    <w:p w14:paraId="3FC63B84" w14:textId="77777777" w:rsidR="00332C33" w:rsidRPr="002451B6" w:rsidRDefault="00332C33">
      <w:pPr>
        <w:spacing w:line="240" w:lineRule="auto"/>
        <w:jc w:val="both"/>
        <w:rPr>
          <w:rFonts w:ascii="Times New Roman" w:eastAsia="Times New Roman" w:hAnsi="Times New Roman" w:cs="Times New Roman"/>
          <w:sz w:val="24"/>
          <w:szCs w:val="24"/>
        </w:rPr>
      </w:pPr>
    </w:p>
    <w:p w14:paraId="32E606D4"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GEBARA, I. </w:t>
      </w:r>
      <w:r w:rsidRPr="002451B6">
        <w:rPr>
          <w:rFonts w:ascii="Times New Roman" w:eastAsia="Times New Roman" w:hAnsi="Times New Roman" w:cs="Times New Roman"/>
          <w:i/>
          <w:iCs/>
          <w:sz w:val="24"/>
          <w:szCs w:val="24"/>
        </w:rPr>
        <w:t>Trindade</w:t>
      </w:r>
      <w:r w:rsidRPr="002451B6">
        <w:rPr>
          <w:rFonts w:ascii="Times New Roman" w:eastAsia="Times New Roman" w:hAnsi="Times New Roman" w:cs="Times New Roman"/>
          <w:sz w:val="24"/>
          <w:szCs w:val="24"/>
        </w:rPr>
        <w:t>: palavra sobre coisas velhas e novas. Uma perspectiva ecofeminista. São Paulo: Editora Paulinas, 1994.</w:t>
      </w:r>
    </w:p>
    <w:p w14:paraId="3DA0BE9E" w14:textId="77777777" w:rsidR="00332C33" w:rsidRPr="002451B6" w:rsidRDefault="00332C33">
      <w:pPr>
        <w:spacing w:line="240" w:lineRule="auto"/>
        <w:jc w:val="both"/>
        <w:rPr>
          <w:rFonts w:ascii="Times New Roman" w:eastAsia="Times New Roman" w:hAnsi="Times New Roman" w:cs="Times New Roman"/>
          <w:sz w:val="24"/>
          <w:szCs w:val="24"/>
        </w:rPr>
      </w:pPr>
    </w:p>
    <w:p w14:paraId="5ABD97CD"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GEBARA, I. </w:t>
      </w:r>
      <w:r w:rsidRPr="002451B6">
        <w:rPr>
          <w:rFonts w:ascii="Times New Roman" w:eastAsia="Times New Roman" w:hAnsi="Times New Roman" w:cs="Times New Roman"/>
          <w:i/>
          <w:iCs/>
          <w:sz w:val="24"/>
          <w:szCs w:val="24"/>
        </w:rPr>
        <w:t>Rompendo o silêncio</w:t>
      </w:r>
      <w:r w:rsidRPr="002451B6">
        <w:rPr>
          <w:rFonts w:ascii="Times New Roman" w:eastAsia="Times New Roman" w:hAnsi="Times New Roman" w:cs="Times New Roman"/>
          <w:sz w:val="24"/>
          <w:szCs w:val="24"/>
        </w:rPr>
        <w:t xml:space="preserve">: uma fenomenologia feminista do mal. Petrópolis: Editora Vozes, 2000. </w:t>
      </w:r>
    </w:p>
    <w:p w14:paraId="36757C99" w14:textId="77777777" w:rsidR="00332C33" w:rsidRPr="002451B6" w:rsidRDefault="00332C33">
      <w:pPr>
        <w:spacing w:line="240" w:lineRule="auto"/>
        <w:jc w:val="both"/>
        <w:rPr>
          <w:rFonts w:ascii="Times New Roman" w:eastAsia="Times New Roman" w:hAnsi="Times New Roman" w:cs="Times New Roman"/>
          <w:sz w:val="24"/>
          <w:szCs w:val="24"/>
        </w:rPr>
      </w:pPr>
    </w:p>
    <w:p w14:paraId="5439CD5A"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HUNT, M. Os novos nomes de Deus e o empoderamento feminino. </w:t>
      </w:r>
      <w:r w:rsidRPr="002451B6">
        <w:rPr>
          <w:rFonts w:ascii="Times New Roman" w:eastAsia="Times New Roman" w:hAnsi="Times New Roman" w:cs="Times New Roman"/>
          <w:i/>
          <w:iCs/>
          <w:sz w:val="24"/>
          <w:szCs w:val="24"/>
        </w:rPr>
        <w:t>IHU Online</w:t>
      </w:r>
      <w:r w:rsidRPr="002451B6">
        <w:rPr>
          <w:rFonts w:ascii="Times New Roman" w:eastAsia="Times New Roman" w:hAnsi="Times New Roman" w:cs="Times New Roman"/>
          <w:sz w:val="24"/>
          <w:szCs w:val="24"/>
        </w:rPr>
        <w:t>. 2009. Disponível em: https://www.ihuonline.unisinos.br/artigo/2818-mary-hunt-2. Acesso em: 10 dez. 2025.</w:t>
      </w:r>
    </w:p>
    <w:p w14:paraId="4887D262" w14:textId="77777777" w:rsidR="00332C33" w:rsidRPr="002451B6" w:rsidRDefault="00332C33">
      <w:pPr>
        <w:spacing w:line="240" w:lineRule="auto"/>
        <w:jc w:val="both"/>
        <w:rPr>
          <w:rFonts w:ascii="Times New Roman" w:eastAsia="Times New Roman" w:hAnsi="Times New Roman" w:cs="Times New Roman"/>
          <w:sz w:val="24"/>
          <w:szCs w:val="24"/>
        </w:rPr>
      </w:pPr>
    </w:p>
    <w:p w14:paraId="1D9EC788"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MELANO, B. </w:t>
      </w:r>
      <w:r w:rsidRPr="002451B6">
        <w:rPr>
          <w:rFonts w:ascii="Times New Roman" w:eastAsia="Times New Roman" w:hAnsi="Times New Roman" w:cs="Times New Roman"/>
          <w:i/>
          <w:iCs/>
          <w:sz w:val="24"/>
          <w:szCs w:val="24"/>
        </w:rPr>
        <w:t xml:space="preserve">La </w:t>
      </w:r>
      <w:proofErr w:type="spellStart"/>
      <w:r w:rsidRPr="002451B6">
        <w:rPr>
          <w:rFonts w:ascii="Times New Roman" w:eastAsia="Times New Roman" w:hAnsi="Times New Roman" w:cs="Times New Roman"/>
          <w:i/>
          <w:iCs/>
          <w:sz w:val="24"/>
          <w:szCs w:val="24"/>
        </w:rPr>
        <w:t>mujer</w:t>
      </w:r>
      <w:proofErr w:type="spellEnd"/>
      <w:r w:rsidRPr="002451B6">
        <w:rPr>
          <w:rFonts w:ascii="Times New Roman" w:eastAsia="Times New Roman" w:hAnsi="Times New Roman" w:cs="Times New Roman"/>
          <w:i/>
          <w:iCs/>
          <w:sz w:val="24"/>
          <w:szCs w:val="24"/>
        </w:rPr>
        <w:t xml:space="preserve"> y </w:t>
      </w:r>
      <w:proofErr w:type="spellStart"/>
      <w:r w:rsidRPr="002451B6">
        <w:rPr>
          <w:rFonts w:ascii="Times New Roman" w:eastAsia="Times New Roman" w:hAnsi="Times New Roman" w:cs="Times New Roman"/>
          <w:i/>
          <w:iCs/>
          <w:sz w:val="24"/>
          <w:szCs w:val="24"/>
        </w:rPr>
        <w:t>la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Iglesia</w:t>
      </w:r>
      <w:proofErr w:type="spellEnd"/>
      <w:r w:rsidRPr="002451B6">
        <w:rPr>
          <w:rFonts w:ascii="Times New Roman" w:eastAsia="Times New Roman" w:hAnsi="Times New Roman" w:cs="Times New Roman"/>
          <w:sz w:val="24"/>
          <w:szCs w:val="24"/>
        </w:rPr>
        <w:t>. Buenos Aires: El Escudo, 1973.</w:t>
      </w:r>
    </w:p>
    <w:p w14:paraId="6F595C48" w14:textId="77777777" w:rsidR="00332C33" w:rsidRPr="002451B6" w:rsidRDefault="00332C33">
      <w:pPr>
        <w:spacing w:line="240" w:lineRule="auto"/>
        <w:jc w:val="both"/>
        <w:rPr>
          <w:rFonts w:ascii="Times New Roman" w:eastAsia="Times New Roman" w:hAnsi="Times New Roman" w:cs="Times New Roman"/>
          <w:sz w:val="24"/>
          <w:szCs w:val="24"/>
        </w:rPr>
      </w:pPr>
    </w:p>
    <w:p w14:paraId="523638FB"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SCHNEIDERS, S. M. </w:t>
      </w:r>
      <w:proofErr w:type="spellStart"/>
      <w:r w:rsidRPr="002451B6">
        <w:rPr>
          <w:rFonts w:ascii="Times New Roman" w:eastAsia="Times New Roman" w:hAnsi="Times New Roman" w:cs="Times New Roman"/>
          <w:i/>
          <w:iCs/>
          <w:sz w:val="24"/>
          <w:szCs w:val="24"/>
        </w:rPr>
        <w:t>Women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and</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the</w:t>
      </w:r>
      <w:proofErr w:type="spellEnd"/>
      <w:r w:rsidRPr="002451B6">
        <w:rPr>
          <w:rFonts w:ascii="Times New Roman" w:eastAsia="Times New Roman" w:hAnsi="Times New Roman" w:cs="Times New Roman"/>
          <w:i/>
          <w:iCs/>
          <w:sz w:val="24"/>
          <w:szCs w:val="24"/>
        </w:rPr>
        <w:t xml:space="preserve"> word:</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the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gender</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of</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god</w:t>
      </w:r>
      <w:proofErr w:type="spellEnd"/>
      <w:r w:rsidRPr="002451B6">
        <w:rPr>
          <w:rFonts w:ascii="Times New Roman" w:eastAsia="Times New Roman" w:hAnsi="Times New Roman" w:cs="Times New Roman"/>
          <w:sz w:val="24"/>
          <w:szCs w:val="24"/>
        </w:rPr>
        <w:t xml:space="preserve"> in </w:t>
      </w:r>
      <w:proofErr w:type="spellStart"/>
      <w:r w:rsidRPr="002451B6">
        <w:rPr>
          <w:rFonts w:ascii="Times New Roman" w:eastAsia="Times New Roman" w:hAnsi="Times New Roman" w:cs="Times New Roman"/>
          <w:sz w:val="24"/>
          <w:szCs w:val="24"/>
        </w:rPr>
        <w:t>the</w:t>
      </w:r>
      <w:proofErr w:type="spellEnd"/>
      <w:r w:rsidRPr="002451B6">
        <w:rPr>
          <w:rFonts w:ascii="Times New Roman" w:eastAsia="Times New Roman" w:hAnsi="Times New Roman" w:cs="Times New Roman"/>
          <w:sz w:val="24"/>
          <w:szCs w:val="24"/>
        </w:rPr>
        <w:t xml:space="preserve"> New </w:t>
      </w:r>
      <w:proofErr w:type="spellStart"/>
      <w:r w:rsidRPr="002451B6">
        <w:rPr>
          <w:rFonts w:ascii="Times New Roman" w:eastAsia="Times New Roman" w:hAnsi="Times New Roman" w:cs="Times New Roman"/>
          <w:sz w:val="24"/>
          <w:szCs w:val="24"/>
        </w:rPr>
        <w:t>Testament</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and</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the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spirituality</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of</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women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Mahwah</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Paulist</w:t>
      </w:r>
      <w:proofErr w:type="spellEnd"/>
      <w:r w:rsidRPr="002451B6">
        <w:rPr>
          <w:rFonts w:ascii="Times New Roman" w:eastAsia="Times New Roman" w:hAnsi="Times New Roman" w:cs="Times New Roman"/>
          <w:sz w:val="24"/>
          <w:szCs w:val="24"/>
        </w:rPr>
        <w:t xml:space="preserve"> Press, 1989. </w:t>
      </w:r>
    </w:p>
    <w:p w14:paraId="0534D4B9" w14:textId="77777777" w:rsidR="00332C33" w:rsidRPr="002451B6" w:rsidRDefault="00332C33">
      <w:pPr>
        <w:spacing w:line="240" w:lineRule="auto"/>
        <w:jc w:val="both"/>
        <w:rPr>
          <w:rFonts w:ascii="Times New Roman" w:eastAsia="Times New Roman" w:hAnsi="Times New Roman" w:cs="Times New Roman"/>
          <w:sz w:val="24"/>
          <w:szCs w:val="24"/>
        </w:rPr>
      </w:pPr>
    </w:p>
    <w:p w14:paraId="56D16106"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PEREIRA, N. C. Ruptura e Continuidade - o lugar da mulher no Salmo 128.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DREHER, C.; LOPES, E. (Org.). </w:t>
      </w:r>
      <w:r w:rsidRPr="002451B6">
        <w:rPr>
          <w:rFonts w:ascii="Times New Roman" w:eastAsia="Times New Roman" w:hAnsi="Times New Roman" w:cs="Times New Roman"/>
          <w:i/>
          <w:iCs/>
          <w:sz w:val="24"/>
          <w:szCs w:val="24"/>
        </w:rPr>
        <w:t>Como uma brisa leve</w:t>
      </w:r>
      <w:r w:rsidRPr="002451B6">
        <w:rPr>
          <w:rFonts w:ascii="Times New Roman" w:eastAsia="Times New Roman" w:hAnsi="Times New Roman" w:cs="Times New Roman"/>
          <w:sz w:val="24"/>
          <w:szCs w:val="24"/>
        </w:rPr>
        <w:t xml:space="preserve"> - homenagem a Frei Carlos </w:t>
      </w:r>
      <w:proofErr w:type="spellStart"/>
      <w:r w:rsidRPr="002451B6">
        <w:rPr>
          <w:rFonts w:ascii="Times New Roman" w:eastAsia="Times New Roman" w:hAnsi="Times New Roman" w:cs="Times New Roman"/>
          <w:sz w:val="24"/>
          <w:szCs w:val="24"/>
        </w:rPr>
        <w:t>Mesters</w:t>
      </w:r>
      <w:proofErr w:type="spellEnd"/>
      <w:r w:rsidRPr="002451B6">
        <w:rPr>
          <w:rFonts w:ascii="Times New Roman" w:eastAsia="Times New Roman" w:hAnsi="Times New Roman" w:cs="Times New Roman"/>
          <w:sz w:val="24"/>
          <w:szCs w:val="24"/>
        </w:rPr>
        <w:t>. São Leopoldo, RS: Sinodal, 1990. p. 82-92.</w:t>
      </w:r>
    </w:p>
    <w:p w14:paraId="3983F647" w14:textId="77777777" w:rsidR="00332C33" w:rsidRPr="002451B6" w:rsidRDefault="00332C33">
      <w:pPr>
        <w:spacing w:line="240" w:lineRule="auto"/>
        <w:jc w:val="both"/>
        <w:rPr>
          <w:rFonts w:ascii="Times New Roman" w:eastAsia="Times New Roman" w:hAnsi="Times New Roman" w:cs="Times New Roman"/>
          <w:sz w:val="24"/>
          <w:szCs w:val="24"/>
        </w:rPr>
      </w:pPr>
    </w:p>
    <w:p w14:paraId="168BC621"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PEREIRA, H. Evangélicos e democracia durante o governo Bolsonaro. </w:t>
      </w:r>
      <w:r w:rsidRPr="002451B6">
        <w:rPr>
          <w:rFonts w:ascii="Times New Roman" w:eastAsia="Times New Roman" w:hAnsi="Times New Roman" w:cs="Times New Roman"/>
          <w:i/>
          <w:iCs/>
          <w:sz w:val="24"/>
          <w:szCs w:val="24"/>
        </w:rPr>
        <w:t>Estudos Teológicos</w:t>
      </w:r>
      <w:r w:rsidRPr="002451B6">
        <w:rPr>
          <w:rFonts w:ascii="Times New Roman" w:eastAsia="Times New Roman" w:hAnsi="Times New Roman" w:cs="Times New Roman"/>
          <w:sz w:val="24"/>
          <w:szCs w:val="24"/>
        </w:rPr>
        <w:t xml:space="preserve">, São </w:t>
      </w:r>
      <w:proofErr w:type="spellStart"/>
      <w:r w:rsidRPr="002451B6">
        <w:rPr>
          <w:rFonts w:ascii="Times New Roman" w:eastAsia="Times New Roman" w:hAnsi="Times New Roman" w:cs="Times New Roman"/>
          <w:sz w:val="24"/>
          <w:szCs w:val="24"/>
        </w:rPr>
        <w:t>Leopodo</w:t>
      </w:r>
      <w:proofErr w:type="spellEnd"/>
      <w:r w:rsidRPr="002451B6">
        <w:rPr>
          <w:rFonts w:ascii="Times New Roman" w:eastAsia="Times New Roman" w:hAnsi="Times New Roman" w:cs="Times New Roman"/>
          <w:sz w:val="24"/>
          <w:szCs w:val="24"/>
        </w:rPr>
        <w:t>, v. 64, n. 2, p. 1-16, jul./dez 2024 Disponível em: https://revistas.est.edu.br/ET/article/view/2959/2875. Acesso em: 15 mar. 2025.</w:t>
      </w:r>
    </w:p>
    <w:p w14:paraId="0B3CACA5" w14:textId="77777777" w:rsidR="00332C33" w:rsidRPr="002451B6" w:rsidRDefault="00332C33">
      <w:pPr>
        <w:spacing w:line="240" w:lineRule="auto"/>
        <w:jc w:val="both"/>
        <w:rPr>
          <w:rFonts w:ascii="Times New Roman" w:eastAsia="Times New Roman" w:hAnsi="Times New Roman" w:cs="Times New Roman"/>
          <w:sz w:val="24"/>
          <w:szCs w:val="24"/>
        </w:rPr>
      </w:pPr>
    </w:p>
    <w:p w14:paraId="31B7E273"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TAMEZ, E. </w:t>
      </w:r>
      <w:r w:rsidRPr="002451B6">
        <w:rPr>
          <w:rFonts w:ascii="Times New Roman" w:eastAsia="Times New Roman" w:hAnsi="Times New Roman" w:cs="Times New Roman"/>
          <w:i/>
          <w:iCs/>
          <w:sz w:val="24"/>
          <w:szCs w:val="24"/>
        </w:rPr>
        <w:t xml:space="preserve">A Bíblia dos oprimidos: </w:t>
      </w:r>
      <w:r w:rsidRPr="002451B6">
        <w:rPr>
          <w:rFonts w:ascii="Times New Roman" w:eastAsia="Times New Roman" w:hAnsi="Times New Roman" w:cs="Times New Roman"/>
          <w:sz w:val="24"/>
          <w:szCs w:val="24"/>
        </w:rPr>
        <w:t>a opressão na teologia bíblica. São Paulo: Editora Paulinas, 1980 [1979]</w:t>
      </w:r>
    </w:p>
    <w:p w14:paraId="76772B91" w14:textId="77777777" w:rsidR="00332C33" w:rsidRPr="002451B6" w:rsidRDefault="00332C33">
      <w:pPr>
        <w:spacing w:line="240" w:lineRule="auto"/>
        <w:jc w:val="both"/>
        <w:rPr>
          <w:rFonts w:ascii="Times New Roman" w:eastAsia="Times New Roman" w:hAnsi="Times New Roman" w:cs="Times New Roman"/>
          <w:sz w:val="24"/>
          <w:szCs w:val="24"/>
        </w:rPr>
      </w:pPr>
    </w:p>
    <w:p w14:paraId="54CF590E"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TAMEZ, E. (Org.) </w:t>
      </w:r>
      <w:r w:rsidRPr="002451B6">
        <w:rPr>
          <w:rFonts w:ascii="Times New Roman" w:eastAsia="Times New Roman" w:hAnsi="Times New Roman" w:cs="Times New Roman"/>
          <w:i/>
          <w:iCs/>
          <w:sz w:val="24"/>
          <w:szCs w:val="24"/>
        </w:rPr>
        <w:t>As mulheres tomam a palavra</w:t>
      </w:r>
      <w:r w:rsidRPr="002451B6">
        <w:rPr>
          <w:rFonts w:ascii="Times New Roman" w:eastAsia="Times New Roman" w:hAnsi="Times New Roman" w:cs="Times New Roman"/>
          <w:sz w:val="24"/>
          <w:szCs w:val="24"/>
        </w:rPr>
        <w:t>.  São Paulo: Edições Loyola, 1990.</w:t>
      </w:r>
    </w:p>
    <w:p w14:paraId="31983FD5" w14:textId="77777777" w:rsidR="00332C33" w:rsidRPr="002451B6" w:rsidRDefault="00332C33">
      <w:pPr>
        <w:spacing w:line="240" w:lineRule="auto"/>
        <w:jc w:val="both"/>
        <w:rPr>
          <w:rFonts w:ascii="Times New Roman" w:eastAsia="Times New Roman" w:hAnsi="Times New Roman" w:cs="Times New Roman"/>
          <w:sz w:val="24"/>
          <w:szCs w:val="24"/>
        </w:rPr>
      </w:pPr>
    </w:p>
    <w:p w14:paraId="38D5AEBD"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TAMEZ, E.; AQUINO, M. P.</w:t>
      </w:r>
      <w:r w:rsidRPr="002451B6">
        <w:rPr>
          <w:rFonts w:ascii="Times New Roman" w:eastAsia="Times New Roman" w:hAnsi="Times New Roman" w:cs="Times New Roman"/>
          <w:i/>
          <w:iCs/>
          <w:sz w:val="24"/>
          <w:szCs w:val="24"/>
        </w:rPr>
        <w:t xml:space="preserve"> Teologia feminista latino-americana.</w:t>
      </w:r>
      <w:r w:rsidRPr="002451B6">
        <w:rPr>
          <w:rFonts w:ascii="Times New Roman" w:eastAsia="Times New Roman" w:hAnsi="Times New Roman" w:cs="Times New Roman"/>
          <w:sz w:val="24"/>
          <w:szCs w:val="24"/>
        </w:rPr>
        <w:t xml:space="preserve"> Quito: </w:t>
      </w:r>
      <w:proofErr w:type="spellStart"/>
      <w:r w:rsidRPr="002451B6">
        <w:rPr>
          <w:rFonts w:ascii="Times New Roman" w:eastAsia="Times New Roman" w:hAnsi="Times New Roman" w:cs="Times New Roman"/>
          <w:sz w:val="24"/>
          <w:szCs w:val="24"/>
        </w:rPr>
        <w:t>Ediciones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Abya</w:t>
      </w:r>
      <w:proofErr w:type="spellEnd"/>
      <w:r w:rsidRPr="002451B6">
        <w:rPr>
          <w:rFonts w:ascii="Times New Roman" w:eastAsia="Times New Roman" w:hAnsi="Times New Roman" w:cs="Times New Roman"/>
          <w:sz w:val="24"/>
          <w:szCs w:val="24"/>
        </w:rPr>
        <w:t>-Yala, 1998.</w:t>
      </w:r>
    </w:p>
    <w:p w14:paraId="789D52C3" w14:textId="77777777" w:rsidR="00332C33" w:rsidRPr="002451B6" w:rsidRDefault="00332C33">
      <w:pPr>
        <w:spacing w:line="240" w:lineRule="auto"/>
        <w:jc w:val="both"/>
        <w:rPr>
          <w:rFonts w:ascii="Times New Roman" w:eastAsia="Times New Roman" w:hAnsi="Times New Roman" w:cs="Times New Roman"/>
          <w:sz w:val="24"/>
          <w:szCs w:val="24"/>
        </w:rPr>
      </w:pPr>
    </w:p>
    <w:p w14:paraId="467CF555"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WOOD, H. </w:t>
      </w:r>
      <w:proofErr w:type="spellStart"/>
      <w:r w:rsidRPr="002451B6">
        <w:rPr>
          <w:rFonts w:ascii="Times New Roman" w:eastAsia="Times New Roman" w:hAnsi="Times New Roman" w:cs="Times New Roman"/>
          <w:sz w:val="24"/>
          <w:szCs w:val="24"/>
        </w:rPr>
        <w:t>Feminists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and</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their</w:t>
      </w:r>
      <w:proofErr w:type="spellEnd"/>
      <w:r w:rsidRPr="002451B6">
        <w:rPr>
          <w:rFonts w:ascii="Times New Roman" w:eastAsia="Times New Roman" w:hAnsi="Times New Roman" w:cs="Times New Roman"/>
          <w:sz w:val="24"/>
          <w:szCs w:val="24"/>
        </w:rPr>
        <w:t xml:space="preserve"> perspectives </w:t>
      </w:r>
      <w:proofErr w:type="spellStart"/>
      <w:r w:rsidRPr="002451B6">
        <w:rPr>
          <w:rFonts w:ascii="Times New Roman" w:eastAsia="Times New Roman" w:hAnsi="Times New Roman" w:cs="Times New Roman"/>
          <w:sz w:val="24"/>
          <w:szCs w:val="24"/>
        </w:rPr>
        <w:t>on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the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church</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fathers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beliefs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regarding</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women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inquiry</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Verbum Eccles</w:t>
      </w:r>
      <w:r w:rsidRPr="002451B6">
        <w:rPr>
          <w:rFonts w:ascii="Times New Roman" w:eastAsia="Times New Roman" w:hAnsi="Times New Roman" w:cs="Times New Roman"/>
          <w:sz w:val="24"/>
          <w:szCs w:val="24"/>
        </w:rPr>
        <w:t>. (Online) v.38</w:t>
      </w:r>
      <w:proofErr w:type="gramStart"/>
      <w:r w:rsidRPr="002451B6">
        <w:rPr>
          <w:rFonts w:ascii="Times New Roman" w:eastAsia="Times New Roman" w:hAnsi="Times New Roman" w:cs="Times New Roman"/>
          <w:sz w:val="24"/>
          <w:szCs w:val="24"/>
        </w:rPr>
        <w:t>,  n.1,  2017</w:t>
      </w:r>
      <w:proofErr w:type="gramEnd"/>
      <w:r w:rsidRPr="002451B6">
        <w:rPr>
          <w:rFonts w:ascii="Times New Roman" w:eastAsia="Times New Roman" w:hAnsi="Times New Roman" w:cs="Times New Roman"/>
          <w:sz w:val="24"/>
          <w:szCs w:val="24"/>
        </w:rPr>
        <w:t xml:space="preserve">. Disponível em: </w:t>
      </w:r>
      <w:hyperlink r:id="rId18">
        <w:r w:rsidR="00332C33" w:rsidRPr="002451B6">
          <w:rPr>
            <w:rFonts w:ascii="Times New Roman" w:eastAsia="Times New Roman" w:hAnsi="Times New Roman" w:cs="Times New Roman"/>
            <w:sz w:val="24"/>
            <w:szCs w:val="24"/>
            <w:u w:val="single"/>
          </w:rPr>
          <w:t>https://scielo.org.za/scielo.php?script=sci_arttext&amp;pid=S2074-77052017000100005</w:t>
        </w:r>
      </w:hyperlink>
      <w:r w:rsidRPr="002451B6">
        <w:rPr>
          <w:rFonts w:ascii="Times New Roman" w:eastAsia="Times New Roman" w:hAnsi="Times New Roman" w:cs="Times New Roman"/>
          <w:sz w:val="24"/>
          <w:szCs w:val="24"/>
        </w:rPr>
        <w:t xml:space="preserve">. </w:t>
      </w:r>
    </w:p>
    <w:p w14:paraId="42DC8656" w14:textId="77777777" w:rsidR="00332C33" w:rsidRPr="002451B6" w:rsidRDefault="00332C33">
      <w:pPr>
        <w:spacing w:line="240" w:lineRule="auto"/>
        <w:jc w:val="both"/>
        <w:rPr>
          <w:rFonts w:ascii="Times New Roman" w:eastAsia="Times New Roman" w:hAnsi="Times New Roman" w:cs="Times New Roman"/>
          <w:sz w:val="24"/>
          <w:szCs w:val="24"/>
        </w:rPr>
      </w:pPr>
    </w:p>
    <w:p w14:paraId="211A5D85" w14:textId="77777777" w:rsidR="00332C33" w:rsidRPr="002451B6" w:rsidRDefault="00332C33">
      <w:pPr>
        <w:spacing w:line="240" w:lineRule="auto"/>
        <w:jc w:val="both"/>
        <w:rPr>
          <w:rFonts w:ascii="Times New Roman" w:eastAsia="Times New Roman" w:hAnsi="Times New Roman" w:cs="Times New Roman"/>
          <w:sz w:val="24"/>
          <w:szCs w:val="24"/>
        </w:rPr>
      </w:pPr>
    </w:p>
    <w:p w14:paraId="0B828DB6" w14:textId="77777777" w:rsidR="00332C33" w:rsidRPr="002451B6" w:rsidRDefault="00000000">
      <w:pPr>
        <w:spacing w:line="240" w:lineRule="auto"/>
        <w:jc w:val="both"/>
        <w:rPr>
          <w:rFonts w:ascii="Times New Roman" w:eastAsia="Times New Roman" w:hAnsi="Times New Roman" w:cs="Times New Roman"/>
          <w:i/>
          <w:iCs/>
          <w:sz w:val="28"/>
          <w:szCs w:val="28"/>
        </w:rPr>
      </w:pPr>
      <w:r w:rsidRPr="002451B6">
        <w:rPr>
          <w:rFonts w:ascii="Times New Roman" w:eastAsia="Times New Roman" w:hAnsi="Times New Roman" w:cs="Times New Roman"/>
          <w:sz w:val="24"/>
          <w:szCs w:val="24"/>
        </w:rPr>
        <w:tab/>
      </w:r>
    </w:p>
    <w:p w14:paraId="2A834327" w14:textId="77777777" w:rsidR="00332C33" w:rsidRPr="002451B6" w:rsidRDefault="00332C33">
      <w:pPr>
        <w:spacing w:line="360" w:lineRule="auto"/>
        <w:rPr>
          <w:rFonts w:ascii="Times New Roman" w:eastAsia="Times New Roman" w:hAnsi="Times New Roman" w:cs="Times New Roman"/>
          <w:i/>
          <w:iCs/>
          <w:sz w:val="28"/>
          <w:szCs w:val="28"/>
        </w:rPr>
      </w:pPr>
    </w:p>
    <w:p w14:paraId="08B40650" w14:textId="77777777" w:rsidR="00332C33" w:rsidRPr="002451B6" w:rsidRDefault="00332C33">
      <w:pPr>
        <w:spacing w:line="360" w:lineRule="auto"/>
        <w:rPr>
          <w:rFonts w:ascii="Times New Roman" w:eastAsia="Times New Roman" w:hAnsi="Times New Roman" w:cs="Times New Roman"/>
          <w:i/>
          <w:iCs/>
          <w:sz w:val="28"/>
          <w:szCs w:val="28"/>
        </w:rPr>
      </w:pPr>
    </w:p>
    <w:p w14:paraId="7D62E80D" w14:textId="77777777" w:rsidR="00332C33" w:rsidRPr="002451B6" w:rsidRDefault="00332C33">
      <w:pPr>
        <w:spacing w:line="360" w:lineRule="auto"/>
        <w:rPr>
          <w:rFonts w:ascii="Times New Roman" w:eastAsia="Times New Roman" w:hAnsi="Times New Roman" w:cs="Times New Roman"/>
          <w:i/>
          <w:iCs/>
          <w:sz w:val="28"/>
          <w:szCs w:val="28"/>
        </w:rPr>
      </w:pPr>
    </w:p>
    <w:p w14:paraId="566D3561" w14:textId="77777777" w:rsidR="00332C33" w:rsidRPr="002451B6" w:rsidRDefault="00332C33">
      <w:pPr>
        <w:spacing w:line="360" w:lineRule="auto"/>
        <w:rPr>
          <w:rFonts w:ascii="Times New Roman" w:eastAsia="Times New Roman" w:hAnsi="Times New Roman" w:cs="Times New Roman"/>
          <w:i/>
          <w:iCs/>
          <w:sz w:val="28"/>
          <w:szCs w:val="28"/>
        </w:rPr>
      </w:pPr>
    </w:p>
    <w:p w14:paraId="1756EABA" w14:textId="77777777" w:rsidR="00332C33" w:rsidRPr="002451B6" w:rsidRDefault="00332C33">
      <w:pPr>
        <w:spacing w:line="360" w:lineRule="auto"/>
        <w:rPr>
          <w:rFonts w:ascii="Times New Roman" w:eastAsia="Times New Roman" w:hAnsi="Times New Roman" w:cs="Times New Roman"/>
          <w:i/>
          <w:iCs/>
          <w:sz w:val="28"/>
          <w:szCs w:val="28"/>
        </w:rPr>
      </w:pPr>
    </w:p>
    <w:p w14:paraId="7C77B111" w14:textId="77777777" w:rsidR="00332C33" w:rsidRPr="002451B6" w:rsidRDefault="00332C33">
      <w:pPr>
        <w:spacing w:line="360" w:lineRule="auto"/>
        <w:rPr>
          <w:rFonts w:ascii="Times New Roman" w:eastAsia="Times New Roman" w:hAnsi="Times New Roman" w:cs="Times New Roman"/>
          <w:i/>
          <w:iCs/>
          <w:sz w:val="28"/>
          <w:szCs w:val="28"/>
        </w:rPr>
      </w:pPr>
    </w:p>
    <w:p w14:paraId="16D0CEAB" w14:textId="77777777" w:rsidR="00332C33" w:rsidRPr="002451B6" w:rsidRDefault="00332C33">
      <w:pPr>
        <w:spacing w:line="360" w:lineRule="auto"/>
        <w:rPr>
          <w:rFonts w:ascii="Times New Roman" w:eastAsia="Times New Roman" w:hAnsi="Times New Roman" w:cs="Times New Roman"/>
          <w:i/>
          <w:iCs/>
          <w:sz w:val="28"/>
          <w:szCs w:val="28"/>
        </w:rPr>
      </w:pPr>
    </w:p>
    <w:p w14:paraId="63952267" w14:textId="77777777" w:rsidR="00332C33" w:rsidRPr="002451B6" w:rsidRDefault="00332C33">
      <w:pPr>
        <w:spacing w:line="360" w:lineRule="auto"/>
        <w:rPr>
          <w:rFonts w:ascii="Times New Roman" w:eastAsia="Times New Roman" w:hAnsi="Times New Roman" w:cs="Times New Roman"/>
          <w:i/>
          <w:iCs/>
          <w:sz w:val="28"/>
          <w:szCs w:val="28"/>
        </w:rPr>
      </w:pPr>
    </w:p>
    <w:p w14:paraId="6B55B0AB" w14:textId="77777777" w:rsidR="00332C33" w:rsidRPr="002451B6" w:rsidRDefault="00332C33">
      <w:pPr>
        <w:spacing w:line="360" w:lineRule="auto"/>
        <w:rPr>
          <w:rFonts w:ascii="Times New Roman" w:eastAsia="Times New Roman" w:hAnsi="Times New Roman" w:cs="Times New Roman"/>
          <w:i/>
          <w:iCs/>
          <w:sz w:val="28"/>
          <w:szCs w:val="28"/>
        </w:rPr>
      </w:pPr>
    </w:p>
    <w:p w14:paraId="51677580" w14:textId="77777777" w:rsidR="00332C33" w:rsidRPr="002451B6" w:rsidRDefault="00332C33">
      <w:pPr>
        <w:spacing w:line="360" w:lineRule="auto"/>
        <w:rPr>
          <w:rFonts w:ascii="Times New Roman" w:eastAsia="Times New Roman" w:hAnsi="Times New Roman" w:cs="Times New Roman"/>
          <w:i/>
          <w:iCs/>
          <w:sz w:val="28"/>
          <w:szCs w:val="28"/>
        </w:rPr>
      </w:pPr>
    </w:p>
    <w:p w14:paraId="09138034" w14:textId="77777777" w:rsidR="00332C33" w:rsidRPr="002451B6" w:rsidRDefault="00332C33">
      <w:pPr>
        <w:spacing w:line="360" w:lineRule="auto"/>
        <w:rPr>
          <w:rFonts w:ascii="Times New Roman" w:eastAsia="Times New Roman" w:hAnsi="Times New Roman" w:cs="Times New Roman"/>
          <w:i/>
          <w:iCs/>
          <w:sz w:val="28"/>
          <w:szCs w:val="28"/>
        </w:rPr>
      </w:pPr>
    </w:p>
    <w:p w14:paraId="4C29F00E"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VIOLÊNCIAS POLÍTICAS DE GÊNERO. REFLEXÕES E COMBATES</w:t>
      </w:r>
    </w:p>
    <w:p w14:paraId="7FEB2685" w14:textId="77777777" w:rsidR="00332C33" w:rsidRPr="002451B6" w:rsidRDefault="00332C33">
      <w:pPr>
        <w:spacing w:line="360" w:lineRule="auto"/>
        <w:rPr>
          <w:rFonts w:ascii="Times New Roman" w:eastAsia="Times New Roman" w:hAnsi="Times New Roman" w:cs="Times New Roman"/>
          <w:i/>
          <w:iCs/>
          <w:sz w:val="28"/>
          <w:szCs w:val="28"/>
        </w:rPr>
      </w:pPr>
    </w:p>
    <w:p w14:paraId="7B31A98F" w14:textId="77777777" w:rsidR="00332C33" w:rsidRPr="002451B6" w:rsidRDefault="00332C33">
      <w:pPr>
        <w:spacing w:line="360" w:lineRule="auto"/>
        <w:rPr>
          <w:rFonts w:ascii="Times New Roman" w:eastAsia="Times New Roman" w:hAnsi="Times New Roman" w:cs="Times New Roman"/>
          <w:i/>
          <w:iCs/>
          <w:sz w:val="28"/>
          <w:szCs w:val="28"/>
        </w:rPr>
      </w:pPr>
    </w:p>
    <w:p w14:paraId="3B42CCDC" w14:textId="77777777" w:rsidR="00332C33" w:rsidRPr="002451B6" w:rsidRDefault="00332C33">
      <w:pPr>
        <w:spacing w:line="360" w:lineRule="auto"/>
        <w:rPr>
          <w:rFonts w:ascii="Times New Roman" w:eastAsia="Times New Roman" w:hAnsi="Times New Roman" w:cs="Times New Roman"/>
          <w:i/>
          <w:iCs/>
          <w:sz w:val="28"/>
          <w:szCs w:val="28"/>
        </w:rPr>
      </w:pPr>
    </w:p>
    <w:p w14:paraId="0CB9DBC8" w14:textId="77777777" w:rsidR="00332C33" w:rsidRPr="002451B6" w:rsidRDefault="00332C33">
      <w:pPr>
        <w:spacing w:line="360" w:lineRule="auto"/>
        <w:rPr>
          <w:rFonts w:ascii="Times New Roman" w:eastAsia="Times New Roman" w:hAnsi="Times New Roman" w:cs="Times New Roman"/>
          <w:i/>
          <w:iCs/>
          <w:sz w:val="28"/>
          <w:szCs w:val="28"/>
        </w:rPr>
      </w:pPr>
    </w:p>
    <w:p w14:paraId="5131428D" w14:textId="77777777" w:rsidR="00332C33" w:rsidRPr="002451B6" w:rsidRDefault="00332C33">
      <w:pPr>
        <w:spacing w:line="360" w:lineRule="auto"/>
        <w:rPr>
          <w:rFonts w:ascii="Times New Roman" w:eastAsia="Times New Roman" w:hAnsi="Times New Roman" w:cs="Times New Roman"/>
          <w:i/>
          <w:iCs/>
          <w:sz w:val="28"/>
          <w:szCs w:val="28"/>
        </w:rPr>
      </w:pPr>
    </w:p>
    <w:p w14:paraId="69D2EC38" w14:textId="77777777" w:rsidR="00332C33" w:rsidRPr="002451B6" w:rsidRDefault="00332C33">
      <w:pPr>
        <w:spacing w:line="360" w:lineRule="auto"/>
        <w:rPr>
          <w:rFonts w:ascii="Times New Roman" w:eastAsia="Times New Roman" w:hAnsi="Times New Roman" w:cs="Times New Roman"/>
          <w:i/>
          <w:iCs/>
          <w:sz w:val="28"/>
          <w:szCs w:val="28"/>
        </w:rPr>
      </w:pPr>
    </w:p>
    <w:p w14:paraId="5BBD07BE" w14:textId="77777777" w:rsidR="00332C33" w:rsidRPr="002451B6" w:rsidRDefault="00332C33">
      <w:pPr>
        <w:spacing w:line="360" w:lineRule="auto"/>
        <w:rPr>
          <w:rFonts w:ascii="Times New Roman" w:eastAsia="Times New Roman" w:hAnsi="Times New Roman" w:cs="Times New Roman"/>
          <w:i/>
          <w:iCs/>
          <w:sz w:val="28"/>
          <w:szCs w:val="28"/>
        </w:rPr>
      </w:pPr>
    </w:p>
    <w:p w14:paraId="7DDEF756" w14:textId="77777777" w:rsidR="00332C33" w:rsidRPr="002451B6" w:rsidRDefault="00332C33">
      <w:pPr>
        <w:spacing w:line="360" w:lineRule="auto"/>
        <w:rPr>
          <w:rFonts w:ascii="Times New Roman" w:eastAsia="Times New Roman" w:hAnsi="Times New Roman" w:cs="Times New Roman"/>
          <w:i/>
          <w:iCs/>
          <w:sz w:val="28"/>
          <w:szCs w:val="28"/>
        </w:rPr>
      </w:pPr>
    </w:p>
    <w:p w14:paraId="6DC38CFC" w14:textId="77777777" w:rsidR="00332C33" w:rsidRPr="002451B6" w:rsidRDefault="00332C33">
      <w:pPr>
        <w:spacing w:line="360" w:lineRule="auto"/>
        <w:rPr>
          <w:rFonts w:ascii="Times New Roman" w:eastAsia="Times New Roman" w:hAnsi="Times New Roman" w:cs="Times New Roman"/>
          <w:i/>
          <w:iCs/>
          <w:sz w:val="28"/>
          <w:szCs w:val="28"/>
        </w:rPr>
      </w:pPr>
    </w:p>
    <w:p w14:paraId="02048B5F" w14:textId="77777777" w:rsidR="00332C33" w:rsidRPr="002451B6" w:rsidRDefault="00332C33">
      <w:pPr>
        <w:spacing w:line="360" w:lineRule="auto"/>
        <w:rPr>
          <w:rFonts w:ascii="Times New Roman" w:eastAsia="Times New Roman" w:hAnsi="Times New Roman" w:cs="Times New Roman"/>
          <w:i/>
          <w:iCs/>
          <w:sz w:val="28"/>
          <w:szCs w:val="28"/>
        </w:rPr>
      </w:pPr>
    </w:p>
    <w:p w14:paraId="03637DAD" w14:textId="77777777" w:rsidR="00332C33" w:rsidRPr="002451B6" w:rsidRDefault="00332C33">
      <w:pPr>
        <w:spacing w:line="360" w:lineRule="auto"/>
        <w:rPr>
          <w:rFonts w:ascii="Times New Roman" w:eastAsia="Times New Roman" w:hAnsi="Times New Roman" w:cs="Times New Roman"/>
          <w:i/>
          <w:iCs/>
          <w:sz w:val="28"/>
          <w:szCs w:val="28"/>
        </w:rPr>
      </w:pPr>
    </w:p>
    <w:p w14:paraId="1AD9183D" w14:textId="77777777" w:rsidR="00332C33" w:rsidRPr="002451B6" w:rsidRDefault="00332C33">
      <w:pPr>
        <w:spacing w:line="360" w:lineRule="auto"/>
        <w:rPr>
          <w:rFonts w:ascii="Times New Roman" w:eastAsia="Times New Roman" w:hAnsi="Times New Roman" w:cs="Times New Roman"/>
          <w:i/>
          <w:iCs/>
          <w:sz w:val="28"/>
          <w:szCs w:val="28"/>
        </w:rPr>
      </w:pPr>
    </w:p>
    <w:p w14:paraId="1583A416" w14:textId="77777777" w:rsidR="00332C33" w:rsidRPr="002451B6" w:rsidRDefault="00332C33">
      <w:pPr>
        <w:spacing w:line="360" w:lineRule="auto"/>
        <w:rPr>
          <w:rFonts w:ascii="Times New Roman" w:eastAsia="Times New Roman" w:hAnsi="Times New Roman" w:cs="Times New Roman"/>
          <w:i/>
          <w:iCs/>
          <w:sz w:val="28"/>
          <w:szCs w:val="28"/>
        </w:rPr>
      </w:pPr>
    </w:p>
    <w:p w14:paraId="763A929A" w14:textId="77777777" w:rsidR="00332C33" w:rsidRPr="002451B6" w:rsidRDefault="00332C33">
      <w:pPr>
        <w:spacing w:line="360" w:lineRule="auto"/>
        <w:rPr>
          <w:rFonts w:ascii="Times New Roman" w:eastAsia="Times New Roman" w:hAnsi="Times New Roman" w:cs="Times New Roman"/>
          <w:i/>
          <w:iCs/>
          <w:sz w:val="28"/>
          <w:szCs w:val="28"/>
        </w:rPr>
      </w:pPr>
    </w:p>
    <w:p w14:paraId="7D23368D" w14:textId="77777777" w:rsidR="00C945CD" w:rsidRPr="002451B6" w:rsidRDefault="00C945CD">
      <w:pPr>
        <w:spacing w:after="160" w:line="278" w:lineRule="auto"/>
        <w:jc w:val="center"/>
        <w:rPr>
          <w:rFonts w:ascii="Times New Roman" w:eastAsia="Times New Roman" w:hAnsi="Times New Roman" w:cs="Times New Roman"/>
          <w:b/>
          <w:bCs/>
          <w:sz w:val="24"/>
          <w:szCs w:val="24"/>
        </w:rPr>
      </w:pPr>
    </w:p>
    <w:p w14:paraId="401725C1" w14:textId="00BA10CD" w:rsidR="00332C33" w:rsidRPr="002451B6" w:rsidRDefault="00000000">
      <w:pPr>
        <w:spacing w:after="160" w:line="278"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lastRenderedPageBreak/>
        <w:t xml:space="preserve">Os cinemas de diretoras mulheres sobre a violência de Estado: o papel de denúncia e o lugar de dignidade das vítimas e </w:t>
      </w:r>
      <w:proofErr w:type="gramStart"/>
      <w:r w:rsidRPr="002451B6">
        <w:rPr>
          <w:rFonts w:ascii="Times New Roman" w:eastAsia="Times New Roman" w:hAnsi="Times New Roman" w:cs="Times New Roman"/>
          <w:b/>
          <w:bCs/>
          <w:sz w:val="24"/>
          <w:szCs w:val="24"/>
        </w:rPr>
        <w:t>suas/seus familiares</w:t>
      </w:r>
      <w:proofErr w:type="gramEnd"/>
    </w:p>
    <w:p w14:paraId="53102C76" w14:textId="77777777" w:rsidR="00332C33" w:rsidRPr="002451B6" w:rsidRDefault="00332C33">
      <w:pPr>
        <w:spacing w:after="160" w:line="278" w:lineRule="auto"/>
        <w:jc w:val="center"/>
        <w:rPr>
          <w:rFonts w:ascii="Times New Roman" w:eastAsia="Times New Roman" w:hAnsi="Times New Roman" w:cs="Times New Roman"/>
          <w:sz w:val="24"/>
          <w:szCs w:val="24"/>
        </w:rPr>
      </w:pPr>
    </w:p>
    <w:p w14:paraId="7BABEDC1" w14:textId="77777777" w:rsidR="00332C33" w:rsidRPr="002451B6" w:rsidRDefault="00332C33">
      <w:pPr>
        <w:spacing w:after="160" w:line="278" w:lineRule="auto"/>
        <w:jc w:val="center"/>
        <w:rPr>
          <w:rFonts w:ascii="Times New Roman" w:eastAsia="Times New Roman" w:hAnsi="Times New Roman" w:cs="Times New Roman"/>
          <w:sz w:val="24"/>
          <w:szCs w:val="24"/>
        </w:rPr>
      </w:pPr>
    </w:p>
    <w:p w14:paraId="0DCD11FB"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Ser mãe é desdobrar</w:t>
      </w:r>
    </w:p>
    <w:p w14:paraId="0F37903F"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Fibra por fibra os corações dos filhos</w:t>
      </w:r>
    </w:p>
    <w:p w14:paraId="61A56DFE"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Seja feliz, seja feliz</w:t>
      </w:r>
    </w:p>
    <w:p w14:paraId="22799074"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Mamãe, mamãe não chore</w:t>
      </w:r>
    </w:p>
    <w:p w14:paraId="2CA76A30"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Eu quero, eu posso, eu quis, eu fiz</w:t>
      </w:r>
    </w:p>
    <w:p w14:paraId="2DA1882F" w14:textId="77777777" w:rsidR="00332C33" w:rsidRPr="002451B6" w:rsidRDefault="00000000">
      <w:pPr>
        <w:spacing w:after="160" w:line="240"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Mamãe, seja feliz</w:t>
      </w:r>
    </w:p>
    <w:p w14:paraId="28F23743" w14:textId="77777777" w:rsidR="00332C33" w:rsidRPr="002451B6" w:rsidRDefault="00000000">
      <w:pPr>
        <w:spacing w:after="160" w:line="278"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“Mamãe, coragem”, de Caetano Veloso e Torquato Neto</w:t>
      </w:r>
      <w:r w:rsidRPr="002451B6">
        <w:rPr>
          <w:rFonts w:ascii="Times New Roman" w:eastAsia="Times New Roman" w:hAnsi="Times New Roman" w:cs="Times New Roman"/>
          <w:sz w:val="24"/>
          <w:szCs w:val="24"/>
          <w:vertAlign w:val="superscript"/>
        </w:rPr>
        <w:footnoteReference w:id="16"/>
      </w:r>
    </w:p>
    <w:p w14:paraId="6F3EC40D" w14:textId="77777777" w:rsidR="00332C33" w:rsidRPr="002451B6" w:rsidRDefault="00332C33">
      <w:pPr>
        <w:spacing w:after="160" w:line="278" w:lineRule="auto"/>
        <w:jc w:val="right"/>
        <w:rPr>
          <w:rFonts w:ascii="Times New Roman" w:eastAsia="Times New Roman" w:hAnsi="Times New Roman" w:cs="Times New Roman"/>
          <w:sz w:val="24"/>
          <w:szCs w:val="24"/>
        </w:rPr>
      </w:pPr>
    </w:p>
    <w:p w14:paraId="55F42833" w14:textId="77777777" w:rsidR="00332C33" w:rsidRPr="002451B6" w:rsidRDefault="00000000">
      <w:pPr>
        <w:spacing w:after="160" w:line="278" w:lineRule="auto"/>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Cinemas de denúncia da violência de Estado no Brasil contemporâneo</w:t>
      </w:r>
    </w:p>
    <w:p w14:paraId="12B7019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cinema brasileiro, destacadamente o dirigido por cineastas mulheres, vem cumprindo um papel de relevância na denúncia da violência que atinge a juventude negra/preta na sociedade brasileira. A documentarista e pesquisadora Edileuza Penha de Souza, ao escrever sobre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(Camila de Moraes, 2017), menciona o curta-metragem da cineasta capixaba Daiana Rocha, </w:t>
      </w:r>
      <w:r w:rsidRPr="002451B6">
        <w:rPr>
          <w:rFonts w:ascii="Times New Roman" w:eastAsia="Times New Roman" w:hAnsi="Times New Roman" w:cs="Times New Roman"/>
          <w:i/>
          <w:iCs/>
          <w:sz w:val="24"/>
          <w:szCs w:val="24"/>
        </w:rPr>
        <w:t>Braços vazios</w:t>
      </w:r>
      <w:r w:rsidRPr="002451B6">
        <w:rPr>
          <w:rFonts w:ascii="Times New Roman" w:eastAsia="Times New Roman" w:hAnsi="Times New Roman" w:cs="Times New Roman"/>
          <w:sz w:val="24"/>
          <w:szCs w:val="24"/>
        </w:rPr>
        <w:t xml:space="preserve"> (2018), que recorre à linguagem ficcional e documental para narrar a história de Vera, mãe de Carlos, assassinado com 16 anos. Nas palavras da autora: “O doloroso isolamento de Vera sucumbe numa fresta de esperança ao encontrar um grupo de mães irmanadas no mesmo lamento” – </w:t>
      </w:r>
      <w:proofErr w:type="gramStart"/>
      <w:r w:rsidRPr="002451B6">
        <w:rPr>
          <w:rFonts w:ascii="Times New Roman" w:eastAsia="Times New Roman" w:hAnsi="Times New Roman" w:cs="Times New Roman"/>
          <w:sz w:val="24"/>
          <w:szCs w:val="24"/>
        </w:rPr>
        <w:t>o  que</w:t>
      </w:r>
      <w:proofErr w:type="gramEnd"/>
      <w:r w:rsidRPr="002451B6">
        <w:rPr>
          <w:rFonts w:ascii="Times New Roman" w:eastAsia="Times New Roman" w:hAnsi="Times New Roman" w:cs="Times New Roman"/>
          <w:sz w:val="24"/>
          <w:szCs w:val="24"/>
        </w:rPr>
        <w:t xml:space="preserve"> expressa a importância da organização dessas mulheres na luta pela justiça e para a elaboração do luto. O documentário </w:t>
      </w:r>
      <w:r w:rsidRPr="002451B6">
        <w:rPr>
          <w:rFonts w:ascii="Times New Roman" w:eastAsia="Times New Roman" w:hAnsi="Times New Roman" w:cs="Times New Roman"/>
          <w:i/>
          <w:iCs/>
          <w:sz w:val="24"/>
          <w:szCs w:val="24"/>
        </w:rPr>
        <w:t xml:space="preserve">Auto de Resistência </w:t>
      </w:r>
      <w:r w:rsidRPr="002451B6">
        <w:rPr>
          <w:rFonts w:ascii="Times New Roman" w:eastAsia="Times New Roman" w:hAnsi="Times New Roman" w:cs="Times New Roman"/>
          <w:sz w:val="24"/>
          <w:szCs w:val="24"/>
        </w:rPr>
        <w:t xml:space="preserve">(2018), dirigido por Natasha Neri e Lula Carvalho; </w:t>
      </w:r>
      <w:proofErr w:type="gramStart"/>
      <w:r w:rsidRPr="002451B6">
        <w:rPr>
          <w:rFonts w:ascii="Times New Roman" w:eastAsia="Times New Roman" w:hAnsi="Times New Roman" w:cs="Times New Roman"/>
          <w:sz w:val="24"/>
          <w:szCs w:val="24"/>
        </w:rPr>
        <w:t xml:space="preserve">e </w:t>
      </w:r>
      <w:r w:rsidRPr="002451B6">
        <w:rPr>
          <w:rFonts w:ascii="Times New Roman" w:eastAsia="Times New Roman" w:hAnsi="Times New Roman" w:cs="Times New Roman"/>
          <w:i/>
          <w:iCs/>
          <w:sz w:val="24"/>
          <w:szCs w:val="24"/>
        </w:rPr>
        <w:t>Talvez</w:t>
      </w:r>
      <w:proofErr w:type="gramEnd"/>
      <w:r w:rsidRPr="002451B6">
        <w:rPr>
          <w:rFonts w:ascii="Times New Roman" w:eastAsia="Times New Roman" w:hAnsi="Times New Roman" w:cs="Times New Roman"/>
          <w:i/>
          <w:iCs/>
          <w:sz w:val="24"/>
          <w:szCs w:val="24"/>
        </w:rPr>
        <w:t xml:space="preserve"> futuro</w:t>
      </w:r>
      <w:r w:rsidRPr="002451B6">
        <w:rPr>
          <w:rFonts w:ascii="Times New Roman" w:eastAsia="Times New Roman" w:hAnsi="Times New Roman" w:cs="Times New Roman"/>
          <w:sz w:val="24"/>
          <w:szCs w:val="24"/>
        </w:rPr>
        <w:t xml:space="preserve"> (2011), animação em </w:t>
      </w:r>
      <w:proofErr w:type="spellStart"/>
      <w:r w:rsidRPr="002451B6">
        <w:rPr>
          <w:rFonts w:ascii="Times New Roman" w:eastAsia="Times New Roman" w:hAnsi="Times New Roman" w:cs="Times New Roman"/>
          <w:i/>
          <w:iCs/>
          <w:sz w:val="24"/>
          <w:szCs w:val="24"/>
        </w:rPr>
        <w:t>stop-motion</w:t>
      </w:r>
      <w:proofErr w:type="spellEnd"/>
      <w:r w:rsidRPr="002451B6">
        <w:rPr>
          <w:rFonts w:ascii="Times New Roman" w:eastAsia="Times New Roman" w:hAnsi="Times New Roman" w:cs="Times New Roman"/>
          <w:sz w:val="24"/>
          <w:szCs w:val="24"/>
        </w:rPr>
        <w:t xml:space="preserve"> criada por Jamile Coelho, também são lembrados por Souza (Souza, 2020, p. 533).</w:t>
      </w:r>
    </w:p>
    <w:p w14:paraId="11C41E1A" w14:textId="77777777" w:rsidR="00332C33" w:rsidRPr="002451B6" w:rsidRDefault="00000000">
      <w:pPr>
        <w:spacing w:line="360" w:lineRule="auto"/>
        <w:ind w:firstLine="709"/>
        <w:jc w:val="both"/>
        <w:rPr>
          <w:rFonts w:ascii="Times New Roman" w:eastAsia="Times New Roman" w:hAnsi="Times New Roman" w:cs="Times New Roman"/>
          <w:sz w:val="20"/>
          <w:szCs w:val="20"/>
        </w:rPr>
      </w:pPr>
      <w:r w:rsidRPr="002451B6">
        <w:rPr>
          <w:rFonts w:ascii="Times New Roman" w:eastAsia="Times New Roman" w:hAnsi="Times New Roman" w:cs="Times New Roman"/>
          <w:sz w:val="24"/>
          <w:szCs w:val="24"/>
        </w:rPr>
        <w:t xml:space="preserve">Incluo nesta lista o filme </w:t>
      </w:r>
      <w:r w:rsidRPr="002451B6">
        <w:rPr>
          <w:rFonts w:ascii="Times New Roman" w:eastAsia="Times New Roman" w:hAnsi="Times New Roman" w:cs="Times New Roman"/>
          <w:i/>
          <w:iCs/>
          <w:sz w:val="24"/>
          <w:szCs w:val="24"/>
        </w:rPr>
        <w:t>Não saia hoje</w:t>
      </w:r>
      <w:r w:rsidRPr="002451B6">
        <w:rPr>
          <w:rFonts w:ascii="Times New Roman" w:eastAsia="Times New Roman" w:hAnsi="Times New Roman" w:cs="Times New Roman"/>
          <w:sz w:val="24"/>
          <w:szCs w:val="24"/>
        </w:rPr>
        <w:t xml:space="preserve"> (2016)</w:t>
      </w:r>
      <w:r w:rsidRPr="002451B6">
        <w:rPr>
          <w:rFonts w:ascii="Times New Roman" w:eastAsia="Times New Roman" w:hAnsi="Times New Roman" w:cs="Times New Roman"/>
          <w:sz w:val="24"/>
          <w:szCs w:val="24"/>
          <w:vertAlign w:val="superscript"/>
        </w:rPr>
        <w:footnoteReference w:id="17"/>
      </w:r>
      <w:r w:rsidRPr="002451B6">
        <w:rPr>
          <w:rFonts w:ascii="Times New Roman" w:eastAsia="Times New Roman" w:hAnsi="Times New Roman" w:cs="Times New Roman"/>
          <w:sz w:val="24"/>
          <w:szCs w:val="24"/>
        </w:rPr>
        <w:t xml:space="preserve">, da cineasta Susanna Lira, que resgata as histórias de jovens vítimas do Crimes de Maio em 2006, a partir da luta por justiça travada </w:t>
      </w:r>
      <w:r w:rsidRPr="002451B6">
        <w:rPr>
          <w:rFonts w:ascii="Times New Roman" w:eastAsia="Times New Roman" w:hAnsi="Times New Roman" w:cs="Times New Roman"/>
          <w:sz w:val="24"/>
          <w:szCs w:val="24"/>
        </w:rPr>
        <w:lastRenderedPageBreak/>
        <w:t>por suas mães, que se articulam politicamente na organização Mães de Maio</w:t>
      </w:r>
      <w:r w:rsidRPr="002451B6">
        <w:rPr>
          <w:rFonts w:ascii="Times New Roman" w:eastAsia="Times New Roman" w:hAnsi="Times New Roman" w:cs="Times New Roman"/>
          <w:sz w:val="24"/>
          <w:szCs w:val="24"/>
          <w:vertAlign w:val="superscript"/>
        </w:rPr>
        <w:footnoteReference w:id="18"/>
      </w:r>
      <w:r w:rsidRPr="002451B6">
        <w:rPr>
          <w:rFonts w:ascii="Times New Roman" w:eastAsia="Times New Roman" w:hAnsi="Times New Roman" w:cs="Times New Roman"/>
          <w:sz w:val="24"/>
          <w:szCs w:val="24"/>
        </w:rPr>
        <w:t>.  Em maio de 2006, 765 presos foram transferidos no estado de São Paulo, e ficaram sem visitas no Dia das Mães. O fato desencadeou várias rebeliões em presídios e ataques de criminosos em diversos munícipios de São Paulo.  Contabiliza-se, de acordo com o filme, que 59 policiais e agentes públicos foram assassinados pelo crime organizado, como um ato de represália, ações da polícia foram responsáveis pelas mortes de 439 pessoas, de acordo com os dados oficiais, nas periferias de São Paulo. Esse fato entrou para a História do Brasil como sendo o maior massacre realizado</w:t>
      </w:r>
      <w:r w:rsidRPr="002451B6">
        <w:rPr>
          <w:rFonts w:ascii="Times New Roman" w:eastAsia="Times New Roman" w:hAnsi="Times New Roman" w:cs="Times New Roman"/>
          <w:sz w:val="20"/>
          <w:szCs w:val="20"/>
        </w:rPr>
        <w:t>.</w:t>
      </w:r>
    </w:p>
    <w:p w14:paraId="2BC379AD"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As mães e o pai que falam de suas lembranças e lutas, à época das filmagens do filme, reivindicam a responsabilização jurídica dos envolvidos nos crimes, demonstram o papel que as organizações dessas mulheres tem empenhado para o enfrentamento da impunidade dos crimes cometidos pelos agentes do Estado. Entre as mulheres que dão seus depoimentos no filme de Susanna Lira estão: Débora Silva (mãe de Rogério, assassinado com 29 anos, líder do Movimento Mães de Maio); Vera Lúcia dos Santos (mãe de Ana Paula, morta grávida um dia antes do parto); Vera de Freitas (mãe de Mateus, que saiu para ir à escola e foi morto no dia do aniversário de seu pai, João de Freitas, que também está presente no filme); Nair Ferreira (mãe de Marildo, morto com 32 anos); Elvira Ferreira (mãe de Ricardo); Ilza Maria Soares (mãe de Thiago); e  Edinalva Santos (mãe de Marcos) também mortos.</w:t>
      </w:r>
    </w:p>
    <w:p w14:paraId="051FBE7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aspectos das vidas desses jovens e da jovem chegam a nós por meio dos relatos de suas mães e pai. Débora torna públicas várias fotografias de seu filho em diferentes momentos da vida, </w:t>
      </w:r>
      <w:proofErr w:type="gramStart"/>
      <w:r w:rsidRPr="002451B6">
        <w:rPr>
          <w:rFonts w:ascii="Times New Roman" w:eastAsia="Times New Roman" w:hAnsi="Times New Roman" w:cs="Times New Roman"/>
          <w:sz w:val="24"/>
          <w:szCs w:val="24"/>
        </w:rPr>
        <w:t>o mesmo</w:t>
      </w:r>
      <w:proofErr w:type="gramEnd"/>
      <w:r w:rsidRPr="002451B6">
        <w:rPr>
          <w:rFonts w:ascii="Times New Roman" w:eastAsia="Times New Roman" w:hAnsi="Times New Roman" w:cs="Times New Roman"/>
          <w:sz w:val="24"/>
          <w:szCs w:val="24"/>
        </w:rPr>
        <w:t xml:space="preserve"> é feito por João de Freitas. Ela e ele refazem os trajetos feitos por seus filhos no dia em que foram assassinados em Santos, cidade litorânea de São Paulo. No filme, a jornalista Rose Nogueira, na época presidente do Grupo Tortura Nunca Mais, que atuou na resistência à ditadura civil-militar e foi presa política, conta que apresentou o Movimento das Mães da Praça de </w:t>
      </w:r>
      <w:proofErr w:type="gramStart"/>
      <w:r w:rsidRPr="002451B6">
        <w:rPr>
          <w:rFonts w:ascii="Times New Roman" w:eastAsia="Times New Roman" w:hAnsi="Times New Roman" w:cs="Times New Roman"/>
          <w:sz w:val="24"/>
          <w:szCs w:val="24"/>
        </w:rPr>
        <w:t>Maio</w:t>
      </w:r>
      <w:proofErr w:type="gramEnd"/>
      <w:r w:rsidRPr="002451B6">
        <w:rPr>
          <w:rFonts w:ascii="Times New Roman" w:eastAsia="Times New Roman" w:hAnsi="Times New Roman" w:cs="Times New Roman"/>
          <w:sz w:val="24"/>
          <w:szCs w:val="24"/>
        </w:rPr>
        <w:t>, na Argentina, para as mães que perderam seus/suas filhos/as nos ataques ocorridos em maio de 2006. Apesar das temporalidades históricas das experiências dessas mães serem distintas, a violência de Estado as aproxima. Nesse sentido, Débora Silva afirma que se alimenta de sua dor e que em todos os estados do Brasil há Mães de Maio, o que demonstra a violência policial presente nas estruturas do Estado brasileiro, e não apenas concentrada nos grandes centros urbanos marcados pelos altos índices de criminalidade.</w:t>
      </w:r>
    </w:p>
    <w:p w14:paraId="2DDA7BD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De acordo com os dados do Anuário Brasileiro de Segurança Pública, de 2025, o número de mortes ocasionadas por intervenções policiais mantém-se elevado, desde 2018, mais de seis mil pessoas são mortas por ano no Brasil.  Embora tenha ocorrido uma redução nos homicídios registrados nos últimos anos. </w:t>
      </w:r>
    </w:p>
    <w:p w14:paraId="31CD2804"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2684FD8B"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 Se considerarmos a última década, entre 2014 e 2024, foram 60.394 vítimas de letalidade policial. O crescimento expressivo da letalidade provocada por agentes do Estado em determinados contextos – com o aumento de 60,9% nas mortes decorrentes de intervenção policial em São Paulo e de 45,5% em Minas Gerais – acende um sinal de alerta. Esses números podem indicar o uso ilegítimo da força, especialmente quando acompanhados da normalização de operações policiais que sistematicamente resultam na morte de civis, somadas a discursos ideológicos que exaltam a letalidade como sinônimo de eficiência. Essa combinação revela um processo de </w:t>
      </w:r>
      <w:proofErr w:type="spellStart"/>
      <w:r w:rsidRPr="002451B6">
        <w:rPr>
          <w:rFonts w:ascii="Times New Roman" w:eastAsia="Times New Roman" w:hAnsi="Times New Roman" w:cs="Times New Roman"/>
        </w:rPr>
        <w:t>milicianização</w:t>
      </w:r>
      <w:proofErr w:type="spellEnd"/>
      <w:r w:rsidRPr="002451B6">
        <w:rPr>
          <w:rFonts w:ascii="Times New Roman" w:eastAsia="Times New Roman" w:hAnsi="Times New Roman" w:cs="Times New Roman"/>
        </w:rPr>
        <w:t xml:space="preserve"> das forças de segurança e o avanço da corrupção entre seus agentes (Anuário Brasileiro de Segurança Pública, 2025, p. 63).</w:t>
      </w:r>
    </w:p>
    <w:p w14:paraId="56FF7A09" w14:textId="77777777" w:rsidR="00332C33" w:rsidRPr="002451B6" w:rsidRDefault="00332C33">
      <w:pPr>
        <w:spacing w:line="240" w:lineRule="auto"/>
        <w:ind w:left="2268"/>
        <w:jc w:val="both"/>
        <w:rPr>
          <w:rFonts w:ascii="Times New Roman" w:eastAsia="Times New Roman" w:hAnsi="Times New Roman" w:cs="Times New Roman"/>
        </w:rPr>
      </w:pPr>
    </w:p>
    <w:p w14:paraId="21F9A27C"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relatos de dois rapazes negros/pretos, </w:t>
      </w:r>
      <w:proofErr w:type="spellStart"/>
      <w:r w:rsidRPr="002451B6">
        <w:rPr>
          <w:rFonts w:ascii="Times New Roman" w:eastAsia="Times New Roman" w:hAnsi="Times New Roman" w:cs="Times New Roman"/>
          <w:sz w:val="24"/>
          <w:szCs w:val="24"/>
        </w:rPr>
        <w:t>Ronnye</w:t>
      </w:r>
      <w:proofErr w:type="spellEnd"/>
      <w:r w:rsidRPr="002451B6">
        <w:rPr>
          <w:rFonts w:ascii="Times New Roman" w:eastAsia="Times New Roman" w:hAnsi="Times New Roman" w:cs="Times New Roman"/>
          <w:sz w:val="24"/>
          <w:szCs w:val="24"/>
        </w:rPr>
        <w:t xml:space="preserve"> Santos e Luís Felipe, sobre o medo que têm da polícia, das abordagens violentas que vivenciam e a opressão da polícia que os afeta, escancaram o elemento racial que caracteriza a violência promovida pelos agentes do Estado no país. É importante mencionar que as articulações do movimento das Mães de Maio as aproximam das juventudes, engajando estas com a militância em prol dos Direitos Humanos.</w:t>
      </w:r>
    </w:p>
    <w:p w14:paraId="00DB222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túmulos de algumas das vítimas do massacre mencionado que são apresentados nas cenas finais do filme cumprem um papel simbólico na luta política das Mães de Maio contra o esquecimento e a impunidade, o que as aproxima das mães que travaram lutas contra autoritarismos de Estado e as violências perpetradas durante as ditaduras militares na América Latina. Assim, elas reconhecem a importância política que cumprem nos movimentos sociais contemporâneos. Vera Lúcia menciona a relevância do movimento das Mães de Maio para o fim das chacinas em Santos, entretanto, os índices de violência policial na região da Baixada Santista permanecem elevados.  </w:t>
      </w:r>
    </w:p>
    <w:p w14:paraId="71B9E0FF" w14:textId="77777777" w:rsidR="00332C33" w:rsidRPr="002451B6" w:rsidRDefault="00000000">
      <w:pPr>
        <w:spacing w:line="360" w:lineRule="auto"/>
        <w:ind w:firstLine="709"/>
        <w:jc w:val="both"/>
        <w:rPr>
          <w:rFonts w:ascii="Aptos" w:eastAsia="Aptos" w:hAnsi="Aptos" w:cs="Aptos"/>
          <w:sz w:val="24"/>
          <w:szCs w:val="24"/>
        </w:rPr>
      </w:pPr>
      <w:r w:rsidRPr="002451B6">
        <w:rPr>
          <w:rFonts w:ascii="Times New Roman" w:eastAsia="Times New Roman" w:hAnsi="Times New Roman" w:cs="Times New Roman"/>
          <w:sz w:val="24"/>
          <w:szCs w:val="24"/>
        </w:rPr>
        <w:t xml:space="preserve">Um dos casos da violência policial na região foi a Operação Escudo da polícia civil e militar, iniciada em 28 de julho de 2023, após a morte do policial militar da Rota, Patrick Bastos Reis.  De acordo com os dados da Secretaria de Segurança Pública do Estado de São Paulo, em 40 dias da operação, 958 pessoas foram presas e 28 suspeitos morreram em supostos confrontos com a polícia (Soares, 2024). Em relatório publicado pela Defensoria Pública de São Paulo em março de 2024, constata-se que as comunidades da Baixada Santista são afetadas diretamente pela violência institucional, </w:t>
      </w:r>
      <w:proofErr w:type="spellStart"/>
      <w:r w:rsidRPr="002451B6">
        <w:rPr>
          <w:rFonts w:ascii="Times New Roman" w:eastAsia="Times New Roman" w:hAnsi="Times New Roman" w:cs="Times New Roman"/>
          <w:sz w:val="24"/>
          <w:szCs w:val="24"/>
        </w:rPr>
        <w:t>esta</w:t>
      </w:r>
      <w:proofErr w:type="spellEnd"/>
      <w:r w:rsidRPr="002451B6">
        <w:rPr>
          <w:rFonts w:ascii="Times New Roman" w:eastAsia="Times New Roman" w:hAnsi="Times New Roman" w:cs="Times New Roman"/>
          <w:sz w:val="24"/>
          <w:szCs w:val="24"/>
        </w:rPr>
        <w:t xml:space="preserve"> se manifesta por meio dos abusos da polícia (Boehm, 2024).</w:t>
      </w:r>
    </w:p>
    <w:p w14:paraId="02F984A3"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Na época de realização do filme, dez anos após o ocorrido, apenas um policial havia sido condenado devido ao reconhecimento feito por uma pessoa sobrevivente. O governo de São Paulo decretou o dia 12 de maio como “Dia das Mães de Maio”, uma homenagem às mães que tiveram seus filhos assassinados nos ataques de 2006. O filme de Susanna Lira tem os seus planos finais preenchidos pela figura de Débora ao lado de um jovem negro/preto – uma de suas mãos envolta na cintura dele – uma cena simbólica que denota a sua luta pela vida dos jovens negros/pretos na nossa sociedade contemporânea.</w:t>
      </w:r>
    </w:p>
    <w:p w14:paraId="396212BE" w14:textId="77777777" w:rsidR="00332C33" w:rsidRPr="002451B6" w:rsidRDefault="00000000">
      <w:pPr>
        <w:spacing w:line="360" w:lineRule="auto"/>
        <w:ind w:firstLine="709"/>
        <w:jc w:val="both"/>
        <w:rPr>
          <w:rFonts w:ascii="Times New Roman" w:eastAsia="Times New Roman" w:hAnsi="Times New Roman" w:cs="Times New Roman"/>
          <w:sz w:val="20"/>
          <w:szCs w:val="20"/>
        </w:rPr>
      </w:pPr>
      <w:r w:rsidRPr="002451B6">
        <w:rPr>
          <w:rFonts w:ascii="Times New Roman" w:eastAsia="Times New Roman" w:hAnsi="Times New Roman" w:cs="Times New Roman"/>
          <w:sz w:val="24"/>
          <w:szCs w:val="24"/>
        </w:rPr>
        <w:t xml:space="preserve">No documentário </w:t>
      </w:r>
      <w:r w:rsidRPr="002451B6">
        <w:rPr>
          <w:rFonts w:ascii="Times New Roman" w:eastAsia="Times New Roman" w:hAnsi="Times New Roman" w:cs="Times New Roman"/>
          <w:i/>
          <w:iCs/>
          <w:sz w:val="24"/>
          <w:szCs w:val="24"/>
        </w:rPr>
        <w:t>Auto de Resistência</w:t>
      </w:r>
      <w:r w:rsidRPr="002451B6">
        <w:rPr>
          <w:rFonts w:ascii="Times New Roman" w:eastAsia="Times New Roman" w:hAnsi="Times New Roman" w:cs="Times New Roman"/>
          <w:sz w:val="24"/>
          <w:szCs w:val="24"/>
        </w:rPr>
        <w:t>, dirigido por Natasha Neri e Lula Carvalho, cuja estreia deu-se em 2018, são apresentados alguns casos de violência policial, que vitimaram jovens, na cidade do Rio de Janeiro, e os seus desdobramentos na justiça. Entre eles a Chacina de Costa Barros, que ocorreu no dia 28 de novembro de 2015, nela, jovens moradores de Morro da Lagartixa, em Costa Barros, foram assassinados por 111 tiros disparados pelas armas de policiais do 41º BPM (Irajá). Os rapazes Betinho (16 anos), Carlinhos (16 anos), Wesley (22), Wilton (25) e Cleiton (18), haviam passado o período da tarde no Parque Madureira para comemorar o primeiro salário ganho por Betinho, que trabalhava como jovem aprendiz, e foram alvejados pela polícia quando estavam indo em direção a uma lanchonete. A cena do crime foi fraudada pelos policiais, que colocaram uma arma perto do carro, e alegaram que os garotos teriam disparado contra eles</w:t>
      </w:r>
      <w:r w:rsidRPr="002451B6">
        <w:rPr>
          <w:rFonts w:ascii="Times New Roman" w:eastAsia="Times New Roman" w:hAnsi="Times New Roman" w:cs="Times New Roman"/>
          <w:sz w:val="20"/>
          <w:szCs w:val="20"/>
        </w:rPr>
        <w:t>.</w:t>
      </w:r>
    </w:p>
    <w:p w14:paraId="0275DF5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 famílias das cinco vítimas marcaram presença no filme cobrando que as condenações dos policiais envolvidos fossem  feitas; o caso  </w:t>
      </w:r>
      <w:proofErr w:type="spellStart"/>
      <w:r w:rsidRPr="002451B6">
        <w:rPr>
          <w:rFonts w:ascii="Times New Roman" w:eastAsia="Times New Roman" w:hAnsi="Times New Roman" w:cs="Times New Roman"/>
          <w:sz w:val="24"/>
          <w:szCs w:val="24"/>
        </w:rPr>
        <w:t>Johnatha</w:t>
      </w:r>
      <w:proofErr w:type="spellEnd"/>
      <w:r w:rsidRPr="002451B6">
        <w:rPr>
          <w:rFonts w:ascii="Times New Roman" w:eastAsia="Times New Roman" w:hAnsi="Times New Roman" w:cs="Times New Roman"/>
          <w:sz w:val="24"/>
          <w:szCs w:val="24"/>
        </w:rPr>
        <w:t xml:space="preserve">, ocorrido na favela Manguinhos, o jovem foi morto em maio de 2014 e sua mãe Ana Paula Oliveira tornou-se uma liderança nas lutas das mães no Rio de Janeiro que perderam seus filhos devido à violência policial; o caso de Alan e </w:t>
      </w:r>
      <w:proofErr w:type="spellStart"/>
      <w:r w:rsidRPr="002451B6">
        <w:rPr>
          <w:rFonts w:ascii="Times New Roman" w:eastAsia="Times New Roman" w:hAnsi="Times New Roman" w:cs="Times New Roman"/>
          <w:sz w:val="24"/>
          <w:szCs w:val="24"/>
        </w:rPr>
        <w:t>Chauan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Jambre</w:t>
      </w:r>
      <w:proofErr w:type="spellEnd"/>
      <w:r w:rsidRPr="002451B6">
        <w:rPr>
          <w:rFonts w:ascii="Times New Roman" w:eastAsia="Times New Roman" w:hAnsi="Times New Roman" w:cs="Times New Roman"/>
          <w:sz w:val="24"/>
          <w:szCs w:val="24"/>
        </w:rPr>
        <w:t>, este sobrevivente, ocorrido na favela da Palmeirinha, em 20 de fevereiro de 2015,  as imagens gravadas no celular de Alan e as realizadas pela viatura dos policiais demonstram a ação violenta dos agentes contra os rapazes; e o caso favela da Rola, cuja audiência não foi filmada a pedido da defesa dos policiais.</w:t>
      </w:r>
    </w:p>
    <w:p w14:paraId="7F05CEB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Além de Ana Paula Oliveira, outras mães estão presentes no filme: Márcia de Oliveira (mãe de Wilton e Wilkerson); Fatinha Silva (mãe de Hugo); Patrícia Santos (mãe de Eduardo Felipe); Janaína Alves (mãe de </w:t>
      </w:r>
      <w:proofErr w:type="spellStart"/>
      <w:r w:rsidRPr="002451B6">
        <w:rPr>
          <w:rFonts w:ascii="Times New Roman" w:eastAsia="Times New Roman" w:hAnsi="Times New Roman" w:cs="Times New Roman"/>
          <w:sz w:val="24"/>
          <w:szCs w:val="24"/>
        </w:rPr>
        <w:t>Jhonata</w:t>
      </w:r>
      <w:proofErr w:type="spellEnd"/>
      <w:r w:rsidRPr="002451B6">
        <w:rPr>
          <w:rFonts w:ascii="Times New Roman" w:eastAsia="Times New Roman" w:hAnsi="Times New Roman" w:cs="Times New Roman"/>
          <w:sz w:val="24"/>
          <w:szCs w:val="24"/>
        </w:rPr>
        <w:t>); Maria Dalva Correia (mãe de Thiago). Em linhas gerais, o documentário de Natasha Neri e Lula Carvalho nos aproxima das histórias dessas mulheres que vivem um luto permanente e questiona a recorrente alegação feita pelos policiais envolvidos nesses crimes de que agiram em legítima defesa. O longa acompanha essas famílias em suas lutas por justiça evitando uma abordagem de “exaltação da tragédia”.</w:t>
      </w:r>
    </w:p>
    <w:p w14:paraId="1CD73E16"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Os dois filmes considerados se aproximam das histórias dessas mães de uma forma muito respeitável, assim como o faz Camila de Moraes, como será discutido a seguir, sem recorrer a uma abordagem sensacionalista que marca historicamente a cobertura de uma parcela da imprensa nacional dos casos de violência. Eles e os demais assumem o propósito de, a partir da linguagem audiovisual, denunciar as estruturas autoritárias do Estado brasileiro e as graves violações de Direitos Humanos que afetam principalmente as pessoas negras/pretas moradoras das periferias do Brasil. Na letra da música de Caetano Veloso e Torquato Neto, cujo trecho foi escolhido como epígrafe deste capítulo, o eu lírico pede coragem a mamãe, que ela não chore, que ela seja feliz. Talvez muitas das mulheres mencionadas que estão presentes nos filmes considerados não superem a experiência traumática dos assassinatos de seus filhos e sua filha, e é urgente reconhecer que elas ocupam um lugar de relevância nos movimentos sociais que denunciam a violência do Estado e reivindicam o cumprimento da justiça.</w:t>
      </w:r>
    </w:p>
    <w:p w14:paraId="08759E0C" w14:textId="77777777" w:rsidR="00332C33" w:rsidRPr="002451B6" w:rsidRDefault="00332C33">
      <w:pPr>
        <w:spacing w:line="278" w:lineRule="auto"/>
        <w:ind w:firstLine="709"/>
        <w:rPr>
          <w:rFonts w:ascii="Times New Roman" w:eastAsia="Times New Roman" w:hAnsi="Times New Roman" w:cs="Times New Roman"/>
          <w:sz w:val="24"/>
          <w:szCs w:val="24"/>
        </w:rPr>
      </w:pPr>
    </w:p>
    <w:p w14:paraId="233CF3D9" w14:textId="77777777" w:rsidR="00332C33" w:rsidRPr="002451B6" w:rsidRDefault="00000000">
      <w:pPr>
        <w:spacing w:line="278" w:lineRule="auto"/>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Camila de Moraes: um cinema investigativo e de linguagem poética</w:t>
      </w:r>
    </w:p>
    <w:p w14:paraId="74639C3A" w14:textId="77777777" w:rsidR="00332C33" w:rsidRPr="002451B6" w:rsidRDefault="00332C33">
      <w:pPr>
        <w:spacing w:line="278" w:lineRule="auto"/>
        <w:rPr>
          <w:rFonts w:ascii="Times New Roman" w:eastAsia="Times New Roman" w:hAnsi="Times New Roman" w:cs="Times New Roman"/>
          <w:sz w:val="24"/>
          <w:szCs w:val="24"/>
        </w:rPr>
      </w:pPr>
    </w:p>
    <w:p w14:paraId="2C6D597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Ao analisarmos a presença das pessoas negras/pretas no cinema, ela é predominante no campo da representação.  Assim, os esforços para a caracterização do cinema negro no Brasil não devem ser dissociados da análise e compreensão das razões e conjunturas que influenciaram a ausência dessas pessoas como cineastas (Augusto, 2018, p. 150).</w:t>
      </w:r>
    </w:p>
    <w:p w14:paraId="7A0D7EB2"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As obras audiovisuais dirigidas por pessoas negras/pretas   não representam números expressivos nas que alcançam o grande público. Todavia, deve-se considerar que elas estão em crescimento, contribuindo com a diversificação das abordagens adotadas e das temáticas privilegiadas. Esse cenário está relacionado com a expansão de ideias e debates que tratam de questões que dizem respeito aos movimentos estéticos e políticos de negritude (Augusto, 2018, p. 151). De acordo com Petrônio Domingues (2005, p. 25-26), o conceito negritude passou a ser dinâmico, marcado por um caráter político, ideológico e cultural. No campo político, negritude subsidia a ação do movimento negro organizado. No ideológico, o conceito pode ser entendido a partir do processo de aquisição de uma consciência social. Na dimensão cultural, negritude manifesta-se na intenção de valorizar as manifestações culturais de matriz africana. Assim, negritude é um conceito que possui aspectos multifacetados e deve ser compreendido considerando-se os diferentes contextos históricos. Nesse sentido, os filmes das cineastas mulheres negras/pretas representam uma das dimensões assumidas pelo cinema negro brasileiro contemporâneo, no qual a perspectiva de gênero é estruturante (Souza, 2013, 2020; Oliveira, </w:t>
      </w:r>
      <w:r w:rsidRPr="002451B6">
        <w:rPr>
          <w:rFonts w:ascii="Times New Roman" w:eastAsia="Times New Roman" w:hAnsi="Times New Roman" w:cs="Times New Roman"/>
          <w:sz w:val="24"/>
          <w:szCs w:val="24"/>
        </w:rPr>
        <w:lastRenderedPageBreak/>
        <w:t>2016), e as abordagens voltam-se para temáticas que dizem respeito a diferentes questões sociais, como o filme de Camila de Moraes representa.</w:t>
      </w:r>
    </w:p>
    <w:p w14:paraId="72C25E68" w14:textId="77777777" w:rsidR="00332C33" w:rsidRPr="002451B6" w:rsidRDefault="00000000">
      <w:pP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Os esforços atuais, entre outros, devem voltar-se para a contribuição com a preservação da memória dessas produções, reconhecendo a problemática que não é possível a realização de um levantamento preciso sobre a quantidade exata de filmes curtas-metragens dirigidos e lançados por pessoas negras/pretas nas últimas décadas. Muito se perdeu da História do cinema nacional, devido à ausência de políticas públicas de preservação. Tratando-se das obras cinematográficas dirigidas por pessoas negras/pretas essa ausência é ainda maior (Augusto, 2018, p. 150). Diante disso, cabe a reivindicação de ações que têm como intenção preservar a História de nosso cinema, reconhecendo e valorizando a sua diversidade. </w:t>
      </w:r>
    </w:p>
    <w:p w14:paraId="25ACC3C7" w14:textId="77777777" w:rsidR="00332C33" w:rsidRPr="002451B6" w:rsidRDefault="00000000">
      <w:pPr>
        <w:shd w:val="clear" w:color="auto" w:fill="FFFFFF"/>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Tratando-se da preservação de conteúdos sobre as histórias da população negra/preta no Brasil, em 28 de outubro de 2015, o vice-presidente Geraldo Alckmin sancionou o projeto de lei nº 15.244, a qual reconheceu o Instituto </w:t>
      </w:r>
      <w:proofErr w:type="spellStart"/>
      <w:r w:rsidRPr="002451B6">
        <w:rPr>
          <w:rFonts w:ascii="Times New Roman" w:eastAsia="Times New Roman" w:hAnsi="Times New Roman" w:cs="Times New Roman"/>
          <w:sz w:val="24"/>
          <w:szCs w:val="24"/>
        </w:rPr>
        <w:t>Cultne</w:t>
      </w:r>
      <w:proofErr w:type="spellEnd"/>
      <w:r w:rsidRPr="002451B6">
        <w:rPr>
          <w:rFonts w:ascii="Times New Roman" w:eastAsia="Times New Roman" w:hAnsi="Times New Roman" w:cs="Times New Roman"/>
          <w:sz w:val="24"/>
          <w:szCs w:val="24"/>
        </w:rPr>
        <w:t xml:space="preserve"> como uma manifestação cultural brasileira. Ele tem o maior acervo digital da cultura negra/preta do país e da América Latina, reunindo mais de 4.200 horas de filmagens. A deputada federal, Benedita da Silva, do PT-RJ, foi a responsável pelo projeto de lei em 2023. Com a lei, o Estado deve promover ações diretas para preservar o Instituto </w:t>
      </w:r>
      <w:proofErr w:type="spellStart"/>
      <w:r w:rsidRPr="002451B6">
        <w:rPr>
          <w:rFonts w:ascii="Times New Roman" w:eastAsia="Times New Roman" w:hAnsi="Times New Roman" w:cs="Times New Roman"/>
          <w:sz w:val="24"/>
          <w:szCs w:val="24"/>
        </w:rPr>
        <w:t>Cultne</w:t>
      </w:r>
      <w:proofErr w:type="spellEnd"/>
      <w:r w:rsidRPr="002451B6">
        <w:rPr>
          <w:rFonts w:ascii="Times New Roman" w:eastAsia="Times New Roman" w:hAnsi="Times New Roman" w:cs="Times New Roman"/>
          <w:sz w:val="24"/>
          <w:szCs w:val="24"/>
        </w:rPr>
        <w:t xml:space="preserve">. Ele foi fundado em 1980, no Rio de Janeiro, com o propósito de documentar e preservar as histórias e memórias da população negra/preta do país. Além da organização do acervo, ele atua como editora de livros, produtora audiovisual, de podcasts e realizadora de festivais. Em 2009, criou a plataforma digital </w:t>
      </w:r>
      <w:proofErr w:type="spellStart"/>
      <w:r w:rsidRPr="002451B6">
        <w:rPr>
          <w:rFonts w:ascii="Times New Roman" w:eastAsia="Times New Roman" w:hAnsi="Times New Roman" w:cs="Times New Roman"/>
          <w:sz w:val="24"/>
          <w:szCs w:val="24"/>
        </w:rPr>
        <w:t>Cultne</w:t>
      </w:r>
      <w:proofErr w:type="spellEnd"/>
      <w:r w:rsidRPr="002451B6">
        <w:rPr>
          <w:rFonts w:ascii="Times New Roman" w:eastAsia="Times New Roman" w:hAnsi="Times New Roman" w:cs="Times New Roman"/>
          <w:sz w:val="24"/>
          <w:szCs w:val="24"/>
        </w:rPr>
        <w:t xml:space="preserve">, com o acervo </w:t>
      </w:r>
      <w:proofErr w:type="spellStart"/>
      <w:r w:rsidRPr="002451B6">
        <w:rPr>
          <w:rFonts w:ascii="Times New Roman" w:eastAsia="Times New Roman" w:hAnsi="Times New Roman" w:cs="Times New Roman"/>
          <w:sz w:val="24"/>
          <w:szCs w:val="24"/>
        </w:rPr>
        <w:t>Enúgbárijo</w:t>
      </w:r>
      <w:proofErr w:type="spellEnd"/>
      <w:r w:rsidRPr="002451B6">
        <w:rPr>
          <w:rFonts w:ascii="Times New Roman" w:eastAsia="Times New Roman" w:hAnsi="Times New Roman" w:cs="Times New Roman"/>
          <w:sz w:val="24"/>
          <w:szCs w:val="24"/>
        </w:rPr>
        <w:t xml:space="preserve"> Comunicações, de Ras Adauto e Vick </w:t>
      </w:r>
      <w:proofErr w:type="spellStart"/>
      <w:r w:rsidRPr="002451B6">
        <w:rPr>
          <w:rFonts w:ascii="Times New Roman" w:eastAsia="Times New Roman" w:hAnsi="Times New Roman" w:cs="Times New Roman"/>
          <w:sz w:val="24"/>
          <w:szCs w:val="24"/>
        </w:rPr>
        <w:t>Birkbeck</w:t>
      </w:r>
      <w:proofErr w:type="spellEnd"/>
      <w:r w:rsidRPr="002451B6">
        <w:rPr>
          <w:rFonts w:ascii="Times New Roman" w:eastAsia="Times New Roman" w:hAnsi="Times New Roman" w:cs="Times New Roman"/>
          <w:sz w:val="24"/>
          <w:szCs w:val="24"/>
        </w:rPr>
        <w:t xml:space="preserve"> e o da CP- Cor da Pele Produções, de Dom Filó e Carlos Medeiros. O seu canal no YouTube foi lançado no mesmo período. O acervo </w:t>
      </w:r>
      <w:proofErr w:type="spellStart"/>
      <w:r w:rsidRPr="002451B6">
        <w:rPr>
          <w:rFonts w:ascii="Times New Roman" w:eastAsia="Times New Roman" w:hAnsi="Times New Roman" w:cs="Times New Roman"/>
          <w:sz w:val="24"/>
          <w:szCs w:val="24"/>
        </w:rPr>
        <w:t>Cultne</w:t>
      </w:r>
      <w:proofErr w:type="spellEnd"/>
      <w:r w:rsidRPr="002451B6">
        <w:rPr>
          <w:rFonts w:ascii="Times New Roman" w:eastAsia="Times New Roman" w:hAnsi="Times New Roman" w:cs="Times New Roman"/>
          <w:sz w:val="24"/>
          <w:szCs w:val="24"/>
        </w:rPr>
        <w:t xml:space="preserve"> possui diferentes conteúdos sobre música, esporte, religiões de matriz africana, produções do jornalismo e sobre educação. A instituição inaugurou em 2021 a </w:t>
      </w:r>
      <w:proofErr w:type="spellStart"/>
      <w:r w:rsidRPr="002451B6">
        <w:rPr>
          <w:rFonts w:ascii="Times New Roman" w:eastAsia="Times New Roman" w:hAnsi="Times New Roman" w:cs="Times New Roman"/>
          <w:sz w:val="24"/>
          <w:szCs w:val="24"/>
        </w:rPr>
        <w:t>Cultne</w:t>
      </w:r>
      <w:proofErr w:type="spellEnd"/>
      <w:r w:rsidRPr="002451B6">
        <w:rPr>
          <w:rFonts w:ascii="Times New Roman" w:eastAsia="Times New Roman" w:hAnsi="Times New Roman" w:cs="Times New Roman"/>
          <w:sz w:val="24"/>
          <w:szCs w:val="24"/>
        </w:rPr>
        <w:t xml:space="preserve"> TV, a primeira plataforma de Streaming voltada apenas para as produções de pessoas negras/pretas. Dois anos depois, a cidade do Rio de Janeiro reconheceu a organização como Patrimônio Cultural Material (</w:t>
      </w:r>
      <w:proofErr w:type="spellStart"/>
      <w:r w:rsidRPr="002451B6">
        <w:rPr>
          <w:rFonts w:ascii="Times New Roman" w:eastAsia="Times New Roman" w:hAnsi="Times New Roman" w:cs="Times New Roman"/>
          <w:sz w:val="24"/>
          <w:szCs w:val="24"/>
        </w:rPr>
        <w:t>Zacari</w:t>
      </w:r>
      <w:proofErr w:type="spellEnd"/>
      <w:r w:rsidRPr="002451B6">
        <w:rPr>
          <w:rFonts w:ascii="Times New Roman" w:eastAsia="Times New Roman" w:hAnsi="Times New Roman" w:cs="Times New Roman"/>
          <w:sz w:val="24"/>
          <w:szCs w:val="24"/>
        </w:rPr>
        <w:t xml:space="preserve">, 2025). </w:t>
      </w:r>
    </w:p>
    <w:p w14:paraId="6FDF76D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Heitor Augusto reconhece alguns aspectos na produção contemporânea de curtas-metragens de cineastas negras/pretas e negros/pretas, sendo eles: o desejo narrativo que diz respeito à intenção de ocupar o campo do cinema narrativo de ficção; a experimentação formal que se expressa na aproximação com outras manifestações artísticas como a música e as artes plásticas; e o despertar racial que tem como característica o empoderamento através da estética (Augusto, 2018, p. 151).</w:t>
      </w:r>
    </w:p>
    <w:p w14:paraId="6ADF163B"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 cineasta Camila de Moraes nasceu no Rio Grande do Sul, mas mudou-se para Salvador. A sua formação é em jornalismo e estudou no curso Bacharelado Interdisciplinar </w:t>
      </w:r>
      <w:proofErr w:type="gramStart"/>
      <w:r w:rsidRPr="002451B6">
        <w:rPr>
          <w:rFonts w:ascii="Times New Roman" w:eastAsia="Times New Roman" w:hAnsi="Times New Roman" w:cs="Times New Roman"/>
          <w:sz w:val="24"/>
          <w:szCs w:val="24"/>
        </w:rPr>
        <w:t>em  Artes</w:t>
      </w:r>
      <w:proofErr w:type="gramEnd"/>
      <w:r w:rsidRPr="002451B6">
        <w:rPr>
          <w:rFonts w:ascii="Times New Roman" w:eastAsia="Times New Roman" w:hAnsi="Times New Roman" w:cs="Times New Roman"/>
          <w:sz w:val="24"/>
          <w:szCs w:val="24"/>
        </w:rPr>
        <w:t xml:space="preserve"> com concentração em audiovisual pela Universidade Federal da Bahia. Ela é idealizadora e curadora do Festival Cinema Negro em Ação no Rio Grande do Sul, cuja primeira edição foi em novembro de 2020. Foi responsável pelo desenvolvimento do projeto de série de </w:t>
      </w:r>
      <w:proofErr w:type="gramStart"/>
      <w:r w:rsidRPr="002451B6">
        <w:rPr>
          <w:rFonts w:ascii="Times New Roman" w:eastAsia="Times New Roman" w:hAnsi="Times New Roman" w:cs="Times New Roman"/>
          <w:sz w:val="24"/>
          <w:szCs w:val="24"/>
        </w:rPr>
        <w:t xml:space="preserve">ficção </w:t>
      </w:r>
      <w:r w:rsidRPr="002451B6">
        <w:rPr>
          <w:rFonts w:ascii="Times New Roman" w:eastAsia="Times New Roman" w:hAnsi="Times New Roman" w:cs="Times New Roman"/>
          <w:i/>
          <w:iCs/>
          <w:sz w:val="24"/>
          <w:szCs w:val="24"/>
        </w:rPr>
        <w:t>Nós</w:t>
      </w:r>
      <w:proofErr w:type="gramEnd"/>
      <w:r w:rsidRPr="002451B6">
        <w:rPr>
          <w:rFonts w:ascii="Times New Roman" w:eastAsia="Times New Roman" w:hAnsi="Times New Roman" w:cs="Times New Roman"/>
          <w:i/>
          <w:iCs/>
          <w:sz w:val="24"/>
          <w:szCs w:val="24"/>
        </w:rPr>
        <w:t xml:space="preserve"> somos pares</w:t>
      </w:r>
      <w:r w:rsidRPr="002451B6">
        <w:rPr>
          <w:rFonts w:ascii="Times New Roman" w:eastAsia="Times New Roman" w:hAnsi="Times New Roman" w:cs="Times New Roman"/>
          <w:sz w:val="24"/>
          <w:szCs w:val="24"/>
        </w:rPr>
        <w:t xml:space="preserve"> (2020) que trata das vidas de seis mulheres negras/pretas e da relação de amizade que possuem. Ela dirigiu o curta-metragem </w:t>
      </w:r>
      <w:r w:rsidRPr="002451B6">
        <w:rPr>
          <w:rFonts w:ascii="Times New Roman" w:eastAsia="Times New Roman" w:hAnsi="Times New Roman" w:cs="Times New Roman"/>
          <w:i/>
          <w:iCs/>
          <w:sz w:val="24"/>
          <w:szCs w:val="24"/>
        </w:rPr>
        <w:t>A escrita do seu corpo</w:t>
      </w:r>
      <w:r w:rsidRPr="002451B6">
        <w:rPr>
          <w:rFonts w:ascii="Times New Roman" w:eastAsia="Times New Roman" w:hAnsi="Times New Roman" w:cs="Times New Roman"/>
          <w:sz w:val="24"/>
          <w:szCs w:val="24"/>
        </w:rPr>
        <w:t xml:space="preserve"> (2019) no qual mobiliza a linguagem poética para lidar com questões de identidade e de gênero. Atuou como produtora e corroteirista no documentário </w:t>
      </w:r>
      <w:r w:rsidRPr="002451B6">
        <w:rPr>
          <w:rFonts w:ascii="Times New Roman" w:eastAsia="Times New Roman" w:hAnsi="Times New Roman" w:cs="Times New Roman"/>
          <w:i/>
          <w:iCs/>
          <w:sz w:val="24"/>
          <w:szCs w:val="24"/>
        </w:rPr>
        <w:t>Mãe de gay</w:t>
      </w:r>
      <w:r w:rsidRPr="002451B6">
        <w:rPr>
          <w:rFonts w:ascii="Times New Roman" w:eastAsia="Times New Roman" w:hAnsi="Times New Roman" w:cs="Times New Roman"/>
          <w:sz w:val="24"/>
          <w:szCs w:val="24"/>
        </w:rPr>
        <w:t xml:space="preserve"> (2008), que recebeu dois Galgos de Ouro no Festival de Gramado. Trabalhou também como produtora do curta-metragem de ficção </w:t>
      </w:r>
      <w:r w:rsidRPr="002451B6">
        <w:rPr>
          <w:rFonts w:ascii="Times New Roman" w:eastAsia="Times New Roman" w:hAnsi="Times New Roman" w:cs="Times New Roman"/>
          <w:i/>
          <w:iCs/>
          <w:sz w:val="24"/>
          <w:szCs w:val="24"/>
        </w:rPr>
        <w:t>Marcelina – Como os olhos que a terra há de comer</w:t>
      </w:r>
      <w:r w:rsidRPr="002451B6">
        <w:rPr>
          <w:rFonts w:ascii="Times New Roman" w:eastAsia="Times New Roman" w:hAnsi="Times New Roman" w:cs="Times New Roman"/>
          <w:sz w:val="24"/>
          <w:szCs w:val="24"/>
        </w:rPr>
        <w:t xml:space="preserve">, de Alison Almeida, e na assistência de produção do documentário </w:t>
      </w:r>
      <w:r w:rsidRPr="002451B6">
        <w:rPr>
          <w:rFonts w:ascii="Times New Roman" w:eastAsia="Times New Roman" w:hAnsi="Times New Roman" w:cs="Times New Roman"/>
          <w:i/>
          <w:iCs/>
          <w:sz w:val="24"/>
          <w:szCs w:val="24"/>
        </w:rPr>
        <w:t>Poesia azeviche</w:t>
      </w:r>
      <w:r w:rsidRPr="002451B6">
        <w:rPr>
          <w:rFonts w:ascii="Times New Roman" w:eastAsia="Times New Roman" w:hAnsi="Times New Roman" w:cs="Times New Roman"/>
          <w:sz w:val="24"/>
          <w:szCs w:val="24"/>
        </w:rPr>
        <w:t xml:space="preserve"> (2018), de Ailton Pinheiro. O curta-metragem </w:t>
      </w:r>
      <w:r w:rsidRPr="002451B6">
        <w:rPr>
          <w:rFonts w:ascii="Times New Roman" w:eastAsia="Times New Roman" w:hAnsi="Times New Roman" w:cs="Times New Roman"/>
          <w:i/>
          <w:iCs/>
          <w:sz w:val="24"/>
          <w:szCs w:val="24"/>
        </w:rPr>
        <w:t>Mãe solo</w:t>
      </w:r>
      <w:r w:rsidRPr="002451B6">
        <w:rPr>
          <w:rFonts w:ascii="Times New Roman" w:eastAsia="Times New Roman" w:hAnsi="Times New Roman" w:cs="Times New Roman"/>
          <w:sz w:val="24"/>
          <w:szCs w:val="24"/>
        </w:rPr>
        <w:t xml:space="preserve"> (2021) é de sua autoria, nele a cineasta conta as histórias de mães – mulheres negras/pretas – que vivem nas periferias de Salvador. Com o seu pai, o jornalista Paulo Ricardo de Moraes, dirigiu o curta-metragem </w:t>
      </w:r>
      <w:r w:rsidRPr="002451B6">
        <w:rPr>
          <w:rFonts w:ascii="Times New Roman" w:eastAsia="Times New Roman" w:hAnsi="Times New Roman" w:cs="Times New Roman"/>
          <w:i/>
          <w:iCs/>
          <w:sz w:val="24"/>
          <w:szCs w:val="24"/>
        </w:rPr>
        <w:t>A um gole da eternidade</w:t>
      </w:r>
      <w:r w:rsidRPr="002451B6">
        <w:rPr>
          <w:rFonts w:ascii="Times New Roman" w:eastAsia="Times New Roman" w:hAnsi="Times New Roman" w:cs="Times New Roman"/>
          <w:sz w:val="24"/>
          <w:szCs w:val="24"/>
        </w:rPr>
        <w:t xml:space="preserve"> (2024)</w:t>
      </w:r>
      <w:r w:rsidRPr="002451B6">
        <w:rPr>
          <w:rFonts w:ascii="Times New Roman" w:eastAsia="Times New Roman" w:hAnsi="Times New Roman" w:cs="Times New Roman"/>
          <w:sz w:val="24"/>
          <w:szCs w:val="24"/>
          <w:vertAlign w:val="superscript"/>
        </w:rPr>
        <w:footnoteReference w:id="19"/>
      </w:r>
      <w:r w:rsidRPr="002451B6">
        <w:rPr>
          <w:rFonts w:ascii="Times New Roman" w:eastAsia="Times New Roman" w:hAnsi="Times New Roman" w:cs="Times New Roman"/>
          <w:sz w:val="24"/>
          <w:szCs w:val="24"/>
        </w:rPr>
        <w:t>.</w:t>
      </w:r>
    </w:p>
    <w:p w14:paraId="0B64C6A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cineasta, em entrevista concedia a Fabiana </w:t>
      </w:r>
      <w:proofErr w:type="spellStart"/>
      <w:r w:rsidRPr="002451B6">
        <w:rPr>
          <w:rFonts w:ascii="Times New Roman" w:eastAsia="Times New Roman" w:hAnsi="Times New Roman" w:cs="Times New Roman"/>
          <w:sz w:val="24"/>
          <w:szCs w:val="24"/>
        </w:rPr>
        <w:t>Reinholz</w:t>
      </w:r>
      <w:proofErr w:type="spellEnd"/>
      <w:r w:rsidRPr="002451B6">
        <w:rPr>
          <w:rFonts w:ascii="Times New Roman" w:eastAsia="Times New Roman" w:hAnsi="Times New Roman" w:cs="Times New Roman"/>
          <w:sz w:val="24"/>
          <w:szCs w:val="24"/>
        </w:rPr>
        <w:t xml:space="preserve"> e publicada no Brasil de Fato em 18 de novembro de 2020, ao traçar o percurso de sua trajetória, menciona que é de uma família de militantes do movimento negro gaúcho. Sua mãe, Vera Lopes, é atriz, o seu pai, o já mencionado, Paulo Ricardo de Moraes, é jornalista, roteirista e poeta. A sua família é atuante na área da cultura e sempre a incentivou a cultivar seus sonhos, por acreditar que por meio das linguagens e expressões culturais as revoluções são possíveis. Camila de Moraes graduou-se em Comunicação Social no Rio Grande do Sul, foi uma aluna atendida pelas políticas de cotas raciais, afirma ser fruto de uma educação pública. Em um primeiro momento, formou-se em Magistério e lecionou para o Ensino Fundamental Anos Iniciais, percebeu que a educação de base é essencial. Assim, a sua formação no Magistério possibilitou elaborar seu caminho na educação e comunicação social.</w:t>
      </w:r>
    </w:p>
    <w:p w14:paraId="3425B9D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Ao ingressar na universidade para cursar comunicação, a partir das cotas, passou a ter acesso aos equipamentos e foi instigada a começar a produzir e tomar consciência de “uma potência dentro do audiovisual”. Depois que se formou, mudou-se para Salvador, com 21 anos, e ingressou na Universidade Federal da Bahia, mais uma vez pelo sistema de cotas. Experiências que fazem com que a cineasta enfatize a importância das ações afirmativas, e a </w:t>
      </w:r>
      <w:r w:rsidRPr="002451B6">
        <w:rPr>
          <w:rFonts w:ascii="Times New Roman" w:eastAsia="Times New Roman" w:hAnsi="Times New Roman" w:cs="Times New Roman"/>
          <w:sz w:val="24"/>
          <w:szCs w:val="24"/>
        </w:rPr>
        <w:lastRenderedPageBreak/>
        <w:t>importância de elas existirem em todos os setores da sociedade, assim as mudanças podem ser realizadas nas estruturas políticas e sociais. Para ela, o início de seu trabalho com a produção do documentário não mudou apenas sua vida, mas também a de sua família, uma vez que o seu ambiente de atuação foi transformado ao trazer à tona o caso do assassinato de Júlio César de Melo Pinto pela polícia, criando possibilidades de diálogo sobre o caso e outros de violência policial no território do país. Na época da entrevista, o filme havia sido exibido em 18 países na América Latina pelo Google Play, pelo ITunes, e estava em outras plataformas digitais, ficou um ano em cartaz no circuito comercial, sendo selecionado na lista dos 22 filmes para representarem o Brasil no Oscar.  Para ela, as ações afirmativas são as que possibilitaram isso, e sua trajetória é marcada por elas. Em suas palavras:</w:t>
      </w:r>
    </w:p>
    <w:p w14:paraId="2656C698"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6A0D811E"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Minha trajetória vem disso, vem desse construir pelo coletivo, para o coletivo, e esse construir dentro de um movimento social negro. Eu sou o que soa hoje por conta desse movimento social negro que acredita, investe, potencializa cada indivíduo negro existente nesse país (</w:t>
      </w:r>
      <w:proofErr w:type="spellStart"/>
      <w:r w:rsidRPr="002451B6">
        <w:rPr>
          <w:rFonts w:ascii="Times New Roman" w:eastAsia="Times New Roman" w:hAnsi="Times New Roman" w:cs="Times New Roman"/>
        </w:rPr>
        <w:t>Reinholz</w:t>
      </w:r>
      <w:proofErr w:type="spellEnd"/>
      <w:r w:rsidRPr="002451B6">
        <w:rPr>
          <w:rFonts w:ascii="Times New Roman" w:eastAsia="Times New Roman" w:hAnsi="Times New Roman" w:cs="Times New Roman"/>
        </w:rPr>
        <w:t xml:space="preserve">, 2020). </w:t>
      </w:r>
    </w:p>
    <w:p w14:paraId="231F5C2E" w14:textId="77777777" w:rsidR="00332C33" w:rsidRPr="002451B6" w:rsidRDefault="00332C33">
      <w:pPr>
        <w:spacing w:line="240" w:lineRule="auto"/>
        <w:ind w:left="2268"/>
        <w:jc w:val="both"/>
        <w:rPr>
          <w:rFonts w:ascii="Times New Roman" w:eastAsia="Times New Roman" w:hAnsi="Times New Roman" w:cs="Times New Roman"/>
        </w:rPr>
      </w:pPr>
    </w:p>
    <w:p w14:paraId="052002F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seu documentário longa-metragem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foi o segundo dirigido por uma mulher negra/preta a entrar no circuito comercial. O primeiro foi </w:t>
      </w:r>
      <w:r w:rsidRPr="002451B6">
        <w:rPr>
          <w:rFonts w:ascii="Times New Roman" w:eastAsia="Times New Roman" w:hAnsi="Times New Roman" w:cs="Times New Roman"/>
          <w:i/>
          <w:iCs/>
          <w:sz w:val="24"/>
          <w:szCs w:val="24"/>
        </w:rPr>
        <w:t>Amor maldito</w:t>
      </w:r>
      <w:r w:rsidRPr="002451B6">
        <w:rPr>
          <w:rFonts w:ascii="Times New Roman" w:eastAsia="Times New Roman" w:hAnsi="Times New Roman" w:cs="Times New Roman"/>
          <w:sz w:val="24"/>
          <w:szCs w:val="24"/>
        </w:rPr>
        <w:t>, de 1984, dirigido pela cineasta Adélia Sampaio</w:t>
      </w:r>
      <w:r w:rsidRPr="002451B6">
        <w:rPr>
          <w:rFonts w:ascii="Times New Roman" w:eastAsia="Times New Roman" w:hAnsi="Times New Roman" w:cs="Times New Roman"/>
          <w:sz w:val="24"/>
          <w:szCs w:val="24"/>
          <w:vertAlign w:val="superscript"/>
        </w:rPr>
        <w:t>.</w:t>
      </w:r>
      <w:r w:rsidRPr="002451B6">
        <w:rPr>
          <w:rFonts w:ascii="Times New Roman" w:eastAsia="Times New Roman" w:hAnsi="Times New Roman" w:cs="Times New Roman"/>
          <w:sz w:val="24"/>
          <w:szCs w:val="24"/>
        </w:rPr>
        <w:t xml:space="preserve"> Mari </w:t>
      </w:r>
      <w:proofErr w:type="spellStart"/>
      <w:r w:rsidRPr="002451B6">
        <w:rPr>
          <w:rFonts w:ascii="Times New Roman" w:eastAsia="Times New Roman" w:hAnsi="Times New Roman" w:cs="Times New Roman"/>
          <w:sz w:val="24"/>
          <w:szCs w:val="24"/>
        </w:rPr>
        <w:t>Dertoni</w:t>
      </w:r>
      <w:proofErr w:type="spellEnd"/>
      <w:r w:rsidRPr="002451B6">
        <w:rPr>
          <w:rFonts w:ascii="Times New Roman" w:eastAsia="Times New Roman" w:hAnsi="Times New Roman" w:cs="Times New Roman"/>
          <w:sz w:val="24"/>
          <w:szCs w:val="24"/>
        </w:rPr>
        <w:t xml:space="preserve"> e Natália </w:t>
      </w:r>
      <w:proofErr w:type="spellStart"/>
      <w:r w:rsidRPr="002451B6">
        <w:rPr>
          <w:rFonts w:ascii="Times New Roman" w:eastAsia="Times New Roman" w:hAnsi="Times New Roman" w:cs="Times New Roman"/>
          <w:sz w:val="24"/>
          <w:szCs w:val="24"/>
        </w:rPr>
        <w:t>Bocanera</w:t>
      </w:r>
      <w:proofErr w:type="spellEnd"/>
      <w:r w:rsidRPr="002451B6">
        <w:rPr>
          <w:rFonts w:ascii="Times New Roman" w:eastAsia="Times New Roman" w:hAnsi="Times New Roman" w:cs="Times New Roman"/>
          <w:sz w:val="24"/>
          <w:szCs w:val="24"/>
        </w:rPr>
        <w:t xml:space="preserve">, do Coletivo Crítico, convidaram críticas, pesquisadoras e atuantes na produção de conteúdo sobre cinema no Brasil, cerca de 31 profissionais, para escolherem os 10 melhores filmes dirigidos por cineastas mulheres no país. A presença do filme de Adélia Sampaio foi considerável nessas listas. Amanda </w:t>
      </w:r>
      <w:proofErr w:type="spellStart"/>
      <w:r w:rsidRPr="002451B6">
        <w:rPr>
          <w:rFonts w:ascii="Times New Roman" w:eastAsia="Times New Roman" w:hAnsi="Times New Roman" w:cs="Times New Roman"/>
          <w:sz w:val="24"/>
          <w:szCs w:val="24"/>
        </w:rPr>
        <w:t>Luvizotto</w:t>
      </w:r>
      <w:proofErr w:type="spellEnd"/>
      <w:r w:rsidRPr="002451B6">
        <w:rPr>
          <w:rFonts w:ascii="Times New Roman" w:eastAsia="Times New Roman" w:hAnsi="Times New Roman" w:cs="Times New Roman"/>
          <w:sz w:val="24"/>
          <w:szCs w:val="24"/>
        </w:rPr>
        <w:t xml:space="preserve"> o indicou na quinta posição; Paula Barbosa na segunda; Barbara </w:t>
      </w:r>
      <w:proofErr w:type="spellStart"/>
      <w:r w:rsidRPr="002451B6">
        <w:rPr>
          <w:rFonts w:ascii="Times New Roman" w:eastAsia="Times New Roman" w:hAnsi="Times New Roman" w:cs="Times New Roman"/>
          <w:sz w:val="24"/>
          <w:szCs w:val="24"/>
        </w:rPr>
        <w:t>Demerov</w:t>
      </w:r>
      <w:proofErr w:type="spellEnd"/>
      <w:r w:rsidRPr="002451B6">
        <w:rPr>
          <w:rFonts w:ascii="Times New Roman" w:eastAsia="Times New Roman" w:hAnsi="Times New Roman" w:cs="Times New Roman"/>
          <w:sz w:val="24"/>
          <w:szCs w:val="24"/>
        </w:rPr>
        <w:t xml:space="preserve"> na sexta; Bianca </w:t>
      </w:r>
      <w:proofErr w:type="spellStart"/>
      <w:r w:rsidRPr="002451B6">
        <w:rPr>
          <w:rFonts w:ascii="Times New Roman" w:eastAsia="Times New Roman" w:hAnsi="Times New Roman" w:cs="Times New Roman"/>
          <w:sz w:val="24"/>
          <w:szCs w:val="24"/>
        </w:rPr>
        <w:t>Zasso</w:t>
      </w:r>
      <w:proofErr w:type="spellEnd"/>
      <w:r w:rsidRPr="002451B6">
        <w:rPr>
          <w:rFonts w:ascii="Times New Roman" w:eastAsia="Times New Roman" w:hAnsi="Times New Roman" w:cs="Times New Roman"/>
          <w:sz w:val="24"/>
          <w:szCs w:val="24"/>
        </w:rPr>
        <w:t xml:space="preserve"> na terceira; Camila Henriques na oitava; Carol </w:t>
      </w:r>
      <w:proofErr w:type="spellStart"/>
      <w:r w:rsidRPr="002451B6">
        <w:rPr>
          <w:rFonts w:ascii="Times New Roman" w:eastAsia="Times New Roman" w:hAnsi="Times New Roman" w:cs="Times New Roman"/>
          <w:sz w:val="24"/>
          <w:szCs w:val="24"/>
        </w:rPr>
        <w:t>Ballan</w:t>
      </w:r>
      <w:proofErr w:type="spellEnd"/>
      <w:r w:rsidRPr="002451B6">
        <w:rPr>
          <w:rFonts w:ascii="Times New Roman" w:eastAsia="Times New Roman" w:hAnsi="Times New Roman" w:cs="Times New Roman"/>
          <w:sz w:val="24"/>
          <w:szCs w:val="24"/>
        </w:rPr>
        <w:t xml:space="preserve"> na terceira; </w:t>
      </w:r>
      <w:proofErr w:type="spellStart"/>
      <w:r w:rsidRPr="002451B6">
        <w:rPr>
          <w:rFonts w:ascii="Times New Roman" w:eastAsia="Times New Roman" w:hAnsi="Times New Roman" w:cs="Times New Roman"/>
          <w:sz w:val="24"/>
          <w:szCs w:val="24"/>
        </w:rPr>
        <w:t>Enoe</w:t>
      </w:r>
      <w:proofErr w:type="spellEnd"/>
      <w:r w:rsidRPr="002451B6">
        <w:rPr>
          <w:rFonts w:ascii="Times New Roman" w:eastAsia="Times New Roman" w:hAnsi="Times New Roman" w:cs="Times New Roman"/>
          <w:sz w:val="24"/>
          <w:szCs w:val="24"/>
        </w:rPr>
        <w:t xml:space="preserve"> Lopes Pontes na quinta; Isabel Cândido na oitava; </w:t>
      </w:r>
      <w:proofErr w:type="spellStart"/>
      <w:r w:rsidRPr="002451B6">
        <w:rPr>
          <w:rFonts w:ascii="Times New Roman" w:eastAsia="Times New Roman" w:hAnsi="Times New Roman" w:cs="Times New Roman"/>
          <w:sz w:val="24"/>
          <w:szCs w:val="24"/>
        </w:rPr>
        <w:t>Lilianna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Bernartt</w:t>
      </w:r>
      <w:proofErr w:type="spellEnd"/>
      <w:r w:rsidRPr="002451B6">
        <w:rPr>
          <w:rFonts w:ascii="Times New Roman" w:eastAsia="Times New Roman" w:hAnsi="Times New Roman" w:cs="Times New Roman"/>
          <w:sz w:val="24"/>
          <w:szCs w:val="24"/>
        </w:rPr>
        <w:t xml:space="preserve"> na quinta; </w:t>
      </w:r>
      <w:proofErr w:type="spellStart"/>
      <w:r w:rsidRPr="002451B6">
        <w:rPr>
          <w:rFonts w:ascii="Times New Roman" w:eastAsia="Times New Roman" w:hAnsi="Times New Roman" w:cs="Times New Roman"/>
          <w:sz w:val="24"/>
          <w:szCs w:val="24"/>
        </w:rPr>
        <w:t>Lorenna</w:t>
      </w:r>
      <w:proofErr w:type="spellEnd"/>
      <w:r w:rsidRPr="002451B6">
        <w:rPr>
          <w:rFonts w:ascii="Times New Roman" w:eastAsia="Times New Roman" w:hAnsi="Times New Roman" w:cs="Times New Roman"/>
          <w:sz w:val="24"/>
          <w:szCs w:val="24"/>
        </w:rPr>
        <w:t xml:space="preserve"> Montenegro na décima; Maria </w:t>
      </w:r>
      <w:proofErr w:type="spellStart"/>
      <w:r w:rsidRPr="002451B6">
        <w:rPr>
          <w:rFonts w:ascii="Times New Roman" w:eastAsia="Times New Roman" w:hAnsi="Times New Roman" w:cs="Times New Roman"/>
          <w:sz w:val="24"/>
          <w:szCs w:val="24"/>
        </w:rPr>
        <w:t>Bocarena</w:t>
      </w:r>
      <w:proofErr w:type="spellEnd"/>
      <w:r w:rsidRPr="002451B6">
        <w:rPr>
          <w:rFonts w:ascii="Times New Roman" w:eastAsia="Times New Roman" w:hAnsi="Times New Roman" w:cs="Times New Roman"/>
          <w:sz w:val="24"/>
          <w:szCs w:val="24"/>
        </w:rPr>
        <w:t xml:space="preserve"> na terceira; Pâmela Eurídice na quinta; Tati Regis na oitava; Thainá Campos </w:t>
      </w:r>
      <w:proofErr w:type="spellStart"/>
      <w:r w:rsidRPr="002451B6">
        <w:rPr>
          <w:rFonts w:ascii="Times New Roman" w:eastAsia="Times New Roman" w:hAnsi="Times New Roman" w:cs="Times New Roman"/>
          <w:sz w:val="24"/>
          <w:szCs w:val="24"/>
        </w:rPr>
        <w:t>Seriz</w:t>
      </w:r>
      <w:proofErr w:type="spellEnd"/>
      <w:r w:rsidRPr="002451B6">
        <w:rPr>
          <w:rFonts w:ascii="Times New Roman" w:eastAsia="Times New Roman" w:hAnsi="Times New Roman" w:cs="Times New Roman"/>
          <w:sz w:val="24"/>
          <w:szCs w:val="24"/>
        </w:rPr>
        <w:t xml:space="preserve"> na sexta; e Thaís Vieira na sexta (</w:t>
      </w:r>
      <w:proofErr w:type="spellStart"/>
      <w:r w:rsidRPr="002451B6">
        <w:rPr>
          <w:rFonts w:ascii="Times New Roman" w:eastAsia="Times New Roman" w:hAnsi="Times New Roman" w:cs="Times New Roman"/>
          <w:sz w:val="24"/>
          <w:szCs w:val="24"/>
        </w:rPr>
        <w:t>Dertoni</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Bocanera</w:t>
      </w:r>
      <w:proofErr w:type="spellEnd"/>
      <w:r w:rsidRPr="002451B6">
        <w:rPr>
          <w:rFonts w:ascii="Times New Roman" w:eastAsia="Times New Roman" w:hAnsi="Times New Roman" w:cs="Times New Roman"/>
          <w:sz w:val="24"/>
          <w:szCs w:val="24"/>
        </w:rPr>
        <w:t>, 2025).</w:t>
      </w:r>
    </w:p>
    <w:p w14:paraId="381F792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distanciamento histórico de 33 anos demonstra a ausência de representação de gênero e raça no cinema brasileiro por um longo período. Vale dizer que o documentário </w:t>
      </w:r>
      <w:r w:rsidRPr="002451B6">
        <w:rPr>
          <w:rFonts w:ascii="Times New Roman" w:eastAsia="Times New Roman" w:hAnsi="Times New Roman" w:cs="Times New Roman"/>
          <w:i/>
          <w:iCs/>
          <w:sz w:val="24"/>
          <w:szCs w:val="24"/>
        </w:rPr>
        <w:t xml:space="preserve">O caso do homem errado </w:t>
      </w:r>
      <w:r w:rsidRPr="002451B6">
        <w:rPr>
          <w:rFonts w:ascii="Times New Roman" w:eastAsia="Times New Roman" w:hAnsi="Times New Roman" w:cs="Times New Roman"/>
          <w:sz w:val="24"/>
          <w:szCs w:val="24"/>
        </w:rPr>
        <w:t xml:space="preserve">esteve na lista de pré-selecionados pelo Ministério da Cultura para representar o Brasil na categoria de Melhor Filme Estrangeiro no Oscar de 2019. Ele foi premiado no 13th Los Angeles </w:t>
      </w:r>
      <w:proofErr w:type="spellStart"/>
      <w:r w:rsidRPr="002451B6">
        <w:rPr>
          <w:rFonts w:ascii="Times New Roman" w:eastAsia="Times New Roman" w:hAnsi="Times New Roman" w:cs="Times New Roman"/>
          <w:sz w:val="24"/>
          <w:szCs w:val="24"/>
        </w:rPr>
        <w:t>Brazilian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Film</w:t>
      </w:r>
      <w:proofErr w:type="spellEnd"/>
      <w:r w:rsidRPr="002451B6">
        <w:rPr>
          <w:rFonts w:ascii="Times New Roman" w:eastAsia="Times New Roman" w:hAnsi="Times New Roman" w:cs="Times New Roman"/>
          <w:sz w:val="24"/>
          <w:szCs w:val="24"/>
        </w:rPr>
        <w:t xml:space="preserve"> como Melhor Documentário. </w:t>
      </w:r>
    </w:p>
    <w:p w14:paraId="2A78A85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Entre os 22 filmes indicados ao Oscar de 2019, 18 eram ficções e 4 documentários. Nove dos 22 foram dirigidos por cineastas mulheres. Os filmes indicados foram os seguintes: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(Camila de Moraes. 2017, </w:t>
      </w:r>
      <w:r w:rsidRPr="002451B6">
        <w:rPr>
          <w:rFonts w:ascii="Times New Roman" w:eastAsia="Times New Roman" w:hAnsi="Times New Roman" w:cs="Times New Roman"/>
          <w:i/>
          <w:iCs/>
          <w:sz w:val="24"/>
          <w:szCs w:val="24"/>
        </w:rPr>
        <w:t>O desmonte do monte</w:t>
      </w:r>
      <w:r w:rsidRPr="002451B6">
        <w:rPr>
          <w:rFonts w:ascii="Times New Roman" w:eastAsia="Times New Roman" w:hAnsi="Times New Roman" w:cs="Times New Roman"/>
          <w:sz w:val="24"/>
          <w:szCs w:val="24"/>
        </w:rPr>
        <w:t xml:space="preserve"> (Sinai Sganzerla, 2018), </w:t>
      </w:r>
      <w:r w:rsidRPr="002451B6">
        <w:rPr>
          <w:rFonts w:ascii="Times New Roman" w:eastAsia="Times New Roman" w:hAnsi="Times New Roman" w:cs="Times New Roman"/>
          <w:i/>
          <w:iCs/>
          <w:sz w:val="24"/>
          <w:szCs w:val="24"/>
        </w:rPr>
        <w:lastRenderedPageBreak/>
        <w:t>Antes que eu me esqueça</w:t>
      </w:r>
      <w:r w:rsidRPr="002451B6">
        <w:rPr>
          <w:rFonts w:ascii="Times New Roman" w:eastAsia="Times New Roman" w:hAnsi="Times New Roman" w:cs="Times New Roman"/>
          <w:sz w:val="24"/>
          <w:szCs w:val="24"/>
        </w:rPr>
        <w:t xml:space="preserve"> (Tiago </w:t>
      </w:r>
      <w:proofErr w:type="spellStart"/>
      <w:r w:rsidRPr="002451B6">
        <w:rPr>
          <w:rFonts w:ascii="Times New Roman" w:eastAsia="Times New Roman" w:hAnsi="Times New Roman" w:cs="Times New Roman"/>
          <w:sz w:val="24"/>
          <w:szCs w:val="24"/>
        </w:rPr>
        <w:t>Arakilian</w:t>
      </w:r>
      <w:proofErr w:type="spellEnd"/>
      <w:r w:rsidRPr="002451B6">
        <w:rPr>
          <w:rFonts w:ascii="Times New Roman" w:eastAsia="Times New Roman" w:hAnsi="Times New Roman" w:cs="Times New Roman"/>
          <w:sz w:val="24"/>
          <w:szCs w:val="24"/>
        </w:rPr>
        <w:t xml:space="preserve">, 2017), </w:t>
      </w:r>
      <w:r w:rsidRPr="002451B6">
        <w:rPr>
          <w:rFonts w:ascii="Times New Roman" w:eastAsia="Times New Roman" w:hAnsi="Times New Roman" w:cs="Times New Roman"/>
          <w:i/>
          <w:iCs/>
          <w:sz w:val="24"/>
          <w:szCs w:val="24"/>
        </w:rPr>
        <w:t>Aos teus olhos</w:t>
      </w:r>
      <w:r w:rsidRPr="002451B6">
        <w:rPr>
          <w:rFonts w:ascii="Times New Roman" w:eastAsia="Times New Roman" w:hAnsi="Times New Roman" w:cs="Times New Roman"/>
          <w:sz w:val="24"/>
          <w:szCs w:val="24"/>
        </w:rPr>
        <w:t xml:space="preserve"> (Carolina Jabor, 2017), </w:t>
      </w:r>
      <w:proofErr w:type="spellStart"/>
      <w:r w:rsidRPr="002451B6">
        <w:rPr>
          <w:rFonts w:ascii="Times New Roman" w:eastAsia="Times New Roman" w:hAnsi="Times New Roman" w:cs="Times New Roman"/>
          <w:i/>
          <w:iCs/>
          <w:sz w:val="24"/>
          <w:szCs w:val="24"/>
        </w:rPr>
        <w:t>Ex-Pajé</w:t>
      </w:r>
      <w:proofErr w:type="spellEnd"/>
      <w:r w:rsidRPr="002451B6">
        <w:rPr>
          <w:rFonts w:ascii="Times New Roman" w:eastAsia="Times New Roman" w:hAnsi="Times New Roman" w:cs="Times New Roman"/>
          <w:sz w:val="24"/>
          <w:szCs w:val="24"/>
        </w:rPr>
        <w:t xml:space="preserve"> (Luiz Bolognesi, 2018),  </w:t>
      </w:r>
      <w:proofErr w:type="spellStart"/>
      <w:r w:rsidRPr="002451B6">
        <w:rPr>
          <w:rFonts w:ascii="Times New Roman" w:eastAsia="Times New Roman" w:hAnsi="Times New Roman" w:cs="Times New Roman"/>
          <w:i/>
          <w:iCs/>
          <w:sz w:val="24"/>
          <w:szCs w:val="24"/>
        </w:rPr>
        <w:t>Yonlu</w:t>
      </w:r>
      <w:proofErr w:type="spellEnd"/>
      <w:r w:rsidRPr="002451B6">
        <w:rPr>
          <w:rFonts w:ascii="Times New Roman" w:eastAsia="Times New Roman" w:hAnsi="Times New Roman" w:cs="Times New Roman"/>
          <w:sz w:val="24"/>
          <w:szCs w:val="24"/>
        </w:rPr>
        <w:t xml:space="preserve"> (Henrique Montanari, 2017), </w:t>
      </w:r>
      <w:r w:rsidRPr="002451B6">
        <w:rPr>
          <w:rFonts w:ascii="Times New Roman" w:eastAsia="Times New Roman" w:hAnsi="Times New Roman" w:cs="Times New Roman"/>
          <w:i/>
          <w:iCs/>
          <w:sz w:val="24"/>
          <w:szCs w:val="24"/>
        </w:rPr>
        <w:t>Não devore meu coração</w:t>
      </w:r>
      <w:r w:rsidRPr="002451B6">
        <w:rPr>
          <w:rFonts w:ascii="Times New Roman" w:eastAsia="Times New Roman" w:hAnsi="Times New Roman" w:cs="Times New Roman"/>
          <w:sz w:val="24"/>
          <w:szCs w:val="24"/>
        </w:rPr>
        <w:t xml:space="preserve"> (Felipe Bragança, 2017), </w:t>
      </w:r>
      <w:r w:rsidRPr="002451B6">
        <w:rPr>
          <w:rFonts w:ascii="Times New Roman" w:eastAsia="Times New Roman" w:hAnsi="Times New Roman" w:cs="Times New Roman"/>
          <w:i/>
          <w:iCs/>
          <w:sz w:val="24"/>
          <w:szCs w:val="24"/>
        </w:rPr>
        <w:t>Talvez uma</w:t>
      </w:r>
      <w:r w:rsidRPr="002451B6">
        <w:rPr>
          <w:rFonts w:ascii="Aptos" w:eastAsia="Aptos" w:hAnsi="Aptos" w:cs="Aptos"/>
          <w:i/>
          <w:iCs/>
          <w:sz w:val="24"/>
          <w:szCs w:val="24"/>
        </w:rPr>
        <w:t xml:space="preserve"> </w:t>
      </w:r>
      <w:r w:rsidRPr="002451B6">
        <w:rPr>
          <w:rFonts w:ascii="Times New Roman" w:eastAsia="Times New Roman" w:hAnsi="Times New Roman" w:cs="Times New Roman"/>
          <w:i/>
          <w:iCs/>
          <w:sz w:val="24"/>
          <w:szCs w:val="24"/>
        </w:rPr>
        <w:t>história de</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amor</w:t>
      </w:r>
      <w:r w:rsidRPr="002451B6">
        <w:rPr>
          <w:rFonts w:ascii="Times New Roman" w:eastAsia="Times New Roman" w:hAnsi="Times New Roman" w:cs="Times New Roman"/>
          <w:sz w:val="24"/>
          <w:szCs w:val="24"/>
        </w:rPr>
        <w:t xml:space="preserve"> (Rodrigo Spada Bernardo, 2018), </w:t>
      </w:r>
      <w:r w:rsidRPr="002451B6">
        <w:rPr>
          <w:rFonts w:ascii="Times New Roman" w:eastAsia="Times New Roman" w:hAnsi="Times New Roman" w:cs="Times New Roman"/>
          <w:i/>
          <w:iCs/>
          <w:sz w:val="24"/>
          <w:szCs w:val="24"/>
        </w:rPr>
        <w:t>Canastra suja</w:t>
      </w:r>
      <w:r w:rsidRPr="002451B6">
        <w:rPr>
          <w:rFonts w:ascii="Times New Roman" w:eastAsia="Times New Roman" w:hAnsi="Times New Roman" w:cs="Times New Roman"/>
          <w:sz w:val="24"/>
          <w:szCs w:val="24"/>
        </w:rPr>
        <w:t xml:space="preserve"> (Caio </w:t>
      </w:r>
      <w:proofErr w:type="spellStart"/>
      <w:r w:rsidRPr="002451B6">
        <w:rPr>
          <w:rFonts w:ascii="Times New Roman" w:eastAsia="Times New Roman" w:hAnsi="Times New Roman" w:cs="Times New Roman"/>
          <w:sz w:val="24"/>
          <w:szCs w:val="24"/>
        </w:rPr>
        <w:t>Sóh</w:t>
      </w:r>
      <w:proofErr w:type="spellEnd"/>
      <w:r w:rsidRPr="002451B6">
        <w:rPr>
          <w:rFonts w:ascii="Times New Roman" w:eastAsia="Times New Roman" w:hAnsi="Times New Roman" w:cs="Times New Roman"/>
          <w:sz w:val="24"/>
          <w:szCs w:val="24"/>
        </w:rPr>
        <w:t xml:space="preserve">, 2016), </w:t>
      </w:r>
      <w:r w:rsidRPr="002451B6">
        <w:rPr>
          <w:rFonts w:ascii="Times New Roman" w:eastAsia="Times New Roman" w:hAnsi="Times New Roman" w:cs="Times New Roman"/>
          <w:i/>
          <w:iCs/>
          <w:sz w:val="24"/>
          <w:szCs w:val="24"/>
        </w:rPr>
        <w:t>Entre irmãs</w:t>
      </w:r>
      <w:r w:rsidRPr="002451B6">
        <w:rPr>
          <w:rFonts w:ascii="Times New Roman" w:eastAsia="Times New Roman" w:hAnsi="Times New Roman" w:cs="Times New Roman"/>
          <w:sz w:val="24"/>
          <w:szCs w:val="24"/>
        </w:rPr>
        <w:t xml:space="preserve"> (Breno Silveira, 2017), </w:t>
      </w:r>
      <w:r w:rsidRPr="002451B6">
        <w:rPr>
          <w:rFonts w:ascii="Times New Roman" w:eastAsia="Times New Roman" w:hAnsi="Times New Roman" w:cs="Times New Roman"/>
          <w:i/>
          <w:iCs/>
          <w:sz w:val="24"/>
          <w:szCs w:val="24"/>
        </w:rPr>
        <w:t>O grande Circo Místico</w:t>
      </w:r>
      <w:r w:rsidRPr="002451B6">
        <w:rPr>
          <w:rFonts w:ascii="Times New Roman" w:eastAsia="Times New Roman" w:hAnsi="Times New Roman" w:cs="Times New Roman"/>
          <w:sz w:val="24"/>
          <w:szCs w:val="24"/>
        </w:rPr>
        <w:t xml:space="preserve"> (Cacá Diegues, 2018), </w:t>
      </w:r>
      <w:r w:rsidRPr="002451B6">
        <w:rPr>
          <w:rFonts w:ascii="Times New Roman" w:eastAsia="Times New Roman" w:hAnsi="Times New Roman" w:cs="Times New Roman"/>
          <w:i/>
          <w:iCs/>
          <w:sz w:val="24"/>
          <w:szCs w:val="24"/>
        </w:rPr>
        <w:t>As boas maneiras</w:t>
      </w:r>
      <w:r w:rsidRPr="002451B6">
        <w:rPr>
          <w:rFonts w:ascii="Times New Roman" w:eastAsia="Times New Roman" w:hAnsi="Times New Roman" w:cs="Times New Roman"/>
          <w:sz w:val="24"/>
          <w:szCs w:val="24"/>
        </w:rPr>
        <w:t xml:space="preserve"> (Juliana Rojas; Marco Dutra, 2017) </w:t>
      </w:r>
      <w:r w:rsidRPr="002451B6">
        <w:rPr>
          <w:rFonts w:ascii="Times New Roman" w:eastAsia="Times New Roman" w:hAnsi="Times New Roman" w:cs="Times New Roman"/>
          <w:i/>
          <w:iCs/>
          <w:sz w:val="24"/>
          <w:szCs w:val="24"/>
        </w:rPr>
        <w:t>Benzinho</w:t>
      </w:r>
      <w:r w:rsidRPr="002451B6">
        <w:rPr>
          <w:rFonts w:ascii="Times New Roman" w:eastAsia="Times New Roman" w:hAnsi="Times New Roman" w:cs="Times New Roman"/>
          <w:sz w:val="24"/>
          <w:szCs w:val="24"/>
        </w:rPr>
        <w:t xml:space="preserve"> (Gustavo Pizzi, 2018), </w:t>
      </w:r>
      <w:r w:rsidRPr="002451B6">
        <w:rPr>
          <w:rFonts w:ascii="Times New Roman" w:eastAsia="Times New Roman" w:hAnsi="Times New Roman" w:cs="Times New Roman"/>
          <w:i/>
          <w:iCs/>
          <w:sz w:val="24"/>
          <w:szCs w:val="24"/>
        </w:rPr>
        <w:t>Alguma coisa assim</w:t>
      </w:r>
      <w:r w:rsidRPr="002451B6">
        <w:rPr>
          <w:rFonts w:ascii="Times New Roman" w:eastAsia="Times New Roman" w:hAnsi="Times New Roman" w:cs="Times New Roman"/>
          <w:sz w:val="24"/>
          <w:szCs w:val="24"/>
        </w:rPr>
        <w:t xml:space="preserve"> (Mariana Bastos; Esmir Filho, 2017), </w:t>
      </w:r>
      <w:r w:rsidRPr="002451B6">
        <w:rPr>
          <w:rFonts w:ascii="Times New Roman" w:eastAsia="Times New Roman" w:hAnsi="Times New Roman" w:cs="Times New Roman"/>
          <w:i/>
          <w:iCs/>
          <w:sz w:val="24"/>
          <w:szCs w:val="24"/>
        </w:rPr>
        <w:t>Paraíso perdido</w:t>
      </w:r>
      <w:r w:rsidRPr="002451B6">
        <w:rPr>
          <w:rFonts w:ascii="Times New Roman" w:eastAsia="Times New Roman" w:hAnsi="Times New Roman" w:cs="Times New Roman"/>
          <w:sz w:val="24"/>
          <w:szCs w:val="24"/>
        </w:rPr>
        <w:t xml:space="preserve"> (Monique Gardenberg, 2018), </w:t>
      </w:r>
      <w:r w:rsidRPr="002451B6">
        <w:rPr>
          <w:rFonts w:ascii="Times New Roman" w:eastAsia="Times New Roman" w:hAnsi="Times New Roman" w:cs="Times New Roman"/>
          <w:i/>
          <w:iCs/>
          <w:sz w:val="24"/>
          <w:szCs w:val="24"/>
        </w:rPr>
        <w:t>Além do homem</w:t>
      </w:r>
      <w:r w:rsidRPr="002451B6">
        <w:rPr>
          <w:rFonts w:ascii="Times New Roman" w:eastAsia="Times New Roman" w:hAnsi="Times New Roman" w:cs="Times New Roman"/>
          <w:sz w:val="24"/>
          <w:szCs w:val="24"/>
        </w:rPr>
        <w:t xml:space="preserve"> (Willy </w:t>
      </w:r>
      <w:proofErr w:type="spellStart"/>
      <w:r w:rsidRPr="002451B6">
        <w:rPr>
          <w:rFonts w:ascii="Times New Roman" w:eastAsia="Times New Roman" w:hAnsi="Times New Roman" w:cs="Times New Roman"/>
          <w:sz w:val="24"/>
          <w:szCs w:val="24"/>
        </w:rPr>
        <w:t>Biondani</w:t>
      </w:r>
      <w:proofErr w:type="spellEnd"/>
      <w:r w:rsidRPr="002451B6">
        <w:rPr>
          <w:rFonts w:ascii="Times New Roman" w:eastAsia="Times New Roman" w:hAnsi="Times New Roman" w:cs="Times New Roman"/>
          <w:sz w:val="24"/>
          <w:szCs w:val="24"/>
        </w:rPr>
        <w:t xml:space="preserve">, 2018), </w:t>
      </w:r>
      <w:r w:rsidRPr="002451B6">
        <w:rPr>
          <w:rFonts w:ascii="Times New Roman" w:eastAsia="Times New Roman" w:hAnsi="Times New Roman" w:cs="Times New Roman"/>
          <w:i/>
          <w:iCs/>
          <w:sz w:val="24"/>
          <w:szCs w:val="24"/>
        </w:rPr>
        <w:t>Como é cruel viver assim</w:t>
      </w:r>
      <w:r w:rsidRPr="002451B6">
        <w:rPr>
          <w:rFonts w:ascii="Times New Roman" w:eastAsia="Times New Roman" w:hAnsi="Times New Roman" w:cs="Times New Roman"/>
          <w:sz w:val="24"/>
          <w:szCs w:val="24"/>
        </w:rPr>
        <w:t xml:space="preserve"> (Julia Rezende. 2017), </w:t>
      </w:r>
      <w:r w:rsidRPr="002451B6">
        <w:rPr>
          <w:rFonts w:ascii="Times New Roman" w:eastAsia="Times New Roman" w:hAnsi="Times New Roman" w:cs="Times New Roman"/>
          <w:i/>
          <w:iCs/>
          <w:sz w:val="24"/>
          <w:szCs w:val="24"/>
        </w:rPr>
        <w:t>O animal cordial</w:t>
      </w:r>
      <w:r w:rsidRPr="002451B6">
        <w:rPr>
          <w:rFonts w:ascii="Times New Roman" w:eastAsia="Times New Roman" w:hAnsi="Times New Roman" w:cs="Times New Roman"/>
          <w:sz w:val="24"/>
          <w:szCs w:val="24"/>
        </w:rPr>
        <w:t xml:space="preserve"> (Grabriela Amaral Almeida, 2017), </w:t>
      </w:r>
      <w:r w:rsidRPr="002451B6">
        <w:rPr>
          <w:rFonts w:ascii="Times New Roman" w:eastAsia="Times New Roman" w:hAnsi="Times New Roman" w:cs="Times New Roman"/>
          <w:i/>
          <w:iCs/>
          <w:sz w:val="24"/>
          <w:szCs w:val="24"/>
        </w:rPr>
        <w:t>Unicórnio</w:t>
      </w:r>
      <w:r w:rsidRPr="002451B6">
        <w:rPr>
          <w:rFonts w:ascii="Times New Roman" w:eastAsia="Times New Roman" w:hAnsi="Times New Roman" w:cs="Times New Roman"/>
          <w:sz w:val="24"/>
          <w:szCs w:val="24"/>
        </w:rPr>
        <w:t xml:space="preserve"> (Eduardo Nunes, 2017), </w:t>
      </w:r>
      <w:r w:rsidRPr="002451B6">
        <w:rPr>
          <w:rFonts w:ascii="Times New Roman" w:eastAsia="Times New Roman" w:hAnsi="Times New Roman" w:cs="Times New Roman"/>
          <w:i/>
          <w:iCs/>
          <w:sz w:val="24"/>
          <w:szCs w:val="24"/>
        </w:rPr>
        <w:t>Ferrugem</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Aly</w:t>
      </w:r>
      <w:proofErr w:type="spellEnd"/>
      <w:r w:rsidRPr="002451B6">
        <w:rPr>
          <w:rFonts w:ascii="Times New Roman" w:eastAsia="Times New Roman" w:hAnsi="Times New Roman" w:cs="Times New Roman"/>
          <w:sz w:val="24"/>
          <w:szCs w:val="24"/>
        </w:rPr>
        <w:t xml:space="preserve"> Muritiba, 2018), </w:t>
      </w:r>
      <w:r w:rsidRPr="002451B6">
        <w:rPr>
          <w:rFonts w:ascii="Times New Roman" w:eastAsia="Times New Roman" w:hAnsi="Times New Roman" w:cs="Times New Roman"/>
          <w:i/>
          <w:iCs/>
          <w:sz w:val="24"/>
          <w:szCs w:val="24"/>
        </w:rPr>
        <w:t xml:space="preserve">Encantados </w:t>
      </w:r>
      <w:r w:rsidRPr="002451B6">
        <w:rPr>
          <w:rFonts w:ascii="Times New Roman" w:eastAsia="Times New Roman" w:hAnsi="Times New Roman" w:cs="Times New Roman"/>
          <w:sz w:val="24"/>
          <w:szCs w:val="24"/>
        </w:rPr>
        <w:t xml:space="preserve">(Tizuka Yamazaki, 2017) e </w:t>
      </w:r>
      <w:r w:rsidRPr="002451B6">
        <w:rPr>
          <w:rFonts w:ascii="Times New Roman" w:eastAsia="Times New Roman" w:hAnsi="Times New Roman" w:cs="Times New Roman"/>
          <w:i/>
          <w:iCs/>
          <w:sz w:val="24"/>
          <w:szCs w:val="24"/>
        </w:rPr>
        <w:t xml:space="preserve">Dedo na ferida </w:t>
      </w:r>
      <w:r w:rsidRPr="002451B6">
        <w:rPr>
          <w:rFonts w:ascii="Times New Roman" w:eastAsia="Times New Roman" w:hAnsi="Times New Roman" w:cs="Times New Roman"/>
          <w:sz w:val="24"/>
          <w:szCs w:val="24"/>
        </w:rPr>
        <w:t>(Silvio Tendler, 2017) (Lewgoy, 2019).  O filme selecionado foi o de Cacá Diegues, mas ele não seguiu na disputa pelo Oscar de Melhor Filme Estrangeiro.</w:t>
      </w:r>
    </w:p>
    <w:p w14:paraId="71DDCD4A"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Na palestra realizada pela cineasta em um evento organizado pelo Centro Afro Carioca de Cinema sediando no Mar – Museu de Arte do Rio de Janeiro, em setembro de 2018</w:t>
      </w:r>
      <w:r w:rsidRPr="002451B6">
        <w:rPr>
          <w:rFonts w:ascii="Times New Roman" w:eastAsia="Times New Roman" w:hAnsi="Times New Roman" w:cs="Times New Roman"/>
          <w:sz w:val="24"/>
          <w:szCs w:val="24"/>
          <w:vertAlign w:val="superscript"/>
        </w:rPr>
        <w:footnoteReference w:id="20"/>
      </w:r>
      <w:r w:rsidRPr="002451B6">
        <w:rPr>
          <w:rFonts w:ascii="Times New Roman" w:eastAsia="Times New Roman" w:hAnsi="Times New Roman" w:cs="Times New Roman"/>
          <w:sz w:val="24"/>
          <w:szCs w:val="24"/>
        </w:rPr>
        <w:t xml:space="preserve"> conhecemos um pouco mais o processo de realização do documentário a partir de seu relato emocionado. Nele, ela ressalta a importância da divulgação dos filmes independentes e faz um apelo à coletividade para estarem juntas/os e comemorarem o reconhecimento que o seu filme tinha alcançado. O processo de produção durou dez anos. O filme é uma produção independente e conseguiu um reconhecimento considerável, conforme mencionado, esteve na lista dos 22 filmes que poderiam representar o Brasil no Oscar de 2019. Por ser uma produção independente, a cineasta reforçava a importância de o público ir às salas de cinema para assisti-lo. Ela reconhece o papel da imprensa para a popularidade do filme, o maior apoio encontrado foi na Imprensa Negra. </w:t>
      </w:r>
    </w:p>
    <w:p w14:paraId="651993FB"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caráter investigativo que o filme apresenta resulta de sua formação como jornalista. Camila de Moraes saiu da faculdade envolvida na realização de uma reportagem investigativa sobre o caso. A sua primeira pretensão era realizar um curta-metragem, ela e sua equipe buscaram por financiamento durante oito anos, até conseguirem uma parceria com uma produtora independente do Rio Grande do Sul, A Praça de Filmes, assim conseguiu seguir com as gravações.</w:t>
      </w:r>
    </w:p>
    <w:p w14:paraId="214EE70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 filmagens até a edição final levaram onze meses. A cineasta e sua equipe tinham o roteiro/argumento, entretanto, o documentário construiu-se a partir dos depoimentos das pessoas entrevistadas que o “levaram para outros caminhos”, pois não sabiam o que as pessoas </w:t>
      </w:r>
      <w:r w:rsidRPr="002451B6">
        <w:rPr>
          <w:rFonts w:ascii="Times New Roman" w:eastAsia="Times New Roman" w:hAnsi="Times New Roman" w:cs="Times New Roman"/>
          <w:sz w:val="24"/>
          <w:szCs w:val="24"/>
        </w:rPr>
        <w:lastRenderedPageBreak/>
        <w:t>iriam contar nas entrevistas. Após a primeira edição, resolveram exibir o primeiro corte do filme ao público. O anúncio foi que a exibição seria realizada em fevereiro de 2017. Ela insistiu que o filme deveria ser lançado em maio de 2017, quando o caso do assassinato de Júlio César de Melo Pinto completou trinta anos. O primeiro corte do filme foi exibido em uma terça-feira à tarde e lotou um auditório de 200 pessoas. O retorno dado pelo público fez a cineasta e sua equipe optarem por outros caminhos para a finalização do filme.</w:t>
      </w:r>
    </w:p>
    <w:p w14:paraId="6B014E55"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cineasta compartilhou a escrita do roteiro com Mariani Ferreira, que também assumiu a produção, e Maurício Borges ficou com a direção de fotografia. Ao decidirem seguir outros caminhos, optaram por usar duas câmeras nas gravações, uma ficou em um lugar fixo e a outra aproximava-se das pessoas entrevistadas. Ela cita a socióloga Vilma Reis, que fala da importância de termos nome e sobrenome: “No nosso filme a gente queria dar nome e sobrenome para Júlio César e tratar da forma digna que merece”</w:t>
      </w:r>
      <w:r w:rsidRPr="002451B6">
        <w:rPr>
          <w:rFonts w:ascii="Times New Roman" w:eastAsia="Times New Roman" w:hAnsi="Times New Roman" w:cs="Times New Roman"/>
          <w:sz w:val="24"/>
          <w:szCs w:val="24"/>
          <w:vertAlign w:val="superscript"/>
        </w:rPr>
        <w:footnoteReference w:id="21"/>
      </w:r>
      <w:r w:rsidRPr="002451B6">
        <w:rPr>
          <w:rFonts w:ascii="Times New Roman" w:eastAsia="Times New Roman" w:hAnsi="Times New Roman" w:cs="Times New Roman"/>
          <w:sz w:val="24"/>
          <w:szCs w:val="24"/>
        </w:rPr>
        <w:t>.Uma afirmação feita por ela com sua voz embargada. E ressalta a preocupação que tiveram de o filme ser produzido de forma digna e respeitosa com a família de Júlio César: “Esse cidadão que foi executado tinha nome, sobrenome e uma família. E olha o que o estado do Rio Grande do Sul fez com essa pessoa, destruiu essa família, e, consequentemente, parte da sociedade gaúcha e brasileira porque nós estamos sendo mortos todos os dias”</w:t>
      </w:r>
      <w:r w:rsidRPr="002451B6">
        <w:rPr>
          <w:rFonts w:ascii="Times New Roman" w:eastAsia="Times New Roman" w:hAnsi="Times New Roman" w:cs="Times New Roman"/>
          <w:sz w:val="24"/>
          <w:szCs w:val="24"/>
          <w:vertAlign w:val="superscript"/>
        </w:rPr>
        <w:footnoteReference w:id="22"/>
      </w:r>
      <w:r w:rsidRPr="002451B6">
        <w:rPr>
          <w:rFonts w:ascii="Times New Roman" w:eastAsia="Times New Roman" w:hAnsi="Times New Roman" w:cs="Times New Roman"/>
          <w:sz w:val="24"/>
          <w:szCs w:val="24"/>
        </w:rPr>
        <w:t>.</w:t>
      </w:r>
    </w:p>
    <w:p w14:paraId="2C26F07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escolha pelos enquadramentos fechados no momento das entrevistas foi com a intenção de aproximar o público dessa realidade, que faz parte de muitas experiências cotidianas. Portanto, as pessoas que o assistem não podem ser indiferentes, sentindo-se incomodadas: “Não podem sair indiferentes da sala de cinema. Ou você não é ser humano. (...)”</w:t>
      </w:r>
      <w:r w:rsidRPr="002451B6">
        <w:rPr>
          <w:rFonts w:ascii="Times New Roman" w:eastAsia="Times New Roman" w:hAnsi="Times New Roman" w:cs="Times New Roman"/>
          <w:sz w:val="24"/>
          <w:szCs w:val="24"/>
          <w:vertAlign w:val="superscript"/>
        </w:rPr>
        <w:footnoteReference w:id="23"/>
      </w:r>
      <w:r w:rsidRPr="002451B6">
        <w:rPr>
          <w:rFonts w:ascii="Times New Roman" w:eastAsia="Times New Roman" w:hAnsi="Times New Roman" w:cs="Times New Roman"/>
          <w:sz w:val="24"/>
          <w:szCs w:val="24"/>
        </w:rPr>
        <w:t xml:space="preserve">. O contato com o filme gera um engajamento com a luta política e social contra o racismo, mobilizando as/os espectadoras/as a vislumbrarem mudanças e a buscarem soluções para o enfrentamento dessa problemática. </w:t>
      </w:r>
    </w:p>
    <w:p w14:paraId="6CE3DA1F"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morte de Júlio César de Melo Pinto, em 14 de maio de 1987, é muito conhecida no Rio Grande do Sul, por isso há muito material da imprensa a respeito, sendo um dos casos emblemáticos de violência policial no país atravessado pela questão racial. Os registros feitos pelo fotógrafo do Jornal Zero Hora, Ronaldo Bernardi, foram importantes para denunciar a execução de Júlio César feita dentro do carro da polícia no trajeto para a delegacia. Ele foi </w:t>
      </w:r>
      <w:r w:rsidRPr="002451B6">
        <w:rPr>
          <w:rFonts w:ascii="Times New Roman" w:eastAsia="Times New Roman" w:hAnsi="Times New Roman" w:cs="Times New Roman"/>
          <w:sz w:val="24"/>
          <w:szCs w:val="24"/>
        </w:rPr>
        <w:lastRenderedPageBreak/>
        <w:t>morto com dois tiros. A estrutura narrativa do filme está organizada em três blocos: no primeiro é apresentado o caso; no segundo o julgamento; e no último os desdobramentos. Entre as escolhas feitas pela cineasta e sua equipe, esteve a de não usar fotos que existem sobre o caso na maior parte do filme, por ser crítica às imagens sensacionalistas difundidas pela imprensa brasileira sobre as mortes das pessoas negras/pretas. Elas aparecem apenas no final para elucidar que foram essenciais para revelar a execução de Júlio César, a construção dos fatos dá-se sobretudo a partir dos relatos das pessoas entrevistadas, e as fotos assumem uma função ilustrativa e conclusiva: “Foi dessa forma aqui, ele entrou vivo e chegou morto meia hora depois com dois tiros”</w:t>
      </w:r>
      <w:r w:rsidRPr="002451B6">
        <w:rPr>
          <w:rFonts w:ascii="Times New Roman" w:eastAsia="Times New Roman" w:hAnsi="Times New Roman" w:cs="Times New Roman"/>
          <w:sz w:val="24"/>
          <w:szCs w:val="24"/>
          <w:vertAlign w:val="superscript"/>
        </w:rPr>
        <w:footnoteReference w:id="24"/>
      </w:r>
      <w:r w:rsidRPr="002451B6">
        <w:rPr>
          <w:rFonts w:ascii="Times New Roman" w:eastAsia="Times New Roman" w:hAnsi="Times New Roman" w:cs="Times New Roman"/>
          <w:sz w:val="24"/>
          <w:szCs w:val="24"/>
        </w:rPr>
        <w:t>. Outras fotografias assumem um papel importante na construção da narrativa do filme, estas representadas por momentos de afetividade de Júlio César com a sua família em momentos de festividades e reuniões. Elas proporcionam uma leitura sobre a vida dele cheia de sonhos denotando a sua ânsia por ela (Teixeira; Mendonça Filho, 2021, p. 97).</w:t>
      </w:r>
    </w:p>
    <w:p w14:paraId="7C33CFB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Camila de Moraes afirma que Juçara Pinto é a esposa que sobrevive desde o assassinato de seu marido. A fotografia do filme assume outros aspectos quando vemos a sua imagem e ouvimos seus relatos percebemos um aspecto mais íntimo da memória referente a Júlio César. Na construção da narrativa do filme, há a presença da poesia feita por Giovane Sobrevivente, de Salvador, criada a partir do número da viatura 285 e dos 425 passos dados pelo operário até o local onde foi assassinado, e, também a feita por Jairo Pereira, de São Paulo, que fala da espera de uma mãe, dentre tantas outras, que pela chegada de um filho que nunca mais irá retornar.</w:t>
      </w:r>
    </w:p>
    <w:p w14:paraId="6AB5AF3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comunidade negra do Rio Grande do Sul assumiu uma importância significativa para os esclarecimentos sobre o caso. Foi em uma das conversas com as pessoas engajadas com o caso que a cineasta ficou sabendo que Júlio César estava algemado com as mãos para trás, informação que a abalou muito, por demonstrar a atrocidade da execução realizada pela polícia da Brigada Militar do estado. Ela considera que é no Rio Grande do Sul que reconhece suas raízes negras, pois o estado é um território marcado pela atuação das pessoas negras/pretas, contribuindo muito com os movimentos negros de outras regiões do país. Oliveira Silveira, Maria Conceição Lopes Fontoura, a revista </w:t>
      </w:r>
      <w:proofErr w:type="spellStart"/>
      <w:r w:rsidRPr="002451B6">
        <w:rPr>
          <w:rFonts w:ascii="Times New Roman" w:eastAsia="Times New Roman" w:hAnsi="Times New Roman" w:cs="Times New Roman"/>
          <w:sz w:val="24"/>
          <w:szCs w:val="24"/>
        </w:rPr>
        <w:t>Ticção</w:t>
      </w:r>
      <w:proofErr w:type="spellEnd"/>
      <w:r w:rsidRPr="002451B6">
        <w:rPr>
          <w:rFonts w:ascii="Times New Roman" w:eastAsia="Times New Roman" w:hAnsi="Times New Roman" w:cs="Times New Roman"/>
          <w:sz w:val="24"/>
          <w:szCs w:val="24"/>
        </w:rPr>
        <w:t xml:space="preserve"> da imprensa negra, a organização Maria Mulher de mulheres negras, o Festival do Cinema Negro em Ação, são pessoas, veículo, instituição e evento que contribuem com as reivindicações políticas, sociais e culturais das pessoas negras/pretas no referido estado. Nele, cineastas negras/pretas, negros/pretos têm uma atuação significativa que pode ser notada por meio do Coletivo Macumba Lab. Mesmo </w:t>
      </w:r>
      <w:r w:rsidRPr="002451B6">
        <w:rPr>
          <w:rFonts w:ascii="Times New Roman" w:eastAsia="Times New Roman" w:hAnsi="Times New Roman" w:cs="Times New Roman"/>
          <w:sz w:val="24"/>
          <w:szCs w:val="24"/>
        </w:rPr>
        <w:lastRenderedPageBreak/>
        <w:t>correspondendo a 13%, 16% da população de Porto Alegre percebe que articulação dessas pessoas é forte e não deixa de fazer a diferença nos segmentos que atuam e pertencem. Se as pessoas negras/pretas não são enxergadas, segundo a cineasta, é devido ao racismo, que inviabiliza as suas presenças nos locais da sociedade gaúcha. Como exemplo, ela faz referência a sua atuação no audiovisual que se iniciou no estado, que na época da entrevista completava 12 anos, reforçando que a presença negra nele é forte, muito propositiva e vem causando mudanças no cenário político. Para ela, diante desse contexto, o desafio que se impõe é o combate ao racismo.</w:t>
      </w:r>
    </w:p>
    <w:p w14:paraId="570FF9A5"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O nosso desafio é conseguir combater o racismo para poder ter a mente sã e continuar produzindo. Quando a gente consegue combater o racismo, a gente consegue formas dignas para produzir, consegue recursos financeiros dignos, a gente consegue ter um processo criativo digno, a gente consegue pagar os nossos profissionais dignamente. Então o nosso grande desafio é conseguir combater esse racismo para continuar produzindo (</w:t>
      </w:r>
      <w:proofErr w:type="spellStart"/>
      <w:r w:rsidRPr="002451B6">
        <w:rPr>
          <w:rFonts w:ascii="Times New Roman" w:eastAsia="Times New Roman" w:hAnsi="Times New Roman" w:cs="Times New Roman"/>
        </w:rPr>
        <w:t>Reinholz</w:t>
      </w:r>
      <w:proofErr w:type="spellEnd"/>
      <w:r w:rsidRPr="002451B6">
        <w:rPr>
          <w:rFonts w:ascii="Times New Roman" w:eastAsia="Times New Roman" w:hAnsi="Times New Roman" w:cs="Times New Roman"/>
        </w:rPr>
        <w:t>, 2020).</w:t>
      </w:r>
    </w:p>
    <w:p w14:paraId="1AE903EA" w14:textId="77777777" w:rsidR="00332C33" w:rsidRPr="002451B6" w:rsidRDefault="00332C33">
      <w:pPr>
        <w:spacing w:line="240" w:lineRule="auto"/>
        <w:jc w:val="both"/>
        <w:rPr>
          <w:rFonts w:ascii="Times New Roman" w:eastAsia="Times New Roman" w:hAnsi="Times New Roman" w:cs="Times New Roman"/>
        </w:rPr>
      </w:pPr>
    </w:p>
    <w:p w14:paraId="7847DABB"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história de vida da cineasta aproxima-se da de Júlio César, ela não chegou a conhecê-lo pessoalmente, ele era irmão de criação de seu pai e padrinho de seu irmão mais velho, o arquiteto Horácio Lopes de Moraes (Souza, 2020, p. 532). Conforme o mencionado, a estrutura narrativa do filme tem como eixo central as entrevistas realizadas com Paulo Ricardo de Moraes, pai da cineasta e irmão de criação da vítima; Ronaldo Bernardi, fotógrafo que registrou o caso;  Luiz Francisco Corrêa Barbosa, advogado e </w:t>
      </w:r>
      <w:proofErr w:type="spellStart"/>
      <w:r w:rsidRPr="002451B6">
        <w:rPr>
          <w:rFonts w:ascii="Times New Roman" w:eastAsia="Times New Roman" w:hAnsi="Times New Roman" w:cs="Times New Roman"/>
          <w:sz w:val="24"/>
          <w:szCs w:val="24"/>
        </w:rPr>
        <w:t>ex-procurador</w:t>
      </w:r>
      <w:proofErr w:type="spellEnd"/>
      <w:r w:rsidRPr="002451B6">
        <w:rPr>
          <w:rFonts w:ascii="Times New Roman" w:eastAsia="Times New Roman" w:hAnsi="Times New Roman" w:cs="Times New Roman"/>
          <w:sz w:val="24"/>
          <w:szCs w:val="24"/>
        </w:rPr>
        <w:t xml:space="preserve"> da Justiça e Direitos Humanos; João Carlos Rodrigues,  repórter; Jair Krischke, presidente do Movimento de Justiça e Direitos Humanos;  Edilson </w:t>
      </w:r>
      <w:proofErr w:type="spellStart"/>
      <w:r w:rsidRPr="002451B6">
        <w:rPr>
          <w:rFonts w:ascii="Times New Roman" w:eastAsia="Times New Roman" w:hAnsi="Times New Roman" w:cs="Times New Roman"/>
          <w:sz w:val="24"/>
          <w:szCs w:val="24"/>
        </w:rPr>
        <w:t>Nabarro</w:t>
      </w:r>
      <w:proofErr w:type="spellEnd"/>
      <w:r w:rsidRPr="002451B6">
        <w:rPr>
          <w:rFonts w:ascii="Times New Roman" w:eastAsia="Times New Roman" w:hAnsi="Times New Roman" w:cs="Times New Roman"/>
          <w:sz w:val="24"/>
          <w:szCs w:val="24"/>
        </w:rPr>
        <w:t xml:space="preserve">, sociólogo; Renato Dornelles, jornalista; Paulo Antônio Costa Corrêa, vizinho de Júlio César na época; Waldemar Moura Lima, professor e ex-secretário da educação; Vera Daisy Barcellos, jornalista, militante do MSN; Romeu </w:t>
      </w:r>
      <w:proofErr w:type="spellStart"/>
      <w:r w:rsidRPr="002451B6">
        <w:rPr>
          <w:rFonts w:ascii="Times New Roman" w:eastAsia="Times New Roman" w:hAnsi="Times New Roman" w:cs="Times New Roman"/>
          <w:sz w:val="24"/>
          <w:szCs w:val="24"/>
        </w:rPr>
        <w:t>Kamikowshi</w:t>
      </w:r>
      <w:proofErr w:type="spellEnd"/>
      <w:r w:rsidRPr="002451B6">
        <w:rPr>
          <w:rFonts w:ascii="Times New Roman" w:eastAsia="Times New Roman" w:hAnsi="Times New Roman" w:cs="Times New Roman"/>
          <w:sz w:val="24"/>
          <w:szCs w:val="24"/>
        </w:rPr>
        <w:t xml:space="preserve">, advogado do Sindicato da Polícia Civil; Aline </w:t>
      </w:r>
      <w:proofErr w:type="spellStart"/>
      <w:r w:rsidRPr="002451B6">
        <w:rPr>
          <w:rFonts w:ascii="Times New Roman" w:eastAsia="Times New Roman" w:hAnsi="Times New Roman" w:cs="Times New Roman"/>
          <w:sz w:val="24"/>
          <w:szCs w:val="24"/>
        </w:rPr>
        <w:t>Kerber</w:t>
      </w:r>
      <w:proofErr w:type="spellEnd"/>
      <w:r w:rsidRPr="002451B6">
        <w:rPr>
          <w:rFonts w:ascii="Times New Roman" w:eastAsia="Times New Roman" w:hAnsi="Times New Roman" w:cs="Times New Roman"/>
          <w:sz w:val="24"/>
          <w:szCs w:val="24"/>
        </w:rPr>
        <w:t>, socióloga; e Juçara Pinto, casada com a vítima na época do crime (Souza, 2020, p. 533).</w:t>
      </w:r>
    </w:p>
    <w:p w14:paraId="779F3702" w14:textId="59908CDB" w:rsidR="00332C33" w:rsidRPr="002451B6" w:rsidRDefault="00000000">
      <w:pPr>
        <w:spacing w:line="360" w:lineRule="auto"/>
        <w:ind w:firstLine="709"/>
        <w:jc w:val="both"/>
        <w:rPr>
          <w:rFonts w:ascii="Times New Roman" w:eastAsia="Times New Roman" w:hAnsi="Times New Roman" w:cs="Times New Roman"/>
          <w:sz w:val="24"/>
          <w:szCs w:val="24"/>
          <w:highlight w:val="yellow"/>
        </w:rPr>
      </w:pPr>
      <w:r w:rsidRPr="002451B6">
        <w:rPr>
          <w:rFonts w:ascii="Times New Roman" w:eastAsia="Times New Roman" w:hAnsi="Times New Roman" w:cs="Times New Roman"/>
          <w:sz w:val="24"/>
          <w:szCs w:val="24"/>
        </w:rPr>
        <w:t xml:space="preserve">Para Edileuza Penha de Souza, o filme resulta de um olhar, técnica e sensibilidade de uma cineasta mulher negra/preta. Ele tem um alcance mundial, enquanto cinema sobre e para as pessoas negras, seguindo o legado de Zózimo </w:t>
      </w:r>
      <w:proofErr w:type="spellStart"/>
      <w:r w:rsidRPr="002451B6">
        <w:rPr>
          <w:rFonts w:ascii="Times New Roman" w:eastAsia="Times New Roman" w:hAnsi="Times New Roman" w:cs="Times New Roman"/>
          <w:sz w:val="24"/>
          <w:szCs w:val="24"/>
        </w:rPr>
        <w:t>Bulbul</w:t>
      </w:r>
      <w:proofErr w:type="spellEnd"/>
      <w:r w:rsidRPr="002451B6">
        <w:rPr>
          <w:rFonts w:ascii="Times New Roman" w:eastAsia="Times New Roman" w:hAnsi="Times New Roman" w:cs="Times New Roman"/>
          <w:sz w:val="24"/>
          <w:szCs w:val="24"/>
        </w:rPr>
        <w:t xml:space="preserve">, entre outras/os artistas e ativistas negras/pretas negros/pretos. Levanta, entre outras, a bandeira de que “Vidas negras importam” (Souza, 2020, p. 533). Rafael Tassi Teixeira e Carlos Alberto Mendonça Filho argumentam que os depoimentos no filme são dotados de aspectos analíticos, críticos e afetivos, proporcionando a presença simbólica e no campo da memória de Júlio César (Teixeira; Mendonça Filho; 2021, p. 89). Além do engajamento do Movimento Negro no Rio Grande do Sul nas reivindicações para a solução do caso, a imprensa cumpriu um papel importante para informar a opinião </w:t>
      </w:r>
      <w:r w:rsidRPr="002451B6">
        <w:rPr>
          <w:rFonts w:ascii="Times New Roman" w:eastAsia="Times New Roman" w:hAnsi="Times New Roman" w:cs="Times New Roman"/>
          <w:sz w:val="24"/>
          <w:szCs w:val="24"/>
        </w:rPr>
        <w:lastRenderedPageBreak/>
        <w:t xml:space="preserve">pública sobre o crime, no filme são </w:t>
      </w:r>
      <w:r w:rsidR="00A253EC" w:rsidRPr="002451B6">
        <w:rPr>
          <w:rFonts w:ascii="Times New Roman" w:eastAsia="Times New Roman" w:hAnsi="Times New Roman" w:cs="Times New Roman"/>
          <w:sz w:val="24"/>
          <w:szCs w:val="24"/>
        </w:rPr>
        <w:t>mencionadas mais</w:t>
      </w:r>
      <w:r w:rsidRPr="002451B6">
        <w:rPr>
          <w:rFonts w:ascii="Times New Roman" w:eastAsia="Times New Roman" w:hAnsi="Times New Roman" w:cs="Times New Roman"/>
          <w:sz w:val="24"/>
          <w:szCs w:val="24"/>
        </w:rPr>
        <w:t xml:space="preserve"> de 60 reportagens veiculadas pela imprensa gaúcha. Nesse sentido, os autores reforçam o tom sensacionalista que imperou e ainda impera na imprensa brasileira na cobertura dos crimes (Teixeira; Mendonça Filho, 2021, p. 90)</w:t>
      </w:r>
      <w:r w:rsidR="00A253EC">
        <w:rPr>
          <w:rFonts w:ascii="Times New Roman" w:eastAsia="Times New Roman" w:hAnsi="Times New Roman" w:cs="Times New Roman"/>
          <w:sz w:val="24"/>
          <w:szCs w:val="24"/>
        </w:rPr>
        <w:t>.</w:t>
      </w:r>
    </w:p>
    <w:p w14:paraId="320E4A54"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Para os autores, o filme de Camila de Moraes tem um caráter de manifesto, ao denunciar a banalidade da morte e da violência, não nos deixando esquecer da impunidade que paira sobre a realidade brasileira, exigindo justiça não apenas por Júlio César, mas por todas as demais vítimas e suas famílias, que não encontraram o mesmo espaço de mobilização na cena pública (Teixeira; Mendonça Filho, 2021, p. 97). Ele traz à tona as permanências da violência de Estado no país, demarcando a luta política e social de denúncia do genocídio contra as pessoas negras/pretas. Entre os casos com grande repercussão no Brasil, cabe mencionar o assassinato de João Alberto Silveira Freitas, um homem negro de 40 anos, também de Porto Alegre, ocasionado por asfixia por seguranças do supermercado Carrefour no dia 19 de novembro de 2020, as vésperas do Dia da Consciência Negra. No mesmo ano, o assassinato de George Floyd, nos Estados Unidos, mobilizou pessoas de várias regiões do mundo nas denúncias contra a violência que afeta as pessoas negras/pretas.</w:t>
      </w:r>
    </w:p>
    <w:p w14:paraId="69464311"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Camila de Moraes percorre as ruas de Porto Alegre perguntando às pessoas se conhecem o caso de Júlio César, assim, ele não se restringe às pessoas que o conheciam, mas diz respeito à experiência da sociedade gaúcha de forma mais ampla. Em outro momento, ela percorre o trajeto feito pela viatura à época, narrando o poema de Giovane Sobrevivente, e nos leva a refletir sobre o seguinte questionamento: “Existe homem certo? Existe homem errado?”. Sendo que 425 passos “separaram Júlio César do homem errado”.  A concepção da existência de “um homem certo” é questionada pela cineasta. Tal concepção continua dando legitimidade para as ações violentas do Estado. Os dados estatísticos sobre as mortes dos homens negros/pretos sobretudo jovens comprovam essa realidade.</w:t>
      </w:r>
    </w:p>
    <w:p w14:paraId="4787D91D"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59150603" w14:textId="2C1E4108"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Uma gramática negra contra a violência de Estado diante da permanência das estruturas autoritárias</w:t>
      </w:r>
    </w:p>
    <w:p w14:paraId="169488B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filme de Camila de Moraes considerado permite uma leitura a partir das discussões feitas por Paulo César Ramos em sua tese de doutorado, </w:t>
      </w:r>
      <w:r w:rsidRPr="002451B6">
        <w:rPr>
          <w:rFonts w:ascii="Times New Roman" w:eastAsia="Times New Roman" w:hAnsi="Times New Roman" w:cs="Times New Roman"/>
          <w:i/>
          <w:iCs/>
          <w:sz w:val="24"/>
          <w:szCs w:val="24"/>
        </w:rPr>
        <w:t>Gramática negra contra a violência de Estado: da discriminação racial ao genocídio negro (1978-2018)</w:t>
      </w:r>
      <w:r w:rsidRPr="002451B6">
        <w:rPr>
          <w:rFonts w:ascii="Times New Roman" w:eastAsia="Times New Roman" w:hAnsi="Times New Roman" w:cs="Times New Roman"/>
          <w:i/>
          <w:iCs/>
          <w:sz w:val="24"/>
          <w:szCs w:val="24"/>
          <w:vertAlign w:val="superscript"/>
        </w:rPr>
        <w:footnoteReference w:id="25"/>
      </w:r>
      <w:r w:rsidRPr="002451B6">
        <w:rPr>
          <w:rFonts w:ascii="Times New Roman" w:eastAsia="Times New Roman" w:hAnsi="Times New Roman" w:cs="Times New Roman"/>
          <w:sz w:val="24"/>
          <w:szCs w:val="24"/>
        </w:rPr>
        <w:t xml:space="preserve">, finalizada em 2018 no Programa de Pós-Graduação em Sociologia da Faculdade de Filosofia, Letras e Ciências Humanas da Universidade de São Paulo. Na pesquisa, encontramos uma análise do período de </w:t>
      </w:r>
      <w:r w:rsidRPr="002451B6">
        <w:rPr>
          <w:rFonts w:ascii="Times New Roman" w:eastAsia="Times New Roman" w:hAnsi="Times New Roman" w:cs="Times New Roman"/>
          <w:sz w:val="24"/>
          <w:szCs w:val="24"/>
        </w:rPr>
        <w:lastRenderedPageBreak/>
        <w:t xml:space="preserve">1978 a 2018, na qual se </w:t>
      </w:r>
      <w:proofErr w:type="gramStart"/>
      <w:r w:rsidRPr="002451B6">
        <w:rPr>
          <w:rFonts w:ascii="Times New Roman" w:eastAsia="Times New Roman" w:hAnsi="Times New Roman" w:cs="Times New Roman"/>
          <w:sz w:val="24"/>
          <w:szCs w:val="24"/>
        </w:rPr>
        <w:t>verifica  um</w:t>
      </w:r>
      <w:proofErr w:type="gramEnd"/>
      <w:r w:rsidRPr="002451B6">
        <w:rPr>
          <w:rFonts w:ascii="Times New Roman" w:eastAsia="Times New Roman" w:hAnsi="Times New Roman" w:cs="Times New Roman"/>
          <w:sz w:val="24"/>
          <w:szCs w:val="24"/>
        </w:rPr>
        <w:t xml:space="preserve"> crescimento nas denúncias contra a violência policial, assim como uma mudança no tom em que eram feitas. Em linhas gerais, no começo da década de 1980, é possível notar a ênfase no que era chamado de </w:t>
      </w:r>
      <w:r w:rsidRPr="002451B6">
        <w:rPr>
          <w:rFonts w:ascii="Times New Roman" w:eastAsia="Times New Roman" w:hAnsi="Times New Roman" w:cs="Times New Roman"/>
          <w:i/>
          <w:iCs/>
          <w:sz w:val="24"/>
          <w:szCs w:val="24"/>
        </w:rPr>
        <w:t>discriminação racial</w:t>
      </w:r>
      <w:r w:rsidRPr="002451B6">
        <w:rPr>
          <w:rFonts w:ascii="Times New Roman" w:eastAsia="Times New Roman" w:hAnsi="Times New Roman" w:cs="Times New Roman"/>
          <w:sz w:val="24"/>
          <w:szCs w:val="24"/>
        </w:rPr>
        <w:t xml:space="preserve">, grosso modo, os mecanismos operados para a exclusão social - entre eles, havia o destaque da violência empreendida pela polícia. Na década seguinte, a agenda de denúncias e lutas dos movimentos negros passaram a priorizar a violência, como o uso da expressão </w:t>
      </w:r>
      <w:r w:rsidRPr="002451B6">
        <w:rPr>
          <w:rFonts w:ascii="Times New Roman" w:eastAsia="Times New Roman" w:hAnsi="Times New Roman" w:cs="Times New Roman"/>
          <w:i/>
          <w:iCs/>
          <w:sz w:val="24"/>
          <w:szCs w:val="24"/>
        </w:rPr>
        <w:t>violência racial</w:t>
      </w:r>
      <w:r w:rsidRPr="002451B6">
        <w:rPr>
          <w:rFonts w:ascii="Times New Roman" w:eastAsia="Times New Roman" w:hAnsi="Times New Roman" w:cs="Times New Roman"/>
          <w:sz w:val="24"/>
          <w:szCs w:val="24"/>
        </w:rPr>
        <w:t xml:space="preserve">. A década de 2000 para a de 2010 apresenta um tom de denúncia mais radical sendo a que a expressão </w:t>
      </w:r>
      <w:r w:rsidRPr="002451B6">
        <w:rPr>
          <w:rFonts w:ascii="Times New Roman" w:eastAsia="Times New Roman" w:hAnsi="Times New Roman" w:cs="Times New Roman"/>
          <w:i/>
          <w:iCs/>
          <w:sz w:val="24"/>
          <w:szCs w:val="24"/>
        </w:rPr>
        <w:t>genocídio da juventude negra</w:t>
      </w:r>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tornou-se</w:t>
      </w:r>
      <w:proofErr w:type="gramEnd"/>
      <w:r w:rsidRPr="002451B6">
        <w:rPr>
          <w:rFonts w:ascii="Times New Roman" w:eastAsia="Times New Roman" w:hAnsi="Times New Roman" w:cs="Times New Roman"/>
          <w:sz w:val="24"/>
          <w:szCs w:val="24"/>
        </w:rPr>
        <w:t xml:space="preserve"> recorrente. É importante esclarecer que existe o consenso de que o termo genocídio diz respeito a um povo e não a uma faixa etária. Então, o que de fato os movimentos negros passaram a priorizar em suas denúncias foi a ação violenta do Estado contra todo um povo (Ramos, 2018, p. 24-25).</w:t>
      </w:r>
    </w:p>
    <w:p w14:paraId="5B4DB656"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15 de novembro de 1976, em uma conferência realizada na Universidade de </w:t>
      </w:r>
      <w:proofErr w:type="spellStart"/>
      <w:r w:rsidRPr="002451B6">
        <w:rPr>
          <w:rFonts w:ascii="Times New Roman" w:eastAsia="Times New Roman" w:hAnsi="Times New Roman" w:cs="Times New Roman"/>
          <w:sz w:val="24"/>
          <w:szCs w:val="24"/>
        </w:rPr>
        <w:t>Ifé</w:t>
      </w:r>
      <w:proofErr w:type="spellEnd"/>
      <w:r w:rsidRPr="002451B6">
        <w:rPr>
          <w:rFonts w:ascii="Times New Roman" w:eastAsia="Times New Roman" w:hAnsi="Times New Roman" w:cs="Times New Roman"/>
          <w:sz w:val="24"/>
          <w:szCs w:val="24"/>
        </w:rPr>
        <w:t>, em Ile-</w:t>
      </w:r>
      <w:proofErr w:type="spellStart"/>
      <w:r w:rsidRPr="002451B6">
        <w:rPr>
          <w:rFonts w:ascii="Times New Roman" w:eastAsia="Times New Roman" w:hAnsi="Times New Roman" w:cs="Times New Roman"/>
          <w:sz w:val="24"/>
          <w:szCs w:val="24"/>
        </w:rPr>
        <w:t>Ifé</w:t>
      </w:r>
      <w:proofErr w:type="spellEnd"/>
      <w:r w:rsidRPr="002451B6">
        <w:rPr>
          <w:rFonts w:ascii="Times New Roman" w:eastAsia="Times New Roman" w:hAnsi="Times New Roman" w:cs="Times New Roman"/>
          <w:sz w:val="24"/>
          <w:szCs w:val="24"/>
        </w:rPr>
        <w:t xml:space="preserve">, na Nigéria, Abdias do Nascimento falou da impossibilidade de apelar para a consciência brasileira. O intelectual acreditava que a consciência humana não poderia ficar inerte “endossando a revoltante opressão e liquidação coletiva dos afro-brasileiros” que ele denunciou ao longo de sua trajetória na militância política e cultural. Em sua visão, o racismo no Brasil apresenta uma aparência mutável, “polivalente, que o torna único”, diante dessa situação, o seu enfrentamento dar-se-ia por uma luta movida pelo antirracismo e </w:t>
      </w:r>
      <w:proofErr w:type="spellStart"/>
      <w:r w:rsidRPr="002451B6">
        <w:rPr>
          <w:rFonts w:ascii="Times New Roman" w:eastAsia="Times New Roman" w:hAnsi="Times New Roman" w:cs="Times New Roman"/>
          <w:sz w:val="24"/>
          <w:szCs w:val="24"/>
        </w:rPr>
        <w:t>antigenocídio</w:t>
      </w:r>
      <w:proofErr w:type="spellEnd"/>
      <w:r w:rsidRPr="002451B6">
        <w:rPr>
          <w:rFonts w:ascii="Times New Roman" w:eastAsia="Times New Roman" w:hAnsi="Times New Roman" w:cs="Times New Roman"/>
          <w:sz w:val="24"/>
          <w:szCs w:val="24"/>
        </w:rPr>
        <w:t xml:space="preserve"> (Nascimento, 1978, p. 136). Uma atitude social e política que refuta o silêncio, pois ele endossa e aprova o genocídio cometido contra a população negra/preta. Em suas palavras,</w:t>
      </w:r>
    </w:p>
    <w:p w14:paraId="4F58E39F"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 E nosso repúdio, nosso ódio profundo e definitivo, engloba o inteiro complexo da sociedade brasileira estruturada pelos interesses capitalistas do colonialismo, até hoje vigentes, os quais vêm mantendo a raça negra em séculos de martírio e </w:t>
      </w:r>
      <w:proofErr w:type="gramStart"/>
      <w:r w:rsidRPr="002451B6">
        <w:rPr>
          <w:rFonts w:ascii="Times New Roman" w:eastAsia="Times New Roman" w:hAnsi="Times New Roman" w:cs="Times New Roman"/>
        </w:rPr>
        <w:t>inexorável</w:t>
      </w:r>
      <w:proofErr w:type="gramEnd"/>
      <w:r w:rsidRPr="002451B6">
        <w:rPr>
          <w:rFonts w:ascii="Times New Roman" w:eastAsia="Times New Roman" w:hAnsi="Times New Roman" w:cs="Times New Roman"/>
        </w:rPr>
        <w:t xml:space="preserve"> destruição (Nascimento, 1978, p. 137).</w:t>
      </w:r>
    </w:p>
    <w:p w14:paraId="2021378F" w14:textId="77777777" w:rsidR="00332C33" w:rsidRPr="002451B6" w:rsidRDefault="00332C33">
      <w:pPr>
        <w:spacing w:line="240" w:lineRule="auto"/>
        <w:ind w:left="2268"/>
        <w:jc w:val="both"/>
        <w:rPr>
          <w:rFonts w:ascii="Times New Roman" w:eastAsia="Times New Roman" w:hAnsi="Times New Roman" w:cs="Times New Roman"/>
        </w:rPr>
      </w:pPr>
    </w:p>
    <w:p w14:paraId="355D38E6"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Por um lado, ocorreu a institucionalização política do movimento negro, principalmente a partir da criação do Movimento Negro Unificado (MNU) em 7 de julho de 1978, por outro, a repressão do Estado assumiu proporções significativas. Diante dessa realidade, a gramática negra que denunciava essa violência assumiu diferentes patamares, demonstrando “a real dimensão do problema da violência policial”, tornando-se intensa tanto quantitativa e qualitativamente (Ramos, 2018, p. 293). Na atual conjuntura, de ampla circulação das informações mediada pelo mundo digital, uma nova gramática consolida-se dos protestos dos movimentos negros contra a violência policial, as mídias sociais contribuem para a difusão da expressão “vidas negras importam”. Não há como negar a contribuição positiva para a capilaridade e difusão das lutas sociais contra as violações dos Direitos Humanos, um aspecto a ser considerado é que elas não contam apenas com a ação promovida e organizada das </w:t>
      </w:r>
      <w:r w:rsidRPr="002451B6">
        <w:rPr>
          <w:rFonts w:ascii="Times New Roman" w:eastAsia="Times New Roman" w:hAnsi="Times New Roman" w:cs="Times New Roman"/>
          <w:sz w:val="24"/>
          <w:szCs w:val="24"/>
        </w:rPr>
        <w:lastRenderedPageBreak/>
        <w:t xml:space="preserve">organizações negras, uma vez que a adesão e o engajamentos com as reivindicações passaram a ocorrer de uma forma mais intuitiva do que orgânica, refletiva e organizada (Ramos, 2018, p. 296). </w:t>
      </w:r>
    </w:p>
    <w:p w14:paraId="545CA220"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violência policial no Brasil pode ser entendida como uma das consequências do fato de os governos, após o período de transição para democracia, não terem conseguido promover um dos requisitos necessários para as sociedades democráticas, ou seja, o controle da violência. A nossa experiência histórica é marcada pelo legado do autoritarismo, não ocorrendo as transformações das “instituições da violência” ou aparelhos repressivos, representados pela tortura, o racismo, as prisões e manicômios após as transições políticas para o regime democrático, embora tenha ocorrido a promulgação de constituições democráticas. As instituições mencionadas continuaram a reproduzir a dominação hierárquica em sociedades desiguais, como a nossa (Pinheiro, 1991, p. 45). Embora tenha existido o progresso efetivo tratando-se das representações políticas, as práticas de ações violentas ilegais e a tolerância que alguns segmentos da sociedade destinam a ela permanecem impedindo que a maioria da população não tenha os seus direitos garantidos e não conseguiam acessar aos recursos e mecanismos de poder (Pinheiro, 1991, p. 48).</w:t>
      </w:r>
    </w:p>
    <w:p w14:paraId="00C485E9"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que indica que os governos autoritários foram bem-sucedidos, sobretudo por terem influenciado uma sustentação social que apresenta elementos autoritários que perduram durante os anos da História política do país, caracterizando a sua cultura política. Além dos </w:t>
      </w:r>
      <w:proofErr w:type="spellStart"/>
      <w:r w:rsidRPr="002451B6">
        <w:rPr>
          <w:rFonts w:ascii="Times New Roman" w:eastAsia="Times New Roman" w:hAnsi="Times New Roman" w:cs="Times New Roman"/>
          <w:sz w:val="24"/>
          <w:szCs w:val="24"/>
        </w:rPr>
        <w:t>macropoderes</w:t>
      </w:r>
      <w:proofErr w:type="spellEnd"/>
      <w:r w:rsidRPr="002451B6">
        <w:rPr>
          <w:rFonts w:ascii="Times New Roman" w:eastAsia="Times New Roman" w:hAnsi="Times New Roman" w:cs="Times New Roman"/>
          <w:sz w:val="24"/>
          <w:szCs w:val="24"/>
        </w:rPr>
        <w:t xml:space="preserve"> representados pelas instituições do Estado, é necessário reconhecer e considerar os </w:t>
      </w:r>
      <w:proofErr w:type="spellStart"/>
      <w:r w:rsidRPr="002451B6">
        <w:rPr>
          <w:rFonts w:ascii="Times New Roman" w:eastAsia="Times New Roman" w:hAnsi="Times New Roman" w:cs="Times New Roman"/>
          <w:sz w:val="24"/>
          <w:szCs w:val="24"/>
        </w:rPr>
        <w:t>microdespotismos</w:t>
      </w:r>
      <w:proofErr w:type="spellEnd"/>
      <w:r w:rsidRPr="002451B6">
        <w:rPr>
          <w:rFonts w:ascii="Times New Roman" w:eastAsia="Times New Roman" w:hAnsi="Times New Roman" w:cs="Times New Roman"/>
          <w:sz w:val="24"/>
          <w:szCs w:val="24"/>
        </w:rPr>
        <w:t xml:space="preserve"> que são mantidos mesmo após o fim das ditaduras. Nesse sentido, Paulo Sérgio Pinheiro, inspirado na expressão de Guilhermo </w:t>
      </w:r>
      <w:proofErr w:type="spellStart"/>
      <w:r w:rsidRPr="002451B6">
        <w:rPr>
          <w:rFonts w:ascii="Times New Roman" w:eastAsia="Times New Roman" w:hAnsi="Times New Roman" w:cs="Times New Roman"/>
          <w:sz w:val="24"/>
          <w:szCs w:val="24"/>
        </w:rPr>
        <w:t>O’Donnel</w:t>
      </w:r>
      <w:proofErr w:type="spellEnd"/>
      <w:r w:rsidRPr="002451B6">
        <w:rPr>
          <w:rFonts w:ascii="Times New Roman" w:eastAsia="Times New Roman" w:hAnsi="Times New Roman" w:cs="Times New Roman"/>
          <w:sz w:val="24"/>
          <w:szCs w:val="24"/>
        </w:rPr>
        <w:t>, afirma que no caso brasileiro predomina um “autoritarismo socialmente existente” (Pinheiro, 1991, p. 55).  Os filmes mencionados neste texto escancaram esse problema em nossa realidade social e histórica.</w:t>
      </w:r>
    </w:p>
    <w:p w14:paraId="0E51FEC9"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De acordo com Carla Reis Longhi, a manutenção das Polícias Militares dos estados, uma das principais instituições no controle da segurança pública, possibilitou a preservação da Doutrina de Segurança Nacional, na prática do policiamento ostensivo. A Emenda Constitucional de 1969 mantém o princípio da segurança nacional, com os elementos do auge da repressão. É possível considerar que a concepção de guerra revolucionária, ancorada na ideia de inimigo interno, foi incorporada, por meio de algumas adaptações, no contexto da abertura política. Embora os DOI-</w:t>
      </w:r>
      <w:proofErr w:type="spellStart"/>
      <w:r w:rsidRPr="002451B6">
        <w:rPr>
          <w:rFonts w:ascii="Times New Roman" w:eastAsia="Times New Roman" w:hAnsi="Times New Roman" w:cs="Times New Roman"/>
          <w:sz w:val="24"/>
          <w:szCs w:val="24"/>
        </w:rPr>
        <w:t>CODIs</w:t>
      </w:r>
      <w:proofErr w:type="spellEnd"/>
      <w:r w:rsidRPr="002451B6">
        <w:rPr>
          <w:rFonts w:ascii="Times New Roman" w:eastAsia="Times New Roman" w:hAnsi="Times New Roman" w:cs="Times New Roman"/>
          <w:sz w:val="24"/>
          <w:szCs w:val="24"/>
        </w:rPr>
        <w:t xml:space="preserve"> tenham sido fechados em 1985, as Polícias Militares continuaram atuando orientadas por uma lógica da guerra. Esta acabou sendo reforçada pela permanência da ideia de segurança nacional, relacionada à manutenção da Justiça Militar, que cuida dos inquéritos que dizem respeito à segurança nacional. Aspecto que não foi alterado na </w:t>
      </w:r>
      <w:r w:rsidRPr="002451B6">
        <w:rPr>
          <w:rFonts w:ascii="Times New Roman" w:eastAsia="Times New Roman" w:hAnsi="Times New Roman" w:cs="Times New Roman"/>
          <w:sz w:val="24"/>
          <w:szCs w:val="24"/>
        </w:rPr>
        <w:lastRenderedPageBreak/>
        <w:t>Constituição de 1988 (Longhi, 2024, p. 177). Em resumo, considerando o caráter dúbio do texto da Constituição, “somados à sobreposição de lei interpretativas favoreceram a manutenção dos poderes militares”, cabe ressaltar que o fim dos governos dos militares não implicou de fato no fim do autoritarismo assim como do Estado Autoritário, conforme defende a autora mencionada (Longhi, 2024, p. 179).</w:t>
      </w:r>
    </w:p>
    <w:p w14:paraId="7AA80EE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Considerando essas constatações, cabe considerar que Achille </w:t>
      </w:r>
      <w:proofErr w:type="spellStart"/>
      <w:r w:rsidRPr="002451B6">
        <w:rPr>
          <w:rFonts w:ascii="Times New Roman" w:eastAsia="Times New Roman" w:hAnsi="Times New Roman" w:cs="Times New Roman"/>
          <w:sz w:val="24"/>
          <w:szCs w:val="24"/>
        </w:rPr>
        <w:t>Mbembe</w:t>
      </w:r>
      <w:proofErr w:type="spellEnd"/>
      <w:r w:rsidRPr="002451B6">
        <w:rPr>
          <w:rFonts w:ascii="Times New Roman" w:eastAsia="Times New Roman" w:hAnsi="Times New Roman" w:cs="Times New Roman"/>
          <w:sz w:val="24"/>
          <w:szCs w:val="24"/>
        </w:rPr>
        <w:t xml:space="preserve"> demonstra que a noção de biopoder é insuficiente para expressar as formas de “submissão da vida ao poder da morte” nos tempos contemporâneos. Portanto, ele propõe a noção de necropolítica e de necropoder visando dar conta das várias práticas, na sociedade contemporânea, efetuadas por armas de fogo que se dispõem a promover as destruições das pessoas, configurando-se “mundos de morte”, experiências novas e únicas de existência social, que reservam a numerosas populações uma condição “de vida que lhes conferem o estatuto de ‘mortos-vivos” (</w:t>
      </w:r>
      <w:proofErr w:type="spellStart"/>
      <w:r w:rsidRPr="002451B6">
        <w:rPr>
          <w:rFonts w:ascii="Times New Roman" w:eastAsia="Times New Roman" w:hAnsi="Times New Roman" w:cs="Times New Roman"/>
          <w:sz w:val="24"/>
          <w:szCs w:val="24"/>
        </w:rPr>
        <w:t>Mbembe</w:t>
      </w:r>
      <w:proofErr w:type="spellEnd"/>
      <w:r w:rsidRPr="002451B6">
        <w:rPr>
          <w:rFonts w:ascii="Times New Roman" w:eastAsia="Times New Roman" w:hAnsi="Times New Roman" w:cs="Times New Roman"/>
          <w:sz w:val="24"/>
          <w:szCs w:val="24"/>
        </w:rPr>
        <w:t>, 2018, p. 71).</w:t>
      </w:r>
    </w:p>
    <w:p w14:paraId="1C50ADDE"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relatório da Comissão Nacional da Verdade (2014), em sua conclusão, reserva um espaço para uma reflexão sobre a persistência das graves violações de Direitos Humanos no Brasil, o que se alinha às discussões de </w:t>
      </w:r>
      <w:proofErr w:type="spellStart"/>
      <w:r w:rsidRPr="002451B6">
        <w:rPr>
          <w:rFonts w:ascii="Times New Roman" w:eastAsia="Times New Roman" w:hAnsi="Times New Roman" w:cs="Times New Roman"/>
          <w:sz w:val="24"/>
          <w:szCs w:val="24"/>
        </w:rPr>
        <w:t>Mbembe</w:t>
      </w:r>
      <w:proofErr w:type="spellEnd"/>
      <w:r w:rsidRPr="002451B6">
        <w:rPr>
          <w:rFonts w:ascii="Times New Roman" w:eastAsia="Times New Roman" w:hAnsi="Times New Roman" w:cs="Times New Roman"/>
          <w:sz w:val="24"/>
          <w:szCs w:val="24"/>
        </w:rPr>
        <w:t xml:space="preserve"> sobre os “mundos de morte”, mencionados anteriormente. O fato de os militares não terem sido julgados pelos crimes cometidos contribui para que essas violações continuem sendo perpetuadas.</w:t>
      </w:r>
    </w:p>
    <w:p w14:paraId="5E2AD5C5"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A CNV, ao examinar o cenário de graves violações de direitos humanos correspondente ao período por ela investigado, pôde constatar que ele persiste </w:t>
      </w:r>
      <w:proofErr w:type="gramStart"/>
      <w:r w:rsidRPr="002451B6">
        <w:rPr>
          <w:rFonts w:ascii="Times New Roman" w:eastAsia="Times New Roman" w:hAnsi="Times New Roman" w:cs="Times New Roman"/>
        </w:rPr>
        <w:t>nos dias atuais</w:t>
      </w:r>
      <w:proofErr w:type="gramEnd"/>
      <w:r w:rsidRPr="002451B6">
        <w:rPr>
          <w:rFonts w:ascii="Times New Roman" w:eastAsia="Times New Roman" w:hAnsi="Times New Roman" w:cs="Times New Roman"/>
        </w:rPr>
        <w:t>. Embora não ocorra mais em um contexto de repressão política – como ocorreu na ditadura militar -, a prática de detenções ilegais e arbitrárias, tortura, execuções, desaparecimentos forçados e mesmo ocultação de cadáveres não é estranha à realidade brasileira contemporânea. Relativamente à atuação dos órgãos de segurança pública, multiplicaram-se, por exemplo, as denúncias de tortura, o que levou à recente aprovação da Lei nº 12.847/2013, destinada justamente à implementação de medidas para preservação e combate a esse tipo de crime. É entendimento da CNV que esse quadro resulta em grande parte do fato de que o cometimento de graves violações de direitos humanos verificado no passado não foi adequadamente denunciado, nem seis autores responsabilizados, criando-se as condições para sua perpetuação (Brasil, 2014, p. 964).</w:t>
      </w:r>
    </w:p>
    <w:p w14:paraId="2C57C248" w14:textId="77777777" w:rsidR="00332C33" w:rsidRPr="002451B6" w:rsidRDefault="00332C33">
      <w:pPr>
        <w:spacing w:line="360" w:lineRule="auto"/>
        <w:jc w:val="both"/>
        <w:rPr>
          <w:rFonts w:ascii="Times New Roman" w:eastAsia="Times New Roman" w:hAnsi="Times New Roman" w:cs="Times New Roman"/>
          <w:sz w:val="24"/>
          <w:szCs w:val="24"/>
        </w:rPr>
      </w:pPr>
    </w:p>
    <w:p w14:paraId="3DC50438"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Entre as muitas músicas escritas por Arlindo Cruz que merecem o reconhecimento de suas qualidades líricas, menciono “Numa cidade muito longe daqui – polícia e bandido</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que ouvi por acaso, com mais atenção, enquanto estava mergulhada nas questões para a escrita deste texto. Também ressalto as emoções que o contato mais próximo com as histórias das pessoas citadas me causou, o que talvez explique o porquê de ter demorado um pouco para finalizá-lo, mesmo pensando nele constantemente. A cidade narrada por Arlindo e o confronto entre </w:t>
      </w:r>
      <w:r w:rsidRPr="002451B6">
        <w:rPr>
          <w:rFonts w:ascii="Times New Roman" w:eastAsia="Times New Roman" w:hAnsi="Times New Roman" w:cs="Times New Roman"/>
          <w:sz w:val="24"/>
          <w:szCs w:val="24"/>
        </w:rPr>
        <w:lastRenderedPageBreak/>
        <w:t>bandidos e policiais marca o cotidiano de muitas pessoas no Brasil, sobretudo aquelas que não desfrutam dos privilégios de classe e raça. Não há nenhuma novidade nisso, infelizmente.</w:t>
      </w:r>
    </w:p>
    <w:p w14:paraId="0A6112B4" w14:textId="4156D044" w:rsidR="00332C33" w:rsidRPr="002451B6" w:rsidRDefault="00000000">
      <w:pPr>
        <w:spacing w:after="160" w:line="278" w:lineRule="auto"/>
        <w:jc w:val="right"/>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br/>
      </w:r>
      <w:r w:rsidR="00B0775C">
        <w:rPr>
          <w:rFonts w:ascii="Times New Roman" w:eastAsia="Times New Roman" w:hAnsi="Times New Roman" w:cs="Times New Roman"/>
          <w:sz w:val="24"/>
          <w:szCs w:val="24"/>
        </w:rPr>
        <w:t>“</w:t>
      </w:r>
      <w:proofErr w:type="gramStart"/>
      <w:r w:rsidR="00060788">
        <w:rPr>
          <w:rFonts w:ascii="Times New Roman" w:eastAsia="Times New Roman" w:hAnsi="Times New Roman" w:cs="Times New Roman"/>
          <w:sz w:val="24"/>
          <w:szCs w:val="24"/>
        </w:rPr>
        <w:t>[...]</w:t>
      </w:r>
      <w:proofErr w:type="gramEnd"/>
      <w:r w:rsidR="00775DDB">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mas essa estória eu volto a repetir</w:t>
      </w:r>
      <w:r w:rsidRPr="002451B6">
        <w:rPr>
          <w:rFonts w:ascii="Times New Roman" w:eastAsia="Times New Roman" w:hAnsi="Times New Roman" w:cs="Times New Roman"/>
          <w:sz w:val="24"/>
          <w:szCs w:val="24"/>
        </w:rPr>
        <w:br/>
        <w:t>aconteceu numa cidade muito longe daqui</w:t>
      </w:r>
      <w:r w:rsidRPr="002451B6">
        <w:rPr>
          <w:rFonts w:ascii="Times New Roman" w:eastAsia="Times New Roman" w:hAnsi="Times New Roman" w:cs="Times New Roman"/>
          <w:sz w:val="24"/>
          <w:szCs w:val="24"/>
        </w:rPr>
        <w:br/>
        <w:t>que tem favelas que parecem as favelas daqui</w:t>
      </w:r>
      <w:r w:rsidRPr="002451B6">
        <w:rPr>
          <w:rFonts w:ascii="Times New Roman" w:eastAsia="Times New Roman" w:hAnsi="Times New Roman" w:cs="Times New Roman"/>
          <w:sz w:val="24"/>
          <w:szCs w:val="24"/>
        </w:rPr>
        <w:br/>
        <w:t>que tem problemas que parecem os problemas daqui.”</w:t>
      </w:r>
    </w:p>
    <w:p w14:paraId="491743D4"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1C91FDF3" w14:textId="77777777" w:rsidR="00332C33" w:rsidRPr="002451B6" w:rsidRDefault="00332C33">
      <w:pPr>
        <w:spacing w:line="360" w:lineRule="auto"/>
        <w:ind w:firstLine="709"/>
        <w:jc w:val="both"/>
        <w:rPr>
          <w:rFonts w:ascii="Times New Roman" w:eastAsia="Times New Roman" w:hAnsi="Times New Roman" w:cs="Times New Roman"/>
          <w:sz w:val="24"/>
          <w:szCs w:val="24"/>
        </w:rPr>
      </w:pPr>
    </w:p>
    <w:p w14:paraId="27C81644" w14:textId="77777777" w:rsidR="00332C33" w:rsidRPr="002451B6" w:rsidRDefault="00000000">
      <w:pPr>
        <w:spacing w:after="160" w:line="278"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Referências</w:t>
      </w:r>
    </w:p>
    <w:p w14:paraId="420AF104"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Anuário brasileiro de segurança pública</w:t>
      </w:r>
      <w:r w:rsidRPr="002451B6">
        <w:rPr>
          <w:rFonts w:ascii="Times New Roman" w:eastAsia="Times New Roman" w:hAnsi="Times New Roman" w:cs="Times New Roman"/>
          <w:sz w:val="24"/>
          <w:szCs w:val="24"/>
        </w:rPr>
        <w:t>. Fórum Brasileiro de Segurança Pública. São Paulo: FBSP, 2025.</w:t>
      </w:r>
    </w:p>
    <w:p w14:paraId="38CCF6C7"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ACHILLE, M. </w:t>
      </w:r>
      <w:r w:rsidRPr="002451B6">
        <w:rPr>
          <w:rFonts w:ascii="Times New Roman" w:eastAsia="Times New Roman" w:hAnsi="Times New Roman" w:cs="Times New Roman"/>
          <w:i/>
          <w:iCs/>
          <w:sz w:val="24"/>
          <w:szCs w:val="24"/>
        </w:rPr>
        <w:t>Necropolítica</w:t>
      </w:r>
      <w:r w:rsidRPr="002451B6">
        <w:rPr>
          <w:rFonts w:ascii="Times New Roman" w:eastAsia="Times New Roman" w:hAnsi="Times New Roman" w:cs="Times New Roman"/>
          <w:sz w:val="24"/>
          <w:szCs w:val="24"/>
        </w:rPr>
        <w:t>: Biopoder, soberania, estado de exceção, política da morte. São Paulo: n-1 edições, 2018.</w:t>
      </w:r>
    </w:p>
    <w:p w14:paraId="2A23FF58"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AUGUSTO, H. Passado, presente e futuro: cinema, cinema-negro e curta-metragem. In: SIQUEIRA, Ana et. al. (</w:t>
      </w:r>
      <w:proofErr w:type="spellStart"/>
      <w:r w:rsidRPr="002451B6">
        <w:rPr>
          <w:rFonts w:ascii="Times New Roman" w:eastAsia="Times New Roman" w:hAnsi="Times New Roman" w:cs="Times New Roman"/>
          <w:sz w:val="24"/>
          <w:szCs w:val="24"/>
        </w:rPr>
        <w:t>Orgs</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Festival Internacional de curtas de Belo Horizonte</w:t>
      </w:r>
      <w:r w:rsidRPr="002451B6">
        <w:rPr>
          <w:rFonts w:ascii="Times New Roman" w:eastAsia="Times New Roman" w:hAnsi="Times New Roman" w:cs="Times New Roman"/>
          <w:sz w:val="24"/>
          <w:szCs w:val="24"/>
        </w:rPr>
        <w:t xml:space="preserve"> (Catálogo). Belo Horizonte: Fundação Clóvis Salgado, 2018. p. 149-153.</w:t>
      </w:r>
    </w:p>
    <w:p w14:paraId="42079EA6"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BRASIL. </w:t>
      </w:r>
      <w:r w:rsidRPr="002451B6">
        <w:rPr>
          <w:rFonts w:ascii="Times New Roman" w:eastAsia="Times New Roman" w:hAnsi="Times New Roman" w:cs="Times New Roman"/>
          <w:i/>
          <w:iCs/>
          <w:sz w:val="24"/>
          <w:szCs w:val="24"/>
        </w:rPr>
        <w:t>Relatório da comissão nacional da verdade</w:t>
      </w:r>
      <w:r w:rsidRPr="002451B6">
        <w:rPr>
          <w:rFonts w:ascii="Times New Roman" w:eastAsia="Times New Roman" w:hAnsi="Times New Roman" w:cs="Times New Roman"/>
          <w:sz w:val="24"/>
          <w:szCs w:val="24"/>
        </w:rPr>
        <w:t>. V.1. Brasília: CNV, 2014.</w:t>
      </w:r>
    </w:p>
    <w:p w14:paraId="395E0B50"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BOEHM, C. Ouvidor classifica como massacre a violência na Baixada Santista.  </w:t>
      </w:r>
      <w:r w:rsidRPr="002451B6">
        <w:rPr>
          <w:rFonts w:ascii="Times New Roman" w:eastAsia="Times New Roman" w:hAnsi="Times New Roman" w:cs="Times New Roman"/>
          <w:i/>
          <w:iCs/>
          <w:sz w:val="24"/>
          <w:szCs w:val="24"/>
        </w:rPr>
        <w:t>Agência Brasil</w:t>
      </w:r>
      <w:r w:rsidRPr="002451B6">
        <w:rPr>
          <w:rFonts w:ascii="Times New Roman" w:eastAsia="Times New Roman" w:hAnsi="Times New Roman" w:cs="Times New Roman"/>
          <w:sz w:val="24"/>
          <w:szCs w:val="24"/>
        </w:rPr>
        <w:t xml:space="preserve">, 07 de março de 2024. Disponível em: </w:t>
      </w:r>
      <w:hyperlink r:id="rId19">
        <w:r w:rsidR="00332C33" w:rsidRPr="002451B6">
          <w:rPr>
            <w:rFonts w:ascii="Times New Roman" w:eastAsia="Times New Roman" w:hAnsi="Times New Roman" w:cs="Times New Roman"/>
            <w:sz w:val="24"/>
            <w:szCs w:val="24"/>
            <w:u w:val="single"/>
          </w:rPr>
          <w:t>https://agenciabrasil.ebc.com.br/geral/noticia/2024-03/ouvidor-classifica-como-massacre-violencia-na-bauxada-santista</w:t>
        </w:r>
      </w:hyperlink>
      <w:r w:rsidRPr="002451B6">
        <w:rPr>
          <w:rFonts w:ascii="Times New Roman" w:eastAsia="Times New Roman" w:hAnsi="Times New Roman" w:cs="Times New Roman"/>
          <w:sz w:val="24"/>
          <w:szCs w:val="24"/>
        </w:rPr>
        <w:t xml:space="preserve">   Acesso em: 29 nov. 2025</w:t>
      </w:r>
    </w:p>
    <w:p w14:paraId="67E4E110"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DERTONI, M; BOCANERA, N. Melhores filmes dirigidos por diretoras brasileiras. </w:t>
      </w:r>
      <w:r w:rsidRPr="002451B6">
        <w:rPr>
          <w:rFonts w:ascii="Times New Roman" w:eastAsia="Times New Roman" w:hAnsi="Times New Roman" w:cs="Times New Roman"/>
          <w:i/>
          <w:iCs/>
          <w:sz w:val="24"/>
          <w:szCs w:val="24"/>
        </w:rPr>
        <w:t>Coletivo Crítico</w:t>
      </w:r>
      <w:r w:rsidRPr="002451B6">
        <w:rPr>
          <w:rFonts w:ascii="Times New Roman" w:eastAsia="Times New Roman" w:hAnsi="Times New Roman" w:cs="Times New Roman"/>
          <w:sz w:val="24"/>
          <w:szCs w:val="24"/>
        </w:rPr>
        <w:t xml:space="preserve">, 21 de abril de 2025. Disponível em: </w:t>
      </w:r>
      <w:hyperlink r:id="rId20">
        <w:r w:rsidR="00332C33" w:rsidRPr="002451B6">
          <w:rPr>
            <w:rFonts w:ascii="Times New Roman" w:eastAsia="Times New Roman" w:hAnsi="Times New Roman" w:cs="Times New Roman"/>
            <w:sz w:val="24"/>
            <w:szCs w:val="24"/>
            <w:u w:val="single"/>
          </w:rPr>
          <w:t>https://coletivocritico.com/2025/04/21/melhores-filmes-dirigidos-por-diretoras-brasileiras/</w:t>
        </w:r>
      </w:hyperlink>
      <w:r w:rsidRPr="002451B6">
        <w:rPr>
          <w:rFonts w:ascii="Times New Roman" w:eastAsia="Times New Roman" w:hAnsi="Times New Roman" w:cs="Times New Roman"/>
          <w:sz w:val="24"/>
          <w:szCs w:val="24"/>
        </w:rPr>
        <w:t xml:space="preserve"> Acesso em: 05 ago. 2025.</w:t>
      </w:r>
    </w:p>
    <w:p w14:paraId="529B1D52"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DOMINGUES, P. Movimento da negritude: uma breve reconstrução histórica. </w:t>
      </w:r>
      <w:r w:rsidRPr="002451B6">
        <w:rPr>
          <w:rFonts w:ascii="Times New Roman" w:eastAsia="Times New Roman" w:hAnsi="Times New Roman" w:cs="Times New Roman"/>
          <w:i/>
          <w:iCs/>
          <w:sz w:val="24"/>
          <w:szCs w:val="24"/>
        </w:rPr>
        <w:t>Mediações – Revista de Ciência Socias</w:t>
      </w:r>
      <w:r w:rsidRPr="002451B6">
        <w:rPr>
          <w:rFonts w:ascii="Times New Roman" w:eastAsia="Times New Roman" w:hAnsi="Times New Roman" w:cs="Times New Roman"/>
          <w:sz w:val="24"/>
          <w:szCs w:val="24"/>
        </w:rPr>
        <w:t>, Londrina, v. 10, n.1, p.25-40, jan.-jun. 2005.</w:t>
      </w:r>
    </w:p>
    <w:p w14:paraId="23C0ABF5"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LEGOY, J. Conheça os 22 filmes brasileiros que concorrem a uma vaga no Oscar 2018. </w:t>
      </w:r>
      <w:r w:rsidRPr="002451B6">
        <w:rPr>
          <w:rFonts w:ascii="Times New Roman" w:eastAsia="Times New Roman" w:hAnsi="Times New Roman" w:cs="Times New Roman"/>
          <w:i/>
          <w:iCs/>
          <w:sz w:val="24"/>
          <w:szCs w:val="24"/>
        </w:rPr>
        <w:t>Exame</w:t>
      </w:r>
      <w:r w:rsidRPr="002451B6">
        <w:rPr>
          <w:rFonts w:ascii="Times New Roman" w:eastAsia="Times New Roman" w:hAnsi="Times New Roman" w:cs="Times New Roman"/>
          <w:sz w:val="24"/>
          <w:szCs w:val="24"/>
        </w:rPr>
        <w:t xml:space="preserve">, 17 de agosto de 2018. Disponível em: </w:t>
      </w:r>
      <w:hyperlink r:id="rId21">
        <w:r w:rsidR="00332C33" w:rsidRPr="002451B6">
          <w:rPr>
            <w:rFonts w:ascii="Times New Roman" w:eastAsia="Times New Roman" w:hAnsi="Times New Roman" w:cs="Times New Roman"/>
            <w:sz w:val="24"/>
            <w:szCs w:val="24"/>
            <w:u w:val="single"/>
          </w:rPr>
          <w:t>https://exame.com/casual/conheca-os-22-filmes-brasileiros-que-concorrem-a-uma-vaga-no-oscar-2019/</w:t>
        </w:r>
      </w:hyperlink>
      <w:r w:rsidRPr="002451B6">
        <w:rPr>
          <w:rFonts w:ascii="Times New Roman" w:eastAsia="Times New Roman" w:hAnsi="Times New Roman" w:cs="Times New Roman"/>
          <w:sz w:val="24"/>
          <w:szCs w:val="24"/>
        </w:rPr>
        <w:t xml:space="preserve"> Acesso em: 05 ago. 2025.</w:t>
      </w:r>
    </w:p>
    <w:p w14:paraId="31918F53"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LONGHI, C. R. </w:t>
      </w:r>
      <w:r w:rsidRPr="002451B6">
        <w:rPr>
          <w:rFonts w:ascii="Times New Roman" w:eastAsia="Times New Roman" w:hAnsi="Times New Roman" w:cs="Times New Roman"/>
          <w:i/>
          <w:iCs/>
          <w:sz w:val="24"/>
          <w:szCs w:val="24"/>
        </w:rPr>
        <w:t>Anatomia do Estado autoritário no Brasil</w:t>
      </w:r>
      <w:r w:rsidRPr="002451B6">
        <w:rPr>
          <w:rFonts w:ascii="Times New Roman" w:eastAsia="Times New Roman" w:hAnsi="Times New Roman" w:cs="Times New Roman"/>
          <w:sz w:val="24"/>
          <w:szCs w:val="24"/>
        </w:rPr>
        <w:t>. Curitiba: CRV, 2024.</w:t>
      </w:r>
    </w:p>
    <w:p w14:paraId="38343B45"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NASCIMENTO, A. </w:t>
      </w:r>
      <w:r w:rsidRPr="002451B6">
        <w:rPr>
          <w:rFonts w:ascii="Times New Roman" w:eastAsia="Times New Roman" w:hAnsi="Times New Roman" w:cs="Times New Roman"/>
          <w:i/>
          <w:iCs/>
          <w:sz w:val="24"/>
          <w:szCs w:val="24"/>
        </w:rPr>
        <w:t>O genocídio do negro brasileiro</w:t>
      </w:r>
      <w:r w:rsidRPr="002451B6">
        <w:rPr>
          <w:rFonts w:ascii="Times New Roman" w:eastAsia="Times New Roman" w:hAnsi="Times New Roman" w:cs="Times New Roman"/>
          <w:sz w:val="24"/>
          <w:szCs w:val="24"/>
        </w:rPr>
        <w:t>: processo de um racismo mascarado. Rio de Janeiro: Editora Paz e Terra, 1978.</w:t>
      </w:r>
    </w:p>
    <w:p w14:paraId="46D290EB"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OLIVEIRA, J. P</w:t>
      </w:r>
      <w:r w:rsidRPr="002451B6">
        <w:rPr>
          <w:rFonts w:ascii="Times New Roman" w:eastAsia="Times New Roman" w:hAnsi="Times New Roman" w:cs="Times New Roman"/>
          <w:i/>
          <w:iCs/>
          <w:sz w:val="24"/>
          <w:szCs w:val="24"/>
        </w:rPr>
        <w:t xml:space="preserve">. </w:t>
      </w:r>
      <w:proofErr w:type="spellStart"/>
      <w:proofErr w:type="gramStart"/>
      <w:r w:rsidRPr="002451B6">
        <w:rPr>
          <w:rFonts w:ascii="Times New Roman" w:eastAsia="Times New Roman" w:hAnsi="Times New Roman" w:cs="Times New Roman"/>
          <w:i/>
          <w:iCs/>
          <w:sz w:val="24"/>
          <w:szCs w:val="24"/>
        </w:rPr>
        <w:t>Kbela</w:t>
      </w:r>
      <w:proofErr w:type="spellEnd"/>
      <w:r w:rsidRPr="002451B6">
        <w:rPr>
          <w:rFonts w:ascii="Times New Roman" w:eastAsia="Times New Roman" w:hAnsi="Times New Roman" w:cs="Times New Roman"/>
          <w:i/>
          <w:iCs/>
          <w:sz w:val="24"/>
          <w:szCs w:val="24"/>
        </w:rPr>
        <w:t xml:space="preserve">  e</w:t>
      </w:r>
      <w:proofErr w:type="gram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Cinzas</w:t>
      </w:r>
      <w:r w:rsidRPr="002451B6">
        <w:rPr>
          <w:rFonts w:ascii="Times New Roman" w:eastAsia="Times New Roman" w:hAnsi="Times New Roman" w:cs="Times New Roman"/>
          <w:sz w:val="24"/>
          <w:szCs w:val="24"/>
        </w:rPr>
        <w:t xml:space="preserve">: O cinema negro no feminino do Dogma Feijoada aos dias de hoje.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 xml:space="preserve">Avanca Cinema </w:t>
      </w:r>
      <w:proofErr w:type="spellStart"/>
      <w:r w:rsidRPr="002451B6">
        <w:rPr>
          <w:rFonts w:ascii="Times New Roman" w:eastAsia="Times New Roman" w:hAnsi="Times New Roman" w:cs="Times New Roman"/>
          <w:i/>
          <w:iCs/>
          <w:sz w:val="24"/>
          <w:szCs w:val="24"/>
        </w:rPr>
        <w:t>International</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Conference</w:t>
      </w:r>
      <w:proofErr w:type="spellEnd"/>
      <w:r w:rsidRPr="002451B6">
        <w:rPr>
          <w:rFonts w:ascii="Times New Roman" w:eastAsia="Times New Roman" w:hAnsi="Times New Roman" w:cs="Times New Roman"/>
          <w:sz w:val="24"/>
          <w:szCs w:val="24"/>
        </w:rPr>
        <w:t xml:space="preserve">. Avanca: Edições </w:t>
      </w:r>
      <w:proofErr w:type="spellStart"/>
      <w:r w:rsidRPr="002451B6">
        <w:rPr>
          <w:rFonts w:ascii="Times New Roman" w:eastAsia="Times New Roman" w:hAnsi="Times New Roman" w:cs="Times New Roman"/>
          <w:sz w:val="24"/>
          <w:szCs w:val="24"/>
        </w:rPr>
        <w:t>Cine-Clube</w:t>
      </w:r>
      <w:proofErr w:type="spellEnd"/>
      <w:r w:rsidRPr="002451B6">
        <w:rPr>
          <w:rFonts w:ascii="Times New Roman" w:eastAsia="Times New Roman" w:hAnsi="Times New Roman" w:cs="Times New Roman"/>
          <w:sz w:val="24"/>
          <w:szCs w:val="24"/>
        </w:rPr>
        <w:t xml:space="preserve"> de Avanca, 2016.</w:t>
      </w:r>
    </w:p>
    <w:p w14:paraId="170E72D2"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PINHEIRO, P. S. Autoritarismo e transição. </w:t>
      </w:r>
      <w:r w:rsidRPr="002451B6">
        <w:rPr>
          <w:rFonts w:ascii="Times New Roman" w:eastAsia="Times New Roman" w:hAnsi="Times New Roman" w:cs="Times New Roman"/>
          <w:i/>
          <w:iCs/>
          <w:sz w:val="24"/>
          <w:szCs w:val="24"/>
        </w:rPr>
        <w:t>Revista da USP</w:t>
      </w:r>
      <w:r w:rsidRPr="002451B6">
        <w:rPr>
          <w:rFonts w:ascii="Times New Roman" w:eastAsia="Times New Roman" w:hAnsi="Times New Roman" w:cs="Times New Roman"/>
          <w:sz w:val="24"/>
          <w:szCs w:val="24"/>
        </w:rPr>
        <w:t>, São Paulo, p. 45-56, mar.abr.mai.1991.</w:t>
      </w:r>
    </w:p>
    <w:p w14:paraId="2057A7E6"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RAMOS, P. C. </w:t>
      </w:r>
      <w:r w:rsidRPr="002451B6">
        <w:rPr>
          <w:rFonts w:ascii="Times New Roman" w:eastAsia="Times New Roman" w:hAnsi="Times New Roman" w:cs="Times New Roman"/>
          <w:i/>
          <w:iCs/>
          <w:sz w:val="24"/>
          <w:szCs w:val="24"/>
        </w:rPr>
        <w:t>Gramática negra contra a violência do Estado</w:t>
      </w:r>
      <w:r w:rsidRPr="002451B6">
        <w:rPr>
          <w:rFonts w:ascii="Times New Roman" w:eastAsia="Times New Roman" w:hAnsi="Times New Roman" w:cs="Times New Roman"/>
          <w:sz w:val="24"/>
          <w:szCs w:val="24"/>
        </w:rPr>
        <w:t>: da discriminação racial ao genocídio negro (1978-2018). 2021. Tese (Doutorado em Sociologia) – Faculdade de Filosofia, Letras e Ciências Humanas, Universidade de São Paulo, 2021.</w:t>
      </w:r>
    </w:p>
    <w:p w14:paraId="5DD0F294"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REINHOLZ, F. “Quando conseguimos combater o racismo, conseguimos formas dignas para produzir”. </w:t>
      </w:r>
      <w:r w:rsidRPr="002451B6">
        <w:rPr>
          <w:rFonts w:ascii="Times New Roman" w:eastAsia="Times New Roman" w:hAnsi="Times New Roman" w:cs="Times New Roman"/>
          <w:i/>
          <w:iCs/>
          <w:sz w:val="24"/>
          <w:szCs w:val="24"/>
        </w:rPr>
        <w:t>Brasil de Fato</w:t>
      </w:r>
      <w:r w:rsidRPr="002451B6">
        <w:rPr>
          <w:rFonts w:ascii="Times New Roman" w:eastAsia="Times New Roman" w:hAnsi="Times New Roman" w:cs="Times New Roman"/>
          <w:sz w:val="24"/>
          <w:szCs w:val="24"/>
        </w:rPr>
        <w:t xml:space="preserve">, 18 de novembro de 2020. Disponível em: </w:t>
      </w:r>
      <w:hyperlink r:id="rId22">
        <w:r w:rsidR="00332C33" w:rsidRPr="002451B6">
          <w:rPr>
            <w:rFonts w:ascii="Times New Roman" w:eastAsia="Times New Roman" w:hAnsi="Times New Roman" w:cs="Times New Roman"/>
            <w:sz w:val="24"/>
            <w:szCs w:val="24"/>
            <w:u w:val="single"/>
          </w:rPr>
          <w:t>https://www.brasildefato.com.br/2020/11/19/quando-conseguimos-combater-o-racismo-conseguimos-formas-dignas-para-produzir/</w:t>
        </w:r>
      </w:hyperlink>
      <w:r w:rsidRPr="002451B6">
        <w:rPr>
          <w:rFonts w:ascii="Times New Roman" w:eastAsia="Times New Roman" w:hAnsi="Times New Roman" w:cs="Times New Roman"/>
          <w:sz w:val="24"/>
          <w:szCs w:val="24"/>
        </w:rPr>
        <w:t xml:space="preserve"> Acesso em: 05  ago. 2025.</w:t>
      </w:r>
    </w:p>
    <w:p w14:paraId="33F6F14E"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SOARES, G. Operação Escudo: um ano de violência, confrontos e de alto índice de mortes na Baixada Santista.  </w:t>
      </w:r>
      <w:r w:rsidRPr="002451B6">
        <w:rPr>
          <w:rFonts w:ascii="Times New Roman" w:eastAsia="Times New Roman" w:hAnsi="Times New Roman" w:cs="Times New Roman"/>
          <w:i/>
          <w:iCs/>
          <w:sz w:val="24"/>
          <w:szCs w:val="24"/>
        </w:rPr>
        <w:t>G1</w:t>
      </w:r>
      <w:r w:rsidRPr="002451B6">
        <w:rPr>
          <w:rFonts w:ascii="Times New Roman" w:eastAsia="Times New Roman" w:hAnsi="Times New Roman" w:cs="Times New Roman"/>
          <w:sz w:val="24"/>
          <w:szCs w:val="24"/>
        </w:rPr>
        <w:t xml:space="preserve">, 28 de julho de 2024. Disponível em: </w:t>
      </w:r>
      <w:hyperlink r:id="rId23">
        <w:r w:rsidR="00332C33" w:rsidRPr="002451B6">
          <w:rPr>
            <w:rFonts w:ascii="Times New Roman" w:eastAsia="Times New Roman" w:hAnsi="Times New Roman" w:cs="Times New Roman"/>
            <w:sz w:val="24"/>
            <w:szCs w:val="24"/>
            <w:u w:val="single"/>
          </w:rPr>
          <w:t>https://g1.globo.com/sp/santos-regiao/noticia/2024/07/28/operacao-escudo-um-ano-de-violencia-confrontos-e-de-alto-indice-de-mortes-que-era-esperado-diz-defensoria.ghtml</w:t>
        </w:r>
      </w:hyperlink>
      <w:r w:rsidRPr="002451B6">
        <w:rPr>
          <w:rFonts w:ascii="Times New Roman" w:eastAsia="Times New Roman" w:hAnsi="Times New Roman" w:cs="Times New Roman"/>
          <w:sz w:val="24"/>
          <w:szCs w:val="24"/>
        </w:rPr>
        <w:t xml:space="preserve"> Acesso em: 28 nov. 2025. </w:t>
      </w:r>
    </w:p>
    <w:p w14:paraId="23941980"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SOUZA, E. P. de. </w:t>
      </w:r>
      <w:r w:rsidRPr="002451B6">
        <w:rPr>
          <w:rFonts w:ascii="Times New Roman" w:eastAsia="Times New Roman" w:hAnsi="Times New Roman" w:cs="Times New Roman"/>
          <w:i/>
          <w:iCs/>
          <w:sz w:val="24"/>
          <w:szCs w:val="24"/>
        </w:rPr>
        <w:t>Cinema na panela de barro</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mulheres negras, narrativas de amor, afeto e identidade. 2013.  Tese (Doutorado em Educação) – Faculdade de Educação, Universidade de Brasília, Brasília, 2013.</w:t>
      </w:r>
    </w:p>
    <w:p w14:paraId="03A30704" w14:textId="77777777" w:rsidR="00332C33" w:rsidRPr="002451B6" w:rsidRDefault="00332C33">
      <w:pPr>
        <w:spacing w:line="240" w:lineRule="auto"/>
        <w:jc w:val="both"/>
        <w:rPr>
          <w:rFonts w:ascii="Times New Roman" w:eastAsia="Times New Roman" w:hAnsi="Times New Roman" w:cs="Times New Roman"/>
          <w:sz w:val="24"/>
          <w:szCs w:val="24"/>
        </w:rPr>
      </w:pPr>
    </w:p>
    <w:p w14:paraId="2050CAD2"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SOUZA, E. P. de. “O caso do homem errado” – o cinema como instrumento de denúncias do genocídio da população negra. </w:t>
      </w:r>
      <w:r w:rsidRPr="002451B6">
        <w:rPr>
          <w:rFonts w:ascii="Times New Roman" w:eastAsia="Times New Roman" w:hAnsi="Times New Roman" w:cs="Times New Roman"/>
          <w:i/>
          <w:iCs/>
          <w:sz w:val="24"/>
          <w:szCs w:val="24"/>
        </w:rPr>
        <w:t>Avanca Cinema</w:t>
      </w:r>
      <w:r w:rsidRPr="002451B6">
        <w:rPr>
          <w:rFonts w:ascii="Times New Roman" w:eastAsia="Times New Roman" w:hAnsi="Times New Roman" w:cs="Times New Roman"/>
          <w:sz w:val="24"/>
          <w:szCs w:val="24"/>
        </w:rPr>
        <w:t>, p. 531-536, 2020.</w:t>
      </w:r>
    </w:p>
    <w:p w14:paraId="56818DC4" w14:textId="77777777" w:rsidR="00332C33" w:rsidRPr="002451B6" w:rsidRDefault="00000000">
      <w:pPr>
        <w:spacing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SOUZA, E. P. de. Mulheres negras na construção de um cinema negro no feminino.  </w:t>
      </w:r>
      <w:r w:rsidRPr="002451B6">
        <w:rPr>
          <w:rFonts w:ascii="Times New Roman" w:eastAsia="Times New Roman" w:hAnsi="Times New Roman" w:cs="Times New Roman"/>
          <w:i/>
          <w:iCs/>
          <w:sz w:val="24"/>
          <w:szCs w:val="24"/>
        </w:rPr>
        <w:t>Aniki: Revista Portuguesa da Imagem em Movimento</w:t>
      </w:r>
      <w:r w:rsidRPr="002451B6">
        <w:rPr>
          <w:rFonts w:ascii="Times New Roman" w:eastAsia="Times New Roman" w:hAnsi="Times New Roman" w:cs="Times New Roman"/>
          <w:sz w:val="24"/>
          <w:szCs w:val="24"/>
        </w:rPr>
        <w:t xml:space="preserve">, v.7, n.1 p. 171-188, 2020. </w:t>
      </w:r>
    </w:p>
    <w:p w14:paraId="432869E0" w14:textId="77777777" w:rsidR="00332C33" w:rsidRPr="002451B6" w:rsidRDefault="00332C33">
      <w:pPr>
        <w:spacing w:line="278" w:lineRule="auto"/>
        <w:jc w:val="both"/>
        <w:rPr>
          <w:rFonts w:ascii="Times New Roman" w:eastAsia="Times New Roman" w:hAnsi="Times New Roman" w:cs="Times New Roman"/>
          <w:sz w:val="24"/>
          <w:szCs w:val="24"/>
        </w:rPr>
      </w:pPr>
    </w:p>
    <w:p w14:paraId="00728FC5"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TEIXEIRA, R. T.; FILHO MENDONÇA, C. A. A máquina de fazer genocidas: memória e testemunho em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Revista Rumores</w:t>
      </w:r>
      <w:r w:rsidRPr="002451B6">
        <w:rPr>
          <w:rFonts w:ascii="Times New Roman" w:eastAsia="Times New Roman" w:hAnsi="Times New Roman" w:cs="Times New Roman"/>
          <w:sz w:val="24"/>
          <w:szCs w:val="24"/>
        </w:rPr>
        <w:t xml:space="preserve">, São Paulo, n. 30, v. 15, p. 83-105, </w:t>
      </w:r>
      <w:proofErr w:type="spellStart"/>
      <w:r w:rsidRPr="002451B6">
        <w:rPr>
          <w:rFonts w:ascii="Times New Roman" w:eastAsia="Times New Roman" w:hAnsi="Times New Roman" w:cs="Times New Roman"/>
          <w:sz w:val="24"/>
          <w:szCs w:val="24"/>
        </w:rPr>
        <w:t>jul</w:t>
      </w:r>
      <w:proofErr w:type="spellEnd"/>
      <w:r w:rsidRPr="002451B6">
        <w:rPr>
          <w:rFonts w:ascii="Times New Roman" w:eastAsia="Times New Roman" w:hAnsi="Times New Roman" w:cs="Times New Roman"/>
          <w:sz w:val="24"/>
          <w:szCs w:val="24"/>
        </w:rPr>
        <w:t>-dez. 2021.</w:t>
      </w:r>
    </w:p>
    <w:p w14:paraId="4602206E"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ZACARI, L. O reconhecimento do maior acervo digital de cultura negra no Brasil. </w:t>
      </w:r>
      <w:r w:rsidRPr="002451B6">
        <w:rPr>
          <w:rFonts w:ascii="Times New Roman" w:eastAsia="Times New Roman" w:hAnsi="Times New Roman" w:cs="Times New Roman"/>
          <w:i/>
          <w:iCs/>
          <w:sz w:val="24"/>
          <w:szCs w:val="24"/>
        </w:rPr>
        <w:t>Nexo Jornal</w:t>
      </w:r>
      <w:r w:rsidRPr="002451B6">
        <w:rPr>
          <w:rFonts w:ascii="Times New Roman" w:eastAsia="Times New Roman" w:hAnsi="Times New Roman" w:cs="Times New Roman"/>
          <w:sz w:val="24"/>
          <w:szCs w:val="24"/>
        </w:rPr>
        <w:t xml:space="preserve">, 31 de outubro de 2025. Disponível em: </w:t>
      </w:r>
      <w:hyperlink r:id="rId24">
        <w:r w:rsidR="00332C33" w:rsidRPr="002451B6">
          <w:rPr>
            <w:rFonts w:ascii="Times New Roman" w:eastAsia="Times New Roman" w:hAnsi="Times New Roman" w:cs="Times New Roman"/>
            <w:sz w:val="24"/>
            <w:szCs w:val="24"/>
            <w:u w:val="single"/>
          </w:rPr>
          <w:t>https://www.nexojornal.com.br/expresso/2025/10/31/acervo-digital-cultura-negra-brasil-instituto-cultne</w:t>
        </w:r>
      </w:hyperlink>
      <w:r w:rsidRPr="002451B6">
        <w:rPr>
          <w:rFonts w:ascii="Times New Roman" w:eastAsia="Times New Roman" w:hAnsi="Times New Roman" w:cs="Times New Roman"/>
          <w:sz w:val="24"/>
          <w:szCs w:val="24"/>
        </w:rPr>
        <w:t xml:space="preserve"> Acesso em: 29 nov. 2025.</w:t>
      </w:r>
    </w:p>
    <w:p w14:paraId="5AA2E7B7"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Filmes</w:t>
      </w:r>
    </w:p>
    <w:p w14:paraId="36A02EEC"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AUTO DE RESISTÊNCIA. Direção: Natasha Neri e Lula Carvalho. Roteiro:  Natasha Neri e Juliana Farias.  </w:t>
      </w:r>
      <w:proofErr w:type="gramStart"/>
      <w:r w:rsidRPr="002451B6">
        <w:rPr>
          <w:rFonts w:ascii="Times New Roman" w:eastAsia="Times New Roman" w:hAnsi="Times New Roman" w:cs="Times New Roman"/>
          <w:sz w:val="24"/>
          <w:szCs w:val="24"/>
        </w:rPr>
        <w:t>Brasil,?.</w:t>
      </w:r>
      <w:proofErr w:type="gramEnd"/>
      <w:r w:rsidRPr="002451B6">
        <w:rPr>
          <w:rFonts w:ascii="Times New Roman" w:eastAsia="Times New Roman" w:hAnsi="Times New Roman" w:cs="Times New Roman"/>
          <w:sz w:val="24"/>
          <w:szCs w:val="24"/>
        </w:rPr>
        <w:t xml:space="preserve"> 2018. 104 minutos.</w:t>
      </w:r>
    </w:p>
    <w:p w14:paraId="3A34EC9A" w14:textId="1FB1ABD8"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NÃO SAIA HOJE. Direção: Susanna Lira. Roteiro: Susanna Lira. Brasil, Canal Futura, Modo Operante, 2016. 54 minutos</w:t>
      </w:r>
    </w:p>
    <w:p w14:paraId="1B6593C2"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CASO DO HOMEM ERRADO. Direção: Camila de Morais. Roteiro: Camila de Moraes; Mariani Ferreira e Maurício Borges de Medeiros. Brasil, Praça de Filmes, 2017. 78 minutos.</w:t>
      </w:r>
    </w:p>
    <w:p w14:paraId="22E23BB7"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Vídeo</w:t>
      </w:r>
    </w:p>
    <w:p w14:paraId="5C19A4D5" w14:textId="77777777" w:rsidR="00332C33" w:rsidRPr="002451B6" w:rsidRDefault="00000000">
      <w:pPr>
        <w:spacing w:after="160" w:line="278"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CANAL VERTENTES DE CINEMA. </w:t>
      </w:r>
      <w:r w:rsidRPr="002451B6">
        <w:rPr>
          <w:rFonts w:ascii="Times New Roman" w:eastAsia="Times New Roman" w:hAnsi="Times New Roman" w:cs="Times New Roman"/>
          <w:i/>
          <w:iCs/>
          <w:sz w:val="24"/>
          <w:szCs w:val="24"/>
        </w:rPr>
        <w:t>O Caso do Homem Errado</w:t>
      </w:r>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2018.?.</w:t>
      </w:r>
      <w:proofErr w:type="gramEnd"/>
      <w:r w:rsidRPr="002451B6">
        <w:rPr>
          <w:rFonts w:ascii="Times New Roman" w:eastAsia="Times New Roman" w:hAnsi="Times New Roman" w:cs="Times New Roman"/>
          <w:sz w:val="24"/>
          <w:szCs w:val="24"/>
        </w:rPr>
        <w:t xml:space="preserve"> Canal Vertentes de Cinema. 1 vídeo (28:39 min). Disponível em: </w:t>
      </w:r>
      <w:hyperlink r:id="rId25">
        <w:r w:rsidR="00332C33" w:rsidRPr="002451B6">
          <w:rPr>
            <w:rFonts w:ascii="Times New Roman" w:eastAsia="Times New Roman" w:hAnsi="Times New Roman" w:cs="Times New Roman"/>
            <w:sz w:val="24"/>
            <w:szCs w:val="24"/>
            <w:u w:val="single"/>
          </w:rPr>
          <w:t>https://www.youtube.com/watch?v=ot2qOkXfkiE</w:t>
        </w:r>
      </w:hyperlink>
      <w:r w:rsidRPr="002451B6">
        <w:rPr>
          <w:rFonts w:ascii="Times New Roman" w:eastAsia="Times New Roman" w:hAnsi="Times New Roman" w:cs="Times New Roman"/>
          <w:sz w:val="24"/>
          <w:szCs w:val="24"/>
        </w:rPr>
        <w:t xml:space="preserve">  Acesso em: 06 jul. 2025</w:t>
      </w:r>
    </w:p>
    <w:p w14:paraId="5ED578E9" w14:textId="77777777" w:rsidR="00332C33" w:rsidRPr="002451B6" w:rsidRDefault="00332C33">
      <w:pPr>
        <w:spacing w:after="160" w:line="278" w:lineRule="auto"/>
        <w:jc w:val="both"/>
        <w:rPr>
          <w:rFonts w:ascii="Times New Roman" w:eastAsia="Times New Roman" w:hAnsi="Times New Roman" w:cs="Times New Roman"/>
          <w:sz w:val="24"/>
          <w:szCs w:val="24"/>
        </w:rPr>
      </w:pPr>
    </w:p>
    <w:p w14:paraId="3E8C7450" w14:textId="77777777" w:rsidR="00332C33" w:rsidRPr="002451B6" w:rsidRDefault="00332C33">
      <w:pPr>
        <w:spacing w:before="240" w:after="240" w:line="360" w:lineRule="auto"/>
        <w:jc w:val="right"/>
        <w:rPr>
          <w:rFonts w:ascii="Times New Roman" w:eastAsia="Times New Roman" w:hAnsi="Times New Roman" w:cs="Times New Roman"/>
          <w:b/>
          <w:bCs/>
          <w:i/>
          <w:iCs/>
          <w:sz w:val="24"/>
          <w:szCs w:val="24"/>
        </w:rPr>
      </w:pPr>
    </w:p>
    <w:p w14:paraId="2D56E998"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7A4C3F76"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5A2B8A80"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536D3B6C"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208D7FCB"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6F6C5540"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2A0F7588"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2E1CB0DC"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1DB9A238" w14:textId="77777777" w:rsidR="00332C33" w:rsidRPr="002451B6" w:rsidRDefault="00332C33">
      <w:pPr>
        <w:spacing w:before="240" w:after="240" w:line="360" w:lineRule="auto"/>
        <w:jc w:val="right"/>
        <w:rPr>
          <w:rFonts w:ascii="Times New Roman" w:eastAsia="Times New Roman" w:hAnsi="Times New Roman" w:cs="Times New Roman"/>
          <w:sz w:val="24"/>
          <w:szCs w:val="24"/>
        </w:rPr>
      </w:pPr>
    </w:p>
    <w:p w14:paraId="57ED67B1" w14:textId="77777777" w:rsidR="00332C33" w:rsidRDefault="00332C33" w:rsidP="0025423F">
      <w:pPr>
        <w:spacing w:before="240" w:after="240" w:line="360" w:lineRule="auto"/>
        <w:rPr>
          <w:rFonts w:ascii="Times New Roman" w:eastAsia="Times New Roman" w:hAnsi="Times New Roman" w:cs="Times New Roman"/>
          <w:sz w:val="24"/>
          <w:szCs w:val="24"/>
        </w:rPr>
      </w:pPr>
    </w:p>
    <w:p w14:paraId="0B36C57D" w14:textId="77777777" w:rsidR="0049014A" w:rsidRDefault="0049014A" w:rsidP="0025423F">
      <w:pPr>
        <w:spacing w:before="240" w:after="240" w:line="360" w:lineRule="auto"/>
        <w:rPr>
          <w:rFonts w:ascii="Times New Roman" w:eastAsia="Times New Roman" w:hAnsi="Times New Roman" w:cs="Times New Roman"/>
          <w:sz w:val="24"/>
          <w:szCs w:val="24"/>
        </w:rPr>
      </w:pPr>
    </w:p>
    <w:p w14:paraId="56E85A03" w14:textId="77777777" w:rsidR="0049014A" w:rsidRDefault="0049014A" w:rsidP="0025423F">
      <w:pPr>
        <w:spacing w:before="240" w:after="240" w:line="360" w:lineRule="auto"/>
        <w:rPr>
          <w:rFonts w:ascii="Times New Roman" w:eastAsia="Times New Roman" w:hAnsi="Times New Roman" w:cs="Times New Roman"/>
          <w:sz w:val="24"/>
          <w:szCs w:val="24"/>
        </w:rPr>
      </w:pPr>
    </w:p>
    <w:p w14:paraId="581640A3" w14:textId="77777777" w:rsidR="0049014A" w:rsidRDefault="0049014A" w:rsidP="0025423F">
      <w:pPr>
        <w:spacing w:before="240" w:after="240" w:line="360" w:lineRule="auto"/>
        <w:rPr>
          <w:rFonts w:ascii="Times New Roman" w:eastAsia="Times New Roman" w:hAnsi="Times New Roman" w:cs="Times New Roman"/>
          <w:sz w:val="24"/>
          <w:szCs w:val="24"/>
        </w:rPr>
      </w:pPr>
    </w:p>
    <w:p w14:paraId="57D04AC4" w14:textId="77777777" w:rsidR="0049014A" w:rsidRDefault="0049014A" w:rsidP="0025423F">
      <w:pPr>
        <w:spacing w:before="240" w:after="240" w:line="360" w:lineRule="auto"/>
        <w:rPr>
          <w:rFonts w:ascii="Times New Roman" w:eastAsia="Times New Roman" w:hAnsi="Times New Roman" w:cs="Times New Roman"/>
          <w:sz w:val="24"/>
          <w:szCs w:val="24"/>
        </w:rPr>
      </w:pPr>
    </w:p>
    <w:p w14:paraId="74C69374" w14:textId="77777777" w:rsidR="00251E7B" w:rsidRDefault="00251E7B" w:rsidP="0025423F">
      <w:pPr>
        <w:spacing w:before="240" w:after="240" w:line="360" w:lineRule="auto"/>
        <w:rPr>
          <w:rFonts w:ascii="Times New Roman" w:eastAsia="Times New Roman" w:hAnsi="Times New Roman" w:cs="Times New Roman"/>
          <w:sz w:val="24"/>
          <w:szCs w:val="24"/>
        </w:rPr>
      </w:pPr>
    </w:p>
    <w:p w14:paraId="6DE6B4E2" w14:textId="77777777" w:rsidR="00251E7B" w:rsidRPr="002451B6" w:rsidRDefault="00251E7B" w:rsidP="0025423F">
      <w:pPr>
        <w:spacing w:before="240" w:after="240" w:line="360" w:lineRule="auto"/>
        <w:rPr>
          <w:rFonts w:ascii="Times New Roman" w:eastAsia="Times New Roman" w:hAnsi="Times New Roman" w:cs="Times New Roman"/>
          <w:sz w:val="24"/>
          <w:szCs w:val="24"/>
        </w:rPr>
      </w:pPr>
    </w:p>
    <w:p w14:paraId="49AFD21C" w14:textId="77777777" w:rsidR="00332C33" w:rsidRPr="002451B6" w:rsidRDefault="00332C33">
      <w:pPr>
        <w:spacing w:before="240" w:after="240" w:line="360" w:lineRule="auto"/>
        <w:rPr>
          <w:rFonts w:ascii="Times New Roman" w:eastAsia="Times New Roman" w:hAnsi="Times New Roman" w:cs="Times New Roman"/>
          <w:sz w:val="24"/>
          <w:szCs w:val="24"/>
        </w:rPr>
      </w:pPr>
    </w:p>
    <w:p w14:paraId="791C49B8" w14:textId="77777777" w:rsidR="00332C33" w:rsidRPr="002451B6" w:rsidRDefault="00000000" w:rsidP="0025423F">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 xml:space="preserve">“Colaboracionismo”: a política de </w:t>
      </w:r>
      <w:proofErr w:type="spellStart"/>
      <w:r w:rsidRPr="002451B6">
        <w:rPr>
          <w:rFonts w:ascii="Times New Roman" w:eastAsia="Times New Roman" w:hAnsi="Times New Roman" w:cs="Times New Roman"/>
          <w:b/>
          <w:bCs/>
          <w:sz w:val="24"/>
          <w:szCs w:val="24"/>
        </w:rPr>
        <w:t>dessubjetivação</w:t>
      </w:r>
      <w:proofErr w:type="spellEnd"/>
      <w:r w:rsidRPr="002451B6">
        <w:rPr>
          <w:rFonts w:ascii="Times New Roman" w:eastAsia="Times New Roman" w:hAnsi="Times New Roman" w:cs="Times New Roman"/>
          <w:b/>
          <w:bCs/>
          <w:sz w:val="24"/>
          <w:szCs w:val="24"/>
        </w:rPr>
        <w:t xml:space="preserve"> a partir da violência de gênero nas ditaduras de Brasil e Argentina</w:t>
      </w:r>
    </w:p>
    <w:p w14:paraId="4D4517F8"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4288A026" w14:textId="77777777" w:rsidR="00332C33" w:rsidRPr="002451B6" w:rsidRDefault="00332C33">
      <w:pPr>
        <w:rPr>
          <w:rFonts w:ascii="Times New Roman" w:eastAsia="Times New Roman" w:hAnsi="Times New Roman" w:cs="Times New Roman"/>
          <w:sz w:val="24"/>
          <w:szCs w:val="24"/>
        </w:rPr>
      </w:pPr>
    </w:p>
    <w:p w14:paraId="0E74979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ditadura brasileira “atuou de forma misógina, utilizou-se da discriminação de gênero para reforçar os estereótipos femininos de submissão e dependência emocional, afetiva e política. O tempo todo, a repressão política procurou coisificar e explorar a condição de mulheres” (Teles, 2015, p. 1001). Ontem como hoje, os testemunhos de sobreviventes de violências de gênero praticadas por agentes do Estado, seja o autoritário seja o democrático, evidenciam as bases patriarcais da formação nacional brasileira e de suas instituições. Apesar disso, este permanece um nó de difícil resolução no seio da sociedade, da cultura e da economia, como campos imbricados de produção de subjetividade, normatividade e ética. Este capítulo busca visibilizar e discutir uma modalidade específica de violência de gênero registrada nas ditaduras militares de Brasil (1964-1985) e Argentina (1976-1983), para que sua identificação possa contribuir para a reflexão sobre o modo como as estruturas patriarcais vêm operando a permanência de uma pedagogia da crueldade sobre as mulheres (Tedeschi, 2025) - não apenas as resistentes ou revolucionárias. </w:t>
      </w:r>
    </w:p>
    <w:p w14:paraId="29E74D4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Importante dizer que este capítulo resulta da pesquisa que realizo como professora visitante na Universidade Federal da Grande Dourados (UFGD) intitulada: “Violência de gênero e colaboracionismo nas ditaduras de Brasil (1964-85), Chile (1973-90) e Argentina (1976-83)” iniciada em novembro de 2024. Nesta ocasião, abordaremos as obras seminais para o desenvolvimento da escrita da história e da memória das militantes de organizações revolucionárias argentinas e brasileiras que sobreviveram a diferentes modalidades repressivas e especificamente ao “colaboracionismo”, praticado em diferentes graus e a partir de distintas estratégias através do uso sistemático das violências de gênero. Ao verificarmos a recorrência desta modalidade de repressão e terror sobre as mulheres, interessamo-nos também por compreender, na bibliografia especializada, como as lentes de gênero vêm sendo mobilizadas na leitura crítica desses capítulos traumáticos da história recente. </w:t>
      </w:r>
    </w:p>
    <w:p w14:paraId="298C47B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Pela expressão violência de gênero, entendemos o “mandato” que, segundo Rita Segato, em suas </w:t>
      </w:r>
      <w:r w:rsidRPr="002451B6">
        <w:rPr>
          <w:rFonts w:ascii="Times New Roman" w:eastAsia="Times New Roman" w:hAnsi="Times New Roman" w:cs="Times New Roman"/>
          <w:i/>
          <w:iCs/>
          <w:sz w:val="24"/>
          <w:szCs w:val="24"/>
        </w:rPr>
        <w:t>Estruturas elementares da violência</w:t>
      </w:r>
      <w:r w:rsidRPr="002451B6">
        <w:rPr>
          <w:rFonts w:ascii="Times New Roman" w:eastAsia="Times New Roman" w:hAnsi="Times New Roman" w:cs="Times New Roman"/>
          <w:sz w:val="24"/>
          <w:szCs w:val="24"/>
        </w:rPr>
        <w:t xml:space="preserve"> (2003), é a condição necessária para a reprodução das relações hierárquicas de gênero. Ou seja, trata-se de um ato frequente em contextos de guerra, regimes autoritários e de golpes, pois visa processos de restauração do poder e de sua legitimidade pela imposição de uma moral hierarquicamente sexista. No contexto das ditaduras que analisaremos, isso significa que a violência surge como um instrumento que rege a relação </w:t>
      </w:r>
      <w:r w:rsidRPr="002451B6">
        <w:rPr>
          <w:rFonts w:ascii="Times New Roman" w:eastAsia="Times New Roman" w:hAnsi="Times New Roman" w:cs="Times New Roman"/>
          <w:sz w:val="24"/>
          <w:szCs w:val="24"/>
        </w:rPr>
        <w:lastRenderedPageBreak/>
        <w:t xml:space="preserve">com a vítima de forma onipresente, tanto quanto com os seus pares de oposição ao regime, numa ordem social amparada pela “interdependência entre violência e gênero” (Segato, 2003, p. 19). Nesse ponto, tem especial conotação a violação sexual, que aparece como prática de tortura enunciada nos testemunhos das sobreviventes em Brasil, Chile e Argentina como um ponto de “quebra” da subjetividade fundamental. Rita Segato a define como “o uso e abuso do corpo do outro, sem que este participe com intenção ou vontade comparáveis” (Segato, 2023, p. 22). Em geral, a violência sexual foi utilizada pelas engrenagens repressivas das ditaduras para “quebrar” as militantes detidas nos três países; ou seja, para levá-las à delação, </w:t>
      </w:r>
      <w:proofErr w:type="spellStart"/>
      <w:r w:rsidRPr="002451B6">
        <w:rPr>
          <w:rFonts w:ascii="Times New Roman" w:eastAsia="Times New Roman" w:hAnsi="Times New Roman" w:cs="Times New Roman"/>
          <w:sz w:val="24"/>
          <w:szCs w:val="24"/>
        </w:rPr>
        <w:t>culpabilizando-as</w:t>
      </w:r>
      <w:proofErr w:type="spellEnd"/>
      <w:r w:rsidRPr="002451B6">
        <w:rPr>
          <w:rFonts w:ascii="Times New Roman" w:eastAsia="Times New Roman" w:hAnsi="Times New Roman" w:cs="Times New Roman"/>
          <w:sz w:val="24"/>
          <w:szCs w:val="24"/>
        </w:rPr>
        <w:t xml:space="preserve"> e as tornando parte do regime que as violou. Esta, segundo Pilar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foi uma das formas de humilhação mais utilizadas para desumanizar quem as realiza, mas também a seus/suas companheiros/as: “Por isso, toda delação se publiciza e se exagera dentro do campo, porque debilita coletivamente”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1995, p. 128). </w:t>
      </w:r>
    </w:p>
    <w:p w14:paraId="05A8877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Buscamos identificar os avanços e recuos na temática de uma perspectiva </w:t>
      </w:r>
      <w:proofErr w:type="spellStart"/>
      <w:r w:rsidRPr="002451B6">
        <w:rPr>
          <w:rFonts w:ascii="Times New Roman" w:eastAsia="Times New Roman" w:hAnsi="Times New Roman" w:cs="Times New Roman"/>
          <w:sz w:val="24"/>
          <w:szCs w:val="24"/>
        </w:rPr>
        <w:t>glocal</w:t>
      </w:r>
      <w:proofErr w:type="spellEnd"/>
      <w:r w:rsidRPr="002451B6">
        <w:rPr>
          <w:rFonts w:ascii="Times New Roman" w:eastAsia="Times New Roman" w:hAnsi="Times New Roman" w:cs="Times New Roman"/>
          <w:sz w:val="24"/>
          <w:szCs w:val="24"/>
        </w:rPr>
        <w:t xml:space="preserve"> (Torre, 2018) a partir da bibliografia especializada no Brasil e na Argentina, tecendo considerações sobre o “colaboracionismo” no Chile apenas como exemplo tangente/latente. Segundo </w:t>
      </w:r>
      <w:proofErr w:type="spellStart"/>
      <w:r w:rsidRPr="002451B6">
        <w:rPr>
          <w:rFonts w:ascii="Times New Roman" w:eastAsia="Times New Roman" w:hAnsi="Times New Roman" w:cs="Times New Roman"/>
          <w:sz w:val="24"/>
          <w:szCs w:val="24"/>
        </w:rPr>
        <w:t>Angelo</w:t>
      </w:r>
      <w:proofErr w:type="spellEnd"/>
      <w:r w:rsidRPr="002451B6">
        <w:rPr>
          <w:rFonts w:ascii="Times New Roman" w:eastAsia="Times New Roman" w:hAnsi="Times New Roman" w:cs="Times New Roman"/>
          <w:sz w:val="24"/>
          <w:szCs w:val="24"/>
        </w:rPr>
        <w:t xml:space="preserve"> Torre, o “</w:t>
      </w:r>
      <w:proofErr w:type="spellStart"/>
      <w:r w:rsidRPr="002451B6">
        <w:rPr>
          <w:rFonts w:ascii="Times New Roman" w:eastAsia="Times New Roman" w:hAnsi="Times New Roman" w:cs="Times New Roman"/>
          <w:sz w:val="24"/>
          <w:szCs w:val="24"/>
        </w:rPr>
        <w:t>glocal</w:t>
      </w:r>
      <w:proofErr w:type="spellEnd"/>
      <w:r w:rsidRPr="002451B6">
        <w:rPr>
          <w:rFonts w:ascii="Times New Roman" w:eastAsia="Times New Roman" w:hAnsi="Times New Roman" w:cs="Times New Roman"/>
          <w:sz w:val="24"/>
          <w:szCs w:val="24"/>
        </w:rPr>
        <w:t xml:space="preserve">” implica a valorização da categoria </w:t>
      </w:r>
      <w:r w:rsidRPr="002451B6">
        <w:rPr>
          <w:rFonts w:ascii="Times New Roman" w:eastAsia="Times New Roman" w:hAnsi="Times New Roman" w:cs="Times New Roman"/>
          <w:i/>
          <w:iCs/>
          <w:sz w:val="24"/>
          <w:szCs w:val="24"/>
        </w:rPr>
        <w:t>espaço</w:t>
      </w:r>
      <w:r w:rsidRPr="002451B6">
        <w:rPr>
          <w:rFonts w:ascii="Times New Roman" w:eastAsia="Times New Roman" w:hAnsi="Times New Roman" w:cs="Times New Roman"/>
          <w:sz w:val="24"/>
          <w:szCs w:val="24"/>
        </w:rPr>
        <w:t xml:space="preserve"> na análise histórica, de maneira que o global, ou a perspectiva macro, não se resuma à soma dos locais, mas afete e condicione os seus espaços. Seguindo o raciocínio, o local não é uma redução, mas traz características insubstituíveis, uma localidade, e não uma localização. Esforçamo-nos, assim, por plasmar nossa escrita por esta perspectiva, entendendo que as categorias centrais da bibliografia especializada que investigamos, como a “vítima”, a colaboradora”, “o torturador”, “o vitimário”, a “traidora”, “o/a desaparecido/a”, entre outras, encarnam a cultura política, práticas de poder, hierarquias de gênero e formas de violência singulares aos espaços nos quais se desenvolveram. Ao mesmo tempo, elas se constituem em meio a conexões globais, pontos de contato e influências de curto, médio e longo prazo que condicionam as suas ordens jurídico-institucionais, seu vocabulário, bandeiras de luta política, paradigmas de investigação, entre outros. </w:t>
      </w:r>
    </w:p>
    <w:p w14:paraId="2D625C8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Um exemplo incontornável da </w:t>
      </w:r>
      <w:r w:rsidRPr="002451B6">
        <w:rPr>
          <w:rFonts w:ascii="Times New Roman" w:eastAsia="Times New Roman" w:hAnsi="Times New Roman" w:cs="Times New Roman"/>
          <w:i/>
          <w:iCs/>
          <w:sz w:val="24"/>
          <w:szCs w:val="24"/>
        </w:rPr>
        <w:t>relacionalidade</w:t>
      </w:r>
      <w:r w:rsidRPr="002451B6">
        <w:rPr>
          <w:rFonts w:ascii="Times New Roman" w:eastAsia="Times New Roman" w:hAnsi="Times New Roman" w:cs="Times New Roman"/>
          <w:sz w:val="24"/>
          <w:szCs w:val="24"/>
        </w:rPr>
        <w:t xml:space="preserve"> dos processos históricos que tomaram a segunda metade do século XX latino-americano ocorreu a partir dos anos de 1970, quando os direitos humanos passaram a exercer papel transnacional de mediação de conflitos e estabelecimento de instituições de justiça de transição. Embora não seja o caso de aprofundar essa questão, consideramos importante mencionar nosso esforço no sentido de marcar nossa escrita e nosso pensamento a partir do marco teórico </w:t>
      </w:r>
      <w:proofErr w:type="spellStart"/>
      <w:r w:rsidRPr="002451B6">
        <w:rPr>
          <w:rFonts w:ascii="Times New Roman" w:eastAsia="Times New Roman" w:hAnsi="Times New Roman" w:cs="Times New Roman"/>
          <w:sz w:val="24"/>
          <w:szCs w:val="24"/>
        </w:rPr>
        <w:t>glocal</w:t>
      </w:r>
      <w:proofErr w:type="spellEnd"/>
      <w:r w:rsidRPr="002451B6">
        <w:rPr>
          <w:rFonts w:ascii="Times New Roman" w:eastAsia="Times New Roman" w:hAnsi="Times New Roman" w:cs="Times New Roman"/>
          <w:sz w:val="24"/>
          <w:szCs w:val="24"/>
        </w:rPr>
        <w:t xml:space="preserve">. O conceito nos ajuda a entender as similaridades que encontramos no contexto das políticas de repressão ditatoriais nos anos de </w:t>
      </w:r>
      <w:r w:rsidRPr="002451B6">
        <w:rPr>
          <w:rFonts w:ascii="Times New Roman" w:eastAsia="Times New Roman" w:hAnsi="Times New Roman" w:cs="Times New Roman"/>
          <w:sz w:val="24"/>
          <w:szCs w:val="24"/>
        </w:rPr>
        <w:lastRenderedPageBreak/>
        <w:t xml:space="preserve">1960 e 70, mas, sobretudo, nos permite verificar como diferentes formas de resistência foram possíveis em meio a situações-limite. Como nos lembra Achille </w:t>
      </w:r>
      <w:proofErr w:type="spellStart"/>
      <w:r w:rsidRPr="002451B6">
        <w:rPr>
          <w:rFonts w:ascii="Times New Roman" w:eastAsia="Times New Roman" w:hAnsi="Times New Roman" w:cs="Times New Roman"/>
          <w:sz w:val="24"/>
          <w:szCs w:val="24"/>
        </w:rPr>
        <w:t>Mbembe</w:t>
      </w:r>
      <w:proofErr w:type="spellEnd"/>
      <w:r w:rsidRPr="002451B6">
        <w:rPr>
          <w:rFonts w:ascii="Times New Roman" w:eastAsia="Times New Roman" w:hAnsi="Times New Roman" w:cs="Times New Roman"/>
          <w:sz w:val="24"/>
          <w:szCs w:val="24"/>
        </w:rPr>
        <w:t xml:space="preserve"> em seu </w:t>
      </w:r>
      <w:r w:rsidRPr="002451B6">
        <w:rPr>
          <w:rFonts w:ascii="Times New Roman" w:eastAsia="Times New Roman" w:hAnsi="Times New Roman" w:cs="Times New Roman"/>
          <w:i/>
          <w:iCs/>
          <w:sz w:val="24"/>
          <w:szCs w:val="24"/>
        </w:rPr>
        <w:t>Brutalismo</w:t>
      </w:r>
      <w:r w:rsidRPr="002451B6">
        <w:rPr>
          <w:rFonts w:ascii="Times New Roman" w:eastAsia="Times New Roman" w:hAnsi="Times New Roman" w:cs="Times New Roman"/>
          <w:sz w:val="24"/>
          <w:szCs w:val="24"/>
        </w:rPr>
        <w:t xml:space="preserve"> (2021), o testemunho das pessoas e povos que tiveram a vida devastada pela violência e invisibilização nos mostra que somos capazes de resistir à mais extrema brutalidade, mas isso não significa que se possa destruir a vida indefinidamente. É nesse sentido que o filósofo argumenta em favor da resistência para além de um objeto de perplexidade, mas em nome do pensamento crítico nascido desde os diferentes lugares que ocupamos. </w:t>
      </w:r>
    </w:p>
    <w:p w14:paraId="3183FDD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caso da ditadura brasileira, consideramos importante a noção de “regime de memória” hegemônico proposta por Marcos Napolitano (2018), com destaque para o que o historiador classifica como “categoria paradigmática das resistências” (p. 213), responsável por uma espécie de atualização </w:t>
      </w:r>
      <w:proofErr w:type="gramStart"/>
      <w:r w:rsidRPr="002451B6">
        <w:rPr>
          <w:rFonts w:ascii="Times New Roman" w:eastAsia="Times New Roman" w:hAnsi="Times New Roman" w:cs="Times New Roman"/>
          <w:sz w:val="24"/>
          <w:szCs w:val="24"/>
        </w:rPr>
        <w:t>do  “sentido  do</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heroísmo  e</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da  ação</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heroica  na</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História,  pois</w:t>
      </w:r>
      <w:proofErr w:type="gramEnd"/>
      <w:r w:rsidRPr="002451B6">
        <w:rPr>
          <w:rFonts w:ascii="Times New Roman" w:eastAsia="Times New Roman" w:hAnsi="Times New Roman" w:cs="Times New Roman"/>
          <w:sz w:val="24"/>
          <w:szCs w:val="24"/>
        </w:rPr>
        <w:t xml:space="preserve"> reivindica sua luta em nome da humanidade e não apenas da nação ou de um </w:t>
      </w:r>
      <w:r w:rsidRPr="002451B6">
        <w:rPr>
          <w:rFonts w:ascii="Times New Roman" w:eastAsia="Times New Roman" w:hAnsi="Times New Roman" w:cs="Times New Roman"/>
          <w:i/>
          <w:iCs/>
          <w:sz w:val="24"/>
          <w:szCs w:val="24"/>
        </w:rPr>
        <w:t xml:space="preserve">parti </w:t>
      </w:r>
      <w:proofErr w:type="spellStart"/>
      <w:r w:rsidRPr="002451B6">
        <w:rPr>
          <w:rFonts w:ascii="Times New Roman" w:eastAsia="Times New Roman" w:hAnsi="Times New Roman" w:cs="Times New Roman"/>
          <w:i/>
          <w:iCs/>
          <w:sz w:val="24"/>
          <w:szCs w:val="24"/>
        </w:rPr>
        <w:t>pris</w:t>
      </w:r>
      <w:proofErr w:type="spellEnd"/>
      <w:r w:rsidRPr="002451B6">
        <w:rPr>
          <w:rFonts w:ascii="Times New Roman" w:eastAsia="Times New Roman" w:hAnsi="Times New Roman" w:cs="Times New Roman"/>
          <w:sz w:val="24"/>
          <w:szCs w:val="24"/>
        </w:rPr>
        <w:t>” (p. 215). Segundo nossa interpretação, essa hegemonia é um dos elementos que dificultam o aprofundamento de discussões historiográficas acerca do “colaboracionismo” exercido como prática repressiva sobre a militância revolucionária, seja como uma modalidade específica de violência comum aos três países e analisada do campo dos estudos da repressão; seja como parte da memória das vítimas que, nessas circunstâncias, não se enquadram aos “roteiros de afirmação institucional, valores éticos e categorias conceituais próprias às resistências  (Napolitano, 2018, p. 212). Assim, as vítimas sobreviventes do regime militar brasileiro, em geral, não passaram por mecanismos de suspeição social semelhantes aos da Argentina, sobretudo pelo estigma da traição, como também se observa em menor proporção no Chile; contudo; colocam para o/a historiador/a o problema do silêncio a respeito da prática repressiva da “colaboração”. Suspeitamos que esse vazio seja causado pela ausência de condições sociais, políticas e culturais de escuta de memórias mais complexas e tortuosas até o momento. Além disso, como mostram muitos estudos desde os anos de 1990, é preciso considerar a “blindagem do discurso conciliatório e apaziguador engendrado sob a concessão da anistia brasileira” (Piccolo, Chaves, 2025, p. 83).</w:t>
      </w:r>
    </w:p>
    <w:p w14:paraId="2FADB1F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Nessas circunstâncias, discutiremos as lacunas de pesquisa a esse respeito, discutindo o mencionado regime de memória hegemônico, além de fazermos menção à parte da historiografia preocupada com as violências de gênero cometidas por agentes do Estado durante a ditadura. Entre outras possibilidades, destacamos nesta historiografia a obra que vem sendo construída por Maria Amélia de Almeida Teles desde o pós-ditadura, ao incluir em suas intervenções pontos sensíveis de memórias que </w:t>
      </w:r>
      <w:proofErr w:type="gramStart"/>
      <w:r w:rsidRPr="002451B6">
        <w:rPr>
          <w:rFonts w:ascii="Times New Roman" w:eastAsia="Times New Roman" w:hAnsi="Times New Roman" w:cs="Times New Roman"/>
          <w:sz w:val="24"/>
          <w:szCs w:val="24"/>
        </w:rPr>
        <w:t>encontram-se</w:t>
      </w:r>
      <w:proofErr w:type="gramEnd"/>
      <w:r w:rsidRPr="002451B6">
        <w:rPr>
          <w:rFonts w:ascii="Times New Roman" w:eastAsia="Times New Roman" w:hAnsi="Times New Roman" w:cs="Times New Roman"/>
          <w:sz w:val="24"/>
          <w:szCs w:val="24"/>
        </w:rPr>
        <w:t xml:space="preserve">, de certa maneira, interditadas dos debates público e acadêmico. Nas palavras de Marques e Motta (2020), existem “restos </w:t>
      </w:r>
      <w:r w:rsidRPr="002451B6">
        <w:rPr>
          <w:rFonts w:ascii="Times New Roman" w:eastAsia="Times New Roman" w:hAnsi="Times New Roman" w:cs="Times New Roman"/>
          <w:sz w:val="24"/>
          <w:szCs w:val="24"/>
        </w:rPr>
        <w:lastRenderedPageBreak/>
        <w:t xml:space="preserve">discursivos que, muitas vezes, são desautorizados institucionalmente, mas que se fazem resistentes no testemunho de cada sujeito que dá voz à sua experiência” (p. 112). </w:t>
      </w:r>
    </w:p>
    <w:p w14:paraId="3591258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Também mencionaremos um dos indícios de que a prática do “colaboracionismo” como modalidade repressiva existiu no Brasil. Nesse caso, diante da lacuna historiográfica, recorremos ao documento escrito por Inês Etienne Romeu e publicado em 1981, após sobreviver ao cativeiro identificado posteriormente a partir do seu relato como a “Casa da morte”, em Petrópolis, no Rio de Janeiro (Leite et al, 2021, p. 14).  </w:t>
      </w:r>
    </w:p>
    <w:p w14:paraId="1C5A5D6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Embora não seja o caso de precisar e debater o caso chileno neste capítulo, a título de introdução e de perspectiva analítica </w:t>
      </w:r>
      <w:proofErr w:type="spellStart"/>
      <w:r w:rsidRPr="002451B6">
        <w:rPr>
          <w:rFonts w:ascii="Times New Roman" w:eastAsia="Times New Roman" w:hAnsi="Times New Roman" w:cs="Times New Roman"/>
          <w:sz w:val="24"/>
          <w:szCs w:val="24"/>
        </w:rPr>
        <w:t>glocal</w:t>
      </w:r>
      <w:proofErr w:type="spellEnd"/>
      <w:r w:rsidRPr="002451B6">
        <w:rPr>
          <w:rFonts w:ascii="Times New Roman" w:eastAsia="Times New Roman" w:hAnsi="Times New Roman" w:cs="Times New Roman"/>
          <w:sz w:val="24"/>
          <w:szCs w:val="24"/>
        </w:rPr>
        <w:t xml:space="preserve"> de abordagem ao tema, vale especificar o “colaboracionismo” naquele país: militantes revolucionárias foram “quebradas” no interior de centros de tortura e convertidas em “colaboradoras”. Essa história, no entanto, passou por grande reviravolta quando, posteriormente, durante a Comissão da Verdade e Reconciliação chilena, uma dessas mulheres, Marcia </w:t>
      </w:r>
      <w:proofErr w:type="spellStart"/>
      <w:r w:rsidRPr="002451B6">
        <w:rPr>
          <w:rFonts w:ascii="Times New Roman" w:eastAsia="Times New Roman" w:hAnsi="Times New Roman" w:cs="Times New Roman"/>
          <w:sz w:val="24"/>
          <w:szCs w:val="24"/>
        </w:rPr>
        <w:t>Alejandra</w:t>
      </w:r>
      <w:proofErr w:type="spellEnd"/>
      <w:r w:rsidRPr="002451B6">
        <w:rPr>
          <w:rFonts w:ascii="Times New Roman" w:eastAsia="Times New Roman" w:hAnsi="Times New Roman" w:cs="Times New Roman"/>
          <w:sz w:val="24"/>
          <w:szCs w:val="24"/>
        </w:rPr>
        <w:t xml:space="preserve"> Merino Vegas, narrou detalhes de sua participação, além de ter publicado a sua versão em livro, o que também foi feito por Arce Luz, outra </w:t>
      </w:r>
      <w:proofErr w:type="spellStart"/>
      <w:r w:rsidRPr="002451B6">
        <w:rPr>
          <w:rFonts w:ascii="Times New Roman" w:eastAsia="Times New Roman" w:hAnsi="Times New Roman" w:cs="Times New Roman"/>
          <w:sz w:val="24"/>
          <w:szCs w:val="24"/>
        </w:rPr>
        <w:t>ex-militante</w:t>
      </w:r>
      <w:proofErr w:type="spellEnd"/>
      <w:r w:rsidRPr="002451B6">
        <w:rPr>
          <w:rFonts w:ascii="Times New Roman" w:eastAsia="Times New Roman" w:hAnsi="Times New Roman" w:cs="Times New Roman"/>
          <w:sz w:val="24"/>
          <w:szCs w:val="24"/>
        </w:rPr>
        <w:t xml:space="preserve"> sobrevivente e convertida em “colaboradora” pela polícia política da ditadura chilena. Carolina Pizarro afirma que “Elas são, no contexto sociopolítico chileno, as traidoras” (Pizarro, 2022, p. 134). Existem, assim, obras de grande repercussão no Chile que abordaram esses casos de “colaboracionismo” tornados paradigmáticos. </w:t>
      </w:r>
    </w:p>
    <w:p w14:paraId="51BD0CD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Parece-nos uma especificidade que merece atenção o fato de que essas mulheres chilenas tenham rompido o silêncio a respeito da especificidade da violência que </w:t>
      </w:r>
      <w:proofErr w:type="gramStart"/>
      <w:r w:rsidRPr="002451B6">
        <w:rPr>
          <w:rFonts w:ascii="Times New Roman" w:eastAsia="Times New Roman" w:hAnsi="Times New Roman" w:cs="Times New Roman"/>
          <w:sz w:val="24"/>
          <w:szCs w:val="24"/>
        </w:rPr>
        <w:t>sofreram,  buscando</w:t>
      </w:r>
      <w:proofErr w:type="gramEnd"/>
      <w:r w:rsidRPr="002451B6">
        <w:rPr>
          <w:rFonts w:ascii="Times New Roman" w:eastAsia="Times New Roman" w:hAnsi="Times New Roman" w:cs="Times New Roman"/>
          <w:sz w:val="24"/>
          <w:szCs w:val="24"/>
        </w:rPr>
        <w:t xml:space="preserve"> conduzir publicamente as narrativas sobre sua atuação no período em que estiveram sob domínio dos agentes da ditadura. O que se nota, no entanto, é que o agenciamento de suas próprias memórias pelas mulheres apontadas como “traidoras” não necessariamente abre um caminho de escuta sensível a essas histórias em meio a culturas </w:t>
      </w:r>
      <w:proofErr w:type="spellStart"/>
      <w:r w:rsidRPr="002451B6">
        <w:rPr>
          <w:rFonts w:ascii="Times New Roman" w:eastAsia="Times New Roman" w:hAnsi="Times New Roman" w:cs="Times New Roman"/>
          <w:sz w:val="24"/>
          <w:szCs w:val="24"/>
        </w:rPr>
        <w:t>patriarcalistas</w:t>
      </w:r>
      <w:proofErr w:type="spellEnd"/>
      <w:r w:rsidRPr="002451B6">
        <w:rPr>
          <w:rFonts w:ascii="Times New Roman" w:eastAsia="Times New Roman" w:hAnsi="Times New Roman" w:cs="Times New Roman"/>
          <w:sz w:val="24"/>
          <w:szCs w:val="24"/>
        </w:rPr>
        <w:t xml:space="preserve">. Mesmo na historiografia chilena cujo tema desencadeou repercussão acadêmica e literária, este continua sendo um assunto incômodo na atualidade.  </w:t>
      </w:r>
    </w:p>
    <w:p w14:paraId="5CA222D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Quanto à Argentina, colocaremos em perspectiva os trabalhos que abordaram de maneira fundamental o caso das militantes que mantiveram relações muito complexas com seus vitimários, embora, de acordo com Miriam Lewin (2014), grande parte dessas narrativas as tenha situado como “traidoras”, “quebradas”; e suas relações tenham sido definidas como “amorosas”. Apontaremos algumas das obras que até o momento se mostraram fundamentais para a discussão, não necessariamente produzidas por historiadores\as, mas que tiveram e continuam produzindo efeitos determinantes para a história e a memórias dessas sobreviventes. Defendemos que a ampliação da História das mulheres como campo de estudos da </w:t>
      </w:r>
      <w:r w:rsidRPr="002451B6">
        <w:rPr>
          <w:rFonts w:ascii="Times New Roman" w:eastAsia="Times New Roman" w:hAnsi="Times New Roman" w:cs="Times New Roman"/>
          <w:sz w:val="24"/>
          <w:szCs w:val="24"/>
        </w:rPr>
        <w:lastRenderedPageBreak/>
        <w:t xml:space="preserve">historiografia, as teorias feministas e as noções de gênero, a partir dos anos de 1990, tiveram contribuição fundamental para o deslocamento de sentido operado desde o uso dos termos “putas” e “traidoras”, que marcaram inicialmente as abordagens acerca dessas sobreviventes do terror do Estado argentino, à condição de vítimas. </w:t>
      </w:r>
    </w:p>
    <w:p w14:paraId="5320702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Os desafios a que nos propomos são: (1) refletir sobre os usos específicos em cada país da violência de gênero como mecanismo de (</w:t>
      </w:r>
      <w:proofErr w:type="spellStart"/>
      <w:r w:rsidRPr="002451B6">
        <w:rPr>
          <w:rFonts w:ascii="Times New Roman" w:eastAsia="Times New Roman" w:hAnsi="Times New Roman" w:cs="Times New Roman"/>
          <w:sz w:val="24"/>
          <w:szCs w:val="24"/>
        </w:rPr>
        <w:t>des</w:t>
      </w:r>
      <w:proofErr w:type="spellEnd"/>
      <w:r w:rsidRPr="002451B6">
        <w:rPr>
          <w:rFonts w:ascii="Times New Roman" w:eastAsia="Times New Roman" w:hAnsi="Times New Roman" w:cs="Times New Roman"/>
          <w:sz w:val="24"/>
          <w:szCs w:val="24"/>
        </w:rPr>
        <w:t xml:space="preserve">)responsabilização dos agentes da repressão criado em meio às ditaduras com o efeito de reforçar padrões de resistência associados a imagens delimitadas das vítimas, com algumas características semelhantes e outras singulares às suas localidades. Em alguns casos, esses padrões produziram reverberações na escrita da história na sociedade civil. E (2) identificar e analisar as principais abordagens sobre o tema de forma articulada aos seus momentos históricos de emergência, verificando a ampliação e o refluxo dos espaços de escuta, além dos escopos teórico-metodológicos utilizados em cada momento. De forma geral, consideramos que a bibliografia dedicada a este tipo de violência nomeada como “colaboracionismo” nos instiga a refletir sobre a eficácia e o alcance desta modalidade repressiva, ao ponto de a narrativa da “traição” criada pelos militares repressores ter encontrado abrigo, de diferentes formas, na literatura e\ou na escrita acadêmica por um longo </w:t>
      </w:r>
      <w:proofErr w:type="gramStart"/>
      <w:r w:rsidRPr="002451B6">
        <w:rPr>
          <w:rFonts w:ascii="Times New Roman" w:eastAsia="Times New Roman" w:hAnsi="Times New Roman" w:cs="Times New Roman"/>
          <w:sz w:val="24"/>
          <w:szCs w:val="24"/>
        </w:rPr>
        <w:t>período de tempo</w:t>
      </w:r>
      <w:proofErr w:type="gramEnd"/>
      <w:r w:rsidRPr="002451B6">
        <w:rPr>
          <w:rFonts w:ascii="Times New Roman" w:eastAsia="Times New Roman" w:hAnsi="Times New Roman" w:cs="Times New Roman"/>
          <w:sz w:val="24"/>
          <w:szCs w:val="24"/>
        </w:rPr>
        <w:t xml:space="preserve">, tal como veremos mais adiante. </w:t>
      </w:r>
    </w:p>
    <w:p w14:paraId="1E7C137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Consideramos honesto mencionar nossa consciência a respeito da amplitude do tema a que nos propomos e das lacunas que invariavelmente ficarão em aberto para que sejam trabalhadas em outros momentos, outras oportunidades de discussão\publicação e outros/as pesquisadores/as. Um dos grandes desafios de histórias que extrapolam uma única localidade é lidar com o volume bibliográfico atentando-se às arestas que vão surgindo ao longo da pesquisa e que, de certa maneira, podem fragilizar o rigor da análise histórica. Pensamos que </w:t>
      </w:r>
      <w:proofErr w:type="spellStart"/>
      <w:r w:rsidRPr="002451B6">
        <w:rPr>
          <w:rFonts w:ascii="Times New Roman" w:eastAsia="Times New Roman" w:hAnsi="Times New Roman" w:cs="Times New Roman"/>
          <w:sz w:val="24"/>
          <w:szCs w:val="24"/>
        </w:rPr>
        <w:t>esta</w:t>
      </w:r>
      <w:proofErr w:type="spellEnd"/>
      <w:r w:rsidRPr="002451B6">
        <w:rPr>
          <w:rFonts w:ascii="Times New Roman" w:eastAsia="Times New Roman" w:hAnsi="Times New Roman" w:cs="Times New Roman"/>
          <w:sz w:val="24"/>
          <w:szCs w:val="24"/>
        </w:rPr>
        <w:t xml:space="preserve"> também pode ser a força e a contribuição de nosso trabalho: as características específicas da história e da memória do “colaboracionismo” em cada espaço são tão importantes quanto as evidências de suas semelhanças e, principalmente, quando observamos suas nuances entrelaçadas por uma cultura comum de naturalização das violências contra mulheres e corpos dissidentes da </w:t>
      </w:r>
      <w:proofErr w:type="spellStart"/>
      <w:r w:rsidRPr="002451B6">
        <w:rPr>
          <w:rFonts w:ascii="Times New Roman" w:eastAsia="Times New Roman" w:hAnsi="Times New Roman" w:cs="Times New Roman"/>
          <w:sz w:val="24"/>
          <w:szCs w:val="24"/>
        </w:rPr>
        <w:t>heterocisnormatividade</w:t>
      </w:r>
      <w:proofErr w:type="spellEnd"/>
      <w:r w:rsidRPr="002451B6">
        <w:rPr>
          <w:rFonts w:ascii="Times New Roman" w:eastAsia="Times New Roman" w:hAnsi="Times New Roman" w:cs="Times New Roman"/>
          <w:sz w:val="24"/>
          <w:szCs w:val="24"/>
        </w:rPr>
        <w:t xml:space="preserve">.  </w:t>
      </w:r>
    </w:p>
    <w:p w14:paraId="19028628" w14:textId="77777777" w:rsidR="00332C33" w:rsidRPr="002451B6" w:rsidRDefault="00000000">
      <w:pPr>
        <w:spacing w:before="200" w:after="20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Brasil, entre silêncios, traumas e tabus </w:t>
      </w:r>
    </w:p>
    <w:p w14:paraId="10E1778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Utilizamos o termo “colaboracionista” entre aspas pela falta de um vocabulário próprio a cada caso e que dê conta da especificidade da modalidade de repressão acionada por cada sistema repressivo, assim como do tipo de atuação, agenciamento, negociação, quebra e resistência alcançado pelas vítimas. Em praticamente todo o campo a que tivemos acesso da </w:t>
      </w:r>
      <w:r w:rsidRPr="002451B6">
        <w:rPr>
          <w:rFonts w:ascii="Times New Roman" w:eastAsia="Times New Roman" w:hAnsi="Times New Roman" w:cs="Times New Roman"/>
          <w:sz w:val="24"/>
          <w:szCs w:val="24"/>
        </w:rPr>
        <w:lastRenderedPageBreak/>
        <w:t xml:space="preserve">bibliografia especializada, o termo é utilizado para descrever as atividades de militantes da oposição à ditadura, destacadamente, membros de organizações revolucionárias, levadas/os à delação e/ou colocadas\os à serviço do sistema repressivo, tomando-se por base a produção historiográfica acerca da ocupação nazista na França, com destaque para o governo de Vichy. Trata-se, portanto, da especificidade do “colaboracionismo” como uma prática diferente da infiltração, do jogo duplo, entre outras possibilidades de atuação não dicotômica ou mais </w:t>
      </w:r>
      <w:r w:rsidRPr="002451B6">
        <w:rPr>
          <w:rFonts w:ascii="Times New Roman" w:eastAsia="Times New Roman" w:hAnsi="Times New Roman" w:cs="Times New Roman"/>
          <w:i/>
          <w:iCs/>
          <w:sz w:val="24"/>
          <w:szCs w:val="24"/>
        </w:rPr>
        <w:t>gris</w:t>
      </w:r>
      <w:r w:rsidRPr="002451B6">
        <w:rPr>
          <w:rFonts w:ascii="Times New Roman" w:eastAsia="Times New Roman" w:hAnsi="Times New Roman" w:cs="Times New Roman"/>
          <w:sz w:val="24"/>
          <w:szCs w:val="24"/>
        </w:rPr>
        <w:t xml:space="preserve"> em regimes autoritários. </w:t>
      </w:r>
    </w:p>
    <w:p w14:paraId="34B395C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Embora nossa pesquisa sistemática e institucionalizada sobre o “colaboracionismo” tenha se iniciado em novembro de 2024, o interesse pela temática tornou-se desperto um pouco antes da pandemia de Covid-19, quando nosso pós-doutoramento (UDESC/2017-2019) chegava ao fim, com foco nos processos de subjetivação em democracia (1961-1964) ligados às memórias radicais à esquerda no Brasil. Naquele momento, concluímos pesquisa sobre subjetividade revolucionária e seus enquadramentos pós-ditadura, tendo como um dos resultados o capítulo “Escritos de Ruy Mauro Marini no ano de 1968: reflexões silenciadas sobre o Brasil e a América Latina”, publicado no livro que </w:t>
      </w:r>
      <w:proofErr w:type="spellStart"/>
      <w:r w:rsidRPr="002451B6">
        <w:rPr>
          <w:rFonts w:ascii="Times New Roman" w:eastAsia="Times New Roman" w:hAnsi="Times New Roman" w:cs="Times New Roman"/>
          <w:sz w:val="24"/>
          <w:szCs w:val="24"/>
        </w:rPr>
        <w:t>co-organizamos</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1968: perspectivas desde o tempo presente</w:t>
      </w:r>
      <w:r w:rsidRPr="002451B6">
        <w:rPr>
          <w:rFonts w:ascii="Times New Roman" w:eastAsia="Times New Roman" w:hAnsi="Times New Roman" w:cs="Times New Roman"/>
          <w:sz w:val="24"/>
          <w:szCs w:val="24"/>
        </w:rPr>
        <w:tab/>
        <w:t xml:space="preserve">(2020), em parceria com as historiadoras Larissa </w:t>
      </w:r>
      <w:proofErr w:type="spellStart"/>
      <w:r w:rsidRPr="002451B6">
        <w:rPr>
          <w:rFonts w:ascii="Times New Roman" w:eastAsia="Times New Roman" w:hAnsi="Times New Roman" w:cs="Times New Roman"/>
          <w:sz w:val="24"/>
          <w:szCs w:val="24"/>
        </w:rPr>
        <w:t>Riberti</w:t>
      </w:r>
      <w:proofErr w:type="spellEnd"/>
      <w:r w:rsidRPr="002451B6">
        <w:rPr>
          <w:rFonts w:ascii="Times New Roman" w:eastAsia="Times New Roman" w:hAnsi="Times New Roman" w:cs="Times New Roman"/>
          <w:sz w:val="24"/>
          <w:szCs w:val="24"/>
        </w:rPr>
        <w:t xml:space="preserve"> e Mariana Joffily. Sem entrar nos aspectos específicos do capítulo e da trajetória de Mauro Marini, vale dizer que, na ocasião, ressaltamos a dificuldade de reconstrução da história e da memória radicais/revolucionárias que compõem o quadro das forças políticas brasileiras mais atuantes nos anos de 1960, mesmo antes do golpe civil-militar de 1964. Foi então que nos caiu às mãos, o documentário </w:t>
      </w:r>
      <w:r w:rsidRPr="002451B6">
        <w:rPr>
          <w:rFonts w:ascii="Times New Roman" w:eastAsia="Times New Roman" w:hAnsi="Times New Roman" w:cs="Times New Roman"/>
          <w:i/>
          <w:iCs/>
          <w:sz w:val="24"/>
          <w:szCs w:val="24"/>
        </w:rPr>
        <w:t xml:space="preserve">La </w:t>
      </w:r>
      <w:proofErr w:type="spellStart"/>
      <w:r w:rsidRPr="002451B6">
        <w:rPr>
          <w:rFonts w:ascii="Times New Roman" w:eastAsia="Times New Roman" w:hAnsi="Times New Roman" w:cs="Times New Roman"/>
          <w:i/>
          <w:iCs/>
          <w:sz w:val="24"/>
          <w:szCs w:val="24"/>
        </w:rPr>
        <w:t>Flaca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Alejandra</w:t>
      </w:r>
      <w:proofErr w:type="spellEnd"/>
      <w:r w:rsidRPr="002451B6">
        <w:rPr>
          <w:rFonts w:ascii="Times New Roman" w:eastAsia="Times New Roman" w:hAnsi="Times New Roman" w:cs="Times New Roman"/>
          <w:i/>
          <w:iCs/>
          <w:sz w:val="24"/>
          <w:szCs w:val="24"/>
        </w:rPr>
        <w:t xml:space="preserve">: vidas y </w:t>
      </w:r>
      <w:proofErr w:type="spellStart"/>
      <w:r w:rsidRPr="002451B6">
        <w:rPr>
          <w:rFonts w:ascii="Times New Roman" w:eastAsia="Times New Roman" w:hAnsi="Times New Roman" w:cs="Times New Roman"/>
          <w:i/>
          <w:iCs/>
          <w:sz w:val="24"/>
          <w:szCs w:val="24"/>
        </w:rPr>
        <w:t>muertes</w:t>
      </w:r>
      <w:proofErr w:type="spellEnd"/>
      <w:r w:rsidRPr="002451B6">
        <w:rPr>
          <w:rFonts w:ascii="Times New Roman" w:eastAsia="Times New Roman" w:hAnsi="Times New Roman" w:cs="Times New Roman"/>
          <w:i/>
          <w:iCs/>
          <w:sz w:val="24"/>
          <w:szCs w:val="24"/>
        </w:rPr>
        <w:t xml:space="preserve"> de una </w:t>
      </w:r>
      <w:proofErr w:type="spellStart"/>
      <w:r w:rsidRPr="002451B6">
        <w:rPr>
          <w:rFonts w:ascii="Times New Roman" w:eastAsia="Times New Roman" w:hAnsi="Times New Roman" w:cs="Times New Roman"/>
          <w:i/>
          <w:iCs/>
          <w:sz w:val="24"/>
          <w:szCs w:val="24"/>
        </w:rPr>
        <w:t>mujer</w:t>
      </w:r>
      <w:proofErr w:type="spellEnd"/>
      <w:r w:rsidRPr="002451B6">
        <w:rPr>
          <w:rFonts w:ascii="Times New Roman" w:eastAsia="Times New Roman" w:hAnsi="Times New Roman" w:cs="Times New Roman"/>
          <w:i/>
          <w:iCs/>
          <w:sz w:val="24"/>
          <w:szCs w:val="24"/>
        </w:rPr>
        <w:t xml:space="preserve"> chilena</w:t>
      </w:r>
      <w:r w:rsidRPr="002451B6">
        <w:rPr>
          <w:rFonts w:ascii="Times New Roman" w:eastAsia="Times New Roman" w:hAnsi="Times New Roman" w:cs="Times New Roman"/>
          <w:sz w:val="24"/>
          <w:szCs w:val="24"/>
        </w:rPr>
        <w:t xml:space="preserve">, lançado em 1994, no imediato pós-ditadura chileno, por Carmen Castillo e Guy Girard. O longa conta a história de Marcia Merino, que manteve o codinome político </w:t>
      </w:r>
      <w:proofErr w:type="spellStart"/>
      <w:r w:rsidRPr="002451B6">
        <w:rPr>
          <w:rFonts w:ascii="Times New Roman" w:eastAsia="Times New Roman" w:hAnsi="Times New Roman" w:cs="Times New Roman"/>
          <w:sz w:val="24"/>
          <w:szCs w:val="24"/>
        </w:rPr>
        <w:t>Alejandra</w:t>
      </w:r>
      <w:proofErr w:type="spellEnd"/>
      <w:r w:rsidRPr="002451B6">
        <w:rPr>
          <w:rFonts w:ascii="Times New Roman" w:eastAsia="Times New Roman" w:hAnsi="Times New Roman" w:cs="Times New Roman"/>
          <w:sz w:val="24"/>
          <w:szCs w:val="24"/>
        </w:rPr>
        <w:t xml:space="preserve">, chamada </w:t>
      </w:r>
      <w:r w:rsidRPr="002451B6">
        <w:rPr>
          <w:rFonts w:ascii="Times New Roman" w:eastAsia="Times New Roman" w:hAnsi="Times New Roman" w:cs="Times New Roman"/>
          <w:i/>
          <w:iCs/>
          <w:sz w:val="24"/>
          <w:szCs w:val="24"/>
        </w:rPr>
        <w:t xml:space="preserve">La </w:t>
      </w:r>
      <w:proofErr w:type="spellStart"/>
      <w:r w:rsidRPr="002451B6">
        <w:rPr>
          <w:rFonts w:ascii="Times New Roman" w:eastAsia="Times New Roman" w:hAnsi="Times New Roman" w:cs="Times New Roman"/>
          <w:i/>
          <w:iCs/>
          <w:sz w:val="24"/>
          <w:szCs w:val="24"/>
        </w:rPr>
        <w:t>Flaca</w:t>
      </w:r>
      <w:proofErr w:type="spellEnd"/>
      <w:r w:rsidRPr="002451B6">
        <w:rPr>
          <w:rFonts w:ascii="Times New Roman" w:eastAsia="Times New Roman" w:hAnsi="Times New Roman" w:cs="Times New Roman"/>
          <w:sz w:val="24"/>
          <w:szCs w:val="24"/>
        </w:rPr>
        <w:t xml:space="preserve"> por seu corpo magro; militante do Movimento de Esquerda Revolucionária (MIR-Chile), organização socialista armada com estruturas em países do Cone Sul, convertida em “colaboradora” do regime de Pinochet a partir da “quebra” sob tortura. </w:t>
      </w:r>
    </w:p>
    <w:p w14:paraId="68864A1C"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Desde esse primeiro “encontro” com a temática do “colaboracionismo” - que consideramos uma modalidade de repressão e violência de gênero no Chile - buscamos insistentemente vestígios históricos de acontecimentos similares no Brasil. Tendo realizado pesquisa cuidadosa nos depoimentos concedidos à Comissão Nacional da Verdade e compilados em versão digital, não encontramos rastros consistentes específicos, embora esteja clara a sistematicidade das violências de gênero, como violações sexuais, abusos do corpo como afronta às masculinidades e desumanização das mulheres, além dos insultos e abusos evidentemente sustentados por discursos machistas, patriarcais e misóginos. </w:t>
      </w:r>
    </w:p>
    <w:p w14:paraId="02D60B5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Apesar disso, encontramos um indício importante nos documentos: </w:t>
      </w:r>
      <w:r w:rsidRPr="002451B6">
        <w:rPr>
          <w:rFonts w:ascii="Times New Roman" w:eastAsia="Times New Roman" w:hAnsi="Times New Roman" w:cs="Times New Roman"/>
          <w:i/>
          <w:iCs/>
          <w:sz w:val="24"/>
          <w:szCs w:val="24"/>
        </w:rPr>
        <w:t>Declaração e Relatório da OAB</w:t>
      </w:r>
      <w:r w:rsidRPr="002451B6">
        <w:rPr>
          <w:rFonts w:ascii="Times New Roman" w:eastAsia="Times New Roman" w:hAnsi="Times New Roman" w:cs="Times New Roman"/>
          <w:sz w:val="24"/>
          <w:szCs w:val="24"/>
        </w:rPr>
        <w:t xml:space="preserve">, que fazem parte das denúncias realizadas pela única sobrevivente da Casa da Morte de Petrópolis, Inês Etienne Romeu, à Ordem dos Advogados do Brasil em 1981. No “Relatório Inês”, como ficou conhecido na historiografia, a sobrevivente conta que, após tortura por espancamentos e choques elétricos, foi obrigada a escrever três documentos: “Uma análise sobre as esquerdas [1], os motivos de minha saída da organização [2] e uma crítica sobre os órgãos de repressão do governo [3]” (Leite et al, 2021, p. 37). A prática de fazer com que as vítimas assumam a responsabilidade por crimes, desincentivem a resistência e até elogiem o regime consiste em uma tentativa de transferir a responsabilidade dos agentes da repressão, pela desarticulação dos órgãos de oposição, para a vítima. Principalmente, a estratégia desmoraliza a militante diante dos seus pares, companheiros/as de luta política. </w:t>
      </w:r>
    </w:p>
    <w:p w14:paraId="687CA83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Contudo, de maior interesse para nossa pesquisa é o relato de Etienne Romeu sobre o que ocorre após o fim das torturas com violência sexual. “Desfigurada” (p. 38), ela afirma que:</w:t>
      </w:r>
    </w:p>
    <w:p w14:paraId="114D5F7C"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Doutor Pepe comunicou-me que haviam chegado a uma decisão a meu respeito: eu deveria tornar-me agente da repressão e infiltrar-me em minha organização. Fingi aceitar, pois eu precisava quebrar a minha incomunicabilidade. Estava literalmente reduzida a um verme. O tratamento que me foi dispensado foi o mais cruel e o mais desumano. [...]</w:t>
      </w:r>
    </w:p>
    <w:p w14:paraId="6054CFF1"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Forçaram-me ainda a assinar um “contrato de trabalho” em que me comprometia a </w:t>
      </w:r>
      <w:r w:rsidRPr="002451B6">
        <w:rPr>
          <w:rFonts w:ascii="Times New Roman" w:eastAsia="Times New Roman" w:hAnsi="Times New Roman" w:cs="Times New Roman"/>
          <w:i/>
          <w:iCs/>
        </w:rPr>
        <w:t xml:space="preserve">colaborar </w:t>
      </w:r>
      <w:r w:rsidRPr="002451B6">
        <w:rPr>
          <w:rFonts w:ascii="Times New Roman" w:eastAsia="Times New Roman" w:hAnsi="Times New Roman" w:cs="Times New Roman"/>
        </w:rPr>
        <w:t>com os órgãos de segurança em troca de minha liberdade e de dinheiro. Nesse contrato, constava uma cláusula segundo a qual, se eu não cumprisse o combinado, minha irmã, Lúcia Etienne Romeu, seria presa, pois eu mesma, sua própria irmã a acusava de estar ligada a grupos subversivos. [...]</w:t>
      </w:r>
    </w:p>
    <w:p w14:paraId="30BA3DB9"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Obrigaram-me também a gravar um tape em que me declaro agente remunerada do governo, e filmaram-me contando notas de dez cruzeiros, quando li o meu “contrato de trabalho” (Leite et al, 2021, p. 39. Grifo nosso). </w:t>
      </w:r>
    </w:p>
    <w:p w14:paraId="73DEAEA2" w14:textId="77777777" w:rsidR="00332C33" w:rsidRPr="002451B6" w:rsidRDefault="00332C33">
      <w:pPr>
        <w:spacing w:line="360" w:lineRule="auto"/>
        <w:jc w:val="both"/>
        <w:rPr>
          <w:rFonts w:ascii="Times New Roman" w:eastAsia="Times New Roman" w:hAnsi="Times New Roman" w:cs="Times New Roman"/>
          <w:sz w:val="24"/>
          <w:szCs w:val="24"/>
        </w:rPr>
      </w:pPr>
    </w:p>
    <w:p w14:paraId="40DE612E"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Esta é uma rara menção testemunho-documental ao “colaboracionismo” como modalidade repressiva praticada pela repressão ditatorial no Brasil. Chama a nossa atenção que o relato acima seja subsequente a uma descrição detalhada das violências sexuais - que não nos cabe transcrever. Nossa hipótese é a de que talvez tenha existido um método de “quebra” por violência sexual que antecedia a oferta da “colaboração”. Vale ressaltar que este método aparece nos livros-testemunho das duas “colaboradoras” chilenas mencionadas anteriormente e alçadas pela bibliografia especializada a casos emblemáticos dessa prática naquele país. Questionamo-nos: por que razões esse assunto é quase inexplorado na historiografia brasileira da ditadura, tão volumosa e teoricamente densa em diversos aspectos?  </w:t>
      </w:r>
    </w:p>
    <w:p w14:paraId="2E4303F1"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Na discussão proposta por Marcos Napolitano, intitulada “Aporias de uma dupla crise: história e memória diante de novos enquadramentos teóricos” (2018), identificamos dois </w:t>
      </w:r>
      <w:r w:rsidRPr="002451B6">
        <w:rPr>
          <w:rFonts w:ascii="Times New Roman" w:eastAsia="Times New Roman" w:hAnsi="Times New Roman" w:cs="Times New Roman"/>
          <w:sz w:val="24"/>
          <w:szCs w:val="24"/>
        </w:rPr>
        <w:lastRenderedPageBreak/>
        <w:t xml:space="preserve">elementos que caracterizam os regimes de memória da ditadura brasileira e que podem nos ajudar a refletir sobre essa lacuna. Em sintonia com o contexto global da “guinada subjetiva” (Sarlo, 2007) pelo testemunho, o historiador aponta os riscos do caráter pedagógico e moral que o conhecimento histórico neste campo vem adquirindo e que pode levar à monumentalização simplificadora da memória a partir de um padrão heroicizado da vítima. Simultaneamente, </w:t>
      </w:r>
      <w:proofErr w:type="gramStart"/>
      <w:r w:rsidRPr="002451B6">
        <w:rPr>
          <w:rFonts w:ascii="Times New Roman" w:eastAsia="Times New Roman" w:hAnsi="Times New Roman" w:cs="Times New Roman"/>
          <w:sz w:val="24"/>
          <w:szCs w:val="24"/>
        </w:rPr>
        <w:t>Napolitano</w:t>
      </w:r>
      <w:proofErr w:type="gramEnd"/>
      <w:r w:rsidRPr="002451B6">
        <w:rPr>
          <w:rFonts w:ascii="Times New Roman" w:eastAsia="Times New Roman" w:hAnsi="Times New Roman" w:cs="Times New Roman"/>
          <w:sz w:val="24"/>
          <w:szCs w:val="24"/>
        </w:rPr>
        <w:t xml:space="preserve"> ressalta o processo de transição moderada e inclusiva dos quadros do regime militar, cuja consequência, ou uma delas, teria recaído sobre a memória a partir do “elogio à resistência genérica e na afirmação de uma sociedade vítima, que coloca lado a lado liberais e esquerdistas” (Napolitano, 2018, p. 213). Nesse caso, inferimos que um regime de memória hegemônico sustentado por esses dois elementos vem inviabilizando a ampliação dos espaços de escuta das memórias subterrâneas (</w:t>
      </w:r>
      <w:proofErr w:type="spellStart"/>
      <w:r w:rsidRPr="002451B6">
        <w:rPr>
          <w:rFonts w:ascii="Times New Roman" w:eastAsia="Times New Roman" w:hAnsi="Times New Roman" w:cs="Times New Roman"/>
          <w:sz w:val="24"/>
          <w:szCs w:val="24"/>
        </w:rPr>
        <w:t>Pollak</w:t>
      </w:r>
      <w:proofErr w:type="spellEnd"/>
      <w:r w:rsidRPr="002451B6">
        <w:rPr>
          <w:rFonts w:ascii="Times New Roman" w:eastAsia="Times New Roman" w:hAnsi="Times New Roman" w:cs="Times New Roman"/>
          <w:sz w:val="24"/>
          <w:szCs w:val="24"/>
        </w:rPr>
        <w:t xml:space="preserve">, 1989) das esquerdas acerca das violências que sofreram. </w:t>
      </w:r>
    </w:p>
    <w:p w14:paraId="5BFB136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acordo com Victoria Alvarez (2015), na Argentina, as mudanças e continuidades na audibilidade dos testemunhos foram determinantes para a ampliação e catarse das memórias da repressão, principalmente as memórias sobre os corpos das mulheres. No Brasil, ressaltamos </w:t>
      </w:r>
      <w:proofErr w:type="spellStart"/>
      <w:r w:rsidRPr="002451B6">
        <w:rPr>
          <w:rFonts w:ascii="Times New Roman" w:eastAsia="Times New Roman" w:hAnsi="Times New Roman" w:cs="Times New Roman"/>
          <w:sz w:val="24"/>
          <w:szCs w:val="24"/>
        </w:rPr>
        <w:t>algumas</w:t>
      </w:r>
      <w:proofErr w:type="spellEnd"/>
      <w:r w:rsidRPr="002451B6">
        <w:rPr>
          <w:rFonts w:ascii="Times New Roman" w:eastAsia="Times New Roman" w:hAnsi="Times New Roman" w:cs="Times New Roman"/>
          <w:sz w:val="24"/>
          <w:szCs w:val="24"/>
        </w:rPr>
        <w:t xml:space="preserve"> intelectuais cujo trabalho parece caminhar nesse sentido da criação de sensibilidades à escuta e narração de memórias não autorizadas. Entre elas está Maria Amélia Teles de Almeida, militante política nos anos de 1960 pelo Partido Comunista Brasileiro (PCB), que aderiu, em 1968, ao Partido Comunista do Brasil (PCdoB), organização armada na luta contra a ditadura brasileira e pela revolução socialista. Atuante na área de imprensa do Partido, foi presa pela segunda vez em 1972, assim como o marido e a irmã mais jovem, pela equipe da Operação Bandeirantes (OBAN). Amélia Teles é uma das sobreviventes da ditadura militar brasileira e, em democracia, deu continuidade à militância política através da luta feminista e da busca pelo paradeiro dos mortos e desaparecidos políticos do regime anterior. Além disso, atua no campo acadêmico, concedendo entrevistas que se tornaram fontes orais de diversas pesquisas e escrevendo sobre temas menos abordados ou contornados pela historiografia, como a violência de gênero cometida contra ela quando, detida e torturada na chamada “cadeira de dragão”, uma cadeira elétrica, teve seu corpo “azul” exposto à sua filha e ao seu filho, de cinco e quatros anos, respectivamente, no interior do DOI-CODI (Destacamento de Operações de Informação – Centro de Operações de Defesa Interna) (Kotscho, 2022). No que concerne à temática explorada neste artigo, destacamos que Teles é responsável pela menção rara na historiografia brasileira à participação de mulheres como agentes das torturas praticadas pelo sistema repressivo do regime militar de 1964 (2015). </w:t>
      </w:r>
    </w:p>
    <w:p w14:paraId="4A247B5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Tomando como referência as considerações de </w:t>
      </w:r>
      <w:proofErr w:type="spellStart"/>
      <w:r w:rsidRPr="002451B6">
        <w:rPr>
          <w:rFonts w:ascii="Times New Roman" w:eastAsia="Times New Roman" w:hAnsi="Times New Roman" w:cs="Times New Roman"/>
          <w:sz w:val="24"/>
          <w:szCs w:val="24"/>
        </w:rPr>
        <w:t>Losandro</w:t>
      </w:r>
      <w:proofErr w:type="spellEnd"/>
      <w:r w:rsidRPr="002451B6">
        <w:rPr>
          <w:rFonts w:ascii="Times New Roman" w:eastAsia="Times New Roman" w:hAnsi="Times New Roman" w:cs="Times New Roman"/>
          <w:sz w:val="24"/>
          <w:szCs w:val="24"/>
        </w:rPr>
        <w:t xml:space="preserve"> Tedeschi (2015), consideramos que os estudos de gênero implicam estudar as relações e estratégias marcadas </w:t>
      </w:r>
      <w:r w:rsidRPr="002451B6">
        <w:rPr>
          <w:rFonts w:ascii="Times New Roman" w:eastAsia="Times New Roman" w:hAnsi="Times New Roman" w:cs="Times New Roman"/>
          <w:sz w:val="24"/>
          <w:szCs w:val="24"/>
        </w:rPr>
        <w:lastRenderedPageBreak/>
        <w:t xml:space="preserve">pelo sexismo e pelas expectativas de gênero e que podem nos conduzir a “descobrir outra história do possível” (p. 333). Quando colocamos as localidades em perspectiva a partir das suas “conexões recíprocas” (Torre, p. 50), nos comprometemos com a “memória como algo por construir, mais do que mostrar uma lembrança”, um “giro heurístico importante que beneficia a reflexão e traz à luz uma história silenciada (Tedeschi, 2015, p. 335). </w:t>
      </w:r>
    </w:p>
    <w:p w14:paraId="749C6410" w14:textId="77777777" w:rsidR="00332C33" w:rsidRPr="002451B6" w:rsidRDefault="00332C33">
      <w:pPr>
        <w:spacing w:line="360" w:lineRule="auto"/>
        <w:jc w:val="both"/>
        <w:rPr>
          <w:rFonts w:ascii="Times New Roman" w:eastAsia="Times New Roman" w:hAnsi="Times New Roman" w:cs="Times New Roman"/>
          <w:sz w:val="24"/>
          <w:szCs w:val="24"/>
        </w:rPr>
      </w:pPr>
    </w:p>
    <w:p w14:paraId="2EB7A124" w14:textId="77777777" w:rsidR="00332C33" w:rsidRPr="002451B6" w:rsidRDefault="00000000">
      <w:pPr>
        <w:spacing w:before="20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A memória das militantes revolucionárias na Argentina: de “putas e traidoras” a vítimas </w:t>
      </w:r>
    </w:p>
    <w:p w14:paraId="55ADA823"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É notável na Argentina atual o desenvolvimento de organizações de direitos humanos associadas aos movimentos sociais feministas. Desde o final da década passada, algumas ações adquiriram repercussão internacional, como a mobilização </w:t>
      </w:r>
      <w:r w:rsidRPr="002451B6">
        <w:rPr>
          <w:rFonts w:ascii="Times New Roman" w:eastAsia="Times New Roman" w:hAnsi="Times New Roman" w:cs="Times New Roman"/>
          <w:i/>
          <w:iCs/>
          <w:sz w:val="24"/>
          <w:szCs w:val="24"/>
        </w:rPr>
        <w:t>Ni Una Menos</w:t>
      </w:r>
      <w:r w:rsidRPr="002451B6">
        <w:rPr>
          <w:rFonts w:ascii="Times New Roman" w:eastAsia="Times New Roman" w:hAnsi="Times New Roman" w:cs="Times New Roman"/>
          <w:sz w:val="24"/>
          <w:szCs w:val="24"/>
        </w:rPr>
        <w:t xml:space="preserve">, de combate ao feminicídio, que ocorre em 3 de junho de cada ano e já teve a sua versão em Chile, Peru, Bolívia e Brasil. Essa luta social, entretanto, tem uma genealogia bastante longa, remetida a experiências históricas acumuladas que, neste capítulo, delimitamos a partir do período da ditadura iniciado com um golpe de Estado deflagrado pelos militares com apoio de setores da sociedade civil. Instala-se, assim, o “poder </w:t>
      </w:r>
      <w:proofErr w:type="spellStart"/>
      <w:r w:rsidRPr="002451B6">
        <w:rPr>
          <w:rFonts w:ascii="Times New Roman" w:eastAsia="Times New Roman" w:hAnsi="Times New Roman" w:cs="Times New Roman"/>
          <w:sz w:val="24"/>
          <w:szCs w:val="24"/>
        </w:rPr>
        <w:t>concentracionario</w:t>
      </w:r>
      <w:proofErr w:type="spellEnd"/>
      <w:r w:rsidRPr="002451B6">
        <w:rPr>
          <w:rFonts w:ascii="Times New Roman" w:eastAsia="Times New Roman" w:hAnsi="Times New Roman" w:cs="Times New Roman"/>
          <w:sz w:val="24"/>
          <w:szCs w:val="24"/>
        </w:rPr>
        <w:t>”, baseado na dinâmica dos 340 campos de extermínio, em funcionamento sobretudo entre 1976 e 1982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1995). Reconhecendo a vasta bibliografia produzida no país sobre a militância das mulheres em organizações contra a ditadura e mesmo sobre a violência de gênero perpetrada sistematicamente pelos agentes do Estado no período, buscamos analisar especificamente parte da bibliografia especializada dedicada à história e à memória das militantes consideradas “traidoras” e/ou “colaboradoras”. Sequestradas, elas foram alvo de uma estratégia que as tornou acompanhantes públicas de torturadores e não receberam o estatuto de vítima quando surgiram na cena social como sobreviventes no pós-ditadura.</w:t>
      </w:r>
    </w:p>
    <w:p w14:paraId="02181A3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Selecionamos três obras de referência, ou seja, que até o momento se mostram incontornáveis para esta discussão, sendo citadas em trabalhos acadêmicos, retomadas pela imprensa e reeditadas no formato de livros em novos contextos que, por sua vez, destacam a relação entre política e afetos que marca a sobreposição atual entre passado, presente e futuro. Entre essas referências está Ana </w:t>
      </w:r>
      <w:proofErr w:type="spellStart"/>
      <w:r w:rsidRPr="002451B6">
        <w:rPr>
          <w:rFonts w:ascii="Times New Roman" w:eastAsia="Times New Roman" w:hAnsi="Times New Roman" w:cs="Times New Roman"/>
          <w:sz w:val="24"/>
          <w:szCs w:val="24"/>
        </w:rPr>
        <w:t>Longoni</w:t>
      </w:r>
      <w:proofErr w:type="spellEnd"/>
      <w:r w:rsidRPr="002451B6">
        <w:rPr>
          <w:rFonts w:ascii="Times New Roman" w:eastAsia="Times New Roman" w:hAnsi="Times New Roman" w:cs="Times New Roman"/>
          <w:sz w:val="24"/>
          <w:szCs w:val="24"/>
        </w:rPr>
        <w:t xml:space="preserve">, que obteve grande reconhecimento desde a primeira publicação de </w:t>
      </w:r>
      <w:proofErr w:type="spellStart"/>
      <w:r w:rsidRPr="002451B6">
        <w:rPr>
          <w:rFonts w:ascii="Times New Roman" w:eastAsia="Times New Roman" w:hAnsi="Times New Roman" w:cs="Times New Roman"/>
          <w:i/>
          <w:iCs/>
          <w:sz w:val="24"/>
          <w:szCs w:val="24"/>
        </w:rPr>
        <w:t>Traiciones</w:t>
      </w:r>
      <w:proofErr w:type="spellEnd"/>
      <w:r w:rsidRPr="002451B6">
        <w:rPr>
          <w:rFonts w:ascii="Times New Roman" w:eastAsia="Times New Roman" w:hAnsi="Times New Roman" w:cs="Times New Roman"/>
          <w:i/>
          <w:iCs/>
          <w:sz w:val="24"/>
          <w:szCs w:val="24"/>
        </w:rPr>
        <w:t xml:space="preserve">. La figura </w:t>
      </w:r>
      <w:proofErr w:type="spellStart"/>
      <w:r w:rsidRPr="002451B6">
        <w:rPr>
          <w:rFonts w:ascii="Times New Roman" w:eastAsia="Times New Roman" w:hAnsi="Times New Roman" w:cs="Times New Roman"/>
          <w:i/>
          <w:iCs/>
          <w:sz w:val="24"/>
          <w:szCs w:val="24"/>
        </w:rPr>
        <w:t>del</w:t>
      </w:r>
      <w:proofErr w:type="spellEnd"/>
      <w:r w:rsidRPr="002451B6">
        <w:rPr>
          <w:rFonts w:ascii="Times New Roman" w:eastAsia="Times New Roman" w:hAnsi="Times New Roman" w:cs="Times New Roman"/>
          <w:i/>
          <w:iCs/>
          <w:sz w:val="24"/>
          <w:szCs w:val="24"/>
        </w:rPr>
        <w:t xml:space="preserve"> traidor </w:t>
      </w:r>
      <w:proofErr w:type="spellStart"/>
      <w:r w:rsidRPr="002451B6">
        <w:rPr>
          <w:rFonts w:ascii="Times New Roman" w:eastAsia="Times New Roman" w:hAnsi="Times New Roman" w:cs="Times New Roman"/>
          <w:i/>
          <w:iCs/>
          <w:sz w:val="24"/>
          <w:szCs w:val="24"/>
        </w:rPr>
        <w:t>en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los</w:t>
      </w:r>
      <w:proofErr w:type="spellEnd"/>
      <w:r w:rsidRPr="002451B6">
        <w:rPr>
          <w:rFonts w:ascii="Times New Roman" w:eastAsia="Times New Roman" w:hAnsi="Times New Roman" w:cs="Times New Roman"/>
          <w:i/>
          <w:iCs/>
          <w:sz w:val="24"/>
          <w:szCs w:val="24"/>
        </w:rPr>
        <w:t xml:space="preserve"> relatos acerca de </w:t>
      </w:r>
      <w:proofErr w:type="spellStart"/>
      <w:r w:rsidRPr="002451B6">
        <w:rPr>
          <w:rFonts w:ascii="Times New Roman" w:eastAsia="Times New Roman" w:hAnsi="Times New Roman" w:cs="Times New Roman"/>
          <w:i/>
          <w:iCs/>
          <w:sz w:val="24"/>
          <w:szCs w:val="24"/>
        </w:rPr>
        <w:t>sobrevivientes</w:t>
      </w:r>
      <w:proofErr w:type="spellEnd"/>
      <w:r w:rsidRPr="002451B6">
        <w:rPr>
          <w:rFonts w:ascii="Times New Roman" w:eastAsia="Times New Roman" w:hAnsi="Times New Roman" w:cs="Times New Roman"/>
          <w:i/>
          <w:iCs/>
          <w:sz w:val="24"/>
          <w:szCs w:val="24"/>
        </w:rPr>
        <w:t xml:space="preserve"> de </w:t>
      </w:r>
      <w:proofErr w:type="spellStart"/>
      <w:r w:rsidRPr="002451B6">
        <w:rPr>
          <w:rFonts w:ascii="Times New Roman" w:eastAsia="Times New Roman" w:hAnsi="Times New Roman" w:cs="Times New Roman"/>
          <w:i/>
          <w:iCs/>
          <w:sz w:val="24"/>
          <w:szCs w:val="24"/>
        </w:rPr>
        <w:t>la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represión</w:t>
      </w:r>
      <w:proofErr w:type="spellEnd"/>
      <w:r w:rsidRPr="002451B6">
        <w:rPr>
          <w:rFonts w:ascii="Times New Roman" w:eastAsia="Times New Roman" w:hAnsi="Times New Roman" w:cs="Times New Roman"/>
          <w:sz w:val="24"/>
          <w:szCs w:val="24"/>
        </w:rPr>
        <w:t xml:space="preserve"> (2007), publicado para a coleção </w:t>
      </w:r>
      <w:proofErr w:type="spellStart"/>
      <w:r w:rsidRPr="002451B6">
        <w:rPr>
          <w:rFonts w:ascii="Times New Roman" w:eastAsia="Times New Roman" w:hAnsi="Times New Roman" w:cs="Times New Roman"/>
          <w:sz w:val="24"/>
          <w:szCs w:val="24"/>
        </w:rPr>
        <w:t>Militancias</w:t>
      </w:r>
      <w:proofErr w:type="spellEnd"/>
      <w:r w:rsidRPr="002451B6">
        <w:rPr>
          <w:rFonts w:ascii="Times New Roman" w:eastAsia="Times New Roman" w:hAnsi="Times New Roman" w:cs="Times New Roman"/>
          <w:sz w:val="24"/>
          <w:szCs w:val="24"/>
        </w:rPr>
        <w:t xml:space="preserve">, da casa editorial Norma, a que se seguiram a versão da </w:t>
      </w:r>
      <w:proofErr w:type="spellStart"/>
      <w:r w:rsidRPr="002451B6">
        <w:rPr>
          <w:rFonts w:ascii="Times New Roman" w:eastAsia="Times New Roman" w:hAnsi="Times New Roman" w:cs="Times New Roman"/>
          <w:sz w:val="24"/>
          <w:szCs w:val="24"/>
        </w:rPr>
        <w:t>Ediciones</w:t>
      </w:r>
      <w:proofErr w:type="spellEnd"/>
      <w:r w:rsidRPr="002451B6">
        <w:rPr>
          <w:rFonts w:ascii="Times New Roman" w:eastAsia="Times New Roman" w:hAnsi="Times New Roman" w:cs="Times New Roman"/>
          <w:sz w:val="24"/>
          <w:szCs w:val="24"/>
        </w:rPr>
        <w:t xml:space="preserve"> Documenta, com o título: </w:t>
      </w:r>
      <w:proofErr w:type="spellStart"/>
      <w:r w:rsidRPr="002451B6">
        <w:rPr>
          <w:rFonts w:ascii="Times New Roman" w:eastAsia="Times New Roman" w:hAnsi="Times New Roman" w:cs="Times New Roman"/>
          <w:i/>
          <w:iCs/>
          <w:sz w:val="24"/>
          <w:szCs w:val="24"/>
        </w:rPr>
        <w:t>Traiciones</w:t>
      </w:r>
      <w:proofErr w:type="spellEnd"/>
      <w:r w:rsidRPr="002451B6">
        <w:rPr>
          <w:rFonts w:ascii="Times New Roman" w:eastAsia="Times New Roman" w:hAnsi="Times New Roman" w:cs="Times New Roman"/>
          <w:i/>
          <w:iCs/>
          <w:sz w:val="24"/>
          <w:szCs w:val="24"/>
        </w:rPr>
        <w:t xml:space="preserve">. La figura </w:t>
      </w:r>
      <w:proofErr w:type="spellStart"/>
      <w:r w:rsidRPr="002451B6">
        <w:rPr>
          <w:rFonts w:ascii="Times New Roman" w:eastAsia="Times New Roman" w:hAnsi="Times New Roman" w:cs="Times New Roman"/>
          <w:i/>
          <w:iCs/>
          <w:sz w:val="24"/>
          <w:szCs w:val="24"/>
        </w:rPr>
        <w:t>del</w:t>
      </w:r>
      <w:proofErr w:type="spellEnd"/>
      <w:r w:rsidRPr="002451B6">
        <w:rPr>
          <w:rFonts w:ascii="Times New Roman" w:eastAsia="Times New Roman" w:hAnsi="Times New Roman" w:cs="Times New Roman"/>
          <w:i/>
          <w:iCs/>
          <w:sz w:val="24"/>
          <w:szCs w:val="24"/>
        </w:rPr>
        <w:t xml:space="preserve"> traidor (y </w:t>
      </w:r>
      <w:proofErr w:type="spellStart"/>
      <w:r w:rsidRPr="002451B6">
        <w:rPr>
          <w:rFonts w:ascii="Times New Roman" w:eastAsia="Times New Roman" w:hAnsi="Times New Roman" w:cs="Times New Roman"/>
          <w:i/>
          <w:iCs/>
          <w:sz w:val="24"/>
          <w:szCs w:val="24"/>
        </w:rPr>
        <w:t>la</w:t>
      </w:r>
      <w:proofErr w:type="spellEnd"/>
      <w:r w:rsidRPr="002451B6">
        <w:rPr>
          <w:rFonts w:ascii="Times New Roman" w:eastAsia="Times New Roman" w:hAnsi="Times New Roman" w:cs="Times New Roman"/>
          <w:i/>
          <w:iCs/>
          <w:sz w:val="24"/>
          <w:szCs w:val="24"/>
        </w:rPr>
        <w:t xml:space="preserve"> traidora) </w:t>
      </w:r>
      <w:proofErr w:type="spellStart"/>
      <w:r w:rsidRPr="002451B6">
        <w:rPr>
          <w:rFonts w:ascii="Times New Roman" w:eastAsia="Times New Roman" w:hAnsi="Times New Roman" w:cs="Times New Roman"/>
          <w:i/>
          <w:iCs/>
          <w:sz w:val="24"/>
          <w:szCs w:val="24"/>
        </w:rPr>
        <w:t>en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los</w:t>
      </w:r>
      <w:proofErr w:type="spellEnd"/>
      <w:r w:rsidRPr="002451B6">
        <w:rPr>
          <w:rFonts w:ascii="Times New Roman" w:eastAsia="Times New Roman" w:hAnsi="Times New Roman" w:cs="Times New Roman"/>
          <w:i/>
          <w:iCs/>
          <w:sz w:val="24"/>
          <w:szCs w:val="24"/>
        </w:rPr>
        <w:t xml:space="preserve"> relatos acerca de </w:t>
      </w:r>
      <w:proofErr w:type="spellStart"/>
      <w:r w:rsidRPr="002451B6">
        <w:rPr>
          <w:rFonts w:ascii="Times New Roman" w:eastAsia="Times New Roman" w:hAnsi="Times New Roman" w:cs="Times New Roman"/>
          <w:i/>
          <w:iCs/>
          <w:sz w:val="24"/>
          <w:szCs w:val="24"/>
        </w:rPr>
        <w:t>sobrevivientes</w:t>
      </w:r>
      <w:proofErr w:type="spellEnd"/>
      <w:r w:rsidRPr="002451B6">
        <w:rPr>
          <w:rFonts w:ascii="Times New Roman" w:eastAsia="Times New Roman" w:hAnsi="Times New Roman" w:cs="Times New Roman"/>
          <w:i/>
          <w:iCs/>
          <w:sz w:val="24"/>
          <w:szCs w:val="24"/>
        </w:rPr>
        <w:t xml:space="preserve"> de </w:t>
      </w:r>
      <w:proofErr w:type="spellStart"/>
      <w:r w:rsidRPr="002451B6">
        <w:rPr>
          <w:rFonts w:ascii="Times New Roman" w:eastAsia="Times New Roman" w:hAnsi="Times New Roman" w:cs="Times New Roman"/>
          <w:i/>
          <w:iCs/>
          <w:sz w:val="24"/>
          <w:szCs w:val="24"/>
        </w:rPr>
        <w:t>la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represión</w:t>
      </w:r>
      <w:proofErr w:type="spellEnd"/>
      <w:r w:rsidRPr="002451B6">
        <w:rPr>
          <w:rFonts w:ascii="Times New Roman" w:eastAsia="Times New Roman" w:hAnsi="Times New Roman" w:cs="Times New Roman"/>
          <w:sz w:val="24"/>
          <w:szCs w:val="24"/>
        </w:rPr>
        <w:t xml:space="preserve">, mantido, por fim, na reedição mais recente (2024), pela </w:t>
      </w:r>
      <w:proofErr w:type="gramStart"/>
      <w:r w:rsidRPr="002451B6">
        <w:rPr>
          <w:rFonts w:ascii="Times New Roman" w:eastAsia="Times New Roman" w:hAnsi="Times New Roman" w:cs="Times New Roman"/>
          <w:sz w:val="24"/>
          <w:szCs w:val="24"/>
        </w:rPr>
        <w:t>mesma Documenta</w:t>
      </w:r>
      <w:proofErr w:type="gramEnd"/>
      <w:r w:rsidRPr="002451B6">
        <w:rPr>
          <w:rFonts w:ascii="Times New Roman" w:eastAsia="Times New Roman" w:hAnsi="Times New Roman" w:cs="Times New Roman"/>
          <w:sz w:val="24"/>
          <w:szCs w:val="24"/>
        </w:rPr>
        <w:t xml:space="preserve">. Em diversas entrevistas e através de </w:t>
      </w:r>
      <w:r w:rsidRPr="002451B6">
        <w:rPr>
          <w:rFonts w:ascii="Times New Roman" w:eastAsia="Times New Roman" w:hAnsi="Times New Roman" w:cs="Times New Roman"/>
          <w:sz w:val="24"/>
          <w:szCs w:val="24"/>
        </w:rPr>
        <w:lastRenderedPageBreak/>
        <w:t xml:space="preserve">citações que acompanham todas as versões do livro, a escritora faz menção incontornável ao livro anterior, da cientista política argentina Pilar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fruto de sua dissertação defendida em 1995 e intitulada </w:t>
      </w:r>
      <w:r w:rsidRPr="002451B6">
        <w:rPr>
          <w:rFonts w:ascii="Times New Roman" w:eastAsia="Times New Roman" w:hAnsi="Times New Roman" w:cs="Times New Roman"/>
          <w:i/>
          <w:iCs/>
          <w:sz w:val="24"/>
          <w:szCs w:val="24"/>
        </w:rPr>
        <w:t xml:space="preserve">Poder y </w:t>
      </w:r>
      <w:proofErr w:type="spellStart"/>
      <w:r w:rsidRPr="002451B6">
        <w:rPr>
          <w:rFonts w:ascii="Times New Roman" w:eastAsia="Times New Roman" w:hAnsi="Times New Roman" w:cs="Times New Roman"/>
          <w:i/>
          <w:iCs/>
          <w:sz w:val="24"/>
          <w:szCs w:val="24"/>
        </w:rPr>
        <w:t>desaparición</w:t>
      </w:r>
      <w:proofErr w:type="spellEnd"/>
      <w:r w:rsidRPr="002451B6">
        <w:rPr>
          <w:rFonts w:ascii="Times New Roman" w:eastAsia="Times New Roman" w:hAnsi="Times New Roman" w:cs="Times New Roman"/>
          <w:i/>
          <w:iCs/>
          <w:sz w:val="24"/>
          <w:szCs w:val="24"/>
        </w:rPr>
        <w:t xml:space="preserve">. Campos de </w:t>
      </w:r>
      <w:proofErr w:type="spellStart"/>
      <w:r w:rsidRPr="002451B6">
        <w:rPr>
          <w:rFonts w:ascii="Times New Roman" w:eastAsia="Times New Roman" w:hAnsi="Times New Roman" w:cs="Times New Roman"/>
          <w:i/>
          <w:iCs/>
          <w:sz w:val="24"/>
          <w:szCs w:val="24"/>
        </w:rPr>
        <w:t>concentración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en</w:t>
      </w:r>
      <w:proofErr w:type="spellEnd"/>
      <w:r w:rsidRPr="002451B6">
        <w:rPr>
          <w:rFonts w:ascii="Times New Roman" w:eastAsia="Times New Roman" w:hAnsi="Times New Roman" w:cs="Times New Roman"/>
          <w:i/>
          <w:iCs/>
          <w:sz w:val="24"/>
          <w:szCs w:val="24"/>
        </w:rPr>
        <w:t xml:space="preserve"> Argentina, 1976-1980</w:t>
      </w:r>
      <w:r w:rsidRPr="002451B6">
        <w:rPr>
          <w:rFonts w:ascii="Times New Roman" w:eastAsia="Times New Roman" w:hAnsi="Times New Roman" w:cs="Times New Roman"/>
          <w:sz w:val="24"/>
          <w:szCs w:val="24"/>
        </w:rPr>
        <w:t xml:space="preserve">. </w:t>
      </w:r>
    </w:p>
    <w:p w14:paraId="71B1643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Pilar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é hoje bastante reconhecida por ter tocado de forma inédita em temas muito delicados, como a descrição densa do funcionamento dos campos a partir de relatos de sobreviventes que estavam “reaparecendo”, aos poucos, em meio às buscas pelos desaparecidos políticos. Publicado como livro em 1998 pela </w:t>
      </w:r>
      <w:proofErr w:type="spellStart"/>
      <w:r w:rsidRPr="002451B6">
        <w:rPr>
          <w:rFonts w:ascii="Times New Roman" w:eastAsia="Times New Roman" w:hAnsi="Times New Roman" w:cs="Times New Roman"/>
          <w:sz w:val="24"/>
          <w:szCs w:val="24"/>
        </w:rPr>
        <w:t>Colihue</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 xml:space="preserve">Poder y </w:t>
      </w:r>
      <w:proofErr w:type="spellStart"/>
      <w:r w:rsidRPr="002451B6">
        <w:rPr>
          <w:rFonts w:ascii="Times New Roman" w:eastAsia="Times New Roman" w:hAnsi="Times New Roman" w:cs="Times New Roman"/>
          <w:i/>
          <w:iCs/>
          <w:sz w:val="24"/>
          <w:szCs w:val="24"/>
        </w:rPr>
        <w:t>desapacición</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de Pilar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teve reimpressão em 2004 e foi traduzido e publicado em português pela Boitempo Editorial em 2013. A terceira obra que nos ocupa é o livro-testemunho de autoria de Miriam Lewin e Olga </w:t>
      </w:r>
      <w:proofErr w:type="spellStart"/>
      <w:r w:rsidRPr="002451B6">
        <w:rPr>
          <w:rFonts w:ascii="Times New Roman" w:eastAsia="Times New Roman" w:hAnsi="Times New Roman" w:cs="Times New Roman"/>
          <w:sz w:val="24"/>
          <w:szCs w:val="24"/>
        </w:rPr>
        <w:t>Wornat</w:t>
      </w:r>
      <w:proofErr w:type="spell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i/>
          <w:iCs/>
          <w:sz w:val="24"/>
          <w:szCs w:val="24"/>
        </w:rPr>
        <w:t>Putas</w:t>
      </w:r>
      <w:proofErr w:type="gramEnd"/>
      <w:r w:rsidRPr="002451B6">
        <w:rPr>
          <w:rFonts w:ascii="Times New Roman" w:eastAsia="Times New Roman" w:hAnsi="Times New Roman" w:cs="Times New Roman"/>
          <w:i/>
          <w:iCs/>
          <w:sz w:val="24"/>
          <w:szCs w:val="24"/>
        </w:rPr>
        <w:t xml:space="preserve"> y </w:t>
      </w:r>
      <w:proofErr w:type="spellStart"/>
      <w:r w:rsidRPr="002451B6">
        <w:rPr>
          <w:rFonts w:ascii="Times New Roman" w:eastAsia="Times New Roman" w:hAnsi="Times New Roman" w:cs="Times New Roman"/>
          <w:i/>
          <w:iCs/>
          <w:sz w:val="24"/>
          <w:szCs w:val="24"/>
        </w:rPr>
        <w:t>guerrilleras</w:t>
      </w:r>
      <w:proofErr w:type="spellEnd"/>
      <w:r w:rsidRPr="002451B6">
        <w:rPr>
          <w:rFonts w:ascii="Times New Roman" w:eastAsia="Times New Roman" w:hAnsi="Times New Roman" w:cs="Times New Roman"/>
          <w:sz w:val="24"/>
          <w:szCs w:val="24"/>
        </w:rPr>
        <w:t xml:space="preserve">, editado pela Planeta em 2014 e reimpresso em 2020, com o título </w:t>
      </w:r>
      <w:r w:rsidRPr="002451B6">
        <w:rPr>
          <w:rFonts w:ascii="Times New Roman" w:eastAsia="Times New Roman" w:hAnsi="Times New Roman" w:cs="Times New Roman"/>
          <w:i/>
          <w:iCs/>
          <w:sz w:val="24"/>
          <w:szCs w:val="24"/>
        </w:rPr>
        <w:t xml:space="preserve">Putas y </w:t>
      </w:r>
      <w:proofErr w:type="spellStart"/>
      <w:r w:rsidRPr="002451B6">
        <w:rPr>
          <w:rFonts w:ascii="Times New Roman" w:eastAsia="Times New Roman" w:hAnsi="Times New Roman" w:cs="Times New Roman"/>
          <w:i/>
          <w:iCs/>
          <w:sz w:val="24"/>
          <w:szCs w:val="24"/>
        </w:rPr>
        <w:t>guerrilleras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Crímenes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sexuales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en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los</w:t>
      </w:r>
      <w:proofErr w:type="spellEnd"/>
      <w:r w:rsidRPr="002451B6">
        <w:rPr>
          <w:rFonts w:ascii="Times New Roman" w:eastAsia="Times New Roman" w:hAnsi="Times New Roman" w:cs="Times New Roman"/>
          <w:i/>
          <w:iCs/>
          <w:sz w:val="24"/>
          <w:szCs w:val="24"/>
        </w:rPr>
        <w:t xml:space="preserve"> centros clandestinos de </w:t>
      </w:r>
      <w:proofErr w:type="spellStart"/>
      <w:r w:rsidRPr="002451B6">
        <w:rPr>
          <w:rFonts w:ascii="Times New Roman" w:eastAsia="Times New Roman" w:hAnsi="Times New Roman" w:cs="Times New Roman"/>
          <w:i/>
          <w:iCs/>
          <w:sz w:val="24"/>
          <w:szCs w:val="24"/>
        </w:rPr>
        <w:t>detención</w:t>
      </w:r>
      <w:proofErr w:type="spellEnd"/>
      <w:r w:rsidRPr="002451B6">
        <w:rPr>
          <w:rFonts w:ascii="Times New Roman" w:eastAsia="Times New Roman" w:hAnsi="Times New Roman" w:cs="Times New Roman"/>
          <w:sz w:val="24"/>
          <w:szCs w:val="24"/>
        </w:rPr>
        <w:t>.</w:t>
      </w:r>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Las</w:t>
      </w:r>
      <w:proofErr w:type="spellEnd"/>
      <w:r w:rsidRPr="002451B6">
        <w:rPr>
          <w:rFonts w:ascii="Times New Roman" w:eastAsia="Times New Roman" w:hAnsi="Times New Roman" w:cs="Times New Roman"/>
          <w:i/>
          <w:iCs/>
          <w:sz w:val="24"/>
          <w:szCs w:val="24"/>
        </w:rPr>
        <w:t xml:space="preserve"> </w:t>
      </w:r>
      <w:proofErr w:type="gramStart"/>
      <w:r w:rsidRPr="002451B6">
        <w:rPr>
          <w:rFonts w:ascii="Times New Roman" w:eastAsia="Times New Roman" w:hAnsi="Times New Roman" w:cs="Times New Roman"/>
          <w:i/>
          <w:iCs/>
          <w:sz w:val="24"/>
          <w:szCs w:val="24"/>
        </w:rPr>
        <w:t>historias</w:t>
      </w:r>
      <w:proofErr w:type="gramEnd"/>
      <w:r w:rsidRPr="002451B6">
        <w:rPr>
          <w:rFonts w:ascii="Times New Roman" w:eastAsia="Times New Roman" w:hAnsi="Times New Roman" w:cs="Times New Roman"/>
          <w:i/>
          <w:iCs/>
          <w:sz w:val="24"/>
          <w:szCs w:val="24"/>
        </w:rPr>
        <w:t xml:space="preserve"> silenciadas. Una guerra </w:t>
      </w:r>
      <w:proofErr w:type="spellStart"/>
      <w:r w:rsidRPr="002451B6">
        <w:rPr>
          <w:rFonts w:ascii="Times New Roman" w:eastAsia="Times New Roman" w:hAnsi="Times New Roman" w:cs="Times New Roman"/>
          <w:i/>
          <w:iCs/>
          <w:sz w:val="24"/>
          <w:szCs w:val="24"/>
        </w:rPr>
        <w:t>sin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fin</w:t>
      </w:r>
      <w:proofErr w:type="spellEnd"/>
      <w:r w:rsidRPr="002451B6">
        <w:rPr>
          <w:rFonts w:ascii="Times New Roman" w:eastAsia="Times New Roman" w:hAnsi="Times New Roman" w:cs="Times New Roman"/>
          <w:sz w:val="24"/>
          <w:szCs w:val="24"/>
        </w:rPr>
        <w:t>, com prólogo da antropóloga feminista argentina Rita Segato, citada anteriormente ao estruturar nossa compreensão conceitual de violência de gênero. Considerando que não dispomos de espaço para análises detidas e aprofundadas dos três livros, incluindo suas reedições, vamos nos utilizar de pensamentos de síntese para apresentar os argumentos principais de cada obra naquilo que nos ajuda a nuançar a discussão a respeito do “colaboracionismo”.</w:t>
      </w:r>
    </w:p>
    <w:p w14:paraId="3D5FC9A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sua obra pioneira, </w:t>
      </w:r>
      <w:r w:rsidRPr="002451B6">
        <w:rPr>
          <w:rFonts w:ascii="Times New Roman" w:eastAsia="Times New Roman" w:hAnsi="Times New Roman" w:cs="Times New Roman"/>
          <w:i/>
          <w:iCs/>
          <w:sz w:val="24"/>
          <w:szCs w:val="24"/>
        </w:rPr>
        <w:t xml:space="preserve">Poder y </w:t>
      </w:r>
      <w:proofErr w:type="spellStart"/>
      <w:r w:rsidRPr="002451B6">
        <w:rPr>
          <w:rFonts w:ascii="Times New Roman" w:eastAsia="Times New Roman" w:hAnsi="Times New Roman" w:cs="Times New Roman"/>
          <w:i/>
          <w:iCs/>
          <w:sz w:val="24"/>
          <w:szCs w:val="24"/>
        </w:rPr>
        <w:t>desaparición</w:t>
      </w:r>
      <w:proofErr w:type="spellEnd"/>
      <w:r w:rsidRPr="002451B6">
        <w:rPr>
          <w:rFonts w:ascii="Times New Roman" w:eastAsia="Times New Roman" w:hAnsi="Times New Roman" w:cs="Times New Roman"/>
          <w:i/>
          <w:iCs/>
          <w:sz w:val="24"/>
          <w:szCs w:val="24"/>
        </w:rPr>
        <w:t xml:space="preserve"> (1995)</w:t>
      </w:r>
      <w:r w:rsidRPr="002451B6">
        <w:rPr>
          <w:rFonts w:ascii="Times New Roman" w:eastAsia="Times New Roman" w:hAnsi="Times New Roman" w:cs="Times New Roman"/>
          <w:sz w:val="24"/>
          <w:szCs w:val="24"/>
        </w:rPr>
        <w:t xml:space="preserve">, Pilar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não menciona em nenhum momento o termo gênero - o que atribuímos ao seu contexto pioneiro de publicação, quando a América Latina </w:t>
      </w:r>
      <w:proofErr w:type="gramStart"/>
      <w:r w:rsidRPr="002451B6">
        <w:rPr>
          <w:rFonts w:ascii="Times New Roman" w:eastAsia="Times New Roman" w:hAnsi="Times New Roman" w:cs="Times New Roman"/>
          <w:sz w:val="24"/>
          <w:szCs w:val="24"/>
        </w:rPr>
        <w:t>estruturava-se</w:t>
      </w:r>
      <w:proofErr w:type="gramEnd"/>
      <w:r w:rsidRPr="002451B6">
        <w:rPr>
          <w:rFonts w:ascii="Times New Roman" w:eastAsia="Times New Roman" w:hAnsi="Times New Roman" w:cs="Times New Roman"/>
          <w:sz w:val="24"/>
          <w:szCs w:val="24"/>
        </w:rPr>
        <w:t xml:space="preserve"> ainda em democracias pós-ditaduras e autoritarismos e as violências de gênero na região, em geral, ainda não possuíam o reconhecimento jurídico que viriam a ter posteriormente. Apesar disso, sua dissertação/livro foi bastante precisa na descrição dos campos argentinos, especialmente no que diz respeito aos métodos de tortura, incluindo aqueles que atingiram mulheres grávidas. Com isso, muito cedo na Argentina, a questão da delação como objetivo do sequestro de militantes adquiriu espaço de visibilidade e escuta. De acordo com a autora, ela mesma uma sobrevivente: </w:t>
      </w:r>
    </w:p>
    <w:p w14:paraId="1EC84438"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Houve prisioneiros que, uma vez que começaram a dar informação sob tortura, não se detiveram, e foram se deslocando progressivamente da categoria de vítimas a de vitimário. [...] Foram quebrados pela tortura, muitas vezes espantosa, e se desintegraram. Não se sentiam presos. </w:t>
      </w:r>
      <w:proofErr w:type="spellStart"/>
      <w:r w:rsidRPr="002451B6">
        <w:rPr>
          <w:rFonts w:ascii="Times New Roman" w:eastAsia="Times New Roman" w:hAnsi="Times New Roman" w:cs="Times New Roman"/>
        </w:rPr>
        <w:t>Suzzara</w:t>
      </w:r>
      <w:proofErr w:type="spellEnd"/>
      <w:r w:rsidRPr="002451B6">
        <w:rPr>
          <w:rFonts w:ascii="Times New Roman" w:eastAsia="Times New Roman" w:hAnsi="Times New Roman" w:cs="Times New Roman"/>
        </w:rPr>
        <w:t xml:space="preserve">, uma sequestrada desse tipo, disse de seus companheiros presos: “Lhes tenho asco”. Alguns realizaram operativos militares com seus próprios captores, outros chegaram até a torturar. Essas pessoas eram um inimigo dos presos igual ao pior dos guardas. Necessitavam que todos se desintegrassem como eles. [...] Enfim, foram de grande utilidade e constituíram um tipo de sujeito que produz o campo de concentração e a tortura: temerosos, submissos autoritários. Muitos deles permaneceram ligados às forças de segurança e seguiram </w:t>
      </w:r>
      <w:r w:rsidRPr="002451B6">
        <w:rPr>
          <w:rFonts w:ascii="Times New Roman" w:eastAsia="Times New Roman" w:hAnsi="Times New Roman" w:cs="Times New Roman"/>
        </w:rPr>
        <w:lastRenderedPageBreak/>
        <w:t>trabalhando para elas após o fechamento dos campos (</w:t>
      </w:r>
      <w:proofErr w:type="spellStart"/>
      <w:r w:rsidRPr="002451B6">
        <w:rPr>
          <w:rFonts w:ascii="Times New Roman" w:eastAsia="Times New Roman" w:hAnsi="Times New Roman" w:cs="Times New Roman"/>
        </w:rPr>
        <w:t>Calveiro</w:t>
      </w:r>
      <w:proofErr w:type="spellEnd"/>
      <w:r w:rsidRPr="002451B6">
        <w:rPr>
          <w:rFonts w:ascii="Times New Roman" w:eastAsia="Times New Roman" w:hAnsi="Times New Roman" w:cs="Times New Roman"/>
        </w:rPr>
        <w:t xml:space="preserve">, 1995, p. 113, tradução nossa). </w:t>
      </w:r>
    </w:p>
    <w:p w14:paraId="03EDDA6F" w14:textId="77777777" w:rsidR="00332C33" w:rsidRPr="002451B6" w:rsidRDefault="00332C33">
      <w:pPr>
        <w:spacing w:line="360" w:lineRule="auto"/>
        <w:jc w:val="both"/>
        <w:rPr>
          <w:rFonts w:ascii="Times New Roman" w:eastAsia="Times New Roman" w:hAnsi="Times New Roman" w:cs="Times New Roman"/>
          <w:sz w:val="24"/>
          <w:szCs w:val="24"/>
        </w:rPr>
      </w:pPr>
    </w:p>
    <w:p w14:paraId="56E18FB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Diferente da maioria das obras publicadas na década seguinte, a escrita de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não se preocupa em flexionar o gênero, o que nos leva a supor que “prisioneiros” </w:t>
      </w:r>
      <w:proofErr w:type="gramStart"/>
      <w:r w:rsidRPr="002451B6">
        <w:rPr>
          <w:rFonts w:ascii="Times New Roman" w:eastAsia="Times New Roman" w:hAnsi="Times New Roman" w:cs="Times New Roman"/>
          <w:sz w:val="24"/>
          <w:szCs w:val="24"/>
        </w:rPr>
        <w:t>refira-se</w:t>
      </w:r>
      <w:proofErr w:type="gramEnd"/>
      <w:r w:rsidRPr="002451B6">
        <w:rPr>
          <w:rFonts w:ascii="Times New Roman" w:eastAsia="Times New Roman" w:hAnsi="Times New Roman" w:cs="Times New Roman"/>
          <w:sz w:val="24"/>
          <w:szCs w:val="24"/>
        </w:rPr>
        <w:t xml:space="preserve"> tanto a mulheres quanto a homens, ainda que - importante destacar - o único testemunho transcrito no livro com esse fim seja de uma mulher, </w:t>
      </w:r>
      <w:proofErr w:type="spellStart"/>
      <w:r w:rsidRPr="002451B6">
        <w:rPr>
          <w:rFonts w:ascii="Times New Roman" w:eastAsia="Times New Roman" w:hAnsi="Times New Roman" w:cs="Times New Roman"/>
          <w:sz w:val="24"/>
          <w:szCs w:val="24"/>
        </w:rPr>
        <w:t>Suzzara</w:t>
      </w:r>
      <w:proofErr w:type="spellEnd"/>
      <w:r w:rsidRPr="002451B6">
        <w:rPr>
          <w:rFonts w:ascii="Times New Roman" w:eastAsia="Times New Roman" w:hAnsi="Times New Roman" w:cs="Times New Roman"/>
          <w:sz w:val="24"/>
          <w:szCs w:val="24"/>
        </w:rPr>
        <w:t xml:space="preserve">. Considerando-se a enorme redução que significa trabalhar com um trecho emblemático, temos por hipótese que o fato de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fazer emergir com tal detalhamento a vida no campo concentracionário abriu caminho para memórias complexas, </w:t>
      </w:r>
      <w:r w:rsidRPr="002451B6">
        <w:rPr>
          <w:rFonts w:ascii="Times New Roman" w:eastAsia="Times New Roman" w:hAnsi="Times New Roman" w:cs="Times New Roman"/>
          <w:i/>
          <w:iCs/>
          <w:sz w:val="24"/>
          <w:szCs w:val="24"/>
        </w:rPr>
        <w:t>gris,</w:t>
      </w:r>
      <w:r w:rsidRPr="002451B6">
        <w:rPr>
          <w:rFonts w:ascii="Times New Roman" w:eastAsia="Times New Roman" w:hAnsi="Times New Roman" w:cs="Times New Roman"/>
          <w:sz w:val="24"/>
          <w:szCs w:val="24"/>
        </w:rPr>
        <w:t xml:space="preserve"> na expressão consagrada de Primo Levi (1983). Ao que nos parece, memórias como essas ainda permanecem subterrâneas no caso brasileiro, como discutimos anteriormente. A perspectiva </w:t>
      </w:r>
      <w:proofErr w:type="spellStart"/>
      <w:r w:rsidRPr="002451B6">
        <w:rPr>
          <w:rFonts w:ascii="Times New Roman" w:eastAsia="Times New Roman" w:hAnsi="Times New Roman" w:cs="Times New Roman"/>
          <w:sz w:val="24"/>
          <w:szCs w:val="24"/>
        </w:rPr>
        <w:t>glocal</w:t>
      </w:r>
      <w:proofErr w:type="spellEnd"/>
      <w:r w:rsidRPr="002451B6">
        <w:rPr>
          <w:rFonts w:ascii="Times New Roman" w:eastAsia="Times New Roman" w:hAnsi="Times New Roman" w:cs="Times New Roman"/>
          <w:sz w:val="24"/>
          <w:szCs w:val="24"/>
        </w:rPr>
        <w:t xml:space="preserve"> que nos leva a essa comparação, vale ressaltar, não deseja ocultar as grandes diferenças entre os dois regimes ditatoriais, com seus sistemas de repressão, por sua vez, ligados aos diferentes tipos de “subversão” que combatiam. Antes, queremos destacar, com a citação da autora, as enormes dificuldades analíticas e de recepção social enfrentadas quando se rompe com a noção de uma reivindicação da vítima “mais inocente”, por assim dizer. </w:t>
      </w:r>
    </w:p>
    <w:p w14:paraId="2654477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poder dos campos, segundo Pilar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residiu exatamente na degradação da autoimagem de todos os sujeitos - em sua </w:t>
      </w:r>
      <w:proofErr w:type="spellStart"/>
      <w:r w:rsidRPr="002451B6">
        <w:rPr>
          <w:rFonts w:ascii="Times New Roman" w:eastAsia="Times New Roman" w:hAnsi="Times New Roman" w:cs="Times New Roman"/>
          <w:sz w:val="24"/>
          <w:szCs w:val="24"/>
        </w:rPr>
        <w:t>dessubjetivação</w:t>
      </w:r>
      <w:proofErr w:type="spellEnd"/>
      <w:r w:rsidRPr="002451B6">
        <w:rPr>
          <w:rFonts w:ascii="Times New Roman" w:eastAsia="Times New Roman" w:hAnsi="Times New Roman" w:cs="Times New Roman"/>
          <w:sz w:val="24"/>
          <w:szCs w:val="24"/>
        </w:rPr>
        <w:t xml:space="preserve">, poderíamos dizer. A autora conclui que as razões da sobrevivência foram múltiplas e não existiu um padrão, qualquer que seja, que possa explicá-la de forma plena, assim como “não existiram heróis nem inocentes, todos foram alcançados de alguma maneira pelo poder </w:t>
      </w:r>
      <w:proofErr w:type="spellStart"/>
      <w:r w:rsidRPr="002451B6">
        <w:rPr>
          <w:rFonts w:ascii="Times New Roman" w:eastAsia="Times New Roman" w:hAnsi="Times New Roman" w:cs="Times New Roman"/>
          <w:sz w:val="24"/>
          <w:szCs w:val="24"/>
        </w:rPr>
        <w:t>desaparecedor</w:t>
      </w:r>
      <w:proofErr w:type="spellEnd"/>
      <w:r w:rsidRPr="002451B6">
        <w:rPr>
          <w:rFonts w:ascii="Times New Roman" w:eastAsia="Times New Roman" w:hAnsi="Times New Roman" w:cs="Times New Roman"/>
          <w:sz w:val="24"/>
          <w:szCs w:val="24"/>
        </w:rPr>
        <w:t xml:space="preserve">” (1995, p. 157). Nesse sentido, não nos cabe analisar as conclusões de Pilar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nos anos de 1990, menos de uma década após a democratização na Argentina. Nosso objetivo é demonstrar o caminho percorrido pelas ideias que afetaram diretamente a memória das militantes consideradas “traidoras” ou “colaboradoras”. </w:t>
      </w:r>
    </w:p>
    <w:p w14:paraId="0A455E3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Nesse ponto, Ana </w:t>
      </w:r>
      <w:proofErr w:type="spellStart"/>
      <w:r w:rsidRPr="002451B6">
        <w:rPr>
          <w:rFonts w:ascii="Times New Roman" w:eastAsia="Times New Roman" w:hAnsi="Times New Roman" w:cs="Times New Roman"/>
          <w:sz w:val="24"/>
          <w:szCs w:val="24"/>
        </w:rPr>
        <w:t>Longoni</w:t>
      </w:r>
      <w:proofErr w:type="spellEnd"/>
      <w:r w:rsidRPr="002451B6">
        <w:rPr>
          <w:rFonts w:ascii="Times New Roman" w:eastAsia="Times New Roman" w:hAnsi="Times New Roman" w:cs="Times New Roman"/>
          <w:sz w:val="24"/>
          <w:szCs w:val="24"/>
        </w:rPr>
        <w:t xml:space="preserve"> dá um passo bastante largo em seu </w:t>
      </w:r>
      <w:proofErr w:type="spellStart"/>
      <w:r w:rsidRPr="002451B6">
        <w:rPr>
          <w:rFonts w:ascii="Times New Roman" w:eastAsia="Times New Roman" w:hAnsi="Times New Roman" w:cs="Times New Roman"/>
          <w:i/>
          <w:iCs/>
          <w:sz w:val="24"/>
          <w:szCs w:val="24"/>
        </w:rPr>
        <w:t>Traiciones</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(2007) ao discutir especificamente o estigma da traição que pesou sobre as vítimas sobreviventes da repressão nos campos, com destaque para a ideia de uma impossibilidade, por parte da sociedade - e acrescentamos: por que não, da historiografia? - de ouvir esses testemunhos. Ao analisar obras literárias que reproduziram a condenação moral das militantes sequestradas sobre as quais recaiu a violência de gênero que as tornou “amantes” ou “acompanhantes” de seus captores, a escritora expôs a cultura política patriarcal hegemônica na sociedade argentina, incluindo-se aí, também, vários matizes de esquerda nos anos 2000. Ao utilizar os termos de Rita Segato (2003), diríamos que neste tipo de sociedade (que Segato expande para a sociedade </w:t>
      </w:r>
      <w:r w:rsidRPr="002451B6">
        <w:rPr>
          <w:rFonts w:ascii="Times New Roman" w:eastAsia="Times New Roman" w:hAnsi="Times New Roman" w:cs="Times New Roman"/>
          <w:sz w:val="24"/>
          <w:szCs w:val="24"/>
        </w:rPr>
        <w:lastRenderedPageBreak/>
        <w:t xml:space="preserve">contemporânea em geral), a “violação é um fenômeno de “agressão por agressão”” interpretada ou sentida coletivamente em desconexão com seus efeitos, como um “impulso agressivo próprio e característico do sujeito masculino sobre quem mostra os signos e gestos da feminilidade” (p. 23) - e não somente sobre as mulheres. </w:t>
      </w:r>
    </w:p>
    <w:p w14:paraId="223D401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imensa quantidade de análises e resenhas publicadas desde a época sobre </w:t>
      </w:r>
      <w:proofErr w:type="spellStart"/>
      <w:r w:rsidRPr="002451B6">
        <w:rPr>
          <w:rFonts w:ascii="Times New Roman" w:eastAsia="Times New Roman" w:hAnsi="Times New Roman" w:cs="Times New Roman"/>
          <w:i/>
          <w:iCs/>
          <w:sz w:val="24"/>
          <w:szCs w:val="24"/>
        </w:rPr>
        <w:t>Traiciones</w:t>
      </w:r>
      <w:proofErr w:type="spellEnd"/>
      <w:r w:rsidRPr="002451B6">
        <w:rPr>
          <w:rFonts w:ascii="Times New Roman" w:eastAsia="Times New Roman" w:hAnsi="Times New Roman" w:cs="Times New Roman"/>
          <w:sz w:val="24"/>
          <w:szCs w:val="24"/>
        </w:rPr>
        <w:t xml:space="preserve">, somada à reedição de 2024, nos fazem pensar no impacto desta abordagem e na viragem de gênero que ela acompanhou e agenciou, ao mesmo tempo, na escrita da História e na sociedade civil argentina. Mas foi só em 2014 que as jornalistas Miriam Lewin (também sobrevivente) e Olga </w:t>
      </w:r>
      <w:proofErr w:type="spellStart"/>
      <w:r w:rsidRPr="002451B6">
        <w:rPr>
          <w:rFonts w:ascii="Times New Roman" w:eastAsia="Times New Roman" w:hAnsi="Times New Roman" w:cs="Times New Roman"/>
          <w:sz w:val="24"/>
          <w:szCs w:val="24"/>
        </w:rPr>
        <w:t>Wornat</w:t>
      </w:r>
      <w:proofErr w:type="spell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 xml:space="preserve">publicaram </w:t>
      </w:r>
      <w:r w:rsidRPr="002451B6">
        <w:rPr>
          <w:rFonts w:ascii="Times New Roman" w:eastAsia="Times New Roman" w:hAnsi="Times New Roman" w:cs="Times New Roman"/>
          <w:i/>
          <w:iCs/>
          <w:sz w:val="24"/>
          <w:szCs w:val="24"/>
        </w:rPr>
        <w:t>Putas</w:t>
      </w:r>
      <w:proofErr w:type="gramEnd"/>
      <w:r w:rsidRPr="002451B6">
        <w:rPr>
          <w:rFonts w:ascii="Times New Roman" w:eastAsia="Times New Roman" w:hAnsi="Times New Roman" w:cs="Times New Roman"/>
          <w:i/>
          <w:iCs/>
          <w:sz w:val="24"/>
          <w:szCs w:val="24"/>
        </w:rPr>
        <w:t xml:space="preserve"> y </w:t>
      </w:r>
      <w:proofErr w:type="spellStart"/>
      <w:r w:rsidRPr="002451B6">
        <w:rPr>
          <w:rFonts w:ascii="Times New Roman" w:eastAsia="Times New Roman" w:hAnsi="Times New Roman" w:cs="Times New Roman"/>
          <w:i/>
          <w:iCs/>
          <w:sz w:val="24"/>
          <w:szCs w:val="24"/>
        </w:rPr>
        <w:t>Guerrilleras</w:t>
      </w:r>
      <w:proofErr w:type="spellEnd"/>
      <w:r w:rsidRPr="002451B6">
        <w:rPr>
          <w:rFonts w:ascii="Times New Roman" w:eastAsia="Times New Roman" w:hAnsi="Times New Roman" w:cs="Times New Roman"/>
          <w:sz w:val="24"/>
          <w:szCs w:val="24"/>
        </w:rPr>
        <w:t xml:space="preserve">, no qual denunciam e tentam compreender/analisar o abuso dos seus corpos pela repressão da ditadura argentina. Na introdução, Lewin menciona um programa de TV bastante conhecido à época para o qual foi convidada, em 24 de março de 2004, como </w:t>
      </w:r>
      <w:proofErr w:type="spellStart"/>
      <w:r w:rsidRPr="002451B6">
        <w:rPr>
          <w:rFonts w:ascii="Times New Roman" w:eastAsia="Times New Roman" w:hAnsi="Times New Roman" w:cs="Times New Roman"/>
          <w:sz w:val="24"/>
          <w:szCs w:val="24"/>
        </w:rPr>
        <w:t>ex-militante</w:t>
      </w:r>
      <w:proofErr w:type="spellEnd"/>
      <w:r w:rsidRPr="002451B6">
        <w:rPr>
          <w:rFonts w:ascii="Times New Roman" w:eastAsia="Times New Roman" w:hAnsi="Times New Roman" w:cs="Times New Roman"/>
          <w:sz w:val="24"/>
          <w:szCs w:val="24"/>
        </w:rPr>
        <w:t xml:space="preserve"> e sobrevivente dos campos, no qual foi questionada pela apresentadora: “É verdade que você saía com o Tigre Acosta?”. Ao que se seguiu a resposta:</w:t>
      </w:r>
    </w:p>
    <w:p w14:paraId="22D0D52D"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É verdade, nós o relatamos no livro </w:t>
      </w:r>
      <w:proofErr w:type="spellStart"/>
      <w:r w:rsidRPr="002451B6">
        <w:rPr>
          <w:rFonts w:ascii="Times New Roman" w:eastAsia="Times New Roman" w:hAnsi="Times New Roman" w:cs="Times New Roman"/>
          <w:i/>
          <w:iCs/>
        </w:rPr>
        <w:t>Ese</w:t>
      </w:r>
      <w:proofErr w:type="spellEnd"/>
      <w:r w:rsidRPr="002451B6">
        <w:rPr>
          <w:rFonts w:ascii="Times New Roman" w:eastAsia="Times New Roman" w:hAnsi="Times New Roman" w:cs="Times New Roman"/>
          <w:i/>
          <w:iCs/>
        </w:rPr>
        <w:t xml:space="preserve"> </w:t>
      </w:r>
      <w:proofErr w:type="spellStart"/>
      <w:r w:rsidRPr="002451B6">
        <w:rPr>
          <w:rFonts w:ascii="Times New Roman" w:eastAsia="Times New Roman" w:hAnsi="Times New Roman" w:cs="Times New Roman"/>
          <w:i/>
          <w:iCs/>
        </w:rPr>
        <w:t>Infierno</w:t>
      </w:r>
      <w:proofErr w:type="spellEnd"/>
      <w:r w:rsidRPr="002451B6">
        <w:rPr>
          <w:rFonts w:ascii="Times New Roman" w:eastAsia="Times New Roman" w:hAnsi="Times New Roman" w:cs="Times New Roman"/>
        </w:rPr>
        <w:t xml:space="preserve"> [2001], que escrevemos sobre o que vivemos no campo. Nos obrigavam a jantar. Não saíamos por nossos próprios meios, não tínhamos o direito de negar. Éramos prisioneiras. Os guardas vinham nos buscar em plena noite e nos levavam. Uma companheira, Cristina </w:t>
      </w:r>
      <w:proofErr w:type="spellStart"/>
      <w:r w:rsidRPr="002451B6">
        <w:rPr>
          <w:rFonts w:ascii="Times New Roman" w:eastAsia="Times New Roman" w:hAnsi="Times New Roman" w:cs="Times New Roman"/>
        </w:rPr>
        <w:t>Aldini</w:t>
      </w:r>
      <w:proofErr w:type="spellEnd"/>
      <w:r w:rsidRPr="002451B6">
        <w:rPr>
          <w:rFonts w:ascii="Times New Roman" w:eastAsia="Times New Roman" w:hAnsi="Times New Roman" w:cs="Times New Roman"/>
        </w:rPr>
        <w:t xml:space="preserve">, Tigre Acosta a levou para dançar </w:t>
      </w:r>
      <w:proofErr w:type="gramStart"/>
      <w:r w:rsidRPr="002451B6">
        <w:rPr>
          <w:rFonts w:ascii="Times New Roman" w:eastAsia="Times New Roman" w:hAnsi="Times New Roman" w:cs="Times New Roman"/>
        </w:rPr>
        <w:t xml:space="preserve">na Mau </w:t>
      </w:r>
      <w:proofErr w:type="spellStart"/>
      <w:r w:rsidRPr="002451B6">
        <w:rPr>
          <w:rFonts w:ascii="Times New Roman" w:eastAsia="Times New Roman" w:hAnsi="Times New Roman" w:cs="Times New Roman"/>
        </w:rPr>
        <w:t>Mau</w:t>
      </w:r>
      <w:proofErr w:type="spellEnd"/>
      <w:proofErr w:type="gramEnd"/>
      <w:r w:rsidRPr="002451B6">
        <w:rPr>
          <w:rFonts w:ascii="Times New Roman" w:eastAsia="Times New Roman" w:hAnsi="Times New Roman" w:cs="Times New Roman"/>
        </w:rPr>
        <w:t xml:space="preserve"> após o assassinato do seu marido. Que os assassinos do seu companheiro a levem para dançar em um lugar da moda, me pergunto se essa não é uma forma refinada de tortura. Para Cristina, um oficial da ESMA levou a aliança de seu esposo, Alejo </w:t>
      </w:r>
      <w:proofErr w:type="spellStart"/>
      <w:r w:rsidRPr="002451B6">
        <w:rPr>
          <w:rFonts w:ascii="Times New Roman" w:eastAsia="Times New Roman" w:hAnsi="Times New Roman" w:cs="Times New Roman"/>
        </w:rPr>
        <w:t>Mallea</w:t>
      </w:r>
      <w:proofErr w:type="spellEnd"/>
      <w:r w:rsidRPr="002451B6">
        <w:rPr>
          <w:rFonts w:ascii="Times New Roman" w:eastAsia="Times New Roman" w:hAnsi="Times New Roman" w:cs="Times New Roman"/>
        </w:rPr>
        <w:t xml:space="preserve">, ao seu beliche em Capucha, onde estava presa, para mostrar que o haviam assassinado. Ele perguntou se ela queria ver o cadáver. Cristina a princípio duvidou, mas depois aceitou porque pensou que, do contrário, ficaria para sempre na incerteza. Quando o viu, tinha dois tiros no rosto. Um tiro foi de misericórdia, entre as duas sobrancelhas. Ele tinha sido executado (2014, Introdução, s/p). </w:t>
      </w:r>
    </w:p>
    <w:p w14:paraId="408EEDDF" w14:textId="77777777" w:rsidR="00332C33" w:rsidRPr="002451B6" w:rsidRDefault="00332C33">
      <w:pPr>
        <w:spacing w:line="360" w:lineRule="auto"/>
        <w:jc w:val="both"/>
        <w:rPr>
          <w:rFonts w:ascii="Times New Roman" w:eastAsia="Times New Roman" w:hAnsi="Times New Roman" w:cs="Times New Roman"/>
          <w:sz w:val="24"/>
          <w:szCs w:val="24"/>
        </w:rPr>
      </w:pPr>
    </w:p>
    <w:p w14:paraId="46486BA3"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r>
      <w:proofErr w:type="spellStart"/>
      <w:r w:rsidRPr="002451B6">
        <w:rPr>
          <w:rFonts w:ascii="Times New Roman" w:eastAsia="Times New Roman" w:hAnsi="Times New Roman" w:cs="Times New Roman"/>
          <w:i/>
          <w:iCs/>
          <w:sz w:val="24"/>
          <w:szCs w:val="24"/>
        </w:rPr>
        <w:t>Ese</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Infierno</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Conversaciones</w:t>
      </w:r>
      <w:proofErr w:type="spellEnd"/>
      <w:r w:rsidRPr="002451B6">
        <w:rPr>
          <w:rFonts w:ascii="Times New Roman" w:eastAsia="Times New Roman" w:hAnsi="Times New Roman" w:cs="Times New Roman"/>
          <w:i/>
          <w:iCs/>
          <w:sz w:val="24"/>
          <w:szCs w:val="24"/>
        </w:rPr>
        <w:t xml:space="preserve"> de cinco </w:t>
      </w:r>
      <w:proofErr w:type="spellStart"/>
      <w:r w:rsidRPr="002451B6">
        <w:rPr>
          <w:rFonts w:ascii="Times New Roman" w:eastAsia="Times New Roman" w:hAnsi="Times New Roman" w:cs="Times New Roman"/>
          <w:i/>
          <w:iCs/>
          <w:sz w:val="24"/>
          <w:szCs w:val="24"/>
        </w:rPr>
        <w:t>mujeres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sobrevivientes</w:t>
      </w:r>
      <w:proofErr w:type="spellEnd"/>
      <w:r w:rsidRPr="002451B6">
        <w:rPr>
          <w:rFonts w:ascii="Times New Roman" w:eastAsia="Times New Roman" w:hAnsi="Times New Roman" w:cs="Times New Roman"/>
          <w:i/>
          <w:iCs/>
          <w:sz w:val="24"/>
          <w:szCs w:val="24"/>
        </w:rPr>
        <w:t xml:space="preserve"> de </w:t>
      </w:r>
      <w:proofErr w:type="spellStart"/>
      <w:r w:rsidRPr="002451B6">
        <w:rPr>
          <w:rFonts w:ascii="Times New Roman" w:eastAsia="Times New Roman" w:hAnsi="Times New Roman" w:cs="Times New Roman"/>
          <w:i/>
          <w:iCs/>
          <w:sz w:val="24"/>
          <w:szCs w:val="24"/>
        </w:rPr>
        <w:t>la</w:t>
      </w:r>
      <w:proofErr w:type="spellEnd"/>
      <w:r w:rsidRPr="002451B6">
        <w:rPr>
          <w:rFonts w:ascii="Times New Roman" w:eastAsia="Times New Roman" w:hAnsi="Times New Roman" w:cs="Times New Roman"/>
          <w:i/>
          <w:iCs/>
          <w:sz w:val="24"/>
          <w:szCs w:val="24"/>
        </w:rPr>
        <w:t xml:space="preserve"> ESMA</w:t>
      </w:r>
      <w:r w:rsidRPr="002451B6">
        <w:rPr>
          <w:rFonts w:ascii="Times New Roman" w:eastAsia="Times New Roman" w:hAnsi="Times New Roman" w:cs="Times New Roman"/>
          <w:sz w:val="24"/>
          <w:szCs w:val="24"/>
        </w:rPr>
        <w:t xml:space="preserve">, publicado em 2001 pela Editorial </w:t>
      </w:r>
      <w:proofErr w:type="spellStart"/>
      <w:r w:rsidRPr="002451B6">
        <w:rPr>
          <w:rFonts w:ascii="Times New Roman" w:eastAsia="Times New Roman" w:hAnsi="Times New Roman" w:cs="Times New Roman"/>
          <w:sz w:val="24"/>
          <w:szCs w:val="24"/>
        </w:rPr>
        <w:t>Sudamericana</w:t>
      </w:r>
      <w:proofErr w:type="spellEnd"/>
      <w:r w:rsidRPr="002451B6">
        <w:rPr>
          <w:rFonts w:ascii="Times New Roman" w:eastAsia="Times New Roman" w:hAnsi="Times New Roman" w:cs="Times New Roman"/>
          <w:sz w:val="24"/>
          <w:szCs w:val="24"/>
        </w:rPr>
        <w:t xml:space="preserve">, transcreve conversas de </w:t>
      </w:r>
      <w:proofErr w:type="spellStart"/>
      <w:r w:rsidRPr="002451B6">
        <w:rPr>
          <w:rFonts w:ascii="Times New Roman" w:eastAsia="Times New Roman" w:hAnsi="Times New Roman" w:cs="Times New Roman"/>
          <w:sz w:val="24"/>
          <w:szCs w:val="24"/>
        </w:rPr>
        <w:t>Munú</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Actis</w:t>
      </w:r>
      <w:proofErr w:type="spellEnd"/>
      <w:r w:rsidRPr="002451B6">
        <w:rPr>
          <w:rFonts w:ascii="Times New Roman" w:eastAsia="Times New Roman" w:hAnsi="Times New Roman" w:cs="Times New Roman"/>
          <w:sz w:val="24"/>
          <w:szCs w:val="24"/>
        </w:rPr>
        <w:t xml:space="preserve">, Cristina </w:t>
      </w:r>
      <w:proofErr w:type="spellStart"/>
      <w:r w:rsidRPr="002451B6">
        <w:rPr>
          <w:rFonts w:ascii="Times New Roman" w:eastAsia="Times New Roman" w:hAnsi="Times New Roman" w:cs="Times New Roman"/>
          <w:sz w:val="24"/>
          <w:szCs w:val="24"/>
        </w:rPr>
        <w:t>Aldini</w:t>
      </w:r>
      <w:proofErr w:type="spellEnd"/>
      <w:r w:rsidRPr="002451B6">
        <w:rPr>
          <w:rFonts w:ascii="Times New Roman" w:eastAsia="Times New Roman" w:hAnsi="Times New Roman" w:cs="Times New Roman"/>
          <w:sz w:val="24"/>
          <w:szCs w:val="24"/>
        </w:rPr>
        <w:t xml:space="preserve">, Liliana </w:t>
      </w:r>
      <w:proofErr w:type="spellStart"/>
      <w:r w:rsidRPr="002451B6">
        <w:rPr>
          <w:rFonts w:ascii="Times New Roman" w:eastAsia="Times New Roman" w:hAnsi="Times New Roman" w:cs="Times New Roman"/>
          <w:sz w:val="24"/>
          <w:szCs w:val="24"/>
        </w:rPr>
        <w:t>Gardella</w:t>
      </w:r>
      <w:proofErr w:type="spellEnd"/>
      <w:r w:rsidRPr="002451B6">
        <w:rPr>
          <w:rFonts w:ascii="Times New Roman" w:eastAsia="Times New Roman" w:hAnsi="Times New Roman" w:cs="Times New Roman"/>
          <w:sz w:val="24"/>
          <w:szCs w:val="24"/>
        </w:rPr>
        <w:t xml:space="preserve">, Miriam Lewin e Elisa </w:t>
      </w:r>
      <w:proofErr w:type="spellStart"/>
      <w:r w:rsidRPr="002451B6">
        <w:rPr>
          <w:rFonts w:ascii="Times New Roman" w:eastAsia="Times New Roman" w:hAnsi="Times New Roman" w:cs="Times New Roman"/>
          <w:sz w:val="24"/>
          <w:szCs w:val="24"/>
        </w:rPr>
        <w:t>Tokar</w:t>
      </w:r>
      <w:proofErr w:type="spellEnd"/>
      <w:r w:rsidRPr="002451B6">
        <w:rPr>
          <w:rFonts w:ascii="Times New Roman" w:eastAsia="Times New Roman" w:hAnsi="Times New Roman" w:cs="Times New Roman"/>
          <w:sz w:val="24"/>
          <w:szCs w:val="24"/>
        </w:rPr>
        <w:t xml:space="preserve"> a respeito das torturas sofridas na </w:t>
      </w:r>
      <w:proofErr w:type="spellStart"/>
      <w:r w:rsidRPr="002451B6">
        <w:rPr>
          <w:rFonts w:ascii="Times New Roman" w:eastAsia="Times New Roman" w:hAnsi="Times New Roman" w:cs="Times New Roman"/>
          <w:sz w:val="24"/>
          <w:szCs w:val="24"/>
        </w:rPr>
        <w:t>Escuela</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Mecanica</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Armada (ESMA). O livro tem dois eixos centrais, o sequestro e a violência sexual. Quanto ao sequestro, tratou-se na Argentina, de pessoas que foram desaparecidas e que permaneceram detidas ilegalmente. No caso das sobreviventes, elas reapareceram porque foram liberadas ou “legalizadas” (Bauer, 2011, p. 155). Em tais circunstâncias, são descritas sensações de perda absoluta da noção do tempo, do exílio e da vulnerabilidade extrema por que passaram. Também são narradas percepções de si como desaparecidas mesmo no pós-ditadura, até que pudessem encontrar condições sociais de escuta dos traumas. As violências sexuais são </w:t>
      </w:r>
      <w:r w:rsidRPr="002451B6">
        <w:rPr>
          <w:rFonts w:ascii="Times New Roman" w:eastAsia="Times New Roman" w:hAnsi="Times New Roman" w:cs="Times New Roman"/>
          <w:sz w:val="24"/>
          <w:szCs w:val="24"/>
        </w:rPr>
        <w:lastRenderedPageBreak/>
        <w:t xml:space="preserve">expostas em um ambiente de diálogo entre as sobreviventes, impenetrável a quem não viveu aquelas dores - o que nos parece ter sido o espaço necessário para que fosse possível testemunhar/registrar. </w:t>
      </w:r>
    </w:p>
    <w:p w14:paraId="63562E1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Apesar disso, o livro não teve a mesma repercussão de </w:t>
      </w:r>
      <w:r w:rsidRPr="002451B6">
        <w:rPr>
          <w:rFonts w:ascii="Times New Roman" w:eastAsia="Times New Roman" w:hAnsi="Times New Roman" w:cs="Times New Roman"/>
          <w:i/>
          <w:iCs/>
          <w:sz w:val="24"/>
          <w:szCs w:val="24"/>
        </w:rPr>
        <w:t xml:space="preserve">Putas y </w:t>
      </w:r>
      <w:proofErr w:type="spellStart"/>
      <w:r w:rsidRPr="002451B6">
        <w:rPr>
          <w:rFonts w:ascii="Times New Roman" w:eastAsia="Times New Roman" w:hAnsi="Times New Roman" w:cs="Times New Roman"/>
          <w:i/>
          <w:iCs/>
          <w:sz w:val="24"/>
          <w:szCs w:val="24"/>
        </w:rPr>
        <w:t>Guerrilleras</w:t>
      </w:r>
      <w:proofErr w:type="spellEnd"/>
      <w:r w:rsidRPr="002451B6">
        <w:rPr>
          <w:rFonts w:ascii="Times New Roman" w:eastAsia="Times New Roman" w:hAnsi="Times New Roman" w:cs="Times New Roman"/>
          <w:sz w:val="24"/>
          <w:szCs w:val="24"/>
        </w:rPr>
        <w:t xml:space="preserve">, de 2014, ao que atribuímos uma ampliação, especialmente jurídica da violência política de gênero como forma singular de vitimização praticada sobretudo contra as mulheres. A respeito das vítimas sobre as quais recaiu a suspeição da colaboração, o livro apresenta uma narrativa voltada para a perversão dos torturadores de um lado e, de outro, sobre o debate pendente entre as esquerdas, como uma espécie de acerto de contas com o passado à luz de uma conjuntura mais favorável à denúncia do “contrato” de manutenção do patriarcado que permite a naturalização da violência de gênero (Segato, 2003, p. 30). Apesar disso, nota-se ainda a necessidade de provar o estatuto de vítima no passado, desconstruindo “memórias </w:t>
      </w:r>
      <w:proofErr w:type="spellStart"/>
      <w:r w:rsidRPr="002451B6">
        <w:rPr>
          <w:rFonts w:ascii="Times New Roman" w:eastAsia="Times New Roman" w:hAnsi="Times New Roman" w:cs="Times New Roman"/>
          <w:sz w:val="24"/>
          <w:szCs w:val="24"/>
        </w:rPr>
        <w:t>patriarcalizadas</w:t>
      </w:r>
      <w:proofErr w:type="spellEnd"/>
      <w:r w:rsidRPr="002451B6">
        <w:rPr>
          <w:rFonts w:ascii="Times New Roman" w:eastAsia="Times New Roman" w:hAnsi="Times New Roman" w:cs="Times New Roman"/>
          <w:sz w:val="24"/>
          <w:szCs w:val="24"/>
        </w:rPr>
        <w:t xml:space="preserve">” (Tedeschi, 2015) da ditadura argentina a partir do recontar, do lembrar para não esquecer, do lembrar para educar a sociedade, do rememorar a sobrevivência para que ela deixe de ser também uma espécie de expiação. </w:t>
      </w:r>
    </w:p>
    <w:p w14:paraId="7C324AE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capa-título do livro evidencia o poder de fala conquistado, enquanto as realidades passadas descritas parecem insistir no direito à verdade e à justiça contra a violência de gênero, o que nos parece absolutamente justo e legítimo. Perguntamo-nos, contudo, como fazer destas memórias objetos de uma história </w:t>
      </w:r>
      <w:proofErr w:type="spellStart"/>
      <w:r w:rsidRPr="002451B6">
        <w:rPr>
          <w:rFonts w:ascii="Times New Roman" w:eastAsia="Times New Roman" w:hAnsi="Times New Roman" w:cs="Times New Roman"/>
          <w:sz w:val="24"/>
          <w:szCs w:val="24"/>
        </w:rPr>
        <w:t>glocal</w:t>
      </w:r>
      <w:proofErr w:type="spellEnd"/>
      <w:r w:rsidRPr="002451B6">
        <w:rPr>
          <w:rFonts w:ascii="Times New Roman" w:eastAsia="Times New Roman" w:hAnsi="Times New Roman" w:cs="Times New Roman"/>
          <w:sz w:val="24"/>
          <w:szCs w:val="24"/>
        </w:rPr>
        <w:t xml:space="preserve"> capaz de produzir categorias teóricas de compreensão que nos levem a novas perguntas epistemologicamente transformadas pela perspectiva de gênero? Tomando de empréstimo algumas ideias de Achille </w:t>
      </w:r>
      <w:proofErr w:type="spellStart"/>
      <w:r w:rsidRPr="002451B6">
        <w:rPr>
          <w:rFonts w:ascii="Times New Roman" w:eastAsia="Times New Roman" w:hAnsi="Times New Roman" w:cs="Times New Roman"/>
          <w:sz w:val="24"/>
          <w:szCs w:val="24"/>
        </w:rPr>
        <w:t>Mbembe</w:t>
      </w:r>
      <w:proofErr w:type="spellEnd"/>
      <w:r w:rsidRPr="002451B6">
        <w:rPr>
          <w:rFonts w:ascii="Times New Roman" w:eastAsia="Times New Roman" w:hAnsi="Times New Roman" w:cs="Times New Roman"/>
          <w:sz w:val="24"/>
          <w:szCs w:val="24"/>
        </w:rPr>
        <w:t xml:space="preserve"> (2021), como ultrapassar a perplexidade e compreender verticalmente esses processos de </w:t>
      </w:r>
      <w:proofErr w:type="spellStart"/>
      <w:r w:rsidRPr="002451B6">
        <w:rPr>
          <w:rFonts w:ascii="Times New Roman" w:eastAsia="Times New Roman" w:hAnsi="Times New Roman" w:cs="Times New Roman"/>
          <w:sz w:val="24"/>
          <w:szCs w:val="24"/>
        </w:rPr>
        <w:t>dessubjetivação</w:t>
      </w:r>
      <w:proofErr w:type="spellEnd"/>
      <w:r w:rsidRPr="002451B6">
        <w:rPr>
          <w:rFonts w:ascii="Times New Roman" w:eastAsia="Times New Roman" w:hAnsi="Times New Roman" w:cs="Times New Roman"/>
          <w:sz w:val="24"/>
          <w:szCs w:val="24"/>
        </w:rPr>
        <w:t xml:space="preserve"> a partir do gênero como práticas sociais que permanecem no escopo de possibilidades da vida comum? Este texto tentou realizar pequeninos passos nesse sentido. </w:t>
      </w:r>
    </w:p>
    <w:p w14:paraId="3071062B" w14:textId="77777777" w:rsidR="00332C33" w:rsidRPr="002451B6" w:rsidRDefault="00332C33">
      <w:pPr>
        <w:spacing w:line="360" w:lineRule="auto"/>
        <w:jc w:val="both"/>
        <w:rPr>
          <w:rFonts w:ascii="Times New Roman" w:eastAsia="Times New Roman" w:hAnsi="Times New Roman" w:cs="Times New Roman"/>
          <w:sz w:val="24"/>
          <w:szCs w:val="24"/>
        </w:rPr>
      </w:pPr>
    </w:p>
    <w:p w14:paraId="7B066F91"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Considerações finais </w:t>
      </w:r>
    </w:p>
    <w:p w14:paraId="40F3069C" w14:textId="77777777" w:rsidR="00332C33" w:rsidRPr="002451B6" w:rsidRDefault="00332C33">
      <w:pPr>
        <w:spacing w:line="360" w:lineRule="auto"/>
        <w:jc w:val="both"/>
        <w:rPr>
          <w:rFonts w:ascii="Times New Roman" w:eastAsia="Times New Roman" w:hAnsi="Times New Roman" w:cs="Times New Roman"/>
          <w:sz w:val="24"/>
          <w:szCs w:val="24"/>
        </w:rPr>
      </w:pPr>
    </w:p>
    <w:p w14:paraId="46516F1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Falar do “colaboracionismo” como forma de repressão e especificamente como violência política de gênero praticada no interior dos sistemas repressivos das ditaduras brasileira e argentina significa tornar visível a responsabilidade do Estado por esses crimes estrategicamente cometidos contra mulheres, pois astuciosamente sustentados por culturas </w:t>
      </w:r>
      <w:proofErr w:type="spellStart"/>
      <w:r w:rsidRPr="002451B6">
        <w:rPr>
          <w:rFonts w:ascii="Times New Roman" w:eastAsia="Times New Roman" w:hAnsi="Times New Roman" w:cs="Times New Roman"/>
          <w:sz w:val="24"/>
          <w:szCs w:val="24"/>
        </w:rPr>
        <w:t>patriarcalistas</w:t>
      </w:r>
      <w:proofErr w:type="spellEnd"/>
      <w:r w:rsidRPr="002451B6">
        <w:rPr>
          <w:rFonts w:ascii="Times New Roman" w:eastAsia="Times New Roman" w:hAnsi="Times New Roman" w:cs="Times New Roman"/>
          <w:sz w:val="24"/>
          <w:szCs w:val="24"/>
        </w:rPr>
        <w:t xml:space="preserve"> e cruéis. Ao mesmo tempo, trata-se de localizar as ditaduras num espaço de centralidade no interior do campo estrutural da cultura que atravessa ao menos cinco séculos de sedimentação na América Latina, reproduzindo e modulando desigualdades e preconceitos. </w:t>
      </w:r>
    </w:p>
    <w:p w14:paraId="3D202FE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Esse tipo de violência de transferência de culpa e desumanização adquiriu sistematicidade durante as ditaduras na segunda metade do século XX e incidiu sobre as mulheres. As violências de gênero que atingiram militantes revolucionárias como Inês Etienne Romeu foram alçadas à categoria de política do regime militar, produzindo efeitos que se perpetuam no tempo, como o medo/perigo imposto à militância feita por mulheres, a dominação dos corpos e a violação sexual das mulheres como mecanismos de poder legitimados institucionalmente pela impunidade dos torturadores - o que resulta na desestruturação moral, emocional e política do ímpeto de revolta e radicalidade à esquerda. </w:t>
      </w:r>
    </w:p>
    <w:p w14:paraId="16D9B91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Ao ampliarmos as lentes de observação, notamos com mais precisão as estratégias percorridas pelos agentes das ditaduras, como a oferta da “colaboração” como etapa seguinte à “quebra” pela violência sexual no caso brasileiro relatado por Inês Etienne Romeu; a vexação pública utilizada como instrumento pelos militares argentinos que levavam mulheres sequestradas para jantar e dançar em casas noturnas; a exposição da delação como último golpe de desumanização imposto às “colaboradoras” chilenas. Mas não só. O olhar detido verifica também o ambiente social no qual essas performances brutais, por vezes, foram acolhidas como verdade ou mesmo negadas. Na Argentina dos anos de 1980 e 1990, a suspeição que recaiu sobre as sobreviventes criou uma memória que ainda vem sendo tratada para que a hierarquização das vítimas ceda espaço à escuta singular e sensível de cada experiência. No Brasil, o silêncio está imposto e vigente diante de uma sociedade pautada no presente pelas direitas e, na última década, pela extrema-direita, assim como pelos pactos conservadores da liberdade das mídias digitais para falsear informações e pensamentos complexos a respeito da combinação entre violência, política e gênero. No que concerne ao campo específico da bibliografia especializada nos dois países, expusemos ao longo do capítulo características que demonstram as nuances que afetam a comunidade historiadora dedicada à temática, marcada especialmente pela escrita das próprias sobreviventes das ditaduras, como Maria Amélia Teles e Pilar </w:t>
      </w:r>
      <w:proofErr w:type="spellStart"/>
      <w:r w:rsidRPr="002451B6">
        <w:rPr>
          <w:rFonts w:ascii="Times New Roman" w:eastAsia="Times New Roman" w:hAnsi="Times New Roman" w:cs="Times New Roman"/>
          <w:sz w:val="24"/>
          <w:szCs w:val="24"/>
        </w:rPr>
        <w:t>Calveiro</w:t>
      </w:r>
      <w:proofErr w:type="spellEnd"/>
      <w:r w:rsidRPr="002451B6">
        <w:rPr>
          <w:rFonts w:ascii="Times New Roman" w:eastAsia="Times New Roman" w:hAnsi="Times New Roman" w:cs="Times New Roman"/>
          <w:sz w:val="24"/>
          <w:szCs w:val="24"/>
        </w:rPr>
        <w:t xml:space="preserve">. </w:t>
      </w:r>
    </w:p>
    <w:p w14:paraId="399F3001" w14:textId="77777777" w:rsidR="00332C33" w:rsidRPr="002451B6" w:rsidRDefault="00000000">
      <w:pPr>
        <w:spacing w:line="360" w:lineRule="auto"/>
        <w:ind w:firstLine="720"/>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 xml:space="preserve">Por fim, gostaríamos de apontar uma camada a mais de dor que integra o “colaboracionismo” como violência de gênero praticada pelas ditaduras: a transferência do sentimento de culpa da violação para a vítima. Não nos foi possível discutir com profundidade este aspecto neste capítulo, entre outras razões, porque nossa pesquisa está em andamento e se apresenta cheia de lacunas, perguntas que nos afligem, embora tenhamos consciência de que as perseguir é como soltar alguns fios de um nó ético, político e jurídico que se faz presente nas múltiplas violências cotidianas de gênero que, naturalizadas, afetam as mulheres, mas também uma grande diversidade de pessoas impedidas de dizerem: “Eu acuso”. Nesse ponto, </w:t>
      </w:r>
      <w:r w:rsidRPr="002451B6">
        <w:rPr>
          <w:rFonts w:ascii="Times New Roman" w:eastAsia="Times New Roman" w:hAnsi="Times New Roman" w:cs="Times New Roman"/>
          <w:sz w:val="24"/>
          <w:szCs w:val="24"/>
        </w:rPr>
        <w:lastRenderedPageBreak/>
        <w:t xml:space="preserve">trabalhamos no sentido de uma crítica epistemológica que nos permita construir uma memória política </w:t>
      </w:r>
      <w:proofErr w:type="spellStart"/>
      <w:r w:rsidRPr="002451B6">
        <w:rPr>
          <w:rFonts w:ascii="Times New Roman" w:eastAsia="Times New Roman" w:hAnsi="Times New Roman" w:cs="Times New Roman"/>
          <w:i/>
          <w:iCs/>
          <w:sz w:val="24"/>
          <w:szCs w:val="24"/>
        </w:rPr>
        <w:t>depatriarcalizada</w:t>
      </w:r>
      <w:proofErr w:type="spellEnd"/>
      <w:r w:rsidRPr="002451B6">
        <w:rPr>
          <w:rFonts w:ascii="Times New Roman" w:eastAsia="Times New Roman" w:hAnsi="Times New Roman" w:cs="Times New Roman"/>
          <w:sz w:val="24"/>
          <w:szCs w:val="24"/>
        </w:rPr>
        <w:t xml:space="preserve"> das mulheres sobreviventes do “colaboracionismo” - tomando por base o efeito de sentido do termo </w:t>
      </w:r>
      <w:r w:rsidRPr="002451B6">
        <w:rPr>
          <w:rFonts w:ascii="Times New Roman" w:eastAsia="Times New Roman" w:hAnsi="Times New Roman" w:cs="Times New Roman"/>
          <w:i/>
          <w:iCs/>
          <w:sz w:val="24"/>
          <w:szCs w:val="24"/>
        </w:rPr>
        <w:t xml:space="preserve">decolonialidade </w:t>
      </w:r>
      <w:r w:rsidRPr="002451B6">
        <w:rPr>
          <w:rFonts w:ascii="Times New Roman" w:eastAsia="Times New Roman" w:hAnsi="Times New Roman" w:cs="Times New Roman"/>
          <w:sz w:val="24"/>
          <w:szCs w:val="24"/>
        </w:rPr>
        <w:t xml:space="preserve">na sua intenção de projeção das vozes tradicionalmente não autorizadas pela História em cada momento histórico. </w:t>
      </w:r>
    </w:p>
    <w:p w14:paraId="1B6A2D07" w14:textId="77777777" w:rsidR="00332C33" w:rsidRPr="002451B6" w:rsidRDefault="00332C33"/>
    <w:p w14:paraId="534E380A" w14:textId="77777777" w:rsidR="00332C33" w:rsidRPr="002451B6" w:rsidRDefault="00332C33"/>
    <w:p w14:paraId="7AC8B0F2" w14:textId="77777777" w:rsidR="00332C33" w:rsidRPr="002451B6" w:rsidRDefault="00332C33"/>
    <w:p w14:paraId="0039218A" w14:textId="77777777" w:rsidR="00332C33" w:rsidRPr="002451B6" w:rsidRDefault="00000000">
      <w:pPr>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Referências </w:t>
      </w:r>
    </w:p>
    <w:p w14:paraId="2AC854B8" w14:textId="77777777" w:rsidR="00332C33" w:rsidRPr="002451B6" w:rsidRDefault="00332C33">
      <w:pPr>
        <w:jc w:val="center"/>
        <w:rPr>
          <w:rFonts w:ascii="Times New Roman" w:eastAsia="Times New Roman" w:hAnsi="Times New Roman" w:cs="Times New Roman"/>
          <w:b/>
          <w:bCs/>
          <w:sz w:val="24"/>
          <w:szCs w:val="24"/>
        </w:rPr>
      </w:pPr>
    </w:p>
    <w:p w14:paraId="6266E96A" w14:textId="77777777" w:rsidR="00332C33" w:rsidRPr="002451B6" w:rsidRDefault="00000000">
      <w:pPr>
        <w:spacing w:before="2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ÁLVAREZ, V. Género y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Memorias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represión</w:t>
      </w:r>
      <w:proofErr w:type="spellEnd"/>
      <w:r w:rsidRPr="002451B6">
        <w:rPr>
          <w:rFonts w:ascii="Times New Roman" w:eastAsia="Times New Roman" w:hAnsi="Times New Roman" w:cs="Times New Roman"/>
          <w:sz w:val="24"/>
          <w:szCs w:val="24"/>
        </w:rPr>
        <w:t xml:space="preserve"> sobre </w:t>
      </w:r>
      <w:proofErr w:type="spellStart"/>
      <w:r w:rsidRPr="002451B6">
        <w:rPr>
          <w:rFonts w:ascii="Times New Roman" w:eastAsia="Times New Roman" w:hAnsi="Times New Roman" w:cs="Times New Roman"/>
          <w:sz w:val="24"/>
          <w:szCs w:val="24"/>
        </w:rPr>
        <w:t>los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cuerpos</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las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mujeres</w:t>
      </w:r>
      <w:proofErr w:type="spellEnd"/>
      <w:r w:rsidRPr="002451B6">
        <w:rPr>
          <w:rFonts w:ascii="Times New Roman" w:eastAsia="Times New Roman" w:hAnsi="Times New Roman" w:cs="Times New Roman"/>
          <w:sz w:val="24"/>
          <w:szCs w:val="24"/>
        </w:rPr>
        <w:t xml:space="preserve"> durante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última </w:t>
      </w:r>
      <w:proofErr w:type="spellStart"/>
      <w:r w:rsidRPr="002451B6">
        <w:rPr>
          <w:rFonts w:ascii="Times New Roman" w:eastAsia="Times New Roman" w:hAnsi="Times New Roman" w:cs="Times New Roman"/>
          <w:sz w:val="24"/>
          <w:szCs w:val="24"/>
        </w:rPr>
        <w:t>dictadura</w:t>
      </w:r>
      <w:proofErr w:type="spellEnd"/>
      <w:r w:rsidRPr="002451B6">
        <w:rPr>
          <w:rFonts w:ascii="Times New Roman" w:eastAsia="Times New Roman" w:hAnsi="Times New Roman" w:cs="Times New Roman"/>
          <w:sz w:val="24"/>
          <w:szCs w:val="24"/>
        </w:rPr>
        <w:t xml:space="preserve"> militar argentina. </w:t>
      </w:r>
      <w:proofErr w:type="spellStart"/>
      <w:r w:rsidRPr="002451B6">
        <w:rPr>
          <w:rFonts w:ascii="Times New Roman" w:eastAsia="Times New Roman" w:hAnsi="Times New Roman" w:cs="Times New Roman"/>
          <w:i/>
          <w:iCs/>
          <w:sz w:val="24"/>
          <w:szCs w:val="24"/>
        </w:rPr>
        <w:t>Nomadías</w:t>
      </w:r>
      <w:proofErr w:type="spellEnd"/>
      <w:r w:rsidRPr="002451B6">
        <w:rPr>
          <w:rFonts w:ascii="Times New Roman" w:eastAsia="Times New Roman" w:hAnsi="Times New Roman" w:cs="Times New Roman"/>
          <w:sz w:val="24"/>
          <w:szCs w:val="24"/>
        </w:rPr>
        <w:t>, [S. l.], n. 19, 2015.</w:t>
      </w:r>
    </w:p>
    <w:p w14:paraId="2115762E" w14:textId="77777777" w:rsidR="00332C33" w:rsidRPr="002451B6" w:rsidRDefault="00000000">
      <w:pPr>
        <w:spacing w:before="2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ARCE, L.</w:t>
      </w:r>
      <w:r w:rsidRPr="002451B6">
        <w:rPr>
          <w:rFonts w:ascii="Times New Roman" w:eastAsia="Times New Roman" w:hAnsi="Times New Roman" w:cs="Times New Roman"/>
          <w:i/>
          <w:iCs/>
          <w:sz w:val="24"/>
          <w:szCs w:val="24"/>
        </w:rPr>
        <w:t xml:space="preserve"> El </w:t>
      </w:r>
      <w:proofErr w:type="spellStart"/>
      <w:r w:rsidRPr="002451B6">
        <w:rPr>
          <w:rFonts w:ascii="Times New Roman" w:eastAsia="Times New Roman" w:hAnsi="Times New Roman" w:cs="Times New Roman"/>
          <w:i/>
          <w:iCs/>
          <w:sz w:val="24"/>
          <w:szCs w:val="24"/>
        </w:rPr>
        <w:t>infierno</w:t>
      </w:r>
      <w:proofErr w:type="spellEnd"/>
      <w:r w:rsidRPr="002451B6">
        <w:rPr>
          <w:rFonts w:ascii="Times New Roman" w:eastAsia="Times New Roman" w:hAnsi="Times New Roman" w:cs="Times New Roman"/>
          <w:sz w:val="24"/>
          <w:szCs w:val="24"/>
        </w:rPr>
        <w:t>. Santiago: Planeta, 1993.</w:t>
      </w:r>
    </w:p>
    <w:p w14:paraId="4F63810D" w14:textId="77777777" w:rsidR="00332C33" w:rsidRPr="002451B6" w:rsidRDefault="00000000">
      <w:pPr>
        <w:spacing w:before="2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CALVEIRO, P. </w:t>
      </w:r>
      <w:r w:rsidRPr="002451B6">
        <w:rPr>
          <w:rFonts w:ascii="Times New Roman" w:eastAsia="Times New Roman" w:hAnsi="Times New Roman" w:cs="Times New Roman"/>
          <w:i/>
          <w:iCs/>
          <w:sz w:val="24"/>
          <w:szCs w:val="24"/>
        </w:rPr>
        <w:t xml:space="preserve">Poder y </w:t>
      </w:r>
      <w:proofErr w:type="spellStart"/>
      <w:r w:rsidRPr="002451B6">
        <w:rPr>
          <w:rFonts w:ascii="Times New Roman" w:eastAsia="Times New Roman" w:hAnsi="Times New Roman" w:cs="Times New Roman"/>
          <w:i/>
          <w:iCs/>
          <w:sz w:val="24"/>
          <w:szCs w:val="24"/>
        </w:rPr>
        <w:t>desaparición</w:t>
      </w:r>
      <w:proofErr w:type="spellEnd"/>
      <w:r w:rsidRPr="002451B6">
        <w:rPr>
          <w:rFonts w:ascii="Times New Roman" w:eastAsia="Times New Roman" w:hAnsi="Times New Roman" w:cs="Times New Roman"/>
          <w:i/>
          <w:iCs/>
          <w:sz w:val="24"/>
          <w:szCs w:val="24"/>
        </w:rPr>
        <w:t xml:space="preserve">. Campos de </w:t>
      </w:r>
      <w:proofErr w:type="spellStart"/>
      <w:r w:rsidRPr="002451B6">
        <w:rPr>
          <w:rFonts w:ascii="Times New Roman" w:eastAsia="Times New Roman" w:hAnsi="Times New Roman" w:cs="Times New Roman"/>
          <w:i/>
          <w:iCs/>
          <w:sz w:val="24"/>
          <w:szCs w:val="24"/>
        </w:rPr>
        <w:t>concentración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en</w:t>
      </w:r>
      <w:proofErr w:type="spellEnd"/>
      <w:r w:rsidRPr="002451B6">
        <w:rPr>
          <w:rFonts w:ascii="Times New Roman" w:eastAsia="Times New Roman" w:hAnsi="Times New Roman" w:cs="Times New Roman"/>
          <w:i/>
          <w:iCs/>
          <w:sz w:val="24"/>
          <w:szCs w:val="24"/>
        </w:rPr>
        <w:t xml:space="preserve"> Argentina (1976-1980).</w:t>
      </w:r>
      <w:r w:rsidRPr="002451B6">
        <w:rPr>
          <w:rFonts w:ascii="Times New Roman" w:eastAsia="Times New Roman" w:hAnsi="Times New Roman" w:cs="Times New Roman"/>
          <w:sz w:val="24"/>
          <w:szCs w:val="24"/>
        </w:rPr>
        <w:t xml:space="preserve"> 1995. </w:t>
      </w:r>
      <w:proofErr w:type="spellStart"/>
      <w:r w:rsidRPr="002451B6">
        <w:rPr>
          <w:rFonts w:ascii="Times New Roman" w:eastAsia="Times New Roman" w:hAnsi="Times New Roman" w:cs="Times New Roman"/>
          <w:sz w:val="24"/>
          <w:szCs w:val="24"/>
        </w:rPr>
        <w:t>Tesis</w:t>
      </w:r>
      <w:proofErr w:type="spellEnd"/>
      <w:r w:rsidRPr="002451B6">
        <w:rPr>
          <w:rFonts w:ascii="Times New Roman" w:eastAsia="Times New Roman" w:hAnsi="Times New Roman" w:cs="Times New Roman"/>
          <w:sz w:val="24"/>
          <w:szCs w:val="24"/>
        </w:rPr>
        <w:t xml:space="preserve"> para </w:t>
      </w:r>
      <w:proofErr w:type="spellStart"/>
      <w:r w:rsidRPr="002451B6">
        <w:rPr>
          <w:rFonts w:ascii="Times New Roman" w:eastAsia="Times New Roman" w:hAnsi="Times New Roman" w:cs="Times New Roman"/>
          <w:sz w:val="24"/>
          <w:szCs w:val="24"/>
        </w:rPr>
        <w:t>obtener</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el</w:t>
      </w:r>
      <w:proofErr w:type="spellEnd"/>
      <w:r w:rsidRPr="002451B6">
        <w:rPr>
          <w:rFonts w:ascii="Times New Roman" w:eastAsia="Times New Roman" w:hAnsi="Times New Roman" w:cs="Times New Roman"/>
          <w:sz w:val="24"/>
          <w:szCs w:val="24"/>
        </w:rPr>
        <w:t xml:space="preserve"> título de Maestra </w:t>
      </w:r>
      <w:proofErr w:type="spellStart"/>
      <w:r w:rsidRPr="002451B6">
        <w:rPr>
          <w:rFonts w:ascii="Times New Roman" w:eastAsia="Times New Roman" w:hAnsi="Times New Roman" w:cs="Times New Roman"/>
          <w:sz w:val="24"/>
          <w:szCs w:val="24"/>
        </w:rPr>
        <w:t>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Ciencias</w:t>
      </w:r>
      <w:proofErr w:type="spellEnd"/>
      <w:r w:rsidRPr="002451B6">
        <w:rPr>
          <w:rFonts w:ascii="Times New Roman" w:eastAsia="Times New Roman" w:hAnsi="Times New Roman" w:cs="Times New Roman"/>
          <w:sz w:val="24"/>
          <w:szCs w:val="24"/>
        </w:rPr>
        <w:t xml:space="preserve"> Políticas. </w:t>
      </w:r>
      <w:proofErr w:type="spellStart"/>
      <w:r w:rsidRPr="002451B6">
        <w:rPr>
          <w:rFonts w:ascii="Times New Roman" w:eastAsia="Times New Roman" w:hAnsi="Times New Roman" w:cs="Times New Roman"/>
          <w:sz w:val="24"/>
          <w:szCs w:val="24"/>
        </w:rPr>
        <w:t>Facultad</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Ciencias</w:t>
      </w:r>
      <w:proofErr w:type="spellEnd"/>
      <w:r w:rsidRPr="002451B6">
        <w:rPr>
          <w:rFonts w:ascii="Times New Roman" w:eastAsia="Times New Roman" w:hAnsi="Times New Roman" w:cs="Times New Roman"/>
          <w:sz w:val="24"/>
          <w:szCs w:val="24"/>
        </w:rPr>
        <w:t xml:space="preserve"> Políticas y Sociales. </w:t>
      </w:r>
      <w:proofErr w:type="spellStart"/>
      <w:r w:rsidRPr="002451B6">
        <w:rPr>
          <w:rFonts w:ascii="Times New Roman" w:eastAsia="Times New Roman" w:hAnsi="Times New Roman" w:cs="Times New Roman"/>
          <w:sz w:val="24"/>
          <w:szCs w:val="24"/>
        </w:rPr>
        <w:t>Universidad</w:t>
      </w:r>
      <w:proofErr w:type="spellEnd"/>
      <w:r w:rsidRPr="002451B6">
        <w:rPr>
          <w:rFonts w:ascii="Times New Roman" w:eastAsia="Times New Roman" w:hAnsi="Times New Roman" w:cs="Times New Roman"/>
          <w:sz w:val="24"/>
          <w:szCs w:val="24"/>
        </w:rPr>
        <w:t xml:space="preserve"> Nacional </w:t>
      </w:r>
      <w:proofErr w:type="spellStart"/>
      <w:r w:rsidRPr="002451B6">
        <w:rPr>
          <w:rFonts w:ascii="Times New Roman" w:eastAsia="Times New Roman" w:hAnsi="Times New Roman" w:cs="Times New Roman"/>
          <w:sz w:val="24"/>
          <w:szCs w:val="24"/>
        </w:rPr>
        <w:t>Autonoma</w:t>
      </w:r>
      <w:proofErr w:type="spellEnd"/>
      <w:r w:rsidRPr="002451B6">
        <w:rPr>
          <w:rFonts w:ascii="Times New Roman" w:eastAsia="Times New Roman" w:hAnsi="Times New Roman" w:cs="Times New Roman"/>
          <w:sz w:val="24"/>
          <w:szCs w:val="24"/>
        </w:rPr>
        <w:t xml:space="preserve"> de Mexico, Mexico, 1995.   </w:t>
      </w:r>
    </w:p>
    <w:p w14:paraId="375AAE5C" w14:textId="77777777" w:rsidR="00332C33" w:rsidRPr="002451B6" w:rsidRDefault="00332C33">
      <w:pPr>
        <w:jc w:val="both"/>
        <w:rPr>
          <w:rFonts w:ascii="Times New Roman" w:eastAsia="Times New Roman" w:hAnsi="Times New Roman" w:cs="Times New Roman"/>
          <w:sz w:val="24"/>
          <w:szCs w:val="24"/>
        </w:rPr>
      </w:pPr>
    </w:p>
    <w:p w14:paraId="2CDFC2B5"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BAUER, C. </w:t>
      </w:r>
      <w:r w:rsidRPr="002451B6">
        <w:rPr>
          <w:rFonts w:ascii="Times New Roman" w:eastAsia="Times New Roman" w:hAnsi="Times New Roman" w:cs="Times New Roman"/>
          <w:i/>
          <w:iCs/>
          <w:sz w:val="24"/>
          <w:szCs w:val="24"/>
        </w:rPr>
        <w:t>Um estudo comparativo das práticas de desaparecimento nas ditaduras civil-militares argentina e brasileira e a elaboração de políticas de memória em ambos os países</w:t>
      </w:r>
      <w:r w:rsidRPr="002451B6">
        <w:rPr>
          <w:rFonts w:ascii="Times New Roman" w:eastAsia="Times New Roman" w:hAnsi="Times New Roman" w:cs="Times New Roman"/>
          <w:sz w:val="24"/>
          <w:szCs w:val="24"/>
        </w:rPr>
        <w:t xml:space="preserve">. 2011. Tese (Doutorado em História) - Instituto de Filosofia e Ciências Humanas - Programa de Pós-Graduação em História, Universidade Federal do Rio Grande do Sul. Porto Alegre, 2011. </w:t>
      </w:r>
    </w:p>
    <w:p w14:paraId="1F3D77F1" w14:textId="77777777" w:rsidR="00332C33" w:rsidRPr="002451B6" w:rsidRDefault="00332C33">
      <w:pPr>
        <w:jc w:val="both"/>
        <w:rPr>
          <w:rFonts w:ascii="Times New Roman" w:eastAsia="Times New Roman" w:hAnsi="Times New Roman" w:cs="Times New Roman"/>
          <w:sz w:val="24"/>
          <w:szCs w:val="24"/>
        </w:rPr>
      </w:pPr>
    </w:p>
    <w:p w14:paraId="142F1865"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DAHÁS, N.; JOFFILY, M; RIBERTI, 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1968:</w:t>
      </w:r>
      <w:r w:rsidRPr="002451B6">
        <w:rPr>
          <w:rFonts w:ascii="Times New Roman" w:eastAsia="Times New Roman" w:hAnsi="Times New Roman" w:cs="Times New Roman"/>
          <w:sz w:val="24"/>
          <w:szCs w:val="24"/>
        </w:rPr>
        <w:t xml:space="preserve"> perspectivas desde o tempo presente (</w:t>
      </w:r>
      <w:proofErr w:type="spellStart"/>
      <w:r w:rsidRPr="002451B6">
        <w:rPr>
          <w:rFonts w:ascii="Times New Roman" w:eastAsia="Times New Roman" w:hAnsi="Times New Roman" w:cs="Times New Roman"/>
          <w:sz w:val="24"/>
          <w:szCs w:val="24"/>
        </w:rPr>
        <w:t>orgs</w:t>
      </w:r>
      <w:proofErr w:type="spellEnd"/>
      <w:r w:rsidRPr="002451B6">
        <w:rPr>
          <w:rFonts w:ascii="Times New Roman" w:eastAsia="Times New Roman" w:hAnsi="Times New Roman" w:cs="Times New Roman"/>
          <w:sz w:val="24"/>
          <w:szCs w:val="24"/>
        </w:rPr>
        <w:t xml:space="preserve">.). São Paulo: Letra e Voz; 2020. </w:t>
      </w:r>
    </w:p>
    <w:p w14:paraId="6DC784E0" w14:textId="77777777" w:rsidR="00332C33" w:rsidRPr="002451B6" w:rsidRDefault="00332C33">
      <w:pPr>
        <w:jc w:val="both"/>
        <w:rPr>
          <w:rFonts w:ascii="Times New Roman" w:eastAsia="Times New Roman" w:hAnsi="Times New Roman" w:cs="Times New Roman"/>
          <w:sz w:val="24"/>
          <w:szCs w:val="24"/>
        </w:rPr>
      </w:pPr>
    </w:p>
    <w:p w14:paraId="1A416955"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KOTSCHO, M. Tortura é ferida que não cicatriza’, diz Amelinha, vítima da ditadura. </w:t>
      </w:r>
      <w:r w:rsidRPr="002451B6">
        <w:rPr>
          <w:rFonts w:ascii="Times New Roman" w:eastAsia="Times New Roman" w:hAnsi="Times New Roman" w:cs="Times New Roman"/>
          <w:i/>
          <w:iCs/>
          <w:sz w:val="24"/>
          <w:szCs w:val="24"/>
        </w:rPr>
        <w:t>Portal Geledés</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4 mai. 2022. </w:t>
      </w:r>
    </w:p>
    <w:p w14:paraId="5A72A158" w14:textId="77777777" w:rsidR="00332C33" w:rsidRPr="002451B6" w:rsidRDefault="00000000">
      <w:pPr>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Disponível em: https://www.geledes.org.br/tortura-e-ferida-que-nao-cicatriza-diz-amelinha-vitima-da-ditadura/. Acesso em: 10 fev. 2024. </w:t>
      </w:r>
    </w:p>
    <w:p w14:paraId="7AA48109" w14:textId="77777777" w:rsidR="00332C33" w:rsidRPr="002451B6" w:rsidRDefault="00332C33">
      <w:pPr>
        <w:jc w:val="both"/>
        <w:rPr>
          <w:rFonts w:ascii="Times New Roman" w:eastAsia="Times New Roman" w:hAnsi="Times New Roman" w:cs="Times New Roman"/>
          <w:sz w:val="24"/>
          <w:szCs w:val="24"/>
        </w:rPr>
      </w:pPr>
    </w:p>
    <w:p w14:paraId="13F72ED5"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LA FLACA </w:t>
      </w:r>
      <w:proofErr w:type="spellStart"/>
      <w:r w:rsidRPr="002451B6">
        <w:rPr>
          <w:rFonts w:ascii="Times New Roman" w:eastAsia="Times New Roman" w:hAnsi="Times New Roman" w:cs="Times New Roman"/>
          <w:sz w:val="24"/>
          <w:szCs w:val="24"/>
        </w:rPr>
        <w:t>Alejandra</w:t>
      </w:r>
      <w:proofErr w:type="spellEnd"/>
      <w:r w:rsidRPr="002451B6">
        <w:rPr>
          <w:rFonts w:ascii="Times New Roman" w:eastAsia="Times New Roman" w:hAnsi="Times New Roman" w:cs="Times New Roman"/>
          <w:sz w:val="24"/>
          <w:szCs w:val="24"/>
        </w:rPr>
        <w:t xml:space="preserve">. Direção: Carmen Castillo e Guy Girard. Roteiro: Carmen Castillo. Chile: </w:t>
      </w:r>
      <w:proofErr w:type="spellStart"/>
      <w:r w:rsidRPr="002451B6">
        <w:rPr>
          <w:rFonts w:ascii="Times New Roman" w:eastAsia="Times New Roman" w:hAnsi="Times New Roman" w:cs="Times New Roman"/>
          <w:sz w:val="24"/>
          <w:szCs w:val="24"/>
        </w:rPr>
        <w:t>Ina</w:t>
      </w:r>
      <w:proofErr w:type="spellEnd"/>
      <w:r w:rsidRPr="002451B6">
        <w:rPr>
          <w:rFonts w:ascii="Times New Roman" w:eastAsia="Times New Roman" w:hAnsi="Times New Roman" w:cs="Times New Roman"/>
          <w:sz w:val="24"/>
          <w:szCs w:val="24"/>
        </w:rPr>
        <w:t xml:space="preserve">, France 3, </w:t>
      </w:r>
      <w:proofErr w:type="spellStart"/>
      <w:r w:rsidRPr="002451B6">
        <w:rPr>
          <w:rFonts w:ascii="Times New Roman" w:eastAsia="Times New Roman" w:hAnsi="Times New Roman" w:cs="Times New Roman"/>
          <w:sz w:val="24"/>
          <w:szCs w:val="24"/>
        </w:rPr>
        <w:t>Channel</w:t>
      </w:r>
      <w:proofErr w:type="spellEnd"/>
      <w:r w:rsidRPr="002451B6">
        <w:rPr>
          <w:rFonts w:ascii="Times New Roman" w:eastAsia="Times New Roman" w:hAnsi="Times New Roman" w:cs="Times New Roman"/>
          <w:sz w:val="24"/>
          <w:szCs w:val="24"/>
        </w:rPr>
        <w:t xml:space="preserve"> 4. 1994. 60 minutos.</w:t>
      </w:r>
    </w:p>
    <w:p w14:paraId="0CCC5EE6" w14:textId="77777777" w:rsidR="00332C33" w:rsidRPr="002451B6" w:rsidRDefault="00332C33">
      <w:pPr>
        <w:jc w:val="both"/>
        <w:rPr>
          <w:rFonts w:ascii="Times New Roman" w:eastAsia="Times New Roman" w:hAnsi="Times New Roman" w:cs="Times New Roman"/>
          <w:sz w:val="24"/>
          <w:szCs w:val="24"/>
        </w:rPr>
      </w:pPr>
    </w:p>
    <w:p w14:paraId="176155E7"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LEITE, I; GUMIERI, J.; CARVALHO, L. P. de C.; GHERINI, P. M. de M. </w:t>
      </w:r>
      <w:r w:rsidRPr="002451B6">
        <w:rPr>
          <w:rFonts w:ascii="Times New Roman" w:eastAsia="Times New Roman" w:hAnsi="Times New Roman" w:cs="Times New Roman"/>
          <w:i/>
          <w:iCs/>
          <w:sz w:val="24"/>
          <w:szCs w:val="24"/>
        </w:rPr>
        <w:t>Se eu morrer, Inês Etienne e a denúncia da violência de Estado e de gênero.</w:t>
      </w:r>
      <w:r w:rsidRPr="002451B6">
        <w:rPr>
          <w:rFonts w:ascii="Times New Roman" w:eastAsia="Times New Roman" w:hAnsi="Times New Roman" w:cs="Times New Roman"/>
          <w:sz w:val="24"/>
          <w:szCs w:val="24"/>
        </w:rPr>
        <w:t xml:space="preserve"> Editora Monstra; Instituto Temporário de Pesquisa sobre Censura da Casa 1, 2021. </w:t>
      </w:r>
    </w:p>
    <w:p w14:paraId="0C29492D" w14:textId="77777777" w:rsidR="00332C33" w:rsidRPr="002451B6" w:rsidRDefault="00332C33">
      <w:pPr>
        <w:jc w:val="both"/>
        <w:rPr>
          <w:rFonts w:ascii="Times New Roman" w:eastAsia="Times New Roman" w:hAnsi="Times New Roman" w:cs="Times New Roman"/>
          <w:sz w:val="24"/>
          <w:szCs w:val="24"/>
        </w:rPr>
      </w:pPr>
    </w:p>
    <w:p w14:paraId="26E8F70D"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LEWIN, M.; ACTIS, M.; ALDINI, C.; GARDELLA, L.; TOKA, E. </w:t>
      </w:r>
      <w:proofErr w:type="spellStart"/>
      <w:r w:rsidRPr="002451B6">
        <w:rPr>
          <w:rFonts w:ascii="Times New Roman" w:eastAsia="Times New Roman" w:hAnsi="Times New Roman" w:cs="Times New Roman"/>
          <w:i/>
          <w:iCs/>
          <w:sz w:val="24"/>
          <w:szCs w:val="24"/>
        </w:rPr>
        <w:t>Ese</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Infierno</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sz w:val="24"/>
          <w:szCs w:val="24"/>
        </w:rPr>
        <w:t>Conversaciones</w:t>
      </w:r>
      <w:proofErr w:type="spellEnd"/>
      <w:r w:rsidRPr="002451B6">
        <w:rPr>
          <w:rFonts w:ascii="Times New Roman" w:eastAsia="Times New Roman" w:hAnsi="Times New Roman" w:cs="Times New Roman"/>
          <w:sz w:val="24"/>
          <w:szCs w:val="24"/>
        </w:rPr>
        <w:t xml:space="preserve"> de cinco </w:t>
      </w:r>
      <w:proofErr w:type="spellStart"/>
      <w:r w:rsidRPr="002451B6">
        <w:rPr>
          <w:rFonts w:ascii="Times New Roman" w:eastAsia="Times New Roman" w:hAnsi="Times New Roman" w:cs="Times New Roman"/>
          <w:sz w:val="24"/>
          <w:szCs w:val="24"/>
        </w:rPr>
        <w:t>mujeres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sobrevivientes</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ESMA. Editorial </w:t>
      </w:r>
      <w:proofErr w:type="spellStart"/>
      <w:r w:rsidRPr="002451B6">
        <w:rPr>
          <w:rFonts w:ascii="Times New Roman" w:eastAsia="Times New Roman" w:hAnsi="Times New Roman" w:cs="Times New Roman"/>
          <w:sz w:val="24"/>
          <w:szCs w:val="24"/>
        </w:rPr>
        <w:t>Sudamericana</w:t>
      </w:r>
      <w:proofErr w:type="spellEnd"/>
      <w:r w:rsidRPr="002451B6">
        <w:rPr>
          <w:rFonts w:ascii="Times New Roman" w:eastAsia="Times New Roman" w:hAnsi="Times New Roman" w:cs="Times New Roman"/>
          <w:sz w:val="24"/>
          <w:szCs w:val="24"/>
        </w:rPr>
        <w:t xml:space="preserve">, 2001. </w:t>
      </w:r>
    </w:p>
    <w:p w14:paraId="525A6DEF" w14:textId="77777777" w:rsidR="00332C33" w:rsidRPr="002451B6" w:rsidRDefault="00332C33">
      <w:pPr>
        <w:jc w:val="both"/>
        <w:rPr>
          <w:rFonts w:ascii="Times New Roman" w:eastAsia="Times New Roman" w:hAnsi="Times New Roman" w:cs="Times New Roman"/>
          <w:sz w:val="24"/>
          <w:szCs w:val="24"/>
        </w:rPr>
      </w:pPr>
    </w:p>
    <w:p w14:paraId="72385D36"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LEWIN, M.; WORNAT, O. </w:t>
      </w:r>
      <w:r w:rsidRPr="002451B6">
        <w:rPr>
          <w:rFonts w:ascii="Times New Roman" w:eastAsia="Times New Roman" w:hAnsi="Times New Roman" w:cs="Times New Roman"/>
          <w:i/>
          <w:iCs/>
          <w:sz w:val="24"/>
          <w:szCs w:val="24"/>
        </w:rPr>
        <w:t xml:space="preserve">Putas y </w:t>
      </w:r>
      <w:proofErr w:type="spellStart"/>
      <w:r w:rsidRPr="002451B6">
        <w:rPr>
          <w:rFonts w:ascii="Times New Roman" w:eastAsia="Times New Roman" w:hAnsi="Times New Roman" w:cs="Times New Roman"/>
          <w:i/>
          <w:iCs/>
          <w:sz w:val="24"/>
          <w:szCs w:val="24"/>
        </w:rPr>
        <w:t>guerrilleras</w:t>
      </w:r>
      <w:proofErr w:type="spellEnd"/>
      <w:r w:rsidRPr="002451B6">
        <w:rPr>
          <w:rFonts w:ascii="Times New Roman" w:eastAsia="Times New Roman" w:hAnsi="Times New Roman" w:cs="Times New Roman"/>
          <w:sz w:val="24"/>
          <w:szCs w:val="24"/>
        </w:rPr>
        <w:t xml:space="preserve"> - 1a ed. - </w:t>
      </w:r>
      <w:proofErr w:type="spellStart"/>
      <w:r w:rsidRPr="002451B6">
        <w:rPr>
          <w:rFonts w:ascii="Times New Roman" w:eastAsia="Times New Roman" w:hAnsi="Times New Roman" w:cs="Times New Roman"/>
          <w:sz w:val="24"/>
          <w:szCs w:val="24"/>
        </w:rPr>
        <w:t>Ciudad</w:t>
      </w:r>
      <w:proofErr w:type="spellEnd"/>
      <w:r w:rsidRPr="002451B6">
        <w:rPr>
          <w:rFonts w:ascii="Times New Roman" w:eastAsia="Times New Roman" w:hAnsi="Times New Roman" w:cs="Times New Roman"/>
          <w:sz w:val="24"/>
          <w:szCs w:val="24"/>
        </w:rPr>
        <w:t xml:space="preserve"> Autónoma de. Buenos Aires: Planeta, 2014.</w:t>
      </w:r>
    </w:p>
    <w:p w14:paraId="775CD654" w14:textId="77777777" w:rsidR="00332C33" w:rsidRPr="002451B6" w:rsidRDefault="00332C33">
      <w:pPr>
        <w:jc w:val="both"/>
        <w:rPr>
          <w:rFonts w:ascii="Times New Roman" w:eastAsia="Times New Roman" w:hAnsi="Times New Roman" w:cs="Times New Roman"/>
          <w:sz w:val="24"/>
          <w:szCs w:val="24"/>
        </w:rPr>
      </w:pPr>
    </w:p>
    <w:p w14:paraId="3F973C24"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LONGONI, A.</w:t>
      </w:r>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Traiciones</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La figura </w:t>
      </w:r>
      <w:proofErr w:type="spellStart"/>
      <w:r w:rsidRPr="002451B6">
        <w:rPr>
          <w:rFonts w:ascii="Times New Roman" w:eastAsia="Times New Roman" w:hAnsi="Times New Roman" w:cs="Times New Roman"/>
          <w:sz w:val="24"/>
          <w:szCs w:val="24"/>
        </w:rPr>
        <w:t>del</w:t>
      </w:r>
      <w:proofErr w:type="spellEnd"/>
      <w:r w:rsidRPr="002451B6">
        <w:rPr>
          <w:rFonts w:ascii="Times New Roman" w:eastAsia="Times New Roman" w:hAnsi="Times New Roman" w:cs="Times New Roman"/>
          <w:sz w:val="24"/>
          <w:szCs w:val="24"/>
        </w:rPr>
        <w:t xml:space="preserve"> traidor </w:t>
      </w:r>
      <w:proofErr w:type="spellStart"/>
      <w:r w:rsidRPr="002451B6">
        <w:rPr>
          <w:rFonts w:ascii="Times New Roman" w:eastAsia="Times New Roman" w:hAnsi="Times New Roman" w:cs="Times New Roman"/>
          <w:sz w:val="24"/>
          <w:szCs w:val="24"/>
        </w:rPr>
        <w:t>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los</w:t>
      </w:r>
      <w:proofErr w:type="spellEnd"/>
      <w:r w:rsidRPr="002451B6">
        <w:rPr>
          <w:rFonts w:ascii="Times New Roman" w:eastAsia="Times New Roman" w:hAnsi="Times New Roman" w:cs="Times New Roman"/>
          <w:sz w:val="24"/>
          <w:szCs w:val="24"/>
        </w:rPr>
        <w:t xml:space="preserve"> relatos acerca de </w:t>
      </w:r>
      <w:proofErr w:type="spellStart"/>
      <w:r w:rsidRPr="002451B6">
        <w:rPr>
          <w:rFonts w:ascii="Times New Roman" w:eastAsia="Times New Roman" w:hAnsi="Times New Roman" w:cs="Times New Roman"/>
          <w:sz w:val="24"/>
          <w:szCs w:val="24"/>
        </w:rPr>
        <w:t>sobrevivientes</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represión</w:t>
      </w:r>
      <w:proofErr w:type="spellEnd"/>
      <w:r w:rsidRPr="002451B6">
        <w:rPr>
          <w:rFonts w:ascii="Times New Roman" w:eastAsia="Times New Roman" w:hAnsi="Times New Roman" w:cs="Times New Roman"/>
          <w:sz w:val="24"/>
          <w:szCs w:val="24"/>
        </w:rPr>
        <w:t xml:space="preserve">. Buenos Aires: Casa Editorial Norma, 2007. </w:t>
      </w:r>
    </w:p>
    <w:p w14:paraId="27EB1303" w14:textId="77777777" w:rsidR="00332C33" w:rsidRPr="002451B6" w:rsidRDefault="00332C33">
      <w:pPr>
        <w:jc w:val="both"/>
        <w:rPr>
          <w:rFonts w:ascii="Times New Roman" w:eastAsia="Times New Roman" w:hAnsi="Times New Roman" w:cs="Times New Roman"/>
          <w:sz w:val="24"/>
          <w:szCs w:val="24"/>
        </w:rPr>
      </w:pPr>
    </w:p>
    <w:p w14:paraId="00451D14"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MARQUES, J. </w:t>
      </w:r>
      <w:proofErr w:type="spellStart"/>
      <w:r w:rsidRPr="002451B6">
        <w:rPr>
          <w:rFonts w:ascii="Times New Roman" w:eastAsia="Times New Roman" w:hAnsi="Times New Roman" w:cs="Times New Roman"/>
          <w:sz w:val="24"/>
          <w:szCs w:val="24"/>
        </w:rPr>
        <w:t>da</w:t>
      </w:r>
      <w:proofErr w:type="spellEnd"/>
      <w:r w:rsidRPr="002451B6">
        <w:rPr>
          <w:rFonts w:ascii="Times New Roman" w:eastAsia="Times New Roman" w:hAnsi="Times New Roman" w:cs="Times New Roman"/>
          <w:sz w:val="24"/>
          <w:szCs w:val="24"/>
        </w:rPr>
        <w:t xml:space="preserve"> S.; MOTTA, D. A. </w:t>
      </w:r>
      <w:proofErr w:type="spellStart"/>
      <w:r w:rsidRPr="002451B6">
        <w:rPr>
          <w:rFonts w:ascii="Times New Roman" w:eastAsia="Times New Roman" w:hAnsi="Times New Roman" w:cs="Times New Roman"/>
          <w:sz w:val="24"/>
          <w:szCs w:val="24"/>
        </w:rPr>
        <w:t>Discursive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remains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considerations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on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the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testimony</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about</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the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Brazilian</w:t>
      </w:r>
      <w:proofErr w:type="spellEnd"/>
      <w:r w:rsidRPr="002451B6">
        <w:rPr>
          <w:rFonts w:ascii="Times New Roman" w:eastAsia="Times New Roman" w:hAnsi="Times New Roman" w:cs="Times New Roman"/>
          <w:sz w:val="24"/>
          <w:szCs w:val="24"/>
        </w:rPr>
        <w:t xml:space="preserve"> Civil-Military </w:t>
      </w:r>
      <w:proofErr w:type="spellStart"/>
      <w:r w:rsidRPr="002451B6">
        <w:rPr>
          <w:rFonts w:ascii="Times New Roman" w:eastAsia="Times New Roman" w:hAnsi="Times New Roman" w:cs="Times New Roman"/>
          <w:sz w:val="24"/>
          <w:szCs w:val="24"/>
        </w:rPr>
        <w:t>Dictatorship</w:t>
      </w:r>
      <w:proofErr w:type="spellEnd"/>
      <w:r w:rsidRPr="002451B6">
        <w:rPr>
          <w:rFonts w:ascii="Times New Roman" w:eastAsia="Times New Roman" w:hAnsi="Times New Roman" w:cs="Times New Roman"/>
          <w:sz w:val="24"/>
          <w:szCs w:val="24"/>
        </w:rPr>
        <w:t>.</w:t>
      </w:r>
      <w:r w:rsidRPr="002451B6">
        <w:rPr>
          <w:rFonts w:ascii="Times New Roman" w:eastAsia="Times New Roman" w:hAnsi="Times New Roman" w:cs="Times New Roman"/>
          <w:i/>
          <w:iCs/>
          <w:sz w:val="24"/>
          <w:szCs w:val="24"/>
        </w:rPr>
        <w:t xml:space="preserve"> Revista Letras Raras,</w:t>
      </w:r>
      <w:r w:rsidRPr="002451B6">
        <w:rPr>
          <w:rFonts w:ascii="Times New Roman" w:eastAsia="Times New Roman" w:hAnsi="Times New Roman" w:cs="Times New Roman"/>
          <w:sz w:val="24"/>
          <w:szCs w:val="24"/>
        </w:rPr>
        <w:t xml:space="preserve"> Campina Grande, v. 9, n. 2, p. 110-, jun. 2020.</w:t>
      </w:r>
    </w:p>
    <w:p w14:paraId="76794A93" w14:textId="77777777" w:rsidR="00332C33" w:rsidRPr="002451B6" w:rsidRDefault="00332C33">
      <w:pPr>
        <w:jc w:val="both"/>
        <w:rPr>
          <w:rFonts w:ascii="Times New Roman" w:eastAsia="Times New Roman" w:hAnsi="Times New Roman" w:cs="Times New Roman"/>
          <w:sz w:val="24"/>
          <w:szCs w:val="24"/>
        </w:rPr>
      </w:pPr>
    </w:p>
    <w:p w14:paraId="262EE018"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MBEMBE, A. </w:t>
      </w:r>
      <w:r w:rsidRPr="002451B6">
        <w:rPr>
          <w:rFonts w:ascii="Times New Roman" w:eastAsia="Times New Roman" w:hAnsi="Times New Roman" w:cs="Times New Roman"/>
          <w:i/>
          <w:iCs/>
          <w:sz w:val="24"/>
          <w:szCs w:val="24"/>
        </w:rPr>
        <w:t>Brutalismo</w:t>
      </w:r>
      <w:r w:rsidRPr="002451B6">
        <w:rPr>
          <w:rFonts w:ascii="Times New Roman" w:eastAsia="Times New Roman" w:hAnsi="Times New Roman" w:cs="Times New Roman"/>
          <w:sz w:val="24"/>
          <w:szCs w:val="24"/>
        </w:rPr>
        <w:t>. Tradução Sebastião Nascimento. N-1 Edições, 2021.</w:t>
      </w:r>
    </w:p>
    <w:p w14:paraId="6F57AFCA" w14:textId="77777777" w:rsidR="00332C33" w:rsidRPr="002451B6" w:rsidRDefault="00332C33">
      <w:pPr>
        <w:jc w:val="both"/>
        <w:rPr>
          <w:rFonts w:ascii="Times New Roman" w:eastAsia="Times New Roman" w:hAnsi="Times New Roman" w:cs="Times New Roman"/>
          <w:sz w:val="24"/>
          <w:szCs w:val="24"/>
        </w:rPr>
      </w:pPr>
    </w:p>
    <w:p w14:paraId="11FFC5A2"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NAPOLITANO, M. Aporias de uma dupla crise: história e memória diante de novos enquadramentos teóricos. </w:t>
      </w:r>
      <w:proofErr w:type="spellStart"/>
      <w:r w:rsidRPr="002451B6">
        <w:rPr>
          <w:rFonts w:ascii="Times New Roman" w:eastAsia="Times New Roman" w:hAnsi="Times New Roman" w:cs="Times New Roman"/>
          <w:sz w:val="24"/>
          <w:szCs w:val="24"/>
        </w:rPr>
        <w:t>Sæculum</w:t>
      </w:r>
      <w:proofErr w:type="spellEnd"/>
      <w:r w:rsidRPr="002451B6">
        <w:rPr>
          <w:rFonts w:ascii="Times New Roman" w:eastAsia="Times New Roman" w:hAnsi="Times New Roman" w:cs="Times New Roman"/>
          <w:sz w:val="24"/>
          <w:szCs w:val="24"/>
        </w:rPr>
        <w:t xml:space="preserve"> - </w:t>
      </w:r>
      <w:r w:rsidRPr="002451B6">
        <w:rPr>
          <w:rFonts w:ascii="Times New Roman" w:eastAsia="Times New Roman" w:hAnsi="Times New Roman" w:cs="Times New Roman"/>
          <w:i/>
          <w:iCs/>
          <w:sz w:val="24"/>
          <w:szCs w:val="24"/>
        </w:rPr>
        <w:t>Revista de História</w:t>
      </w:r>
      <w:r w:rsidRPr="002451B6">
        <w:rPr>
          <w:rFonts w:ascii="Times New Roman" w:eastAsia="Times New Roman" w:hAnsi="Times New Roman" w:cs="Times New Roman"/>
          <w:sz w:val="24"/>
          <w:szCs w:val="24"/>
        </w:rPr>
        <w:t>, [S. l.], n. 39 (jul./dez.), p. 205–218, 2018.</w:t>
      </w:r>
    </w:p>
    <w:p w14:paraId="1C4D8509" w14:textId="77777777" w:rsidR="00332C33" w:rsidRPr="002451B6" w:rsidRDefault="00332C33">
      <w:pPr>
        <w:jc w:val="both"/>
        <w:rPr>
          <w:rFonts w:ascii="Times New Roman" w:eastAsia="Times New Roman" w:hAnsi="Times New Roman" w:cs="Times New Roman"/>
          <w:sz w:val="24"/>
          <w:szCs w:val="24"/>
        </w:rPr>
      </w:pPr>
    </w:p>
    <w:p w14:paraId="64F5720D"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PICCOLO, M., CHAVES, L. L. “Ela está entregue a vocês”: a trajetória de Inês Etienne Romeu como símbolo das engrenagens repressivas da ditadura civil-militar e dos limites da transição brasileira. </w:t>
      </w:r>
      <w:r w:rsidRPr="002451B6">
        <w:rPr>
          <w:rFonts w:ascii="Times New Roman" w:eastAsia="Times New Roman" w:hAnsi="Times New Roman" w:cs="Times New Roman"/>
          <w:i/>
          <w:iCs/>
          <w:sz w:val="24"/>
          <w:szCs w:val="24"/>
        </w:rPr>
        <w:t>Outros Tempos</w:t>
      </w:r>
      <w:r w:rsidRPr="002451B6">
        <w:rPr>
          <w:rFonts w:ascii="Times New Roman" w:eastAsia="Times New Roman" w:hAnsi="Times New Roman" w:cs="Times New Roman"/>
          <w:sz w:val="24"/>
          <w:szCs w:val="24"/>
        </w:rPr>
        <w:t xml:space="preserve">, vol. 22, n. 39, 2025, p. 77-104. </w:t>
      </w:r>
    </w:p>
    <w:p w14:paraId="37253703" w14:textId="77777777" w:rsidR="00332C33" w:rsidRPr="002451B6" w:rsidRDefault="00332C33">
      <w:pPr>
        <w:jc w:val="both"/>
        <w:rPr>
          <w:rFonts w:ascii="Times New Roman" w:eastAsia="Times New Roman" w:hAnsi="Times New Roman" w:cs="Times New Roman"/>
          <w:sz w:val="24"/>
          <w:szCs w:val="24"/>
        </w:rPr>
      </w:pPr>
    </w:p>
    <w:p w14:paraId="29BC4336"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PIZARRO, C. La </w:t>
      </w:r>
      <w:proofErr w:type="spellStart"/>
      <w:r w:rsidRPr="002451B6">
        <w:rPr>
          <w:rFonts w:ascii="Times New Roman" w:eastAsia="Times New Roman" w:hAnsi="Times New Roman" w:cs="Times New Roman"/>
          <w:sz w:val="24"/>
          <w:szCs w:val="24"/>
        </w:rPr>
        <w:t>recepción</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los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testimonios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el</w:t>
      </w:r>
      <w:proofErr w:type="spellEnd"/>
      <w:r w:rsidRPr="002451B6">
        <w:rPr>
          <w:rFonts w:ascii="Times New Roman" w:eastAsia="Times New Roman" w:hAnsi="Times New Roman" w:cs="Times New Roman"/>
          <w:sz w:val="24"/>
          <w:szCs w:val="24"/>
        </w:rPr>
        <w:t xml:space="preserve"> Chile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postdictadura</w:t>
      </w:r>
      <w:proofErr w:type="spellEnd"/>
      <w:r w:rsidRPr="002451B6">
        <w:rPr>
          <w:rFonts w:ascii="Times New Roman" w:eastAsia="Times New Roman" w:hAnsi="Times New Roman" w:cs="Times New Roman"/>
          <w:sz w:val="24"/>
          <w:szCs w:val="24"/>
        </w:rPr>
        <w:t xml:space="preserve">: El caso de </w:t>
      </w:r>
      <w:proofErr w:type="spellStart"/>
      <w:r w:rsidRPr="002451B6">
        <w:rPr>
          <w:rFonts w:ascii="Times New Roman" w:eastAsia="Times New Roman" w:hAnsi="Times New Roman" w:cs="Times New Roman"/>
          <w:sz w:val="24"/>
          <w:szCs w:val="24"/>
        </w:rPr>
        <w:t>las</w:t>
      </w:r>
      <w:proofErr w:type="spellEnd"/>
      <w:r w:rsidRPr="002451B6">
        <w:rPr>
          <w:rFonts w:ascii="Times New Roman" w:eastAsia="Times New Roman" w:hAnsi="Times New Roman" w:cs="Times New Roman"/>
          <w:sz w:val="24"/>
          <w:szCs w:val="24"/>
        </w:rPr>
        <w:t xml:space="preserve"> traidoras y sus críticas. </w:t>
      </w:r>
      <w:proofErr w:type="spellStart"/>
      <w:r w:rsidRPr="002451B6">
        <w:rPr>
          <w:rFonts w:ascii="Times New Roman" w:eastAsia="Times New Roman" w:hAnsi="Times New Roman" w:cs="Times New Roman"/>
          <w:i/>
          <w:iCs/>
          <w:sz w:val="24"/>
          <w:szCs w:val="24"/>
        </w:rPr>
        <w:t>RevIISE</w:t>
      </w:r>
      <w:proofErr w:type="spellEnd"/>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Vol. 20, </w:t>
      </w:r>
      <w:proofErr w:type="spellStart"/>
      <w:r w:rsidRPr="002451B6">
        <w:rPr>
          <w:rFonts w:ascii="Times New Roman" w:eastAsia="Times New Roman" w:hAnsi="Times New Roman" w:cs="Times New Roman"/>
          <w:sz w:val="24"/>
          <w:szCs w:val="24"/>
        </w:rPr>
        <w:t>Año</w:t>
      </w:r>
      <w:proofErr w:type="spellEnd"/>
      <w:r w:rsidRPr="002451B6">
        <w:rPr>
          <w:rFonts w:ascii="Times New Roman" w:eastAsia="Times New Roman" w:hAnsi="Times New Roman" w:cs="Times New Roman"/>
          <w:sz w:val="24"/>
          <w:szCs w:val="24"/>
        </w:rPr>
        <w:t xml:space="preserve"> 17, </w:t>
      </w:r>
      <w:proofErr w:type="spellStart"/>
      <w:r w:rsidRPr="002451B6">
        <w:rPr>
          <w:rFonts w:ascii="Times New Roman" w:eastAsia="Times New Roman" w:hAnsi="Times New Roman" w:cs="Times New Roman"/>
          <w:sz w:val="24"/>
          <w:szCs w:val="24"/>
        </w:rPr>
        <w:t>octubre</w:t>
      </w:r>
      <w:proofErr w:type="spellEnd"/>
      <w:r w:rsidRPr="002451B6">
        <w:rPr>
          <w:rFonts w:ascii="Times New Roman" w:eastAsia="Times New Roman" w:hAnsi="Times New Roman" w:cs="Times New Roman"/>
          <w:sz w:val="24"/>
          <w:szCs w:val="24"/>
        </w:rPr>
        <w:t xml:space="preserve"> 2022 - </w:t>
      </w:r>
      <w:proofErr w:type="spellStart"/>
      <w:r w:rsidRPr="002451B6">
        <w:rPr>
          <w:rFonts w:ascii="Times New Roman" w:eastAsia="Times New Roman" w:hAnsi="Times New Roman" w:cs="Times New Roman"/>
          <w:sz w:val="24"/>
          <w:szCs w:val="24"/>
        </w:rPr>
        <w:t>marzo</w:t>
      </w:r>
      <w:proofErr w:type="spellEnd"/>
      <w:r w:rsidRPr="002451B6">
        <w:rPr>
          <w:rFonts w:ascii="Times New Roman" w:eastAsia="Times New Roman" w:hAnsi="Times New Roman" w:cs="Times New Roman"/>
          <w:sz w:val="24"/>
          <w:szCs w:val="24"/>
        </w:rPr>
        <w:t xml:space="preserve"> 2022.</w:t>
      </w:r>
    </w:p>
    <w:p w14:paraId="366B2F48" w14:textId="77777777" w:rsidR="00332C33" w:rsidRPr="002451B6" w:rsidRDefault="00332C33">
      <w:pPr>
        <w:jc w:val="both"/>
        <w:rPr>
          <w:rFonts w:ascii="Times New Roman" w:eastAsia="Times New Roman" w:hAnsi="Times New Roman" w:cs="Times New Roman"/>
          <w:sz w:val="24"/>
          <w:szCs w:val="24"/>
        </w:rPr>
      </w:pPr>
    </w:p>
    <w:p w14:paraId="4901ADA1"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POLLAK, M. Memória, Esquecimento, Silêncio. </w:t>
      </w:r>
      <w:r w:rsidRPr="002451B6">
        <w:rPr>
          <w:rFonts w:ascii="Times New Roman" w:eastAsia="Times New Roman" w:hAnsi="Times New Roman" w:cs="Times New Roman"/>
          <w:i/>
          <w:iCs/>
          <w:sz w:val="24"/>
          <w:szCs w:val="24"/>
        </w:rPr>
        <w:t>Estudos Históricos</w:t>
      </w:r>
      <w:r w:rsidRPr="002451B6">
        <w:rPr>
          <w:rFonts w:ascii="Times New Roman" w:eastAsia="Times New Roman" w:hAnsi="Times New Roman" w:cs="Times New Roman"/>
          <w:sz w:val="24"/>
          <w:szCs w:val="24"/>
        </w:rPr>
        <w:t>, Rio de Janeiro, vol. 2, n. 3, 1989, p. 3-15.</w:t>
      </w:r>
    </w:p>
    <w:p w14:paraId="606ED679" w14:textId="77777777" w:rsidR="00332C33" w:rsidRPr="002451B6" w:rsidRDefault="00332C33">
      <w:pPr>
        <w:jc w:val="both"/>
        <w:rPr>
          <w:rFonts w:ascii="Times New Roman" w:eastAsia="Times New Roman" w:hAnsi="Times New Roman" w:cs="Times New Roman"/>
          <w:sz w:val="24"/>
          <w:szCs w:val="24"/>
        </w:rPr>
      </w:pPr>
    </w:p>
    <w:p w14:paraId="1726C9C2"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SARLO, B.</w:t>
      </w:r>
      <w:r w:rsidRPr="002451B6">
        <w:rPr>
          <w:rFonts w:ascii="Times New Roman" w:eastAsia="Times New Roman" w:hAnsi="Times New Roman" w:cs="Times New Roman"/>
          <w:i/>
          <w:iCs/>
          <w:sz w:val="24"/>
          <w:szCs w:val="24"/>
        </w:rPr>
        <w:t xml:space="preserve"> Tempo passado</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cultura da memória e guinada subjetiva. São Paulo: Companhia das Letras; Belo Horizonte: UFMG, 2007.</w:t>
      </w:r>
    </w:p>
    <w:p w14:paraId="4616DD3C" w14:textId="77777777" w:rsidR="00332C33" w:rsidRPr="002451B6" w:rsidRDefault="00332C33">
      <w:pPr>
        <w:jc w:val="both"/>
        <w:rPr>
          <w:rFonts w:ascii="Times New Roman" w:eastAsia="Times New Roman" w:hAnsi="Times New Roman" w:cs="Times New Roman"/>
          <w:sz w:val="24"/>
          <w:szCs w:val="24"/>
        </w:rPr>
      </w:pPr>
    </w:p>
    <w:p w14:paraId="763224C1"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SEGATO, R. </w:t>
      </w:r>
      <w:proofErr w:type="spellStart"/>
      <w:r w:rsidRPr="002451B6">
        <w:rPr>
          <w:rFonts w:ascii="Times New Roman" w:eastAsia="Times New Roman" w:hAnsi="Times New Roman" w:cs="Times New Roman"/>
          <w:i/>
          <w:iCs/>
          <w:sz w:val="24"/>
          <w:szCs w:val="24"/>
        </w:rPr>
        <w:t>Las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estructuras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elementales</w:t>
      </w:r>
      <w:proofErr w:type="spellEnd"/>
      <w:r w:rsidRPr="002451B6">
        <w:rPr>
          <w:rFonts w:ascii="Times New Roman" w:eastAsia="Times New Roman" w:hAnsi="Times New Roman" w:cs="Times New Roman"/>
          <w:i/>
          <w:iCs/>
          <w:sz w:val="24"/>
          <w:szCs w:val="24"/>
        </w:rPr>
        <w:t xml:space="preserve"> de </w:t>
      </w:r>
      <w:proofErr w:type="spellStart"/>
      <w:r w:rsidRPr="002451B6">
        <w:rPr>
          <w:rFonts w:ascii="Times New Roman" w:eastAsia="Times New Roman" w:hAnsi="Times New Roman" w:cs="Times New Roman"/>
          <w:i/>
          <w:iCs/>
          <w:sz w:val="24"/>
          <w:szCs w:val="24"/>
        </w:rPr>
        <w:t>la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violencia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sz w:val="24"/>
          <w:szCs w:val="24"/>
        </w:rPr>
        <w:t>Ensayos</w:t>
      </w:r>
      <w:proofErr w:type="spellEnd"/>
      <w:r w:rsidRPr="002451B6">
        <w:rPr>
          <w:rFonts w:ascii="Times New Roman" w:eastAsia="Times New Roman" w:hAnsi="Times New Roman" w:cs="Times New Roman"/>
          <w:sz w:val="24"/>
          <w:szCs w:val="24"/>
        </w:rPr>
        <w:t xml:space="preserve"> sobre género entre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antropología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el</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psicoanálisis</w:t>
      </w:r>
      <w:proofErr w:type="spellEnd"/>
      <w:r w:rsidRPr="002451B6">
        <w:rPr>
          <w:rFonts w:ascii="Times New Roman" w:eastAsia="Times New Roman" w:hAnsi="Times New Roman" w:cs="Times New Roman"/>
          <w:sz w:val="24"/>
          <w:szCs w:val="24"/>
        </w:rPr>
        <w:t xml:space="preserve"> y </w:t>
      </w:r>
      <w:proofErr w:type="spellStart"/>
      <w:r w:rsidRPr="002451B6">
        <w:rPr>
          <w:rFonts w:ascii="Times New Roman" w:eastAsia="Times New Roman" w:hAnsi="Times New Roman" w:cs="Times New Roman"/>
          <w:sz w:val="24"/>
          <w:szCs w:val="24"/>
        </w:rPr>
        <w:t>los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derechos</w:t>
      </w:r>
      <w:proofErr w:type="spellEnd"/>
      <w:r w:rsidRPr="002451B6">
        <w:rPr>
          <w:rFonts w:ascii="Times New Roman" w:eastAsia="Times New Roman" w:hAnsi="Times New Roman" w:cs="Times New Roman"/>
          <w:sz w:val="24"/>
          <w:szCs w:val="24"/>
        </w:rPr>
        <w:t xml:space="preserve"> humanos.</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Bernal, </w:t>
      </w:r>
      <w:proofErr w:type="spellStart"/>
      <w:r w:rsidRPr="002451B6">
        <w:rPr>
          <w:rFonts w:ascii="Times New Roman" w:eastAsia="Times New Roman" w:hAnsi="Times New Roman" w:cs="Times New Roman"/>
          <w:sz w:val="24"/>
          <w:szCs w:val="24"/>
        </w:rPr>
        <w:t>Universidad</w:t>
      </w:r>
      <w:proofErr w:type="spellEnd"/>
      <w:r w:rsidRPr="002451B6">
        <w:rPr>
          <w:rFonts w:ascii="Times New Roman" w:eastAsia="Times New Roman" w:hAnsi="Times New Roman" w:cs="Times New Roman"/>
          <w:sz w:val="24"/>
          <w:szCs w:val="24"/>
        </w:rPr>
        <w:t xml:space="preserve"> de Quilmes, 2003.</w:t>
      </w:r>
    </w:p>
    <w:p w14:paraId="7CB8F7C5" w14:textId="77777777" w:rsidR="00332C33" w:rsidRPr="002451B6" w:rsidRDefault="00332C33">
      <w:pPr>
        <w:jc w:val="both"/>
        <w:rPr>
          <w:rFonts w:ascii="Times New Roman" w:eastAsia="Times New Roman" w:hAnsi="Times New Roman" w:cs="Times New Roman"/>
          <w:sz w:val="24"/>
          <w:szCs w:val="24"/>
        </w:rPr>
      </w:pPr>
    </w:p>
    <w:p w14:paraId="5F0643EA"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TEDESCHI, L. Os lugares da História Oral e da Memória nos Estudos de Gênero. </w:t>
      </w:r>
      <w:r w:rsidRPr="002451B6">
        <w:rPr>
          <w:rFonts w:ascii="Times New Roman" w:eastAsia="Times New Roman" w:hAnsi="Times New Roman" w:cs="Times New Roman"/>
          <w:i/>
          <w:iCs/>
          <w:sz w:val="24"/>
          <w:szCs w:val="24"/>
        </w:rPr>
        <w:t xml:space="preserve">OPSIS, </w:t>
      </w:r>
      <w:r w:rsidRPr="002451B6">
        <w:rPr>
          <w:rFonts w:ascii="Times New Roman" w:eastAsia="Times New Roman" w:hAnsi="Times New Roman" w:cs="Times New Roman"/>
          <w:sz w:val="24"/>
          <w:szCs w:val="24"/>
        </w:rPr>
        <w:t xml:space="preserve">Catalão, v. 15, n. 2, p. 330-343, 2015. </w:t>
      </w:r>
    </w:p>
    <w:p w14:paraId="0E6851E3" w14:textId="77777777" w:rsidR="00332C33" w:rsidRPr="002451B6" w:rsidRDefault="00332C33">
      <w:pPr>
        <w:jc w:val="both"/>
        <w:rPr>
          <w:rFonts w:ascii="Times New Roman" w:eastAsia="Times New Roman" w:hAnsi="Times New Roman" w:cs="Times New Roman"/>
          <w:sz w:val="24"/>
          <w:szCs w:val="24"/>
        </w:rPr>
      </w:pPr>
    </w:p>
    <w:p w14:paraId="531A17D4"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TEDESCHI, L. Sobre um corpo. Comunicação apresentada por ocasião da mesa intitulada “Metodologias e fontes de pesquisa para pensar/enfrentar os autoritarismos na América Latina”, no Ciclo de debates híbridos: perspectivas de gênero na historiografia das ditaduras latino-americanas. </w:t>
      </w:r>
      <w:r w:rsidRPr="002451B6">
        <w:rPr>
          <w:rFonts w:ascii="Times New Roman" w:eastAsia="Times New Roman" w:hAnsi="Times New Roman" w:cs="Times New Roman"/>
          <w:i/>
          <w:iCs/>
          <w:sz w:val="24"/>
          <w:szCs w:val="24"/>
        </w:rPr>
        <w:t>YouTube</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7 de agosto de 2025. Disponível em: </w:t>
      </w:r>
      <w:hyperlink r:id="rId26">
        <w:r w:rsidR="00332C33" w:rsidRPr="002451B6">
          <w:rPr>
            <w:rFonts w:ascii="Times New Roman" w:eastAsia="Times New Roman" w:hAnsi="Times New Roman" w:cs="Times New Roman"/>
            <w:sz w:val="24"/>
            <w:szCs w:val="24"/>
            <w:u w:val="single"/>
          </w:rPr>
          <w:t>https://www.youtube.com/live/AwEy3H1yrSQ</w:t>
        </w:r>
      </w:hyperlink>
      <w:r w:rsidRPr="002451B6">
        <w:rPr>
          <w:rFonts w:ascii="Times New Roman" w:eastAsia="Times New Roman" w:hAnsi="Times New Roman" w:cs="Times New Roman"/>
          <w:sz w:val="24"/>
          <w:szCs w:val="24"/>
        </w:rPr>
        <w:t xml:space="preserve">. Acesso em 15 de ago. de 2025. </w:t>
      </w:r>
    </w:p>
    <w:p w14:paraId="2B10F9DB" w14:textId="77777777" w:rsidR="00332C33" w:rsidRPr="002451B6" w:rsidRDefault="00332C33">
      <w:pPr>
        <w:jc w:val="both"/>
        <w:rPr>
          <w:rFonts w:ascii="Times New Roman" w:eastAsia="Times New Roman" w:hAnsi="Times New Roman" w:cs="Times New Roman"/>
          <w:sz w:val="24"/>
          <w:szCs w:val="24"/>
        </w:rPr>
      </w:pPr>
    </w:p>
    <w:p w14:paraId="454E183B"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TELES, M. A. A. Violações dos direitos humanos das mulheres na ditadura. </w:t>
      </w:r>
      <w:r w:rsidRPr="002451B6">
        <w:rPr>
          <w:rFonts w:ascii="Times New Roman" w:eastAsia="Times New Roman" w:hAnsi="Times New Roman" w:cs="Times New Roman"/>
          <w:i/>
          <w:iCs/>
          <w:sz w:val="24"/>
          <w:szCs w:val="24"/>
        </w:rPr>
        <w:t>Estudos Feministas</w:t>
      </w:r>
      <w:r w:rsidRPr="002451B6">
        <w:rPr>
          <w:rFonts w:ascii="Times New Roman" w:eastAsia="Times New Roman" w:hAnsi="Times New Roman" w:cs="Times New Roman"/>
          <w:sz w:val="24"/>
          <w:szCs w:val="24"/>
        </w:rPr>
        <w:t xml:space="preserve">, Florianópolis, 23, 406, setembro-dezembro 2015. </w:t>
      </w:r>
    </w:p>
    <w:p w14:paraId="600468D2" w14:textId="77777777" w:rsidR="00332C33" w:rsidRPr="002451B6" w:rsidRDefault="00332C33">
      <w:pPr>
        <w:jc w:val="both"/>
        <w:rPr>
          <w:rFonts w:ascii="Times New Roman" w:eastAsia="Times New Roman" w:hAnsi="Times New Roman" w:cs="Times New Roman"/>
          <w:sz w:val="24"/>
          <w:szCs w:val="24"/>
        </w:rPr>
      </w:pPr>
    </w:p>
    <w:p w14:paraId="243634E1"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TORRE, A. Micro/macro: ¿local/global? El problema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localidad</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en</w:t>
      </w:r>
      <w:proofErr w:type="spellEnd"/>
      <w:r w:rsidRPr="002451B6">
        <w:rPr>
          <w:rFonts w:ascii="Times New Roman" w:eastAsia="Times New Roman" w:hAnsi="Times New Roman" w:cs="Times New Roman"/>
          <w:sz w:val="24"/>
          <w:szCs w:val="24"/>
        </w:rPr>
        <w:t xml:space="preserve"> una </w:t>
      </w:r>
      <w:proofErr w:type="spellStart"/>
      <w:proofErr w:type="gramStart"/>
      <w:r w:rsidRPr="002451B6">
        <w:rPr>
          <w:rFonts w:ascii="Times New Roman" w:eastAsia="Times New Roman" w:hAnsi="Times New Roman" w:cs="Times New Roman"/>
          <w:sz w:val="24"/>
          <w:szCs w:val="24"/>
        </w:rPr>
        <w:t>historia</w:t>
      </w:r>
      <w:proofErr w:type="spellEnd"/>
      <w:proofErr w:type="gramEnd"/>
      <w:r w:rsidRPr="002451B6">
        <w:rPr>
          <w:rFonts w:ascii="Times New Roman" w:eastAsia="Times New Roman" w:hAnsi="Times New Roman" w:cs="Times New Roman"/>
          <w:sz w:val="24"/>
          <w:szCs w:val="24"/>
        </w:rPr>
        <w:t xml:space="preserve"> espacializada. </w:t>
      </w:r>
      <w:proofErr w:type="spellStart"/>
      <w:proofErr w:type="gramStart"/>
      <w:r w:rsidRPr="002451B6">
        <w:rPr>
          <w:rFonts w:ascii="Times New Roman" w:eastAsia="Times New Roman" w:hAnsi="Times New Roman" w:cs="Times New Roman"/>
          <w:i/>
          <w:iCs/>
          <w:sz w:val="24"/>
          <w:szCs w:val="24"/>
        </w:rPr>
        <w:t>Historia</w:t>
      </w:r>
      <w:proofErr w:type="spellEnd"/>
      <w:proofErr w:type="gramEnd"/>
      <w:r w:rsidRPr="002451B6">
        <w:rPr>
          <w:rFonts w:ascii="Times New Roman" w:eastAsia="Times New Roman" w:hAnsi="Times New Roman" w:cs="Times New Roman"/>
          <w:i/>
          <w:iCs/>
          <w:sz w:val="24"/>
          <w:szCs w:val="24"/>
        </w:rPr>
        <w:t xml:space="preserve"> Crítica</w:t>
      </w:r>
      <w:r w:rsidRPr="002451B6">
        <w:rPr>
          <w:rFonts w:ascii="Times New Roman" w:eastAsia="Times New Roman" w:hAnsi="Times New Roman" w:cs="Times New Roman"/>
          <w:sz w:val="24"/>
          <w:szCs w:val="24"/>
        </w:rPr>
        <w:t xml:space="preserve">. Nº. 69, </w:t>
      </w:r>
      <w:proofErr w:type="spellStart"/>
      <w:r w:rsidRPr="002451B6">
        <w:rPr>
          <w:rFonts w:ascii="Times New Roman" w:eastAsia="Times New Roman" w:hAnsi="Times New Roman" w:cs="Times New Roman"/>
          <w:sz w:val="24"/>
          <w:szCs w:val="24"/>
        </w:rPr>
        <w:t>Julio-septiembre</w:t>
      </w:r>
      <w:proofErr w:type="spellEnd"/>
      <w:r w:rsidRPr="002451B6">
        <w:rPr>
          <w:rFonts w:ascii="Times New Roman" w:eastAsia="Times New Roman" w:hAnsi="Times New Roman" w:cs="Times New Roman"/>
          <w:sz w:val="24"/>
          <w:szCs w:val="24"/>
        </w:rPr>
        <w:t xml:space="preserve">. Pp 37-67. </w:t>
      </w:r>
    </w:p>
    <w:p w14:paraId="4E97677D" w14:textId="77777777" w:rsidR="00332C33" w:rsidRPr="002451B6" w:rsidRDefault="00332C33">
      <w:pPr>
        <w:jc w:val="both"/>
        <w:rPr>
          <w:rFonts w:ascii="Times New Roman" w:eastAsia="Times New Roman" w:hAnsi="Times New Roman" w:cs="Times New Roman"/>
          <w:sz w:val="24"/>
          <w:szCs w:val="24"/>
        </w:rPr>
      </w:pPr>
    </w:p>
    <w:p w14:paraId="216A18C1" w14:textId="77777777" w:rsidR="00332C33" w:rsidRPr="002451B6" w:rsidRDefault="00000000">
      <w:pPr>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VEGA, M. A. M.</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 xml:space="preserve">Mi </w:t>
      </w:r>
      <w:proofErr w:type="spellStart"/>
      <w:r w:rsidRPr="002451B6">
        <w:rPr>
          <w:rFonts w:ascii="Times New Roman" w:eastAsia="Times New Roman" w:hAnsi="Times New Roman" w:cs="Times New Roman"/>
          <w:i/>
          <w:iCs/>
          <w:sz w:val="24"/>
          <w:szCs w:val="24"/>
        </w:rPr>
        <w:t>verdad</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“más </w:t>
      </w:r>
      <w:proofErr w:type="spellStart"/>
      <w:r w:rsidRPr="002451B6">
        <w:rPr>
          <w:rFonts w:ascii="Times New Roman" w:eastAsia="Times New Roman" w:hAnsi="Times New Roman" w:cs="Times New Roman"/>
          <w:sz w:val="24"/>
          <w:szCs w:val="24"/>
        </w:rPr>
        <w:t>allá</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del</w:t>
      </w:r>
      <w:proofErr w:type="spellEnd"/>
      <w:r w:rsidRPr="002451B6">
        <w:rPr>
          <w:rFonts w:ascii="Times New Roman" w:eastAsia="Times New Roman" w:hAnsi="Times New Roman" w:cs="Times New Roman"/>
          <w:sz w:val="24"/>
          <w:szCs w:val="24"/>
        </w:rPr>
        <w:t xml:space="preserve"> horror, </w:t>
      </w:r>
      <w:proofErr w:type="spellStart"/>
      <w:r w:rsidRPr="002451B6">
        <w:rPr>
          <w:rFonts w:ascii="Times New Roman" w:eastAsia="Times New Roman" w:hAnsi="Times New Roman" w:cs="Times New Roman"/>
          <w:sz w:val="24"/>
          <w:szCs w:val="24"/>
        </w:rPr>
        <w:t>yo</w:t>
      </w:r>
      <w:proofErr w:type="spellEnd"/>
      <w:r w:rsidRPr="002451B6">
        <w:rPr>
          <w:rFonts w:ascii="Times New Roman" w:eastAsia="Times New Roman" w:hAnsi="Times New Roman" w:cs="Times New Roman"/>
          <w:sz w:val="24"/>
          <w:szCs w:val="24"/>
        </w:rPr>
        <w:t xml:space="preserve"> acuso”. Santiago: A.T.G, 1993. </w:t>
      </w:r>
    </w:p>
    <w:p w14:paraId="7E445EA1" w14:textId="77777777" w:rsidR="00332C33" w:rsidRPr="002451B6" w:rsidRDefault="00332C33">
      <w:pPr>
        <w:spacing w:line="360" w:lineRule="auto"/>
        <w:rPr>
          <w:rFonts w:ascii="Times New Roman" w:eastAsia="Times New Roman" w:hAnsi="Times New Roman" w:cs="Times New Roman"/>
          <w:i/>
          <w:iCs/>
          <w:sz w:val="28"/>
          <w:szCs w:val="28"/>
        </w:rPr>
      </w:pPr>
    </w:p>
    <w:p w14:paraId="1FEF415F" w14:textId="77777777" w:rsidR="00332C33" w:rsidRPr="002451B6" w:rsidRDefault="00332C33">
      <w:pPr>
        <w:spacing w:line="360" w:lineRule="auto"/>
        <w:rPr>
          <w:rFonts w:ascii="Times New Roman" w:eastAsia="Times New Roman" w:hAnsi="Times New Roman" w:cs="Times New Roman"/>
          <w:i/>
          <w:iCs/>
          <w:sz w:val="28"/>
          <w:szCs w:val="28"/>
        </w:rPr>
      </w:pPr>
    </w:p>
    <w:p w14:paraId="38ABAF28" w14:textId="77777777" w:rsidR="00332C33" w:rsidRPr="002451B6" w:rsidRDefault="00332C33">
      <w:pPr>
        <w:spacing w:line="360" w:lineRule="auto"/>
        <w:rPr>
          <w:rFonts w:ascii="Times New Roman" w:eastAsia="Times New Roman" w:hAnsi="Times New Roman" w:cs="Times New Roman"/>
          <w:i/>
          <w:iCs/>
          <w:sz w:val="28"/>
          <w:szCs w:val="28"/>
        </w:rPr>
      </w:pPr>
    </w:p>
    <w:p w14:paraId="56D47490" w14:textId="77777777" w:rsidR="00332C33" w:rsidRPr="002451B6" w:rsidRDefault="00332C33">
      <w:pPr>
        <w:spacing w:line="360" w:lineRule="auto"/>
        <w:rPr>
          <w:rFonts w:ascii="Times New Roman" w:eastAsia="Times New Roman" w:hAnsi="Times New Roman" w:cs="Times New Roman"/>
          <w:i/>
          <w:iCs/>
          <w:sz w:val="28"/>
          <w:szCs w:val="28"/>
        </w:rPr>
      </w:pPr>
    </w:p>
    <w:p w14:paraId="2F88A363" w14:textId="77777777" w:rsidR="00332C33" w:rsidRPr="002451B6" w:rsidRDefault="00332C33">
      <w:pPr>
        <w:spacing w:line="360" w:lineRule="auto"/>
        <w:rPr>
          <w:rFonts w:ascii="Times New Roman" w:eastAsia="Times New Roman" w:hAnsi="Times New Roman" w:cs="Times New Roman"/>
          <w:i/>
          <w:iCs/>
          <w:sz w:val="28"/>
          <w:szCs w:val="28"/>
        </w:rPr>
      </w:pPr>
    </w:p>
    <w:p w14:paraId="27F0D619" w14:textId="77777777" w:rsidR="00332C33" w:rsidRPr="002451B6" w:rsidRDefault="00332C33">
      <w:pPr>
        <w:spacing w:line="360" w:lineRule="auto"/>
        <w:rPr>
          <w:rFonts w:ascii="Times New Roman" w:eastAsia="Times New Roman" w:hAnsi="Times New Roman" w:cs="Times New Roman"/>
          <w:i/>
          <w:iCs/>
          <w:sz w:val="28"/>
          <w:szCs w:val="28"/>
        </w:rPr>
      </w:pPr>
    </w:p>
    <w:p w14:paraId="5D523B59" w14:textId="77777777" w:rsidR="00332C33" w:rsidRPr="002451B6" w:rsidRDefault="00332C33">
      <w:pPr>
        <w:spacing w:line="360" w:lineRule="auto"/>
        <w:rPr>
          <w:rFonts w:ascii="Times New Roman" w:eastAsia="Times New Roman" w:hAnsi="Times New Roman" w:cs="Times New Roman"/>
          <w:i/>
          <w:iCs/>
          <w:sz w:val="28"/>
          <w:szCs w:val="28"/>
        </w:rPr>
      </w:pPr>
    </w:p>
    <w:p w14:paraId="36BB9D00" w14:textId="77777777" w:rsidR="00332C33" w:rsidRPr="002451B6" w:rsidRDefault="00332C33">
      <w:pPr>
        <w:spacing w:line="360" w:lineRule="auto"/>
        <w:rPr>
          <w:rFonts w:ascii="Times New Roman" w:eastAsia="Times New Roman" w:hAnsi="Times New Roman" w:cs="Times New Roman"/>
          <w:i/>
          <w:iCs/>
          <w:sz w:val="28"/>
          <w:szCs w:val="28"/>
        </w:rPr>
      </w:pPr>
    </w:p>
    <w:p w14:paraId="5682D068" w14:textId="77777777" w:rsidR="00332C33" w:rsidRPr="002451B6" w:rsidRDefault="00332C33">
      <w:pPr>
        <w:spacing w:line="360" w:lineRule="auto"/>
        <w:rPr>
          <w:rFonts w:ascii="Times New Roman" w:eastAsia="Times New Roman" w:hAnsi="Times New Roman" w:cs="Times New Roman"/>
          <w:i/>
          <w:iCs/>
          <w:sz w:val="28"/>
          <w:szCs w:val="28"/>
        </w:rPr>
      </w:pPr>
    </w:p>
    <w:p w14:paraId="73820397" w14:textId="77777777" w:rsidR="00332C33" w:rsidRPr="002451B6" w:rsidRDefault="00332C33">
      <w:pPr>
        <w:spacing w:line="360" w:lineRule="auto"/>
        <w:rPr>
          <w:rFonts w:ascii="Times New Roman" w:eastAsia="Times New Roman" w:hAnsi="Times New Roman" w:cs="Times New Roman"/>
          <w:i/>
          <w:iCs/>
          <w:sz w:val="28"/>
          <w:szCs w:val="28"/>
        </w:rPr>
      </w:pPr>
    </w:p>
    <w:p w14:paraId="5DD0A194" w14:textId="77777777" w:rsidR="00332C33" w:rsidRPr="002451B6" w:rsidRDefault="00332C33">
      <w:pPr>
        <w:spacing w:line="360" w:lineRule="auto"/>
        <w:rPr>
          <w:rFonts w:ascii="Times New Roman" w:eastAsia="Times New Roman" w:hAnsi="Times New Roman" w:cs="Times New Roman"/>
          <w:i/>
          <w:iCs/>
          <w:sz w:val="28"/>
          <w:szCs w:val="28"/>
        </w:rPr>
      </w:pPr>
    </w:p>
    <w:p w14:paraId="27D38FFF" w14:textId="77777777" w:rsidR="00332C33" w:rsidRPr="002451B6" w:rsidRDefault="00332C33">
      <w:pPr>
        <w:spacing w:line="360" w:lineRule="auto"/>
        <w:rPr>
          <w:rFonts w:ascii="Times New Roman" w:eastAsia="Times New Roman" w:hAnsi="Times New Roman" w:cs="Times New Roman"/>
          <w:i/>
          <w:iCs/>
          <w:sz w:val="28"/>
          <w:szCs w:val="28"/>
        </w:rPr>
      </w:pPr>
    </w:p>
    <w:p w14:paraId="7A47EC52" w14:textId="77777777" w:rsidR="00332C33" w:rsidRPr="002451B6" w:rsidRDefault="00332C33">
      <w:pPr>
        <w:spacing w:line="360" w:lineRule="auto"/>
        <w:rPr>
          <w:rFonts w:ascii="Times New Roman" w:eastAsia="Times New Roman" w:hAnsi="Times New Roman" w:cs="Times New Roman"/>
          <w:i/>
          <w:iCs/>
          <w:sz w:val="28"/>
          <w:szCs w:val="28"/>
        </w:rPr>
      </w:pPr>
    </w:p>
    <w:p w14:paraId="3441F8F4" w14:textId="77777777" w:rsidR="00332C33" w:rsidRPr="002451B6" w:rsidRDefault="00332C33">
      <w:pPr>
        <w:spacing w:line="360" w:lineRule="auto"/>
        <w:rPr>
          <w:rFonts w:ascii="Times New Roman" w:eastAsia="Times New Roman" w:hAnsi="Times New Roman" w:cs="Times New Roman"/>
          <w:i/>
          <w:iCs/>
          <w:sz w:val="28"/>
          <w:szCs w:val="28"/>
        </w:rPr>
      </w:pPr>
    </w:p>
    <w:p w14:paraId="61F88985" w14:textId="77777777" w:rsidR="00332C33" w:rsidRPr="002451B6" w:rsidRDefault="00332C33">
      <w:pPr>
        <w:spacing w:line="360" w:lineRule="auto"/>
        <w:rPr>
          <w:rFonts w:ascii="Times New Roman" w:eastAsia="Times New Roman" w:hAnsi="Times New Roman" w:cs="Times New Roman"/>
          <w:i/>
          <w:iCs/>
          <w:sz w:val="28"/>
          <w:szCs w:val="28"/>
        </w:rPr>
      </w:pPr>
    </w:p>
    <w:p w14:paraId="16C0AE34" w14:textId="77777777" w:rsidR="00332C33" w:rsidRPr="002451B6" w:rsidRDefault="00332C33">
      <w:pPr>
        <w:spacing w:line="360" w:lineRule="auto"/>
        <w:rPr>
          <w:rFonts w:ascii="Times New Roman" w:eastAsia="Times New Roman" w:hAnsi="Times New Roman" w:cs="Times New Roman"/>
          <w:i/>
          <w:iCs/>
          <w:sz w:val="28"/>
          <w:szCs w:val="28"/>
        </w:rPr>
      </w:pPr>
    </w:p>
    <w:p w14:paraId="78E7B02B" w14:textId="77777777" w:rsidR="00332C33" w:rsidRPr="002451B6" w:rsidRDefault="00332C33">
      <w:pPr>
        <w:spacing w:line="360" w:lineRule="auto"/>
        <w:rPr>
          <w:rFonts w:ascii="Times New Roman" w:eastAsia="Times New Roman" w:hAnsi="Times New Roman" w:cs="Times New Roman"/>
          <w:i/>
          <w:iCs/>
          <w:sz w:val="28"/>
          <w:szCs w:val="28"/>
        </w:rPr>
      </w:pPr>
    </w:p>
    <w:p w14:paraId="6B5E530F" w14:textId="77777777" w:rsidR="00332C33" w:rsidRPr="002451B6" w:rsidRDefault="00332C33">
      <w:pPr>
        <w:spacing w:line="360" w:lineRule="auto"/>
        <w:rPr>
          <w:rFonts w:ascii="Times New Roman" w:eastAsia="Times New Roman" w:hAnsi="Times New Roman" w:cs="Times New Roman"/>
          <w:i/>
          <w:iCs/>
          <w:sz w:val="28"/>
          <w:szCs w:val="28"/>
        </w:rPr>
      </w:pPr>
    </w:p>
    <w:p w14:paraId="1CA566F4" w14:textId="77777777" w:rsidR="00332C33" w:rsidRPr="002451B6" w:rsidRDefault="00332C33">
      <w:pPr>
        <w:spacing w:line="360" w:lineRule="auto"/>
        <w:rPr>
          <w:rFonts w:ascii="Times New Roman" w:eastAsia="Times New Roman" w:hAnsi="Times New Roman" w:cs="Times New Roman"/>
          <w:i/>
          <w:iCs/>
          <w:sz w:val="28"/>
          <w:szCs w:val="28"/>
        </w:rPr>
      </w:pPr>
    </w:p>
    <w:p w14:paraId="106B65E7" w14:textId="77777777" w:rsidR="00332C33" w:rsidRPr="002451B6" w:rsidRDefault="00332C33">
      <w:pPr>
        <w:spacing w:line="360" w:lineRule="auto"/>
        <w:rPr>
          <w:rFonts w:ascii="Times New Roman" w:eastAsia="Times New Roman" w:hAnsi="Times New Roman" w:cs="Times New Roman"/>
          <w:i/>
          <w:iCs/>
          <w:sz w:val="28"/>
          <w:szCs w:val="28"/>
        </w:rPr>
      </w:pPr>
    </w:p>
    <w:p w14:paraId="0330F86F" w14:textId="77777777" w:rsidR="00332C33" w:rsidRPr="002451B6" w:rsidRDefault="00332C33">
      <w:pPr>
        <w:spacing w:line="360" w:lineRule="auto"/>
        <w:rPr>
          <w:rFonts w:ascii="Times New Roman" w:eastAsia="Times New Roman" w:hAnsi="Times New Roman" w:cs="Times New Roman"/>
          <w:i/>
          <w:iCs/>
          <w:sz w:val="28"/>
          <w:szCs w:val="28"/>
        </w:rPr>
      </w:pPr>
    </w:p>
    <w:p w14:paraId="2E9A9B9A" w14:textId="77777777" w:rsidR="00332C33" w:rsidRDefault="00332C33">
      <w:pPr>
        <w:spacing w:line="360" w:lineRule="auto"/>
        <w:rPr>
          <w:rFonts w:ascii="Times New Roman" w:eastAsia="Times New Roman" w:hAnsi="Times New Roman" w:cs="Times New Roman"/>
          <w:i/>
          <w:iCs/>
          <w:sz w:val="28"/>
          <w:szCs w:val="28"/>
        </w:rPr>
      </w:pPr>
    </w:p>
    <w:p w14:paraId="5C70F763" w14:textId="77777777" w:rsidR="007D7C15" w:rsidRPr="002451B6" w:rsidRDefault="007D7C15">
      <w:pPr>
        <w:spacing w:line="360" w:lineRule="auto"/>
        <w:rPr>
          <w:rFonts w:ascii="Times New Roman" w:eastAsia="Times New Roman" w:hAnsi="Times New Roman" w:cs="Times New Roman"/>
          <w:i/>
          <w:iCs/>
          <w:sz w:val="28"/>
          <w:szCs w:val="28"/>
        </w:rPr>
      </w:pPr>
    </w:p>
    <w:p w14:paraId="7C501E83" w14:textId="77777777" w:rsidR="00332C33" w:rsidRPr="002451B6" w:rsidRDefault="00332C33">
      <w:pPr>
        <w:spacing w:line="360" w:lineRule="auto"/>
        <w:rPr>
          <w:rFonts w:ascii="Times New Roman" w:eastAsia="Times New Roman" w:hAnsi="Times New Roman" w:cs="Times New Roman"/>
          <w:i/>
          <w:iCs/>
          <w:sz w:val="28"/>
          <w:szCs w:val="28"/>
        </w:rPr>
      </w:pPr>
    </w:p>
    <w:p w14:paraId="28AF70F1" w14:textId="77777777" w:rsidR="00332C33" w:rsidRPr="002451B6" w:rsidRDefault="00332C33">
      <w:pPr>
        <w:spacing w:line="360" w:lineRule="auto"/>
        <w:jc w:val="center"/>
        <w:rPr>
          <w:rFonts w:ascii="Times New Roman" w:eastAsia="Times New Roman" w:hAnsi="Times New Roman" w:cs="Times New Roman"/>
          <w:b/>
          <w:bCs/>
          <w:sz w:val="24"/>
          <w:szCs w:val="24"/>
        </w:rPr>
      </w:pPr>
    </w:p>
    <w:p w14:paraId="6D8C9002"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 xml:space="preserve">Violência de gênero e violência sexual: uma análise das categorias e do conceito de </w:t>
      </w:r>
      <w:proofErr w:type="gramStart"/>
      <w:r w:rsidRPr="002451B6">
        <w:rPr>
          <w:rFonts w:ascii="Times New Roman" w:eastAsia="Times New Roman" w:hAnsi="Times New Roman" w:cs="Times New Roman"/>
          <w:b/>
          <w:bCs/>
          <w:sz w:val="24"/>
          <w:szCs w:val="24"/>
        </w:rPr>
        <w:t>vitima</w:t>
      </w:r>
      <w:proofErr w:type="gramEnd"/>
      <w:r w:rsidRPr="002451B6">
        <w:rPr>
          <w:rFonts w:ascii="Times New Roman" w:eastAsia="Times New Roman" w:hAnsi="Times New Roman" w:cs="Times New Roman"/>
          <w:b/>
          <w:bCs/>
          <w:sz w:val="24"/>
          <w:szCs w:val="24"/>
        </w:rPr>
        <w:t xml:space="preserve"> no relatório final da Comissão Nacional da Verdade</w:t>
      </w:r>
      <w:r w:rsidRPr="002451B6">
        <w:rPr>
          <w:rFonts w:ascii="Times New Roman" w:eastAsia="Times New Roman" w:hAnsi="Times New Roman" w:cs="Times New Roman"/>
          <w:b/>
          <w:bCs/>
          <w:sz w:val="24"/>
          <w:szCs w:val="24"/>
          <w:vertAlign w:val="superscript"/>
        </w:rPr>
        <w:footnoteReference w:id="26"/>
      </w:r>
    </w:p>
    <w:p w14:paraId="22A3C0A8" w14:textId="77777777" w:rsidR="00332C33" w:rsidRPr="002451B6" w:rsidRDefault="00000000">
      <w:pPr>
        <w:spacing w:before="200"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presente capítulo tem como proposta analisar as formas pelas quais as violências de gênero e sexual são representadas no </w:t>
      </w:r>
      <w:r w:rsidRPr="002451B6">
        <w:rPr>
          <w:rFonts w:ascii="Times New Roman" w:eastAsia="Times New Roman" w:hAnsi="Times New Roman" w:cs="Times New Roman"/>
          <w:i/>
          <w:iCs/>
          <w:sz w:val="24"/>
          <w:szCs w:val="24"/>
        </w:rPr>
        <w:t xml:space="preserve">Relatório Final </w:t>
      </w:r>
      <w:r w:rsidRPr="002451B6">
        <w:rPr>
          <w:rFonts w:ascii="Times New Roman" w:eastAsia="Times New Roman" w:hAnsi="Times New Roman" w:cs="Times New Roman"/>
          <w:sz w:val="24"/>
          <w:szCs w:val="24"/>
        </w:rPr>
        <w:t xml:space="preserve">da Comissão Nacional da Verdade (CNV), fonte principal dessa pesquisa. Tomando por base a jurisprudência da Comissão acerca das graves violações aos direitos humanos, buscamos compreender como as categorias de </w:t>
      </w:r>
      <w:r w:rsidRPr="002451B6">
        <w:rPr>
          <w:rFonts w:ascii="Times New Roman" w:eastAsia="Times New Roman" w:hAnsi="Times New Roman" w:cs="Times New Roman"/>
          <w:i/>
          <w:iCs/>
          <w:sz w:val="24"/>
          <w:szCs w:val="24"/>
        </w:rPr>
        <w:t>violência de gênero</w:t>
      </w:r>
      <w:r w:rsidRPr="002451B6">
        <w:rPr>
          <w:rFonts w:ascii="Times New Roman" w:eastAsia="Times New Roman" w:hAnsi="Times New Roman" w:cs="Times New Roman"/>
          <w:sz w:val="24"/>
          <w:szCs w:val="24"/>
        </w:rPr>
        <w:t xml:space="preserve"> e </w:t>
      </w:r>
      <w:r w:rsidRPr="002451B6">
        <w:rPr>
          <w:rFonts w:ascii="Times New Roman" w:eastAsia="Times New Roman" w:hAnsi="Times New Roman" w:cs="Times New Roman"/>
          <w:i/>
          <w:iCs/>
          <w:sz w:val="24"/>
          <w:szCs w:val="24"/>
        </w:rPr>
        <w:t>violência sexual</w:t>
      </w:r>
      <w:r w:rsidRPr="002451B6">
        <w:rPr>
          <w:rFonts w:ascii="Times New Roman" w:eastAsia="Times New Roman" w:hAnsi="Times New Roman" w:cs="Times New Roman"/>
          <w:sz w:val="24"/>
          <w:szCs w:val="24"/>
        </w:rPr>
        <w:t xml:space="preserve"> se cruzam no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e quem são os sujeitos considerados vítimas desses crimes. Através da metodologia de análise da documentação oficial de Estado e da História Oral, investigamos como os relatos coletados pela CNV tensionaram aspectos da tortura, evidenciando como as violências físicas e psicológicas se vincularam também às relações sexuais e de gênero de maneira sistemática. </w:t>
      </w:r>
    </w:p>
    <w:p w14:paraId="7F22A10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Inserindo-se no diálogo historiográfico que, nas últimas décadas, passou a compreender as relações de gênero como dimensão constitutiva da experiência ditatorial</w:t>
      </w:r>
      <w:r w:rsidRPr="002451B6">
        <w:rPr>
          <w:rFonts w:ascii="Times New Roman" w:eastAsia="Times New Roman" w:hAnsi="Times New Roman" w:cs="Times New Roman"/>
          <w:sz w:val="24"/>
          <w:szCs w:val="24"/>
          <w:vertAlign w:val="superscript"/>
        </w:rPr>
        <w:footnoteReference w:id="27"/>
      </w:r>
      <w:r w:rsidRPr="002451B6">
        <w:rPr>
          <w:rFonts w:ascii="Times New Roman" w:eastAsia="Times New Roman" w:hAnsi="Times New Roman" w:cs="Times New Roman"/>
          <w:sz w:val="24"/>
          <w:szCs w:val="24"/>
        </w:rPr>
        <w:t xml:space="preserve">, a análise das violências sexual e de gênero não se configura como recorte marginal ou complementar, mas como eixo interpretativo capaz de iluminar tanto as experiências de homens e mulheres quanto o próprio funcionamento do aparato repressivo da Ditadura Militar. Nesse movimento de ampliação analítica é fundamental destacar a atuação da Comissão Nacional da Verdade. Esta assume, simultaneamente, o papel de resultado e vetor desse processo ao institucionalizar, no âmbito estatal, demandas reivindicadas e tensionadas por pesquisadores, movimentos sociais, sobreviventes e familiares de vítimas ao longo dos anos. </w:t>
      </w:r>
    </w:p>
    <w:p w14:paraId="6E888BF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Sancionada pela Lei Nº 12.528, aprovada em 18 de novembro de 2011 pela presidente Dilma Rousseff, a Comissão emergiu de décadas de disputas em torno das políticas de memória, verdade e justiça. Até os dias atuais, Dilma foi a única mulher a ocupar a Presidência da República no Brasil e sua própria trajetória, como militante política presa e torturada pela Ditadura Militar, conferiu uma densidade histórica e simbólica à iniciativa de investigar oficialmente as violações cometidas pelo regime. Sobre este aspecto, a CNV teve como objetivo a elucidação dos crimes cometidos contra os direitos humanos e a autoria dos delitos tal qual a identificação e revelação de locais, instituições e estruturas que compuseram e sustentaram o sistema repressivo (Brasil,2011).</w:t>
      </w:r>
    </w:p>
    <w:p w14:paraId="076F724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A utilização da sexualidade como mecanismo de punição política, a mobilização da maternidade como estratégia de coerção e a construção da masculinidade em chave de resistência constituem algumas das formas pelas quais as violências sexuais e de gênero se inscrevem em repertórios de poder que atravessam diferentes momentos históricos, manifestando-se, inclusive, em contextos de guerra e em regimes autoritários do século XX. Ao eleger a experiência da Ditadura Militar como eixo de reflexão, este capítulo toma o caso brasileiro como escala de observação privilegiada por meio da qual se tornam visíveis dinâmicas mais amplas, presentes em outros contextos, ainda que assumam, em cada um deles, configurações específicas.</w:t>
      </w:r>
    </w:p>
    <w:p w14:paraId="597EFF81"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Brasil, essas práticas estiveram profundamente articuladas à Doutrina de Segurança Nacional</w:t>
      </w:r>
      <w:r w:rsidRPr="002451B6">
        <w:rPr>
          <w:rFonts w:ascii="Times New Roman" w:eastAsia="Times New Roman" w:hAnsi="Times New Roman" w:cs="Times New Roman"/>
          <w:sz w:val="24"/>
          <w:szCs w:val="24"/>
          <w:vertAlign w:val="superscript"/>
        </w:rPr>
        <w:footnoteReference w:id="28"/>
      </w:r>
      <w:r w:rsidRPr="002451B6">
        <w:rPr>
          <w:rFonts w:ascii="Times New Roman" w:eastAsia="Times New Roman" w:hAnsi="Times New Roman" w:cs="Times New Roman"/>
          <w:sz w:val="24"/>
          <w:szCs w:val="24"/>
        </w:rPr>
        <w:t>, à retórica da “moral e dos bons costumes” (Cowan, 2016)</w:t>
      </w:r>
      <w:r w:rsidRPr="002451B6">
        <w:rPr>
          <w:rFonts w:ascii="Times New Roman" w:eastAsia="Times New Roman" w:hAnsi="Times New Roman" w:cs="Times New Roman"/>
          <w:sz w:val="20"/>
          <w:szCs w:val="20"/>
        </w:rPr>
        <w:t xml:space="preserve"> </w:t>
      </w:r>
      <w:r w:rsidRPr="002451B6">
        <w:rPr>
          <w:rFonts w:ascii="Times New Roman" w:eastAsia="Times New Roman" w:hAnsi="Times New Roman" w:cs="Times New Roman"/>
          <w:sz w:val="24"/>
          <w:szCs w:val="24"/>
        </w:rPr>
        <w:t>e às hierarquias sociais e raciais (Pedretti, 2022) que estruturavam a sociedade, conformando uma gramática repressiva própria, na qual gênero e poder operaram de maneira indissociável. Examinar essa configuração específica não significa circunscrever a análise ao caso nacional, mas, sim, utilizá-lo como ponto de partida para formular questões mais amplas: de que modo a violência sexual e de gênero é mobilizada como tecnologia de dominação política? Como tais práticas são registradas, silenciadas ou reinterpretadas nos processos de transição e nas políticas de memória? Quais continuidades e deslocamentos se produzem quando essas violências passam do campo da experiência vivida para o da narrativa pública?</w:t>
      </w:r>
    </w:p>
    <w:p w14:paraId="781CD42C" w14:textId="77777777" w:rsidR="00332C33" w:rsidRPr="002451B6" w:rsidRDefault="00000000">
      <w:pPr>
        <w:spacing w:line="360" w:lineRule="auto"/>
        <w:ind w:left="20" w:right="23" w:firstLine="72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 as violências sexual e de gênero atravessam a experiência ditatorial e desafiam os processos de transição ao tensionarem o que pode ou não ser narrado, reconhecido e reparado, a forma como o Estado intervém na produção, preservação e transmissão dessas narrativas torna-se elemento central da análise. A atribuição de uma intencionalidade à memória por meio de políticas de rememoração pode, e deve, ser formulada e efetivada por ações institucionais de um Estado comprometido com o fortalecimento dos direitos humanos. É precisamente no terreno dessas disputas em torno da inscrição pública do passado que se situam as chamadas políticas públicas de memória, entendidas aqui como “uma ação deliberada de governos, em parceria com outros atores ou não, para a gestão da memória social, ou seja, para criar, preservar, transmitir um relato sobre determinado passado” (Bauer, 2021, p.14). </w:t>
      </w:r>
    </w:p>
    <w:p w14:paraId="050493CC" w14:textId="77777777" w:rsidR="00332C33" w:rsidRPr="002451B6" w:rsidRDefault="00000000">
      <w:pPr>
        <w:spacing w:line="360" w:lineRule="auto"/>
        <w:ind w:left="20" w:right="23" w:firstLine="72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emergência dessas políticas atrela-se às violências perpetradas durante o século XX e às formas como os poderes institucionais e as sociedades desejavam lidar com a ocorrência sistemática de violações. Inseridas no marco da Justiça de Transição, as políticas de memória </w:t>
      </w:r>
      <w:r w:rsidRPr="002451B6">
        <w:rPr>
          <w:rFonts w:ascii="Times New Roman" w:eastAsia="Times New Roman" w:hAnsi="Times New Roman" w:cs="Times New Roman"/>
          <w:sz w:val="24"/>
          <w:szCs w:val="24"/>
        </w:rPr>
        <w:lastRenderedPageBreak/>
        <w:t>têm como objetivo reconhecerem formalmente as violências-limites e sistêmicas praticadas pelos órgãos de Estado identificando quais violações aos direitos humanos foram cometidas, quem as cometeu e suas vítimas. Elas podem assumir a forma de rituais, programas educacionais, construção de lugares de memória e instituições responsáveis por salvaguardar os documentos e suas memórias (</w:t>
      </w:r>
      <w:proofErr w:type="spellStart"/>
      <w:r w:rsidRPr="002451B6">
        <w:rPr>
          <w:rFonts w:ascii="Times New Roman" w:eastAsia="Times New Roman" w:hAnsi="Times New Roman" w:cs="Times New Roman"/>
          <w:sz w:val="24"/>
          <w:szCs w:val="24"/>
        </w:rPr>
        <w:t>Groppo</w:t>
      </w:r>
      <w:proofErr w:type="spellEnd"/>
      <w:r w:rsidRPr="002451B6">
        <w:rPr>
          <w:rFonts w:ascii="Times New Roman" w:eastAsia="Times New Roman" w:hAnsi="Times New Roman" w:cs="Times New Roman"/>
          <w:sz w:val="24"/>
          <w:szCs w:val="24"/>
        </w:rPr>
        <w:t>, 2002). Essas iniciativas contribuem para a desprivatização de memórias, inscrição, legitimação e publicização de experiências e testemunhos, antes silenciados (Bauer, 2017).</w:t>
      </w:r>
    </w:p>
    <w:p w14:paraId="1BA6BDAC" w14:textId="77777777" w:rsidR="00332C33" w:rsidRPr="002451B6" w:rsidRDefault="00000000">
      <w:pPr>
        <w:spacing w:line="360" w:lineRule="auto"/>
        <w:ind w:left="20" w:right="23" w:firstLine="72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Nesse arco de atuação, podemos inscrever as Comissões da Verdade como uma política pública realizada pelo Estado para lidar com os episódios traumáticos, característicos dos períodos de exceção. Segundo a historiadora Maria Paula Araujo, esses órgãos carregam a potencialidade de abrir debates também de natureza ética e política na sociedade civil a convocando para “discutir qual o limite do poder do Estado; criar um campo semântico comum do que é considerado como violência, abuso, atrocidade; a rejeitar práticas abusivas como a tortura.” (Araujo, 2012, p. 148).</w:t>
      </w:r>
      <w:r w:rsidRPr="002451B6">
        <w:rPr>
          <w:rFonts w:ascii="Times New Roman" w:eastAsia="Times New Roman" w:hAnsi="Times New Roman" w:cs="Times New Roman"/>
          <w:sz w:val="24"/>
          <w:szCs w:val="24"/>
          <w:vertAlign w:val="superscript"/>
        </w:rPr>
        <w:footnoteReference w:id="29"/>
      </w:r>
      <w:r w:rsidRPr="002451B6">
        <w:rPr>
          <w:rFonts w:ascii="Times New Roman" w:eastAsia="Times New Roman" w:hAnsi="Times New Roman" w:cs="Times New Roman"/>
          <w:sz w:val="24"/>
          <w:szCs w:val="24"/>
        </w:rPr>
        <w:t xml:space="preserve"> Nessa esteira, entendemos a CNV como uma política pública de memória que construiu uma narrativa histórica sobre o período determinado pelo texto da Lei atribuindo sentidos ao passado que nos permitem refletir acerca das temporalidades e como elas se esbarram, bem como sobre as memórias e os esquecimentos (Bauer, 2017). </w:t>
      </w:r>
    </w:p>
    <w:p w14:paraId="66C72AAD" w14:textId="77777777" w:rsidR="00332C33" w:rsidRPr="002451B6" w:rsidRDefault="00000000">
      <w:pPr>
        <w:spacing w:line="360" w:lineRule="auto"/>
        <w:ind w:left="20" w:right="23" w:firstLine="72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Considerando a Comissão como um espaço de institucionalização de </w:t>
      </w:r>
      <w:r w:rsidRPr="002451B6">
        <w:rPr>
          <w:rFonts w:ascii="Times New Roman" w:eastAsia="Times New Roman" w:hAnsi="Times New Roman" w:cs="Times New Roman"/>
          <w:i/>
          <w:iCs/>
          <w:sz w:val="24"/>
          <w:szCs w:val="24"/>
        </w:rPr>
        <w:t>memórias coletivas</w:t>
      </w:r>
      <w:r w:rsidRPr="002451B6">
        <w:rPr>
          <w:rFonts w:ascii="Times New Roman" w:eastAsia="Times New Roman" w:hAnsi="Times New Roman" w:cs="Times New Roman"/>
          <w:sz w:val="24"/>
          <w:szCs w:val="24"/>
        </w:rPr>
        <w:t>, um organismo em constante movimento, conflito e num fluxo contínuo de tempo</w:t>
      </w:r>
      <w:r w:rsidRPr="002451B6">
        <w:rPr>
          <w:rFonts w:ascii="Times New Roman" w:eastAsia="Times New Roman" w:hAnsi="Times New Roman" w:cs="Times New Roman"/>
          <w:sz w:val="24"/>
          <w:szCs w:val="24"/>
          <w:vertAlign w:val="superscript"/>
        </w:rPr>
        <w:footnoteReference w:id="30"/>
      </w:r>
      <w:r w:rsidRPr="002451B6">
        <w:rPr>
          <w:rFonts w:ascii="Times New Roman" w:eastAsia="Times New Roman" w:hAnsi="Times New Roman" w:cs="Times New Roman"/>
          <w:sz w:val="24"/>
          <w:szCs w:val="24"/>
        </w:rPr>
        <w:t xml:space="preserve">, temos a presença de muitas memórias coletivas disputando a arena política e buscando a construção de uma memória pública, com esta última se tornando uma referência para as demais acerca dos fragmentos do passado que precisam ser valorizados e evocados no presente. Nesse sentido, podemos compreender as iniciativas institucionais como tentativas de estabilização de memórias coletivas, porém isso não significa uma ausência de embates, pelo contrário. A CNV, por ser uma política institucional, foi marcada por diferentes disputas e negociações acerca das diferentes interpretações sobre a Ditadura Militar. Disputas, essas que se refletiram na escrita do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com o próprio promovendo debates políticos nas esferas públicas (Bauer, 2017). </w:t>
      </w:r>
    </w:p>
    <w:p w14:paraId="01BD1BB9" w14:textId="77777777" w:rsidR="00332C33" w:rsidRPr="002451B6" w:rsidRDefault="00332C33">
      <w:pPr>
        <w:spacing w:before="134" w:line="360" w:lineRule="auto"/>
        <w:ind w:right="23"/>
        <w:jc w:val="both"/>
        <w:rPr>
          <w:rFonts w:ascii="Times New Roman" w:eastAsia="Times New Roman" w:hAnsi="Times New Roman" w:cs="Times New Roman"/>
          <w:b/>
          <w:bCs/>
          <w:sz w:val="24"/>
          <w:szCs w:val="24"/>
        </w:rPr>
      </w:pPr>
    </w:p>
    <w:p w14:paraId="4EDD38C3" w14:textId="77777777" w:rsidR="00332C33" w:rsidRPr="002451B6" w:rsidRDefault="00000000">
      <w:pPr>
        <w:spacing w:before="134" w:line="360" w:lineRule="auto"/>
        <w:ind w:right="23"/>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A Lei Nº 12.528 e os aspectos legais da Comissão Nacional da Verdade </w:t>
      </w:r>
    </w:p>
    <w:p w14:paraId="1AF4D18A" w14:textId="77777777" w:rsidR="00433385" w:rsidRPr="002451B6" w:rsidRDefault="00433385">
      <w:pPr>
        <w:spacing w:before="134" w:line="360" w:lineRule="auto"/>
        <w:ind w:right="23"/>
        <w:jc w:val="both"/>
        <w:rPr>
          <w:rFonts w:ascii="Times New Roman" w:eastAsia="Times New Roman" w:hAnsi="Times New Roman" w:cs="Times New Roman"/>
          <w:b/>
          <w:bCs/>
          <w:sz w:val="24"/>
          <w:szCs w:val="24"/>
        </w:rPr>
      </w:pPr>
    </w:p>
    <w:p w14:paraId="17D75F4B"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Diferentemente das demais experiências latino-americanas nas quais as Comissões da Verdade foram aprovadas pelo poder Executivo e através de acordos de paz, a Comissão Nacional da Verdade foi sancionada por lei, como citado anteriormente. A aprovação de uma Comissão da Verdade pelo Legislativo garante a ela maiores ferramentas para realizar as funções que lhe foram atribuídas, dentro dos sistemas constitucionais daquela determinada região. Nesse sentido, a lei forneceu um marco normativo consistente ao estabelecer o direito à memória e à verdade histórica no ordenamento jurídico brasileiro e atribuir funções significativas a um órgão que não possui encargos persecutórios e jurisdicionais. (Comissão Nacional da Verdade. Relatório Final, 2014). De acordo com o </w:t>
      </w:r>
      <w:r w:rsidRPr="002451B6">
        <w:rPr>
          <w:rFonts w:ascii="Times New Roman" w:eastAsia="Times New Roman" w:hAnsi="Times New Roman" w:cs="Times New Roman"/>
          <w:i/>
          <w:iCs/>
          <w:sz w:val="24"/>
          <w:szCs w:val="24"/>
        </w:rPr>
        <w:t>caput</w:t>
      </w:r>
      <w:r w:rsidRPr="002451B6">
        <w:rPr>
          <w:rFonts w:ascii="Times New Roman" w:eastAsia="Times New Roman" w:hAnsi="Times New Roman" w:cs="Times New Roman"/>
          <w:sz w:val="24"/>
          <w:szCs w:val="24"/>
        </w:rPr>
        <w:t xml:space="preserve"> da Lei da Comissão, temos:</w:t>
      </w:r>
    </w:p>
    <w:p w14:paraId="3C6F918B" w14:textId="77777777" w:rsidR="00332C33" w:rsidRPr="002451B6" w:rsidRDefault="00000000" w:rsidP="00BD2256">
      <w:pPr>
        <w:spacing w:line="240" w:lineRule="auto"/>
        <w:ind w:left="2268"/>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Art. 1º É criada, no âmbito da Casa Civil da Presidência da República, a Comissão Nacional da Verdade, com a finalidade de examinar e esclarecer as graves violações de direitos humanos praticadas no período fixado no art. 8º do Ato das Disposições Constitucionais Transitórias, a fim de efetivar </w:t>
      </w:r>
      <w:r w:rsidRPr="002451B6">
        <w:rPr>
          <w:rFonts w:ascii="Times New Roman" w:eastAsia="Times New Roman" w:hAnsi="Times New Roman" w:cs="Times New Roman"/>
          <w:i/>
          <w:iCs/>
          <w:sz w:val="20"/>
          <w:szCs w:val="20"/>
        </w:rPr>
        <w:t>o direito à memória e à verdade histórica</w:t>
      </w:r>
      <w:r w:rsidRPr="002451B6">
        <w:rPr>
          <w:rFonts w:ascii="Times New Roman" w:eastAsia="Times New Roman" w:hAnsi="Times New Roman" w:cs="Times New Roman"/>
          <w:sz w:val="20"/>
          <w:szCs w:val="20"/>
        </w:rPr>
        <w:t xml:space="preserve"> e promover a reconciliação nacional. (grifos nossos) (Brasil, 2011, p. 1). </w:t>
      </w:r>
    </w:p>
    <w:p w14:paraId="1F2F5E69" w14:textId="77777777" w:rsidR="00332C33" w:rsidRPr="002451B6" w:rsidRDefault="00000000">
      <w:pPr>
        <w:spacing w:before="200"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Um dos aspectos que podemos perceber através desse trecho é a vinculação da atribuição da CNV ao exercício da verdade como um direito, o que implica a sua não revogação assim como a garantia de que “(...) será incumbência de outros sujeitos os desdobramentos do seu exercício”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 2014, p.34). Esse posicionamento insere a Comissão Nacional em um seleto grupo de comissões que também justificaram a sua criação atrelada ao mesmo direito como, por exemplo, a Comissão para o Esclarecimento Histórico da Guatemala (1999) e a Comissão da Verdade de Reconciliação do Peru (2001).</w:t>
      </w:r>
    </w:p>
    <w:p w14:paraId="77459E9C"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Inicialmente, o direito à verdade era atrelado ao direito dos familiares de desaparecidos de saberem o paradeiro de seus parentes. Posteriormente, esse tipo de direito foi tendo sua dimensão ampliada ao ser abarcado pelo Sistema Interamericano de Direitos Humanos, pelo Grupo de Trabalho da ONU sobre o Desaparecimento Forçado ou Involuntário e pelo Comitê de Direitos Humanos da ONU (González, 2012). O direito à verdade portanto é tido como um direito inalienável e assentado na ideia do direito de saber, de caráter tanto individual quanto coletivo, as circunstâncias e os dados envolvidos no cometimento de graves violações aos direitos humanos como um todo. Dessa forma, existe uma ligação estreita entre o direito à </w:t>
      </w:r>
      <w:r w:rsidRPr="002451B6">
        <w:rPr>
          <w:rFonts w:ascii="Times New Roman" w:eastAsia="Times New Roman" w:hAnsi="Times New Roman" w:cs="Times New Roman"/>
          <w:sz w:val="24"/>
          <w:szCs w:val="24"/>
        </w:rPr>
        <w:lastRenderedPageBreak/>
        <w:t>verdade e o dever do Estado na preservação de documentos que provem a ocorrência sistemática desses crimes (Comissão Nacional da Verdade. Relatório Final, 2014).</w:t>
      </w:r>
    </w:p>
    <w:p w14:paraId="44E2B6EA"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Inserida no eixo do Direito Internacional dos Direitos Humanos, a escolha dos termos utilizados pela Comissão ao longo de seu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refletiu as suas posições dentro dessa dimensão internacional. Nesta pesquisa optamos por nos debruçar sobre a categoria de </w:t>
      </w:r>
      <w:r w:rsidRPr="002451B6">
        <w:rPr>
          <w:rFonts w:ascii="Times New Roman" w:eastAsia="Times New Roman" w:hAnsi="Times New Roman" w:cs="Times New Roman"/>
          <w:i/>
          <w:iCs/>
          <w:sz w:val="24"/>
          <w:szCs w:val="24"/>
        </w:rPr>
        <w:t>graves violações aos direitos humano</w:t>
      </w:r>
      <w:r w:rsidRPr="002451B6">
        <w:rPr>
          <w:rFonts w:ascii="Times New Roman" w:eastAsia="Times New Roman" w:hAnsi="Times New Roman" w:cs="Times New Roman"/>
          <w:sz w:val="24"/>
          <w:szCs w:val="24"/>
        </w:rPr>
        <w:t>s. Segundo o Centro Internacional para a Justiça de Transição, o conceito em questão é usado para se referenciar “a direitos considerados inderrogáveis, como direito à vida e à integridade pessoal, não sendo passíveis de suspensão mesmo em situações excepcionais - a guerra, o estado de emergência, o estado de perigo” (Comissão Nacional da Verdade. Relatório Final, 2014, p. 37).</w:t>
      </w:r>
      <w:r w:rsidRPr="002451B6">
        <w:rPr>
          <w:rFonts w:ascii="Times New Roman" w:eastAsia="Times New Roman" w:hAnsi="Times New Roman" w:cs="Times New Roman"/>
          <w:sz w:val="24"/>
          <w:szCs w:val="24"/>
          <w:vertAlign w:val="superscript"/>
        </w:rPr>
        <w:footnoteReference w:id="31"/>
      </w:r>
    </w:p>
    <w:p w14:paraId="48900CBE"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termos da legislação interna, a Constituição Federal decretada em 1988 também ocupou um papel central nessa promulgação de direitos, inclusive os direitos humanos. De acordo com a advogada de </w:t>
      </w:r>
      <w:proofErr w:type="spellStart"/>
      <w:r w:rsidRPr="002451B6">
        <w:rPr>
          <w:rFonts w:ascii="Times New Roman" w:eastAsia="Times New Roman" w:hAnsi="Times New Roman" w:cs="Times New Roman"/>
          <w:sz w:val="24"/>
          <w:szCs w:val="24"/>
        </w:rPr>
        <w:t>ex-presos</w:t>
      </w:r>
      <w:proofErr w:type="spellEnd"/>
      <w:r w:rsidRPr="002451B6">
        <w:rPr>
          <w:rFonts w:ascii="Times New Roman" w:eastAsia="Times New Roman" w:hAnsi="Times New Roman" w:cs="Times New Roman"/>
          <w:sz w:val="24"/>
          <w:szCs w:val="24"/>
        </w:rPr>
        <w:t xml:space="preserve"> políticos e presidente da CNV, Rosa Maria Cardoso, no que tange aos direitos, a Constituição Federal se vinculou a uma ideia contemporânea do direito de que um pacto constitucional democrático necessita de espaços que garantam a possibilidade de efetivar constantes atualizações e criação de direitos. A carta constitucional “(...) os distingue dos direitos e garantias constitucionais e os institucionaliza em sua versão contemporânea prevista na Declaração Universal, de 1948, e reiterada na Declaração de Direitos Humanos de Viena, de 1993.” (Cunha, 2020, p. 183 - 184).</w:t>
      </w:r>
      <w:r w:rsidRPr="002451B6">
        <w:rPr>
          <w:rFonts w:ascii="Times New Roman" w:eastAsia="Times New Roman" w:hAnsi="Times New Roman" w:cs="Times New Roman"/>
          <w:sz w:val="20"/>
          <w:szCs w:val="20"/>
        </w:rPr>
        <w:t xml:space="preserve"> </w:t>
      </w:r>
      <w:r w:rsidRPr="002451B6">
        <w:rPr>
          <w:rFonts w:ascii="Times New Roman" w:eastAsia="Times New Roman" w:hAnsi="Times New Roman" w:cs="Times New Roman"/>
          <w:sz w:val="24"/>
          <w:szCs w:val="24"/>
        </w:rPr>
        <w:t>Os direitos humanos ocupam um papel central na Constituição do Brasil ao ter sido demarcado no documento que em caso de qualquer conflito entre a soberania do Estado e os direitos humanos, os últimos prevalecem sobre os primeiros.</w:t>
      </w:r>
    </w:p>
    <w:p w14:paraId="5945B7C7"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caso da Comissão Nacional da Verdade, o uso do termo </w:t>
      </w:r>
      <w:r w:rsidRPr="002451B6">
        <w:rPr>
          <w:rFonts w:ascii="Times New Roman" w:eastAsia="Times New Roman" w:hAnsi="Times New Roman" w:cs="Times New Roman"/>
          <w:i/>
          <w:iCs/>
          <w:sz w:val="24"/>
          <w:szCs w:val="24"/>
        </w:rPr>
        <w:t>graves violações aos direitos humanos</w:t>
      </w:r>
      <w:r w:rsidRPr="002451B6">
        <w:rPr>
          <w:rFonts w:ascii="Times New Roman" w:eastAsia="Times New Roman" w:hAnsi="Times New Roman" w:cs="Times New Roman"/>
          <w:sz w:val="24"/>
          <w:szCs w:val="24"/>
        </w:rPr>
        <w:t xml:space="preserve"> representa uma escolha jurídica e política pela incorporação dos precedentes dos órgãos internacionais por parte da CNV, não restringindo à sua atuação aos tipos penais e direitos fundamentais presentes na própria constituição brasileira Essa caracterização coloca ao Estado o imperativo de investigar, julgar e sancionar os responsáveis, mesmo que os delitos cometidos por esses indivíduos não estejam compreendidos nos tipos penais no país (Comissão Nacional da Verdade. 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2014).</w:t>
      </w:r>
    </w:p>
    <w:p w14:paraId="62A83691"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Esse alinhamento permitiu a Comissão definir como graves violações aos direitos humanos os seguintes crimes: tortura, morte, desaparecimento forçado e ocultação de cadáver</w:t>
      </w:r>
      <w:r w:rsidRPr="002451B6">
        <w:rPr>
          <w:rFonts w:ascii="Times New Roman" w:eastAsia="Times New Roman" w:hAnsi="Times New Roman" w:cs="Times New Roman"/>
          <w:sz w:val="24"/>
          <w:szCs w:val="24"/>
          <w:vertAlign w:val="superscript"/>
        </w:rPr>
        <w:footnoteReference w:id="32"/>
      </w:r>
      <w:r w:rsidRPr="002451B6">
        <w:rPr>
          <w:rFonts w:ascii="Times New Roman" w:eastAsia="Times New Roman" w:hAnsi="Times New Roman" w:cs="Times New Roman"/>
          <w:sz w:val="24"/>
          <w:szCs w:val="24"/>
        </w:rPr>
        <w:t>. Considerando o contexto histórico do Brasil e adotando uma interpretação progressiva deste campo jurídico, após a aprovação da Lei em questão, os conselheiros da CNV ampliaram o texto da lei estabelecendo a detenção ilegal e arbitrária e a violência sexual como práticas que também deveriam ser consideradas uma grave violação (Comissão Nacional da Verdade. 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2014). Nesse sentido, destacamos que, para além da sistematização das graves violações de direitos humanos, a Comissão ampliou os marcos interpretativos oficiais ao incorporar de maneira estruturante as dimensões sexual e de gênero, até então frequentemente tratadas como aspectos marginais ou derivados da repressão política. </w:t>
      </w:r>
    </w:p>
    <w:p w14:paraId="6A423A61"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2014, a divulgação do relatório final consolidou esse movimento ao inscrever, no plano institucional, uma nova gramática de reconhecimento das violências de Estado. Dessa forma, através dos marcos presentes no texto da lei que decretou a Comissão, e de seus desdobramentos no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identificamos como os processos políticos brasileiros referentes ao eixo memória, verdade e justiça são permeados por avanços e recuos, amplitudes e limitações. Estes muitas vezes são manifestados, não só nos momentos de aprovação de uma determinada política de memória, mas também durante sua vigência. </w:t>
      </w:r>
    </w:p>
    <w:p w14:paraId="09C6960D" w14:textId="77777777" w:rsidR="00332C33" w:rsidRPr="002451B6" w:rsidRDefault="00332C33">
      <w:pPr>
        <w:spacing w:before="200" w:line="360" w:lineRule="auto"/>
        <w:ind w:right="23"/>
        <w:jc w:val="both"/>
        <w:rPr>
          <w:rFonts w:ascii="Times New Roman" w:eastAsia="Times New Roman" w:hAnsi="Times New Roman" w:cs="Times New Roman"/>
          <w:b/>
          <w:bCs/>
          <w:sz w:val="24"/>
          <w:szCs w:val="24"/>
        </w:rPr>
      </w:pPr>
    </w:p>
    <w:p w14:paraId="22771909" w14:textId="77777777" w:rsidR="00332C33" w:rsidRPr="002451B6" w:rsidRDefault="00000000">
      <w:pPr>
        <w:spacing w:before="200" w:line="360" w:lineRule="auto"/>
        <w:ind w:right="23"/>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A construção do sentido de </w:t>
      </w:r>
      <w:r w:rsidRPr="002451B6">
        <w:rPr>
          <w:rFonts w:ascii="Times New Roman" w:eastAsia="Times New Roman" w:hAnsi="Times New Roman" w:cs="Times New Roman"/>
          <w:b/>
          <w:bCs/>
          <w:i/>
          <w:iCs/>
          <w:sz w:val="24"/>
          <w:szCs w:val="24"/>
        </w:rPr>
        <w:t>violência de gênero</w:t>
      </w:r>
      <w:r w:rsidRPr="002451B6">
        <w:rPr>
          <w:rFonts w:ascii="Times New Roman" w:eastAsia="Times New Roman" w:hAnsi="Times New Roman" w:cs="Times New Roman"/>
          <w:b/>
          <w:bCs/>
          <w:sz w:val="24"/>
          <w:szCs w:val="24"/>
        </w:rPr>
        <w:t xml:space="preserve"> e </w:t>
      </w:r>
      <w:r w:rsidRPr="002451B6">
        <w:rPr>
          <w:rFonts w:ascii="Times New Roman" w:eastAsia="Times New Roman" w:hAnsi="Times New Roman" w:cs="Times New Roman"/>
          <w:b/>
          <w:bCs/>
          <w:i/>
          <w:iCs/>
          <w:sz w:val="24"/>
          <w:szCs w:val="24"/>
        </w:rPr>
        <w:t>violência sexual</w:t>
      </w:r>
      <w:r w:rsidRPr="002451B6">
        <w:rPr>
          <w:rFonts w:ascii="Times New Roman" w:eastAsia="Times New Roman" w:hAnsi="Times New Roman" w:cs="Times New Roman"/>
          <w:b/>
          <w:bCs/>
          <w:sz w:val="24"/>
          <w:szCs w:val="24"/>
        </w:rPr>
        <w:t xml:space="preserve"> na Comissão Nacional da Verdade </w:t>
      </w:r>
    </w:p>
    <w:p w14:paraId="77D170C8" w14:textId="77777777" w:rsidR="00433385" w:rsidRPr="002451B6" w:rsidRDefault="00433385">
      <w:pPr>
        <w:spacing w:before="200" w:line="360" w:lineRule="auto"/>
        <w:ind w:right="23"/>
        <w:jc w:val="both"/>
        <w:rPr>
          <w:rFonts w:ascii="Times New Roman" w:eastAsia="Times New Roman" w:hAnsi="Times New Roman" w:cs="Times New Roman"/>
          <w:b/>
          <w:bCs/>
          <w:sz w:val="24"/>
          <w:szCs w:val="24"/>
        </w:rPr>
      </w:pPr>
    </w:p>
    <w:p w14:paraId="4E083D7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que concerne às violências de gênero e sexual, o capítulo 10 do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Final</w:t>
      </w:r>
      <w:r w:rsidRPr="002451B6">
        <w:rPr>
          <w:rFonts w:ascii="Times New Roman" w:eastAsia="Times New Roman" w:hAnsi="Times New Roman" w:cs="Times New Roman"/>
          <w:sz w:val="24"/>
          <w:szCs w:val="24"/>
        </w:rPr>
        <w:t xml:space="preserve"> da CNV, intitulado “Violência sexual, violência de gênero e violência contra crianças e adolescentes”, dedica-se à análise dessas modalidades específicas de violações perpetradas pelo Estado no contexto da Ditadura Militar. Resultado das investigações empreendidas e dos testemunhos sistematizados pelo grupo de trabalho “Ditadura e Gênero”, o referido capítulo constitui-se como um dos momentos centrais de elaboração interpretativa acerca das dimensões </w:t>
      </w:r>
      <w:proofErr w:type="spellStart"/>
      <w:r w:rsidRPr="002451B6">
        <w:rPr>
          <w:rFonts w:ascii="Times New Roman" w:eastAsia="Times New Roman" w:hAnsi="Times New Roman" w:cs="Times New Roman"/>
          <w:sz w:val="24"/>
          <w:szCs w:val="24"/>
        </w:rPr>
        <w:t>generificadas</w:t>
      </w:r>
      <w:proofErr w:type="spellEnd"/>
      <w:r w:rsidRPr="002451B6">
        <w:rPr>
          <w:rFonts w:ascii="Times New Roman" w:eastAsia="Times New Roman" w:hAnsi="Times New Roman" w:cs="Times New Roman"/>
          <w:sz w:val="24"/>
          <w:szCs w:val="24"/>
        </w:rPr>
        <w:t xml:space="preserve"> da repressão. </w:t>
      </w:r>
    </w:p>
    <w:p w14:paraId="2D2AFE36" w14:textId="77777777" w:rsidR="00332C33" w:rsidRPr="002451B6" w:rsidRDefault="00000000">
      <w:pPr>
        <w:spacing w:line="360" w:lineRule="auto"/>
        <w:ind w:firstLine="720"/>
        <w:jc w:val="both"/>
        <w:rPr>
          <w:rFonts w:ascii="Times New Roman" w:eastAsia="Times New Roman" w:hAnsi="Times New Roman" w:cs="Times New Roman"/>
          <w:sz w:val="26"/>
          <w:szCs w:val="26"/>
        </w:rPr>
      </w:pPr>
      <w:r w:rsidRPr="002451B6">
        <w:rPr>
          <w:rFonts w:ascii="Times New Roman" w:eastAsia="Times New Roman" w:hAnsi="Times New Roman" w:cs="Times New Roman"/>
          <w:sz w:val="24"/>
          <w:szCs w:val="24"/>
        </w:rPr>
        <w:t xml:space="preserve">O documento em questão representa um esforço de enquadramento analítico que inscreve tais narrativas em categorias jurídicas e políticas consolidadas no campo dos Direitos </w:t>
      </w:r>
      <w:r w:rsidRPr="002451B6">
        <w:rPr>
          <w:rFonts w:ascii="Times New Roman" w:eastAsia="Times New Roman" w:hAnsi="Times New Roman" w:cs="Times New Roman"/>
          <w:sz w:val="24"/>
          <w:szCs w:val="24"/>
        </w:rPr>
        <w:lastRenderedPageBreak/>
        <w:t>Humanos. As definições mobilizadas ao longo do texto dialogam diretamente com parâmetros internacionais, conferindo densidade normativa às experiências relatadas e as situando no interior de um léxico jurídico transnacional. Nesse sentido, a exposição das violações não se limita à dimensão factual, mas é permanentemente acompanhada por um movimento de qualificação jurídica e política.</w:t>
      </w:r>
    </w:p>
    <w:p w14:paraId="65671A6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Considerando que um dos objetivos do </w:t>
      </w:r>
      <w:r w:rsidRPr="002451B6">
        <w:rPr>
          <w:rFonts w:ascii="Times New Roman" w:eastAsia="Times New Roman" w:hAnsi="Times New Roman" w:cs="Times New Roman"/>
          <w:i/>
          <w:iCs/>
          <w:sz w:val="24"/>
          <w:szCs w:val="24"/>
        </w:rPr>
        <w:t>Relatório</w:t>
      </w:r>
      <w:r w:rsidRPr="002451B6">
        <w:rPr>
          <w:rFonts w:ascii="Times New Roman" w:eastAsia="Times New Roman" w:hAnsi="Times New Roman" w:cs="Times New Roman"/>
          <w:sz w:val="24"/>
          <w:szCs w:val="24"/>
        </w:rPr>
        <w:t xml:space="preserve"> consiste em promover o esclarecimento das práticas de tortura durante o regime autoritário, os testemunhos reunidos evidenciam que a violência sexual e a violência de gênero não foram ocorrências episódicas ou desvios individuais, mas integraram um repertório sistemático de práticas repressivas. O capítulo trabalha essas categorias em suas especificidades conceituais e em suas zonas de interseção, evidenciando como ambas se imbricam na experiência concreta das vítimas. Para tanto, recorre a referenciais produzidos por organismos e instâncias internacionais, como a Organização Mundial da Saúde, a Organização das Nações Unidas, a Corte Interamericana de Direitos Humanos e o Tribunal Russell II, entre outros, cujas formulações contribuem para delimitar e qualificar juridicamente as práticas descritas. Ao complexificar a noção de </w:t>
      </w:r>
      <w:r w:rsidRPr="002451B6">
        <w:rPr>
          <w:rFonts w:ascii="Times New Roman" w:eastAsia="Times New Roman" w:hAnsi="Times New Roman" w:cs="Times New Roman"/>
          <w:i/>
          <w:iCs/>
          <w:sz w:val="24"/>
          <w:szCs w:val="24"/>
        </w:rPr>
        <w:t>violência sexual</w:t>
      </w:r>
      <w:r w:rsidRPr="002451B6">
        <w:rPr>
          <w:rFonts w:ascii="Times New Roman" w:eastAsia="Times New Roman" w:hAnsi="Times New Roman" w:cs="Times New Roman"/>
          <w:sz w:val="24"/>
          <w:szCs w:val="24"/>
        </w:rPr>
        <w:t>, a CNV apoia-se na definição elaborada pela Organização Mundial da Saúde (OMS), compreendendo-a como:</w:t>
      </w:r>
    </w:p>
    <w:p w14:paraId="3F6C075B" w14:textId="0CD1CAFA" w:rsidR="00332C33" w:rsidRPr="002451B6" w:rsidRDefault="00B52711" w:rsidP="00B52711">
      <w:pPr>
        <w:spacing w:line="240" w:lineRule="auto"/>
        <w:ind w:left="2268"/>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 quaisquer atos sexuais ou tentativas de realizar um ato sexual, comentários ou </w:t>
      </w:r>
      <w:proofErr w:type="gramStart"/>
      <w:r w:rsidRPr="002451B6">
        <w:rPr>
          <w:rFonts w:ascii="Times New Roman" w:eastAsia="Times New Roman" w:hAnsi="Times New Roman" w:cs="Times New Roman"/>
          <w:sz w:val="20"/>
          <w:szCs w:val="20"/>
        </w:rPr>
        <w:t>investidas sexuais não consentidos</w:t>
      </w:r>
      <w:proofErr w:type="gramEnd"/>
      <w:r w:rsidRPr="002451B6">
        <w:rPr>
          <w:rFonts w:ascii="Times New Roman" w:eastAsia="Times New Roman" w:hAnsi="Times New Roman" w:cs="Times New Roman"/>
          <w:sz w:val="20"/>
          <w:szCs w:val="20"/>
        </w:rPr>
        <w:t xml:space="preserve">, atos para comercializar ou de outra forma controlar a sexualidade de uma pessoa através do uso da coerção, realizados por qualquer pessoa, independentemente de sua relação com a vítima, em qualquer ambiente, incluindo, sem estar limitados, a residência e o trabalho. Abrange toda ação praticada em contexto de relação de poder, quando o abusador obriga outra pessoa à prática sexual ou sexualizada contra a sua vontade, por meio da força física, de influência psicológica (intimidação, aliciamento, indução da vontade, sedução) ou do uso de armas e drogas (Comissão Nacional da Verdade. Relatório Final, 2014, p. 418). </w:t>
      </w:r>
    </w:p>
    <w:p w14:paraId="2E62FB29" w14:textId="77777777" w:rsidR="00332C33" w:rsidRPr="002451B6" w:rsidRDefault="00332C33">
      <w:pPr>
        <w:spacing w:line="240" w:lineRule="auto"/>
        <w:ind w:left="720"/>
        <w:jc w:val="both"/>
        <w:rPr>
          <w:rFonts w:ascii="Times New Roman" w:eastAsia="Times New Roman" w:hAnsi="Times New Roman" w:cs="Times New Roman"/>
        </w:rPr>
      </w:pPr>
    </w:p>
    <w:p w14:paraId="264A2A3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interior dessa categoria mais abrangente situam-se as violações sexuais propriamente ditas, entendidas como aquelas que envolvem penetração de natureza sexual não consentida do corpo da vítima, realizada por órgão sexual, membro ou objeto, mediante o emprego de força, ameaça ou qualquer forma de coerção. A violação sexual constitui, portanto, uma modalidade específica de violência sexual, caracterizada pela materialidade da penetração forçada. Nesse enquadramento conceitual, o estupro não corresponde à totalidade da violência sexual, mas configura apenas uma de suas expressões possíveis, ainda que historicamente tenha ocupado posição central nos debates jurídicos e sociais sobre o tema.</w:t>
      </w:r>
    </w:p>
    <w:p w14:paraId="06423D0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Importa destacar que, segundo a Organização Mundial da Saúde, a noção de violência sexual não se restringe ao ato físico de agressão, nem se esgota na imagem paradigmática do estupro. Trata-se de uma categoria analítica mais ampla englobando um espectro diverso de </w:t>
      </w:r>
      <w:r w:rsidRPr="002451B6">
        <w:rPr>
          <w:rFonts w:ascii="Times New Roman" w:eastAsia="Times New Roman" w:hAnsi="Times New Roman" w:cs="Times New Roman"/>
          <w:sz w:val="24"/>
          <w:szCs w:val="24"/>
        </w:rPr>
        <w:lastRenderedPageBreak/>
        <w:t>práticas, condutas e constrangimentos de natureza sexual, produzidos em contextos atravessados por relações assimétricas de poder. Ao enfatizar essas assimetrias, a definição desloca o foco do evento isolado para as condições estruturais que tornam possível a imposição da vontade de um agente sobre o corpo e a sexualidade de outro.</w:t>
      </w:r>
    </w:p>
    <w:p w14:paraId="362CD09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Conforme assinala a CNV, no contexto da Ditadura Militar, a violência sexual não pode ser compreendida como prática periférica ou desvinculada da engrenagem repressiva, mas, sim, como instrumento integrado ao aparato de tortura exercido e tolerado por agentes estatais. Ao transgredir princípios inerentes à condição humana e afrontar a premissa de que todas as pessoas nascem livres e iguais em dignidade e direitos, tais práticas são hoje reconhecidas, à luz da jurisprudência internacional em matéria de Direitos Humanos, como graves violações. Em determinadas circunstâncias, esses delitos são definidos como crimes contra a humanidade. Os depoimentos reunidos pela Comissão evidenciam o caráter sistemático dessas violências, indicando que sua disseminação remonta às primeiras prisões realizadas imediatamente após o golpe civil-militar de 1964 (D’Araújo, Joffily, 2019), o que reforça a tese de que não se tratou de excessos isolados, mas de um método reiterado de repressão.</w:t>
      </w:r>
    </w:p>
    <w:p w14:paraId="704C46B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que diz respeito aos </w:t>
      </w:r>
      <w:r w:rsidRPr="002451B6">
        <w:rPr>
          <w:rFonts w:ascii="Times New Roman" w:eastAsia="Times New Roman" w:hAnsi="Times New Roman" w:cs="Times New Roman"/>
          <w:i/>
          <w:iCs/>
          <w:sz w:val="24"/>
          <w:szCs w:val="24"/>
        </w:rPr>
        <w:t>crimes e violações de gênero</w:t>
      </w:r>
      <w:r w:rsidRPr="002451B6">
        <w:rPr>
          <w:rFonts w:ascii="Times New Roman" w:eastAsia="Times New Roman" w:hAnsi="Times New Roman" w:cs="Times New Roman"/>
          <w:sz w:val="24"/>
          <w:szCs w:val="24"/>
        </w:rPr>
        <w:t>, importa distingui-los, ainda que estejam imbricados com a violência sexual. Tais violações são cometidas “contra homens e mulheres, por causa de seu sexo e/ou por causa de seus papéis de gênero, socialmente construídos”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 2014, p.420).</w:t>
      </w:r>
      <w:r w:rsidRPr="002451B6">
        <w:rPr>
          <w:rFonts w:ascii="Times New Roman" w:eastAsia="Times New Roman" w:hAnsi="Times New Roman" w:cs="Times New Roman"/>
          <w:sz w:val="20"/>
          <w:szCs w:val="20"/>
        </w:rPr>
        <w:t xml:space="preserve"> </w:t>
      </w:r>
      <w:r w:rsidRPr="002451B6">
        <w:rPr>
          <w:rFonts w:ascii="Times New Roman" w:eastAsia="Times New Roman" w:hAnsi="Times New Roman" w:cs="Times New Roman"/>
          <w:sz w:val="24"/>
          <w:szCs w:val="24"/>
        </w:rPr>
        <w:t>Portanto, estes “nem sempre se manifestam sob a forma de violência sexual. Podem incluir ataques não sexuais a qualquer indivíduo, motivados por seu gênero”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2014, p.420). Nesse sentido, a categoria </w:t>
      </w:r>
      <w:r w:rsidRPr="002451B6">
        <w:rPr>
          <w:rFonts w:ascii="Times New Roman" w:eastAsia="Times New Roman" w:hAnsi="Times New Roman" w:cs="Times New Roman"/>
          <w:i/>
          <w:iCs/>
          <w:sz w:val="24"/>
          <w:szCs w:val="24"/>
        </w:rPr>
        <w:t>gênero</w:t>
      </w:r>
      <w:r w:rsidRPr="002451B6">
        <w:rPr>
          <w:rFonts w:ascii="Times New Roman" w:eastAsia="Times New Roman" w:hAnsi="Times New Roman" w:cs="Times New Roman"/>
          <w:sz w:val="24"/>
          <w:szCs w:val="24"/>
        </w:rPr>
        <w:t xml:space="preserve"> amplia o campo de análise ao evidenciar que a repressão operava também por meio da punição de performances consideradas desviantes ou inadequadas.</w:t>
      </w:r>
    </w:p>
    <w:p w14:paraId="3942BED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Os testemunhos presentes no capítulo revelam, assim, o papel estruturante que o gênero desempenhou na motivação, na execução e na justificação das práticas de tortura, inclusive naquelas de natureza sexual. Compreendido como construção sociocultural historicamente situada, o gênero não apenas reflete, mas também produz arranjos sociais específicos, instituindo padrões de masculinidades e feminilidades que incidem de maneira normativa sobre os diferentes corpos e suas formas de expressão. Esses padrões delimitam oportunidades, liberdades e obrigações, estabelecendo expectativas quanto ao que significa ser homem ou mulher em determinado contexto histórico e social. Tal ordenamento, frequentemente sustentado por uma matriz heteronormativa, engendra hierarquias e desigualdades que restringem a autonomia dos sujeitos, inclusive no exercício de sua própria sexualidade.</w:t>
      </w:r>
    </w:p>
    <w:p w14:paraId="50A01373"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Sobre este aspecto, estudos como os de Renan </w:t>
      </w:r>
      <w:proofErr w:type="spellStart"/>
      <w:r w:rsidRPr="002451B6">
        <w:rPr>
          <w:rFonts w:ascii="Times New Roman" w:eastAsia="Times New Roman" w:hAnsi="Times New Roman" w:cs="Times New Roman"/>
          <w:sz w:val="24"/>
          <w:szCs w:val="24"/>
        </w:rPr>
        <w:t>Quinalha</w:t>
      </w:r>
      <w:proofErr w:type="spellEnd"/>
      <w:r w:rsidRPr="002451B6">
        <w:rPr>
          <w:rFonts w:ascii="Times New Roman" w:eastAsia="Times New Roman" w:hAnsi="Times New Roman" w:cs="Times New Roman"/>
          <w:sz w:val="24"/>
          <w:szCs w:val="24"/>
        </w:rPr>
        <w:t xml:space="preserve"> (2017) e Benjamin Cowan (2016) demonstram que, desde o momento do golpe civil-militar, a invocação da “moral e dos bons costumes” ultrapassou o plano retórico e configurou-se como elemento constitutivo de um projeto político articulado à</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Doutrina de Segurança Nacional. A construção do ideal do “cidadão de bem” foi acompanhada pela formulação e implementação de políticas destinadas a consolidar uma mentalidade conservadora e anticomunista no contexto da Guerra Fria. Sob a lente da perspectiva de gênero e sexualidade, tais pesquisas evidenciam que a repressão não se limitou ao combate a opositores estritamente políticos, mas incluiu o controle das feminilidades e masculinidades por meio de uma agenda moral disciplinadora.</w:t>
      </w:r>
    </w:p>
    <w:p w14:paraId="2816F85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Uma vez que as concepções de gênero são definidas “como as percepções de mulheres e homens, sobre o papel de ambos na sociedade”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2014, p.401), seus conteúdos e atributos tornam-se parâmetros para a inclusão ou exclusão de sujeitos do pleno reconhecimento de direitos. As representações do que é considerado adequado ou legítimo em termos de comportamento, lugar social e identidade acabam por sustentar dinâmicas de dominação que alimentam práticas discriminatórias e de marginalização. Nesse sentido, a violência de gênero não se restringe à garantia ou negação formal de direitos com base no sexo do indivíduo, mas manifesta-se também na incapacidade, tanto do Estado quanto da sociedade civil, de reconhecer e efetivar a igualdade substantiva, naturalizando assim formas de discriminação e hierarquização.</w:t>
      </w:r>
    </w:p>
    <w:p w14:paraId="1442327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Ao se examinar a maneira pela qual a dimensão de gênero atravessou o aparato repressivo da Ditadura Militar, evidencia-se que a violência sexual narrada pelos sobreviventes foi estruturada a partir de hierarquias de gênero previamente consolidadas no imaginário social e político do período. Não se tratou apenas da instrumentalização do corpo como espaço de punição, mas da mobilização consciente de concepções normativas de masculinidade e feminilidade na própria formulação e execução das práticas de tortura. Dessa forma, as categorias de gênero funcionaram como operadores simbólicos que organizaram tanto a violência de gênero quanto a violência sexual, conferindo-lhes inteligibilidade dentro da gramática moral sustentada pelo regime.</w:t>
      </w:r>
    </w:p>
    <w:p w14:paraId="4A95F729"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acordo com o </w:t>
      </w:r>
      <w:r w:rsidRPr="002451B6">
        <w:rPr>
          <w:rFonts w:ascii="Times New Roman" w:eastAsia="Times New Roman" w:hAnsi="Times New Roman" w:cs="Times New Roman"/>
          <w:i/>
          <w:iCs/>
          <w:sz w:val="24"/>
          <w:szCs w:val="24"/>
        </w:rPr>
        <w:t>Relatório Final</w:t>
      </w:r>
      <w:r w:rsidRPr="002451B6">
        <w:rPr>
          <w:rFonts w:ascii="Times New Roman" w:eastAsia="Times New Roman" w:hAnsi="Times New Roman" w:cs="Times New Roman"/>
          <w:sz w:val="24"/>
          <w:szCs w:val="24"/>
        </w:rPr>
        <w:t xml:space="preserve"> da Comissão Nacional da Verdade, a violência sexual e de gênero se manifestou de diferentes formas diferentes, como: expedientes destinados a desvirilizar, efeminar, adulterar identidades e macular reputações; práticas voltadas a combater a “honra” dos homens por meio de ameaças de estupro dirigidas às filhas e companheiras; acusações dirigidas às mulheres por não cumprirem os papéis socialmente esperados de mãe, esposa e dona de casa; o enquadramento de mulheres em identidades consideradas ilegítimas </w:t>
      </w:r>
      <w:r w:rsidRPr="002451B6">
        <w:rPr>
          <w:rFonts w:ascii="Times New Roman" w:eastAsia="Times New Roman" w:hAnsi="Times New Roman" w:cs="Times New Roman"/>
          <w:sz w:val="24"/>
          <w:szCs w:val="24"/>
        </w:rPr>
        <w:lastRenderedPageBreak/>
        <w:t>pela sociedade, o que as tornava, sob a lógica repressiva, merecedoras da violência; casos em que mulheres eram torturadas para repassarem informações sobre seus companheiros, maridos ou homens da militância com quem eram acusadas de colaborar; episódios em que mulheres foram torturadas durante a gestação ou poucos meses após o parto; ameaças dirigidas a familiares de perseguidos políticos; práticas voltadas à destruição da virilidade como atributo associado à masculinidade, direcionadas majoritariamente aos homens; e casos de violação sexual.</w:t>
      </w:r>
    </w:p>
    <w:p w14:paraId="7637BF20"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contexto destas violências, a presença feminina na militância política era reiteradamente apresentada como desvio, já que tais espaços eram concebidos como prerrogativa masculina. De acordo com Ana Maria </w:t>
      </w:r>
      <w:proofErr w:type="spellStart"/>
      <w:r w:rsidRPr="002451B6">
        <w:rPr>
          <w:rFonts w:ascii="Times New Roman" w:eastAsia="Times New Roman" w:hAnsi="Times New Roman" w:cs="Times New Roman"/>
          <w:sz w:val="24"/>
          <w:szCs w:val="24"/>
        </w:rPr>
        <w:t>Colling</w:t>
      </w:r>
      <w:proofErr w:type="spellEnd"/>
      <w:r w:rsidRPr="002451B6">
        <w:rPr>
          <w:rFonts w:ascii="Times New Roman" w:eastAsia="Times New Roman" w:hAnsi="Times New Roman" w:cs="Times New Roman"/>
          <w:sz w:val="24"/>
          <w:szCs w:val="24"/>
        </w:rPr>
        <w:t xml:space="preserve">, a ordem simbólica vigente fortalecia um ideário no qual as mulheres eram responsáveis pela esfera doméstica, salvaguarda da moral familiar, pelo cuidado com o lar e com os filhos. Nesse enquadramento, a inserção feminina na militância política significava uma fratura na gramática social de gênero que sustentava tais expectativas. Ao transpor os limites do espaço privado e ocupar o campo da ação pública e da contestação, essas mulheres desestabilizavam não apenas o regime político, mas também os códigos normativos que regulavam o que se entendia como conduta feminina legítima. </w:t>
      </w:r>
    </w:p>
    <w:p w14:paraId="53AC29A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repressão, nesse sentido, adquiriu contornos explicitamente </w:t>
      </w:r>
      <w:proofErr w:type="spellStart"/>
      <w:r w:rsidRPr="002451B6">
        <w:rPr>
          <w:rFonts w:ascii="Times New Roman" w:eastAsia="Times New Roman" w:hAnsi="Times New Roman" w:cs="Times New Roman"/>
          <w:sz w:val="24"/>
          <w:szCs w:val="24"/>
        </w:rPr>
        <w:t>generificados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Colling</w:t>
      </w:r>
      <w:proofErr w:type="spellEnd"/>
      <w:r w:rsidRPr="002451B6">
        <w:rPr>
          <w:rFonts w:ascii="Times New Roman" w:eastAsia="Times New Roman" w:hAnsi="Times New Roman" w:cs="Times New Roman"/>
          <w:sz w:val="24"/>
          <w:szCs w:val="24"/>
        </w:rPr>
        <w:t xml:space="preserve"> defende a tese de que a “mulher militante” era percebida como ameaça em dois níveis: por desafiar a autoridade do Estado autoritário e por subverter os papéis sociais que a confinavam à domesticidade. A sua atuação era lida como desvio moral e político, tendo como consequência formas específicas de punição (</w:t>
      </w:r>
      <w:proofErr w:type="spellStart"/>
      <w:r w:rsidRPr="002451B6">
        <w:rPr>
          <w:rFonts w:ascii="Times New Roman" w:eastAsia="Times New Roman" w:hAnsi="Times New Roman" w:cs="Times New Roman"/>
          <w:sz w:val="24"/>
          <w:szCs w:val="24"/>
        </w:rPr>
        <w:t>Colling</w:t>
      </w:r>
      <w:proofErr w:type="spellEnd"/>
      <w:r w:rsidRPr="002451B6">
        <w:rPr>
          <w:rFonts w:ascii="Times New Roman" w:eastAsia="Times New Roman" w:hAnsi="Times New Roman" w:cs="Times New Roman"/>
          <w:sz w:val="24"/>
          <w:szCs w:val="24"/>
        </w:rPr>
        <w:t xml:space="preserve">, 2015). Tal interpretação encontra respaldo nos depoimentos reunidos pela Comissão que demonstram como a violência direcionada às mulheres não recaiu exclusivamente sobre a dissidência política, mas também sobre o fato de terem ocupado espaços considerados impróprios ao seu gênero. Afinal, historicamente, a militância política </w:t>
      </w:r>
      <w:r w:rsidRPr="002451B6">
        <w:rPr>
          <w:rFonts w:ascii="Times New Roman" w:eastAsia="Times New Roman" w:hAnsi="Times New Roman" w:cs="Times New Roman"/>
          <w:i/>
          <w:iCs/>
          <w:sz w:val="24"/>
          <w:szCs w:val="24"/>
        </w:rPr>
        <w:t>stricto sensu</w:t>
      </w:r>
      <w:r w:rsidRPr="002451B6">
        <w:rPr>
          <w:rFonts w:ascii="Times New Roman" w:eastAsia="Times New Roman" w:hAnsi="Times New Roman" w:cs="Times New Roman"/>
          <w:sz w:val="24"/>
          <w:szCs w:val="24"/>
        </w:rPr>
        <w:t xml:space="preserve"> foi social e simbolicamente associada ao universo masculino.</w:t>
      </w:r>
    </w:p>
    <w:p w14:paraId="0EC6F5C4"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Essa dimensão discursiva aparece de forma recorrente nos depoimentos analisados nos quais a violência física e psicológica se entrelaça à desqualificação moral das vítimas. Observamos essa expressão de violência no depoimento de Rose Nogueira à Comissão Nacional. Componente da Ação Libertadora Nacional (ALN) e então repórter do </w:t>
      </w:r>
      <w:r w:rsidRPr="002451B6">
        <w:rPr>
          <w:rFonts w:ascii="Times New Roman" w:eastAsia="Times New Roman" w:hAnsi="Times New Roman" w:cs="Times New Roman"/>
          <w:i/>
          <w:iCs/>
          <w:sz w:val="24"/>
          <w:szCs w:val="24"/>
        </w:rPr>
        <w:t>Jornal da Tarde</w:t>
      </w:r>
      <w:r w:rsidRPr="002451B6">
        <w:rPr>
          <w:rFonts w:ascii="Times New Roman" w:eastAsia="Times New Roman" w:hAnsi="Times New Roman" w:cs="Times New Roman"/>
          <w:sz w:val="24"/>
          <w:szCs w:val="24"/>
        </w:rPr>
        <w:t>, Rose foi presa no Departamento de Ordem Política e Social (DEOPS), em São Paulo, em 1969</w:t>
      </w:r>
      <w:r w:rsidRPr="002451B6">
        <w:rPr>
          <w:rFonts w:ascii="Times New Roman" w:eastAsia="Times New Roman" w:hAnsi="Times New Roman" w:cs="Times New Roman"/>
          <w:sz w:val="24"/>
          <w:szCs w:val="24"/>
          <w:vertAlign w:val="superscript"/>
        </w:rPr>
        <w:footnoteReference w:id="33"/>
      </w:r>
      <w:r w:rsidRPr="002451B6">
        <w:rPr>
          <w:rFonts w:ascii="Times New Roman" w:eastAsia="Times New Roman" w:hAnsi="Times New Roman" w:cs="Times New Roman"/>
          <w:sz w:val="24"/>
          <w:szCs w:val="24"/>
        </w:rPr>
        <w:t>, onde foi submetida à diversas sessões de tortura como identificamos em seu relato:</w:t>
      </w:r>
    </w:p>
    <w:p w14:paraId="01CF0A9E" w14:textId="77777777" w:rsidR="00332C33" w:rsidRPr="002451B6" w:rsidRDefault="00000000">
      <w:pPr>
        <w:spacing w:after="16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lastRenderedPageBreak/>
        <w:t xml:space="preserve">Eles diziam: “Onde já se viu! Acabou de parir e tem esse corpo! É porque é uma vaca terrorista”. [...] Aí começaram a me chamar de Miss Brasil, porque tinha uma vaca de verdade, leiteira, que ganhou um prêmio </w:t>
      </w:r>
      <w:proofErr w:type="gramStart"/>
      <w:r w:rsidRPr="002451B6">
        <w:rPr>
          <w:rFonts w:ascii="Times New Roman" w:eastAsia="Times New Roman" w:hAnsi="Times New Roman" w:cs="Times New Roman"/>
        </w:rPr>
        <w:t>[...] Uma</w:t>
      </w:r>
      <w:proofErr w:type="gramEnd"/>
      <w:r w:rsidRPr="002451B6">
        <w:rPr>
          <w:rFonts w:ascii="Times New Roman" w:eastAsia="Times New Roman" w:hAnsi="Times New Roman" w:cs="Times New Roman"/>
        </w:rPr>
        <w:t xml:space="preserve"> vaca chamada Miss Brasil, a vaca ganhou um prêmio. Um daqueles </w:t>
      </w:r>
      <w:proofErr w:type="gramStart"/>
      <w:r w:rsidRPr="002451B6">
        <w:rPr>
          <w:rFonts w:ascii="Times New Roman" w:eastAsia="Times New Roman" w:hAnsi="Times New Roman" w:cs="Times New Roman"/>
        </w:rPr>
        <w:t>caras</w:t>
      </w:r>
      <w:proofErr w:type="gramEnd"/>
      <w:r w:rsidRPr="002451B6">
        <w:rPr>
          <w:rFonts w:ascii="Times New Roman" w:eastAsia="Times New Roman" w:hAnsi="Times New Roman" w:cs="Times New Roman"/>
        </w:rPr>
        <w:t>, o Tralli, trouxe um jornal que mostrava a vaca e rasgava o jornal e passava em mim. Outra coisa é que eles me tiravam a roupa [...] tinha uma escrivaninha e eles me debruçavam nua com o bumbum para cima e eles ficavam enfiando a mão. Penetração, não tive [...]. Ele me beliscou inteira, esse Tralli. Ele era tarado (Nogueira, 2014, p. 404).</w:t>
      </w:r>
    </w:p>
    <w:p w14:paraId="7ED6FB8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depoimento acima, evidencia-se de forma contundente a maneira pela qual a ordem normativa de uma sociedade estruturada por hierarquias de gênero e sexualidade se inscreve e se reproduz no interior das práticas repressivas do Estado. A violência não se limitava à extração de informações ou à punição da dissidência, mas incorporava um conteúdo disciplinador voltado à reafirmação de papéis de gênero. O caráter machista, sexista e homofóbico presente na formação e na atuação de segmentos policiais e militares revela-se na associação entre feminilidade e inferioridade, bem como na vinculação da violência à afirmação de uma virilidade masculina concebida como atributo de poder e autoridade.</w:t>
      </w:r>
    </w:p>
    <w:p w14:paraId="187C69BA" w14:textId="77777777" w:rsidR="00332C33" w:rsidRPr="002451B6" w:rsidRDefault="00000000">
      <w:pPr>
        <w:spacing w:line="360" w:lineRule="auto"/>
        <w:ind w:firstLine="720"/>
        <w:jc w:val="both"/>
        <w:rPr>
          <w:rFonts w:ascii="Times New Roman" w:eastAsia="Times New Roman" w:hAnsi="Times New Roman" w:cs="Times New Roman"/>
          <w:sz w:val="26"/>
          <w:szCs w:val="26"/>
        </w:rPr>
      </w:pPr>
      <w:r w:rsidRPr="002451B6">
        <w:rPr>
          <w:rFonts w:ascii="Times New Roman" w:eastAsia="Times New Roman" w:hAnsi="Times New Roman" w:cs="Times New Roman"/>
          <w:sz w:val="24"/>
          <w:szCs w:val="24"/>
        </w:rPr>
        <w:t xml:space="preserve">Essa lógica também se expressou no interior do próprio aparelho repressivo. É o caso da Justiça Militar, cujas funções foram ampliadas em outubro de 1965 com a edição do Ato Institucional nº 2, passando a julgar oficialmente os chamados crimes contra a segurança nacional. Em decorrência dessa reconfiguração institucional, a Justiça Castrense, como também é conhecida, passou a julgar milhares de civis que se tornaram réus por integrarem a vasta rede de oposição ao regime, sendo enquadrados na categoria de crimes contra a segurança nacional. As mulheres, ainda que em menor número, também estiveram presentes nestes processos, seja como indiciadas, rés, testemunhas ou mesmo como advogadas. Tanto os depoimentos das vítimas que passaram por essa instituição quanto os próprios processos judiciais indicam que, nessa arena judicial-repressiva, as relações de gênero constituíram um fator constantemente presente, chegando, inclusive, a influenciar as penas e as decisões proferidas (Martins, 2024). </w:t>
      </w:r>
    </w:p>
    <w:p w14:paraId="77F0BC8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Já nos espaços responsáveis pela prática sistemática de tortura, tais repartições também reproduziam e reforçavam hierarquias de gênero, estruturando formas de agressão dirigidas a homens e mulheres em função destes papéis sociais. Os relatos das vítimas permitem identificar que as mulheres eram frequentemente enquadradas em identidades femininas socialmente estigmatizadas, como a da prostituta ou da adúltera, ao mesmo tempo em que lhes eram atribuídos traços associados ao universo masculino, como força física ou resistência, de modo a justificar a intensificação da violência. Operava-se, assim, uma deslegitimação simultânea de sua feminilidade e de sua atuação política.</w:t>
      </w:r>
    </w:p>
    <w:p w14:paraId="697DEE4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8B02C2">
        <w:rPr>
          <w:rFonts w:ascii="Times New Roman" w:eastAsia="Gungsuh" w:hAnsi="Times New Roman" w:cs="Times New Roman"/>
          <w:sz w:val="24"/>
          <w:szCs w:val="24"/>
        </w:rPr>
        <w:lastRenderedPageBreak/>
        <w:t>Aqui, destacamos também a violência de gênero e sexual na qual as mulheres foram submetidas à tortura durante a gestação ou no período imediatamente posterior ao parto, evidenciando a instrumentalização da maternidade como elemento adicional de vulnerabilização e coerção no interior do aparato repressivo. Maria Amélia de Almeida Teles, ou Amelinha, como também é chamada por seus companheiros, integrante do Partido Comunista do Brasil (PCdoB), foi presa duas vezes e encarcerada no Destacamento de Operações de Informações − Centro de Operações de Defesa Interna (DOI-CODI/SP) e Deops/SP</w:t>
      </w:r>
      <w:r w:rsidRPr="002451B6">
        <w:rPr>
          <w:rFonts w:ascii="Times New Roman" w:eastAsia="Times New Roman" w:hAnsi="Times New Roman" w:cs="Times New Roman"/>
          <w:sz w:val="24"/>
          <w:szCs w:val="24"/>
          <w:vertAlign w:val="superscript"/>
        </w:rPr>
        <w:footnoteReference w:id="34"/>
      </w:r>
      <w:r w:rsidRPr="002451B6">
        <w:rPr>
          <w:rFonts w:ascii="Times New Roman" w:eastAsia="Times New Roman" w:hAnsi="Times New Roman" w:cs="Times New Roman"/>
          <w:sz w:val="24"/>
          <w:szCs w:val="24"/>
        </w:rPr>
        <w:t>. A militante foi submetida à diversas formas de tortura, incluindo a marcada pela violência de gênero e sexual enquanto estava grávida. Em audiência pública realizada pela Comissão da Verdade do Estado de São Paulo - “Rubens Paiva”, em parceria com a CNV, Amelinha relatou as violências sofridas:</w:t>
      </w:r>
    </w:p>
    <w:p w14:paraId="1F2ABBE3" w14:textId="77777777" w:rsidR="00332C33" w:rsidRPr="002451B6" w:rsidRDefault="00000000">
      <w:pPr>
        <w:spacing w:after="16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Numa dessas sessões, um torturador da Operação Bandeirantes que tinha o nome de Mangabeira ou Gaeta [...] eu amarrada na cadeira do dragão, ele se masturbando e jogando a porra em cima do meu corpo. Eu não gosto de falar disso, mas eu vejo a importância desse momento de tratar a verdade e gênero pensando nessas desigualdades entre homens e mulheres, em que os agentes do Estado, os repressores usaram dessa desigualdade para nos torturar mais, de certa forma. De usar essa condição nossa. Nós fomos torturadas com violência sexual, usaram a maternidade contra nós. Minha irmã acabou tendo parto, tendo filho na prisão. [...] Nós sabemos o quanto a maternidade, o ônus da maternidade, que nós carregamos (Teles, 2014, p. 407, 408). </w:t>
      </w:r>
    </w:p>
    <w:p w14:paraId="4576BFBE"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Nesses episódios, os testemunhos indicam que determinadas práticas de tortura eram deliberadamente ajustadas para provocar ou impedir a interrupção da gestação, assim como para comprometer a capacidade reprodutiva dessas mulheres, evidenciando o controle violento exercido sobre seus corpos e sua maternidade. No entanto, como já mencionado, as violências sexuais e de gênero mobilizadas pelo aparato repressivo não se dirigiam exclusivamente às mulheres. </w:t>
      </w:r>
    </w:p>
    <w:p w14:paraId="77A6B26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caso dos homens, por sua vez, as práticas repressivas revelam a mobilização de expedientes destinados a desestabilizar atributos centrais da masculinidade normativa. Diversas formas de violência tinham como propósito simbólico feminilizar, humilhar ou emascular aqueles que, segundo as expectativas de gênero vigentes, deveriam encarnar virilidade, autoridade e controle. A tortura, nesse contexto, não se limitava à produção de dor física, mas visava também à desorganização identitária, explorando as convenções sociais que associavam valor, honra e poder à performance de uma masculinidade hegemônica.</w:t>
      </w:r>
    </w:p>
    <w:p w14:paraId="511776E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Tal manifestação assume um papel nodal para nossas reflexões ao evidenciar que essas formas de violência operavam a partir de uma gramática de gênero mais ampla. Nesses casos, a repressão atuava por meio da desestruturação simbólica e física da virilidade, entendida como atributo central da masculinidade normativa, incidindo de maneira predominante sobre os homens e mobilizando a humilhação sexual como estratégia de dominação e controle. Um exemplo desse cenário pode ser identificado no testemunho de Francisco Ferreira de Oliveira, militante Ação Libertadora Nacional (ALN), preso seis vezes e detido no Quartel de Quitaúna, Presídio Tiradentes, DOI-CODI/SP e DEOPS/SP. Através de seu depoimento, podemos identificar a forma como a Ditadura Militar operava:</w:t>
      </w:r>
    </w:p>
    <w:p w14:paraId="0C39796D" w14:textId="77777777" w:rsidR="00332C33" w:rsidRPr="002451B6" w:rsidRDefault="00000000">
      <w:pPr>
        <w:spacing w:after="160" w:line="240" w:lineRule="auto"/>
        <w:ind w:left="2267"/>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Quando eu cheguei no DOPS, tinha um tal de... ele era apelidado de Lúcio Fé, ele pegou, [...] com a licença da palavra, ele pegou uma cordinha, um cadarço, e amarrou nos meus testículos e ficou batendo um punhal, puxando, e falou “eu vou te castrar, seu filho da puta” e deu um corte nos meus testículos [...] E ficou aberto, eles não costuraram, eu fiquei internado no Hospital Militar, eles não costuraram. [...] No ânus, eles enfiavam um canudo e soltavam um rato vivo dentro do canudo (Oliveira, 2014, p. 403). </w:t>
      </w:r>
    </w:p>
    <w:p w14:paraId="13F40798"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Nessas situações, a violência dirigia-se à masculinidade das vítimas por meio de constrangimentos verbais marcados por uma intencionalidade explícita de feminilização e de </w:t>
      </w:r>
      <w:proofErr w:type="spellStart"/>
      <w:r w:rsidRPr="002451B6">
        <w:rPr>
          <w:rFonts w:ascii="Times New Roman" w:eastAsia="Times New Roman" w:hAnsi="Times New Roman" w:cs="Times New Roman"/>
          <w:sz w:val="24"/>
          <w:szCs w:val="24"/>
        </w:rPr>
        <w:t>homossexualização</w:t>
      </w:r>
      <w:proofErr w:type="spellEnd"/>
      <w:r w:rsidRPr="002451B6">
        <w:rPr>
          <w:rFonts w:ascii="Times New Roman" w:eastAsia="Times New Roman" w:hAnsi="Times New Roman" w:cs="Times New Roman"/>
          <w:sz w:val="24"/>
          <w:szCs w:val="24"/>
        </w:rPr>
        <w:t xml:space="preserve"> simbólica do corpo masculino submetido à tortura. A agressão não se limitava ao plano discursivo. No âmbito físico foram empregadas diversas técnicas destinadas a produzir dor, humilhação e desestruturação identitária, entre as quais se destaca o empalamento, cuja carga simbólica intensificava o ataque à virilidade, entendida como traço constitutivo da masculinidade hegemônica. Podemos observar essa manifestação da violência no trecho do depoimento de Manoel Conceição Santos, vítima de violência sexual no DOI-CODI e no Centro de Inteligência da Marinha (Cenimar), no Rio de Janeiro, entre os meses de fevereiro e setembro de 1972:</w:t>
      </w:r>
    </w:p>
    <w:p w14:paraId="13D40027" w14:textId="77777777" w:rsidR="00332C33" w:rsidRPr="002451B6" w:rsidRDefault="00000000">
      <w:pPr>
        <w:spacing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sz w:val="20"/>
          <w:szCs w:val="20"/>
        </w:rPr>
        <w:t xml:space="preserve">Eu, quando fui preso, eu passei nove meses desaparecido </w:t>
      </w:r>
      <w:proofErr w:type="gramStart"/>
      <w:r w:rsidRPr="002451B6">
        <w:rPr>
          <w:rFonts w:ascii="Times New Roman" w:eastAsia="Times New Roman" w:hAnsi="Times New Roman" w:cs="Times New Roman"/>
          <w:sz w:val="20"/>
          <w:szCs w:val="20"/>
        </w:rPr>
        <w:t>[...] Eles</w:t>
      </w:r>
      <w:proofErr w:type="gramEnd"/>
      <w:r w:rsidRPr="002451B6">
        <w:rPr>
          <w:rFonts w:ascii="Times New Roman" w:eastAsia="Times New Roman" w:hAnsi="Times New Roman" w:cs="Times New Roman"/>
          <w:sz w:val="20"/>
          <w:szCs w:val="20"/>
        </w:rPr>
        <w:t xml:space="preserve"> pegaram meus testículos, puseram umas fivelas de agulha e costuraram meus testículos, virou um ralo </w:t>
      </w:r>
      <w:proofErr w:type="gramStart"/>
      <w:r w:rsidRPr="002451B6">
        <w:rPr>
          <w:rFonts w:ascii="Times New Roman" w:eastAsia="Times New Roman" w:hAnsi="Times New Roman" w:cs="Times New Roman"/>
          <w:sz w:val="20"/>
          <w:szCs w:val="20"/>
        </w:rPr>
        <w:t>pá</w:t>
      </w:r>
      <w:proofErr w:type="gramEnd"/>
      <w:r w:rsidRPr="002451B6">
        <w:rPr>
          <w:rFonts w:ascii="Times New Roman" w:eastAsia="Times New Roman" w:hAnsi="Times New Roman" w:cs="Times New Roman"/>
          <w:sz w:val="20"/>
          <w:szCs w:val="20"/>
        </w:rPr>
        <w:t xml:space="preserve"> </w:t>
      </w:r>
      <w:proofErr w:type="spellStart"/>
      <w:r w:rsidRPr="002451B6">
        <w:rPr>
          <w:rFonts w:ascii="Times New Roman" w:eastAsia="Times New Roman" w:hAnsi="Times New Roman" w:cs="Times New Roman"/>
          <w:sz w:val="20"/>
          <w:szCs w:val="20"/>
        </w:rPr>
        <w:t>pá</w:t>
      </w:r>
      <w:proofErr w:type="spellEnd"/>
      <w:r w:rsidRPr="002451B6">
        <w:rPr>
          <w:rFonts w:ascii="Times New Roman" w:eastAsia="Times New Roman" w:hAnsi="Times New Roman" w:cs="Times New Roman"/>
          <w:sz w:val="20"/>
          <w:szCs w:val="20"/>
        </w:rPr>
        <w:t xml:space="preserve"> </w:t>
      </w:r>
      <w:proofErr w:type="spellStart"/>
      <w:r w:rsidRPr="002451B6">
        <w:rPr>
          <w:rFonts w:ascii="Times New Roman" w:eastAsia="Times New Roman" w:hAnsi="Times New Roman" w:cs="Times New Roman"/>
          <w:sz w:val="20"/>
          <w:szCs w:val="20"/>
        </w:rPr>
        <w:t>pá</w:t>
      </w:r>
      <w:proofErr w:type="spellEnd"/>
      <w:r w:rsidRPr="002451B6">
        <w:rPr>
          <w:rFonts w:ascii="Times New Roman" w:eastAsia="Times New Roman" w:hAnsi="Times New Roman" w:cs="Times New Roman"/>
          <w:sz w:val="20"/>
          <w:szCs w:val="20"/>
        </w:rPr>
        <w:t xml:space="preserve"> furando. E o meu pênis também. Eles furaram todinho, virou um ralo. Era como se fosse só uma coisa morta, eu quase morri de dor, companheiro, era uma dor! Sabe o que é isso? Sabe o que é pegar o pênis de uma pessoa e furar com uma fivela o tempo todo? Costurar? [...] Deixar só um ralo? Isso não pode, não. Amarraram uma corda nos meus testículos e arrastaram-me pelo terraço de um salão. Depois me penduraram com quartos para cima, amarrado pelos testículos, com poucos minutos deu desmaio. [...] Derrubaram-me no terrão e ameaçaram arrancar minhas tripas pelo reto, com um ferro de três carreiras de dentes (Santos, </w:t>
      </w:r>
      <w:proofErr w:type="gramStart"/>
      <w:r w:rsidRPr="002451B6">
        <w:rPr>
          <w:rFonts w:ascii="Times New Roman" w:eastAsia="Times New Roman" w:hAnsi="Times New Roman" w:cs="Times New Roman"/>
          <w:sz w:val="20"/>
          <w:szCs w:val="20"/>
        </w:rPr>
        <w:t>2014,  p.</w:t>
      </w:r>
      <w:proofErr w:type="gramEnd"/>
      <w:r w:rsidRPr="002451B6">
        <w:rPr>
          <w:rFonts w:ascii="Times New Roman" w:eastAsia="Times New Roman" w:hAnsi="Times New Roman" w:cs="Times New Roman"/>
          <w:sz w:val="20"/>
          <w:szCs w:val="20"/>
        </w:rPr>
        <w:t xml:space="preserve"> 414).</w:t>
      </w:r>
    </w:p>
    <w:p w14:paraId="471698E8"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Paralelamente à violência física e simbólica empregada pelos agentes da repressão, operava, no interior das próprias organizações políticas, a construção de um ideal de militante “correto” e “suficientemente forte”, capaz de suportar a tortura sem fornecer informações. Tal expectativa encontrava-se profundamente atravessada por noções de virilidade, autocontrole e </w:t>
      </w:r>
      <w:r w:rsidRPr="002451B6">
        <w:rPr>
          <w:rFonts w:ascii="Times New Roman" w:eastAsia="Times New Roman" w:hAnsi="Times New Roman" w:cs="Times New Roman"/>
          <w:sz w:val="24"/>
          <w:szCs w:val="24"/>
        </w:rPr>
        <w:lastRenderedPageBreak/>
        <w:t>dignidade moral, atributos socialmente associados aos homens de maneira mais incisiva do que às mulheres. Essa dimensão é particularmente relevante, pois permite complexificar ainda mais relatos como o de Manoel. Entre muitas vítimas homens, a resistência física e o silêncio convertiam-se, assim, em provas de uma masculinidade bem-sucedida, ao passo que qualquer sinal de fragilidade era frequentemente interpretado como uma falha moral.</w:t>
      </w:r>
    </w:p>
    <w:p w14:paraId="48F4D3B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Nesse contexto, a ideia de honra masculina funcionava como dispositivo adicional de coerção. Os perpetradores mobilizavam esses mesmos códigos de gênero como instrumento de violência psicológica, explorando a associação entre valor, caráter e reconhecimento social e a capacidade de suportar a dor. A tortura incidia, portanto, não apenas sobre o corpo das vítimas, mas também sobre os referenciais simbólicos que estruturavam a identidade masculina.</w:t>
      </w:r>
    </w:p>
    <w:p w14:paraId="736B3912" w14:textId="77777777" w:rsidR="00332C33" w:rsidRPr="002451B6" w:rsidRDefault="00000000">
      <w:pPr>
        <w:spacing w:before="20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Trauma e testemunho </w:t>
      </w:r>
    </w:p>
    <w:p w14:paraId="452F05D0" w14:textId="77777777" w:rsidR="00433385" w:rsidRPr="002451B6" w:rsidRDefault="00433385">
      <w:pPr>
        <w:spacing w:before="200" w:line="360" w:lineRule="auto"/>
        <w:jc w:val="both"/>
        <w:rPr>
          <w:rFonts w:ascii="Times New Roman" w:eastAsia="Times New Roman" w:hAnsi="Times New Roman" w:cs="Times New Roman"/>
          <w:b/>
          <w:bCs/>
          <w:sz w:val="24"/>
          <w:szCs w:val="24"/>
        </w:rPr>
      </w:pPr>
    </w:p>
    <w:p w14:paraId="737951B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Podemos compreender essa situação-limite de violência como uma </w:t>
      </w:r>
      <w:r w:rsidRPr="002451B6">
        <w:rPr>
          <w:rFonts w:ascii="Times New Roman" w:eastAsia="Times New Roman" w:hAnsi="Times New Roman" w:cs="Times New Roman"/>
          <w:i/>
          <w:iCs/>
          <w:sz w:val="24"/>
          <w:szCs w:val="24"/>
        </w:rPr>
        <w:t>experiência histórica dolorosa</w:t>
      </w:r>
      <w:r w:rsidRPr="002451B6">
        <w:rPr>
          <w:rFonts w:ascii="Times New Roman" w:eastAsia="Times New Roman" w:hAnsi="Times New Roman" w:cs="Times New Roman"/>
          <w:sz w:val="24"/>
          <w:szCs w:val="24"/>
        </w:rPr>
        <w:t xml:space="preserve"> entendida como o corte nodal no conjunto de elementos e sensações presentes no espaço onde ocorre a experiência, e/ou entre ele e seu horizonte de expectativa, provocando sofrimentos de diversas naturezas, incluindo a traumática.</w:t>
      </w:r>
      <w:r w:rsidRPr="002451B6">
        <w:rPr>
          <w:rFonts w:ascii="Times New Roman" w:eastAsia="Times New Roman" w:hAnsi="Times New Roman" w:cs="Times New Roman"/>
          <w:sz w:val="24"/>
          <w:szCs w:val="24"/>
          <w:vertAlign w:val="superscript"/>
        </w:rPr>
        <w:footnoteReference w:id="35"/>
      </w:r>
      <w:r w:rsidRPr="002451B6">
        <w:rPr>
          <w:rFonts w:ascii="Times New Roman" w:eastAsia="Times New Roman" w:hAnsi="Times New Roman" w:cs="Times New Roman"/>
          <w:sz w:val="24"/>
          <w:szCs w:val="24"/>
        </w:rPr>
        <w:t xml:space="preserve"> O trauma consiste em uma intensa desorganização do aparelho psíquico, já que as situações experienciadas pelo indivíduo se localizam fora das estruturas simbólicas consideradas passíveis de elaboração pela psique (Comissão Nacional da Verdade.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Relatório Final,</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2014).</w:t>
      </w:r>
      <w:r w:rsidRPr="002451B6">
        <w:rPr>
          <w:rFonts w:ascii="Times New Roman" w:eastAsia="Times New Roman" w:hAnsi="Times New Roman" w:cs="Times New Roman"/>
          <w:sz w:val="20"/>
          <w:szCs w:val="20"/>
        </w:rPr>
        <w:t xml:space="preserve"> </w:t>
      </w:r>
    </w:p>
    <w:p w14:paraId="10409BC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antropóloga Ludmila Catela traz a ideia de trauma fundante que divide a vida, seus sentidos e reformula seus significados (Catela, 2001). A mediação desse trauma está necessariamente ligada aos processos de elaboração das vítimas acerca desses episódios e de como elas reconstruíram seus cotidianos de vida. Isso se torna importante quando analisamos, especialmente as violências sexuais, pois muitas das vítimas desse crime não se reconheciam como tais, seja porque não houve o ato da penetração, seja porque não reconheciam o que tinham sofrido como episódios de tortura em si uma vez que alguns desses não envolveram determinadas técnicas que eram utilizadas nas sessões de tortura. </w:t>
      </w:r>
    </w:p>
    <w:p w14:paraId="19A58B2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Sobre este aspecto, é importante considerar que as discussões públicas sobre violência sexual, como o estupro, não ocupavam, à época, a centralidade que adquiriram nas últimas </w:t>
      </w:r>
      <w:r w:rsidRPr="002451B6">
        <w:rPr>
          <w:rFonts w:ascii="Times New Roman" w:eastAsia="Times New Roman" w:hAnsi="Times New Roman" w:cs="Times New Roman"/>
          <w:sz w:val="24"/>
          <w:szCs w:val="24"/>
        </w:rPr>
        <w:lastRenderedPageBreak/>
        <w:t>décadas. Como grande parte dessas experiências ocorreu entre as décadas de 1960 e 1980, em um contexto no qual tais debates eram ainda incipientes, muitas das vítimas não dispunham, naquele momento, das categorias sociais e jurídicas necessárias para reconhecer ou nomear as violências sofridas. Nesse sentido, o espaço instituído pela Comissão Nacional da Verdade, bem como o contato com os relatos de outras vítimas e a progressiva tipificação dessas práticas como crimes, desempenharam papel fundamental na elaboração retrospectiva dessas experiências, possibilitando que tais sujeitos compreendessem e enunciassem as violências das quais haviam sido vítimas.</w:t>
      </w:r>
    </w:p>
    <w:p w14:paraId="7ED7E07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Desta maneira, o trauma decorrente dos crimes mencionados não se inscreve em formas lineares de representação, manifestando-se, ao contrário, por meio de múltiplas modalidades de expressão (</w:t>
      </w:r>
      <w:proofErr w:type="spellStart"/>
      <w:r w:rsidRPr="002451B6">
        <w:rPr>
          <w:rFonts w:ascii="Times New Roman" w:eastAsia="Times New Roman" w:hAnsi="Times New Roman" w:cs="Times New Roman"/>
          <w:sz w:val="24"/>
          <w:szCs w:val="24"/>
        </w:rPr>
        <w:t>Jelin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Langland</w:t>
      </w:r>
      <w:proofErr w:type="spellEnd"/>
      <w:r w:rsidRPr="002451B6">
        <w:rPr>
          <w:rFonts w:ascii="Times New Roman" w:eastAsia="Times New Roman" w:hAnsi="Times New Roman" w:cs="Times New Roman"/>
          <w:sz w:val="24"/>
          <w:szCs w:val="24"/>
        </w:rPr>
        <w:t xml:space="preserve">, 2003). Ao analisarmos as entrevistas, é possível compreender como elas constituem uma modalidade específica de depoimento vinculada ao relato da violência política. Tais testemunhos configuram instrumentos fundamentais para o registro histórico desse passado de violência, ao mesmo tempo em que assumem uma dimensão jurídica e política (Araujo, 2020). </w:t>
      </w:r>
    </w:p>
    <w:p w14:paraId="3ACAD66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Márcio Seligmann-Silva desenvolve a tese do testemunho assumindo um papel elementar na sobrevivência daqueles que sofreram experiências radicalizadas de violência. Para esse sujeito, há uma necessidade imensa de narrar os episódios limites dos quais foi vítima, e seus desdobramentos traumáticos, especialmente para aqueles que não sofreram essa violência, funcionando como uma tentativa de reconstrução da ideia de cotidiano por parte dos sobreviventes (Seligmann-Silva, 2008).</w:t>
      </w:r>
    </w:p>
    <w:p w14:paraId="1290D90F"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entanto, ao mesmo tempo em que esse testemunho da dor auxilia na elaboração dos fatos, ele também é caracterizado pela sua impossibilidade de </w:t>
      </w:r>
      <w:proofErr w:type="spellStart"/>
      <w:r w:rsidRPr="002451B6">
        <w:rPr>
          <w:rFonts w:ascii="Times New Roman" w:eastAsia="Times New Roman" w:hAnsi="Times New Roman" w:cs="Times New Roman"/>
          <w:sz w:val="24"/>
          <w:szCs w:val="24"/>
        </w:rPr>
        <w:t>narrá-los</w:t>
      </w:r>
      <w:proofErr w:type="spellEnd"/>
      <w:r w:rsidRPr="002451B6">
        <w:rPr>
          <w:rFonts w:ascii="Times New Roman" w:eastAsia="Times New Roman" w:hAnsi="Times New Roman" w:cs="Times New Roman"/>
          <w:sz w:val="24"/>
          <w:szCs w:val="24"/>
        </w:rPr>
        <w:t>. Como defende Seligmann-Silva, a literatura de testemunho é marcada pela ambivalência da necessidade de contar ao outro a experiência de violência ao mesmo tempo em que se percebe a insuficiência da própria linguagem para fazê-lo bem como pelo caráter inimaginável dos episódios vividos tamanha a sua brutalidade (Seligmann-Silva, 2003). A aporia do testemunho se encontra nessas movimentações difusas do ato de narrar, como podemos observar nesse trecho do depoimento de Ana de Miranda Batista, integrante da ALN, fazendo referência aos testemunhos de seus companheiros:</w:t>
      </w:r>
    </w:p>
    <w:p w14:paraId="59E3D689"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 violência de gênero e sexual não é sofrida apenas pela mulher. Nossos companheiros também sofriam violência sexual. É claro que existem coisas específicas contra a mulher, mas eles sofriam violência sexual, ainda que tenham mais dificuldade de falar (Batista, 2014, p. 413).</w:t>
      </w:r>
    </w:p>
    <w:p w14:paraId="14AA278E"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Os sobreviventes de violências-limite estabelecem uma relação distinta com a linguagem, reencenando-a e recriando, por meio dela, as dimensões do simbólico e do real. Por meio de suas narrativas, buscam também resgatar a memória daqueles que foram vitimados. Esse “sujeito partido” nos demonstra as múltiplas formas assumidas pelo trauma derivado dessas catástrofes. Lapsos de memórias, esquecimentos, não-ditos, histórias contadas de maneira não linear, e sim, com lacunas, medos que ainda se fazem presente são algumas das inúmeras manifestações do trauma nos depoimentos. Dominick </w:t>
      </w:r>
      <w:proofErr w:type="spellStart"/>
      <w:r w:rsidRPr="002451B6">
        <w:rPr>
          <w:rFonts w:ascii="Times New Roman" w:eastAsia="Times New Roman" w:hAnsi="Times New Roman" w:cs="Times New Roman"/>
          <w:sz w:val="24"/>
          <w:szCs w:val="24"/>
        </w:rPr>
        <w:t>LaCapra</w:t>
      </w:r>
      <w:proofErr w:type="spellEnd"/>
      <w:r w:rsidRPr="002451B6">
        <w:rPr>
          <w:rFonts w:ascii="Times New Roman" w:eastAsia="Times New Roman" w:hAnsi="Times New Roman" w:cs="Times New Roman"/>
          <w:sz w:val="24"/>
          <w:szCs w:val="24"/>
        </w:rPr>
        <w:t xml:space="preserve"> chama atenção para as dificuldades que atravessam o debate acerca de como lidar com o trauma, sobretudo quando se consideram os legados da dor, das perdas e de sofrimentos frequentemente inenarráveis. Para o autor, categorias como ausência e perda possuem camadas e nuances próprias, cujas especificidades tendem a se diluir quando são mobilizadas de maneira indistinta em discursos genéricos que as tratam como equivalentes (</w:t>
      </w:r>
      <w:proofErr w:type="spellStart"/>
      <w:r w:rsidRPr="002451B6">
        <w:rPr>
          <w:rFonts w:ascii="Times New Roman" w:eastAsia="Times New Roman" w:hAnsi="Times New Roman" w:cs="Times New Roman"/>
          <w:sz w:val="24"/>
          <w:szCs w:val="24"/>
        </w:rPr>
        <w:t>LaCapra</w:t>
      </w:r>
      <w:proofErr w:type="spellEnd"/>
      <w:r w:rsidRPr="002451B6">
        <w:rPr>
          <w:rFonts w:ascii="Times New Roman" w:eastAsia="Times New Roman" w:hAnsi="Times New Roman" w:cs="Times New Roman"/>
          <w:sz w:val="24"/>
          <w:szCs w:val="24"/>
        </w:rPr>
        <w:t>, 1999).</w:t>
      </w:r>
    </w:p>
    <w:p w14:paraId="5EBC27A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Contudo, as singularidades dessas noções não implicam que elas não se encontrem ou que constituam categorias rigidamente binárias. Ao contrário, </w:t>
      </w:r>
      <w:proofErr w:type="gramStart"/>
      <w:r w:rsidRPr="002451B6">
        <w:rPr>
          <w:rFonts w:ascii="Times New Roman" w:eastAsia="Times New Roman" w:hAnsi="Times New Roman" w:cs="Times New Roman"/>
          <w:sz w:val="24"/>
          <w:szCs w:val="24"/>
        </w:rPr>
        <w:t>tratam-se</w:t>
      </w:r>
      <w:proofErr w:type="gramEnd"/>
      <w:r w:rsidRPr="002451B6">
        <w:rPr>
          <w:rFonts w:ascii="Times New Roman" w:eastAsia="Times New Roman" w:hAnsi="Times New Roman" w:cs="Times New Roman"/>
          <w:sz w:val="24"/>
          <w:szCs w:val="24"/>
        </w:rPr>
        <w:t xml:space="preserve"> de noções que mantêm relações entre si, tocando-se e entrecruzando-se em diferentes níveis. Assim, torna-se fundamental refletir sobre essas categorias considerando que elas atribuem significados distintos às experiências vividas, complexificando tanto a compreensão do trauma quanto às formas pelas quais ele se manifesta em diferentes momentos do cotidiano desses indivíduos. Nos depoimentos analisados, deparamo-nos com diversas passagens nas quais os episódios traumáticos emergem e se tornam perceptíveis. É o caso do depoimento de Rosalina de Santa Cruz Leite. </w:t>
      </w:r>
    </w:p>
    <w:p w14:paraId="734962C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Rosa, como também é chamada, foi militante da Vanguarda Armada Revolucionária Palmares (VAR-Palmares) tendo sido presa duas vezes e vítima de diversas formas de tortura. Além de sua atuação na guerrilha, destacou-se também na busca por seu irmão, Fernando Santa Cruz, denunciando seu desaparecimento na CPI das Torturas ocorrida em Brasília, em 1978. Em seu depoimento à CNV, Rosa discorre sobre como encontrou um de seus torturadores no elevador anos depois e a maneira como seu corpo reagiu aquele encontro:</w:t>
      </w:r>
    </w:p>
    <w:p w14:paraId="615EEF23"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 Eu lembro que já estava solta há algum tempo, no Rio de Janeiro, e entrei no elevador, em um prédio, eu estava e olhei, o </w:t>
      </w:r>
      <w:proofErr w:type="gramStart"/>
      <w:r w:rsidRPr="002451B6">
        <w:rPr>
          <w:rFonts w:ascii="Times New Roman" w:eastAsia="Times New Roman" w:hAnsi="Times New Roman" w:cs="Times New Roman"/>
        </w:rPr>
        <w:t>cara</w:t>
      </w:r>
      <w:proofErr w:type="gramEnd"/>
      <w:r w:rsidRPr="002451B6">
        <w:rPr>
          <w:rFonts w:ascii="Times New Roman" w:eastAsia="Times New Roman" w:hAnsi="Times New Roman" w:cs="Times New Roman"/>
        </w:rPr>
        <w:t xml:space="preserve"> estava dentro, eu tenho certeza.</w:t>
      </w:r>
    </w:p>
    <w:p w14:paraId="12090E53"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 Sra. Raíssa Ventura (Comissão Nacional da Verdade) – Meu Deus, no elevador?</w:t>
      </w:r>
    </w:p>
    <w:p w14:paraId="00773C41"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A Sra. Rosalina de Santa Cruz Leite – No elevador. E eu </w:t>
      </w:r>
      <w:proofErr w:type="gramStart"/>
      <w:r w:rsidRPr="002451B6">
        <w:rPr>
          <w:rFonts w:ascii="Times New Roman" w:eastAsia="Times New Roman" w:hAnsi="Times New Roman" w:cs="Times New Roman"/>
        </w:rPr>
        <w:t>caí fora</w:t>
      </w:r>
      <w:proofErr w:type="gramEnd"/>
      <w:r w:rsidRPr="002451B6">
        <w:rPr>
          <w:rFonts w:ascii="Times New Roman" w:eastAsia="Times New Roman" w:hAnsi="Times New Roman" w:cs="Times New Roman"/>
        </w:rPr>
        <w:t>, corri do elevador. Eu ia entrando e vi que era ele e dei uma carreira para trás, o elevador foi embora. Eu fiquei tremendo, tremendo e eu falei: “é ele, é ele” (Leite, 2014, p. 77).</w:t>
      </w:r>
    </w:p>
    <w:p w14:paraId="794F42A1"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Ela também relata, em seu testemunho, um outro episódio no qual seu corpo reagiu intensamente a uma determinada lembrança, ainda que, em um primeiro momento, não conseguisse identificar a razão daquela reação:</w:t>
      </w:r>
    </w:p>
    <w:p w14:paraId="70BC2375"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Os </w:t>
      </w:r>
      <w:proofErr w:type="gramStart"/>
      <w:r w:rsidRPr="002451B6">
        <w:rPr>
          <w:rFonts w:ascii="Times New Roman" w:eastAsia="Times New Roman" w:hAnsi="Times New Roman" w:cs="Times New Roman"/>
        </w:rPr>
        <w:t>caras</w:t>
      </w:r>
      <w:proofErr w:type="gramEnd"/>
      <w:r w:rsidRPr="002451B6">
        <w:rPr>
          <w:rFonts w:ascii="Times New Roman" w:eastAsia="Times New Roman" w:hAnsi="Times New Roman" w:cs="Times New Roman"/>
        </w:rPr>
        <w:t xml:space="preserve"> me cercaram assim, começaram a me chutar, de todos os lados. Eu vi uma cena dessa depois, na televisão, com os meninos da FEBEM e fiquei super nervosa, não percebi como eu estava nervosa. Depois eu vi que eu estava lembrando da cena que eu passei. E era uma coisa terrível, mas era uma coisa igualzinha: segurando assim a cabeça e os </w:t>
      </w:r>
      <w:proofErr w:type="gramStart"/>
      <w:r w:rsidRPr="002451B6">
        <w:rPr>
          <w:rFonts w:ascii="Times New Roman" w:eastAsia="Times New Roman" w:hAnsi="Times New Roman" w:cs="Times New Roman"/>
        </w:rPr>
        <w:t>caras</w:t>
      </w:r>
      <w:proofErr w:type="gramEnd"/>
      <w:r w:rsidRPr="002451B6">
        <w:rPr>
          <w:rFonts w:ascii="Times New Roman" w:eastAsia="Times New Roman" w:hAnsi="Times New Roman" w:cs="Times New Roman"/>
        </w:rPr>
        <w:t xml:space="preserve"> chutando de vários lugares. E era uma dor, mas era uma humilhação, você deitada, nua, no chão e com o rosto coberto, os </w:t>
      </w:r>
      <w:proofErr w:type="gramStart"/>
      <w:r w:rsidRPr="002451B6">
        <w:rPr>
          <w:rFonts w:ascii="Times New Roman" w:eastAsia="Times New Roman" w:hAnsi="Times New Roman" w:cs="Times New Roman"/>
        </w:rPr>
        <w:t>caras</w:t>
      </w:r>
      <w:proofErr w:type="gramEnd"/>
      <w:r w:rsidRPr="002451B6">
        <w:rPr>
          <w:rFonts w:ascii="Times New Roman" w:eastAsia="Times New Roman" w:hAnsi="Times New Roman" w:cs="Times New Roman"/>
        </w:rPr>
        <w:t xml:space="preserve"> te chutando… (Leite, 2014, p. 79).</w:t>
      </w:r>
    </w:p>
    <w:p w14:paraId="7CA92661"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relato de Rosa evidencia como a violência exercida pela repressão ultrapassava o plano estritamente físico, mobilizando também mecanismos de humilhação e desestruturação simbólica profundamente atravessados por marcadores de gênero. A exposição do corpo nu, a imobilização no chão e os chutes sucessivos não produziam apenas dor, mas instauravam uma situação de degradação que operava por meio da vulnerabilização extrema do corpo feminino. Nesse sentido, a tortura articulava dimensões físicas, psicológicas e sexuais, convertendo o corpo da vítima em um território de dominação no qual a nudez e a exposição funcionavam como instrumentos de humilhação e controle. Ao emergirem anos depois em lembranças corporais e reações involuntárias, tais experiências revelam também como a violência sexual e de gênero deixou marcas duradouras, manifestando-se não apenas na memória narrativa, mas na própria corporeidade das sobreviventes.</w:t>
      </w:r>
    </w:p>
    <w:p w14:paraId="0032403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Ainda sobre os testemunhos, Seligmann-Silva apresenta a ideia de que existe uma temporalidade característica destas narrativas marcada pelo tempo presente. Em outras palavras, no momento do relato o tempo passado se torna tempo presente. Nesse sentido, a temporalidade do trauma envolve demarcações e manifestações específicas que se relacionam com diferentes âmbitos da vida do depoente. Paralelamente, a elaboração do trauma e a busca de reconstrução de um cotidiano não consistem em processos lineares e absolutos, pelo contrário: os resquícios e desdobramentos oriundos de um episódio traumático permanecerão com o sujeito (Seligmann-Silva, 2008). </w:t>
      </w:r>
    </w:p>
    <w:p w14:paraId="22D643E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 o trauma, como demonstram os testemunhos analisados, possui uma temporalidade própria, atravessada por retornos inesperados, lacunas e manifestações corporais que escapam à linearidade da narrativa, sua elaboração não pode ser pensada apenas como um processo individual ou restrito ao âmbito da memória privada. As marcas deixadas por essas experiências inscrevem-se também nas estruturas sociais que continuam a organizar hierarquias, silêncios e formas de reconhecimento. Essa questão se torna ainda mais complexa quando consideramos que muitas das hierarquias de gênero mobilizadas nas práticas de tortura permanecem, sob </w:t>
      </w:r>
      <w:r w:rsidRPr="002451B6">
        <w:rPr>
          <w:rFonts w:ascii="Times New Roman" w:eastAsia="Times New Roman" w:hAnsi="Times New Roman" w:cs="Times New Roman"/>
          <w:sz w:val="24"/>
          <w:szCs w:val="24"/>
        </w:rPr>
        <w:lastRenderedPageBreak/>
        <w:t xml:space="preserve">diferentes formas, reiteradas na sociedade contemporânea. Nesse sentido, lidar com os legados da violência sexual e de gênero cometida durante a ditadura implica enfrentar não apenas o passado autoritário, mas também as estas relações de poder seguem operando e atravessando as vítimas após os </w:t>
      </w:r>
      <w:proofErr w:type="spellStart"/>
      <w:r w:rsidRPr="002451B6">
        <w:rPr>
          <w:rFonts w:ascii="Times New Roman" w:eastAsia="Times New Roman" w:hAnsi="Times New Roman" w:cs="Times New Roman"/>
          <w:sz w:val="24"/>
          <w:szCs w:val="24"/>
        </w:rPr>
        <w:t>episodios</w:t>
      </w:r>
      <w:proofErr w:type="spellEnd"/>
      <w:r w:rsidRPr="002451B6">
        <w:rPr>
          <w:rFonts w:ascii="Times New Roman" w:eastAsia="Times New Roman" w:hAnsi="Times New Roman" w:cs="Times New Roman"/>
          <w:sz w:val="24"/>
          <w:szCs w:val="24"/>
        </w:rPr>
        <w:t xml:space="preserve"> de trauma. </w:t>
      </w:r>
    </w:p>
    <w:p w14:paraId="10F7475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Acreditamos ser essencial destacar também como esses sujeitos se relacionam com as políticas públicas formuladas pelo Estado voltadas para a promoção de memória, verdade e justiça em especial, a própria Comissão Nacional da Verdade. Os depoimentos evidenciam um reconhecimento significativo da criação e consolidação das políticas públicas de memória. Entretanto, igualmente importante é ressaltar que a interação entre esses dois atores, Estado e vítimas, é construída com múltiplos embates em torno de seus entendimentos sobre as maneiras pelas quais a sociedade deveria lidar com o passado ditatorial e quais usos deveriam ser feitos desse passado. </w:t>
      </w:r>
    </w:p>
    <w:p w14:paraId="7979923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Nesse cenário, revelação, reparação e anistia são conceitos que se encontram em constantes disputas. Além disso, o binômio punição e justiça aparece como o ponto nevrálgico do debate sobre o processo de justiça de transição brasileiro, suas limitações e como essas refletem uma construção de uma democracia fragilizada em termos da luta pelos direitos humanos. O trecho do depoimento de Rosa demonstra esse cenário complexo:</w:t>
      </w:r>
    </w:p>
    <w:p w14:paraId="47EB93EF"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 xml:space="preserve">Tenho muitas críticas com relação, ainda, à Comissão da Verdade, (...) porque nós, quando começou a Comissão da Verdade, os familiares, que vinham junto nessa luta a muito tempo, dizia: “é um absurdo, a gente quer que a Dilma nos ouça, a Dilma é nossa, é uma pessoa que foi presa como a gente. Ela precisa nos ouvir para a gente dizer para ela que não pode ser um período tão logo, que não pode ser sigiloso, que não pode ser pessoas que não sejam, minimamente, discutidas com a população, não pode” (Leite, </w:t>
      </w:r>
      <w:proofErr w:type="gramStart"/>
      <w:r w:rsidRPr="002451B6">
        <w:rPr>
          <w:rFonts w:ascii="Times New Roman" w:eastAsia="Times New Roman" w:hAnsi="Times New Roman" w:cs="Times New Roman"/>
        </w:rPr>
        <w:t>2014,  p.</w:t>
      </w:r>
      <w:proofErr w:type="gramEnd"/>
      <w:r w:rsidRPr="002451B6">
        <w:rPr>
          <w:rFonts w:ascii="Times New Roman" w:eastAsia="Times New Roman" w:hAnsi="Times New Roman" w:cs="Times New Roman"/>
        </w:rPr>
        <w:t xml:space="preserve"> 62). </w:t>
      </w:r>
    </w:p>
    <w:p w14:paraId="33972226" w14:textId="77777777" w:rsidR="00332C33" w:rsidRPr="002451B6" w:rsidRDefault="00000000">
      <w:pPr>
        <w:spacing w:before="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partir da análise dos depoimentos, compreendemos os testemunhos como uma forma de agência exercida por sobreviventes, familiares, organizações da sociedade civil e pelo próprio Estado no registro desse passado de violência. Nesse processo, a relação entre depoentes e pesquisadores também assume um papel fundamental. Ao contribuir para a construção de uma dimensão pública para esses relatos, o trabalho historiográfico não busca a elaboração de uma história heroica, mas sim de uma </w:t>
      </w:r>
      <w:r w:rsidRPr="002451B6">
        <w:rPr>
          <w:rFonts w:ascii="Times New Roman" w:eastAsia="Times New Roman" w:hAnsi="Times New Roman" w:cs="Times New Roman"/>
          <w:i/>
          <w:iCs/>
          <w:sz w:val="24"/>
          <w:szCs w:val="24"/>
        </w:rPr>
        <w:t>história a contrapelo</w:t>
      </w:r>
      <w:r w:rsidRPr="002451B6">
        <w:rPr>
          <w:rFonts w:ascii="Times New Roman" w:eastAsia="Times New Roman" w:hAnsi="Times New Roman" w:cs="Times New Roman"/>
          <w:sz w:val="24"/>
          <w:szCs w:val="24"/>
        </w:rPr>
        <w:t xml:space="preserve"> (Benjamin, 2016) capaz de revelar e enfrentar as fissuras profundas deixadas por esse passado, entre elas aquelas relacionadas às relações de gênero. Dessa forma, ao nos aproximarmos dessas narrativas, não buscamos apenas a repetição do que é lembrado, mas também os silêncios, as lacunas e aquilo que ainda permanece subterrâneo na sociedade.</w:t>
      </w:r>
    </w:p>
    <w:p w14:paraId="4805DBFA" w14:textId="77777777" w:rsidR="00332C33" w:rsidRPr="002451B6" w:rsidRDefault="00000000">
      <w:pPr>
        <w:spacing w:before="20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Considerações Finais</w:t>
      </w:r>
    </w:p>
    <w:p w14:paraId="2B043C6F" w14:textId="77777777" w:rsidR="00FA67D8" w:rsidRPr="002451B6" w:rsidRDefault="00FA67D8">
      <w:pPr>
        <w:spacing w:before="200" w:line="360" w:lineRule="auto"/>
        <w:jc w:val="both"/>
        <w:rPr>
          <w:rFonts w:ascii="Times New Roman" w:eastAsia="Times New Roman" w:hAnsi="Times New Roman" w:cs="Times New Roman"/>
          <w:b/>
          <w:bCs/>
          <w:sz w:val="24"/>
          <w:szCs w:val="24"/>
        </w:rPr>
      </w:pPr>
    </w:p>
    <w:p w14:paraId="23D4ED4C" w14:textId="77777777" w:rsidR="00332C33" w:rsidRPr="002451B6" w:rsidRDefault="00000000">
      <w:pPr>
        <w:spacing w:line="360" w:lineRule="auto"/>
        <w:ind w:firstLine="720"/>
        <w:jc w:val="both"/>
        <w:rPr>
          <w:rFonts w:ascii="Times New Roman" w:eastAsia="Times New Roman" w:hAnsi="Times New Roman" w:cs="Times New Roman"/>
          <w:sz w:val="26"/>
          <w:szCs w:val="26"/>
        </w:rPr>
      </w:pPr>
      <w:r w:rsidRPr="002451B6">
        <w:rPr>
          <w:rFonts w:ascii="Times New Roman" w:eastAsia="Times New Roman" w:hAnsi="Times New Roman" w:cs="Times New Roman"/>
          <w:sz w:val="24"/>
          <w:szCs w:val="24"/>
        </w:rPr>
        <w:t xml:space="preserve">O espaço instituído pela Comissão Nacional da Verdade foi reconhecido por diversas vítimas do regime como um lugar de denúncia de experiências até então silenciadas. Os depoimentos reunidos revelaram que as violências físicas e psicológicas perpetradas pelo sistema repressivo estavam profundamente imbricadas às relações de gênero, evidenciando práticas que ultrapassavam a lógica estrita da obtenção de informações. Tratando-se de um campo traumático particularmente sensível, essa manifestação da violência emergiu nestes relatos como expressão de uma face da repressão orientada por uma gramática social moralizante, que informava tanto as concepções relativas ao feminino quanto aquelas associadas ao masculino. Nesse sentido, </w:t>
      </w:r>
      <w:r w:rsidRPr="002451B6">
        <w:rPr>
          <w:rFonts w:ascii="Times New Roman" w:eastAsia="Times New Roman" w:hAnsi="Times New Roman" w:cs="Times New Roman"/>
          <w:i/>
          <w:iCs/>
          <w:sz w:val="24"/>
          <w:szCs w:val="24"/>
        </w:rPr>
        <w:t>gênero</w:t>
      </w:r>
      <w:r w:rsidRPr="002451B6">
        <w:rPr>
          <w:rFonts w:ascii="Times New Roman" w:eastAsia="Times New Roman" w:hAnsi="Times New Roman" w:cs="Times New Roman"/>
          <w:sz w:val="24"/>
          <w:szCs w:val="24"/>
        </w:rPr>
        <w:t xml:space="preserve"> operou como princípio organizador da violência, estruturando tanto as práticas de tortura quanto os sentidos socialmente atribuídos às vítimas, sendo a violência de gênero e sexual parte constitutiva dessa engrenagem disciplinar.</w:t>
      </w:r>
    </w:p>
    <w:p w14:paraId="3AA05088"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Gostaríamos de destacar também que a análise dos relatos permite problematizar os modos pelos quais essas violências foram conceitualmente enquadradas e juridicamente qualificadas: ao incorporar definições oriundas do Direito Internacional dos Direitos Humanos e ao reconhecer a violência sexual como grave violação, a Comissão não apenas registrou fatos, mas produziu uma determinada inteligibilidade sobre eles. Nesse movimento, ampliou o conceito de vítima, deslocando-o de uma figura restrita ao militante político perseguido para abarcar sujeitos atingidos por práticas que mobilizavam hierarquias de gênero, sexualidade e moralidade.</w:t>
      </w:r>
    </w:p>
    <w:p w14:paraId="333E35AB" w14:textId="77777777" w:rsidR="00332C33" w:rsidRPr="002451B6" w:rsidRDefault="00000000">
      <w:pPr>
        <w:spacing w:line="360" w:lineRule="auto"/>
        <w:ind w:right="23"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Paralelamente, ao serem transpostas para o campo da narrativa pública por meio do relatório da CNV, essas experiências sofreram novos processos de significação, passando da esfera da vivência traumática à da categoria jurídica e histórica. Nesse trânsito, como visto, não se apagam as marcas do trauma, mas reconfiguram-se seus sentidos, abrindo possibilidades de reconhecimento </w:t>
      </w:r>
      <w:proofErr w:type="gramStart"/>
      <w:r w:rsidRPr="002451B6">
        <w:rPr>
          <w:rFonts w:ascii="Times New Roman" w:eastAsia="Times New Roman" w:hAnsi="Times New Roman" w:cs="Times New Roman"/>
          <w:sz w:val="24"/>
          <w:szCs w:val="24"/>
        </w:rPr>
        <w:t>e também</w:t>
      </w:r>
      <w:proofErr w:type="gramEnd"/>
      <w:r w:rsidRPr="002451B6">
        <w:rPr>
          <w:rFonts w:ascii="Times New Roman" w:eastAsia="Times New Roman" w:hAnsi="Times New Roman" w:cs="Times New Roman"/>
          <w:sz w:val="24"/>
          <w:szCs w:val="24"/>
        </w:rPr>
        <w:t xml:space="preserve"> de disputa. Assim, se, por um lado, o relatório contribuiu para desprivatizar experiências historicamente marcadas pelo silêncio, sobretudo no que se refere às violências sexuais, por outro, também evidencia os limites e tensões inerentes às políticas públicas de memória no Brasil. A institucionalização dessas narrativas implica negociações, enquadramentos e escolhas que afetam diretamente a forma como o passado é transmitido às gerações seguintes.</w:t>
      </w:r>
    </w:p>
    <w:p w14:paraId="7BC9F81D" w14:textId="5C8F3E45" w:rsidR="00332C33" w:rsidRPr="002451B6" w:rsidRDefault="00000000" w:rsidP="00FA67D8">
      <w:pPr>
        <w:spacing w:line="360" w:lineRule="auto"/>
        <w:ind w:right="23" w:firstLine="720"/>
        <w:jc w:val="both"/>
        <w:rPr>
          <w:rFonts w:ascii="Times New Roman" w:eastAsia="Times New Roman" w:hAnsi="Times New Roman" w:cs="Times New Roman"/>
          <w:b/>
          <w:bCs/>
          <w:sz w:val="24"/>
          <w:szCs w:val="24"/>
          <w:highlight w:val="yellow"/>
        </w:rPr>
      </w:pPr>
      <w:r w:rsidRPr="002451B6">
        <w:rPr>
          <w:rFonts w:ascii="Times New Roman" w:eastAsia="Times New Roman" w:hAnsi="Times New Roman" w:cs="Times New Roman"/>
          <w:sz w:val="24"/>
          <w:szCs w:val="24"/>
        </w:rPr>
        <w:t xml:space="preserve">Por fim, ao inscrever as violências sexual e de gênero no centro da análise da repressão ditatorial, este trabalho busca contribuir para uma historiografia que compreende na Ditadura Militar um projeto de ordenamento moral e social profundamente atravessado por concepções normativas de gênero. Pensar essas violências como estruturantes, e não periféricas, da </w:t>
      </w:r>
      <w:r w:rsidRPr="002451B6">
        <w:rPr>
          <w:rFonts w:ascii="Times New Roman" w:eastAsia="Times New Roman" w:hAnsi="Times New Roman" w:cs="Times New Roman"/>
          <w:sz w:val="24"/>
          <w:szCs w:val="24"/>
        </w:rPr>
        <w:lastRenderedPageBreak/>
        <w:t>experiência ditatorial permite iluminar continuidades históricas que atravessam o presente, especialmente no que se refere às disputas em torno dos direitos humanos, da memória e do reconhecimento das vítimas. Assim, o exame das categorias mobilizadas pela CNV não se encerra na análise de um documento, mas se projeta como um campo de reflexão sobre os modos pelos quais as relações de gênero se articulam em determinados contextos históricos e sobre como o Estado e a sociedade brasileira elaboram, disputam e atualizam os sentidos de seu passado autoritário.</w:t>
      </w:r>
    </w:p>
    <w:p w14:paraId="0E405BFC" w14:textId="77777777" w:rsidR="00332C33" w:rsidRPr="002451B6" w:rsidRDefault="00332C33">
      <w:pPr>
        <w:spacing w:line="360" w:lineRule="auto"/>
        <w:ind w:right="23"/>
        <w:jc w:val="both"/>
        <w:rPr>
          <w:rFonts w:ascii="Times New Roman" w:eastAsia="Times New Roman" w:hAnsi="Times New Roman" w:cs="Times New Roman"/>
          <w:sz w:val="24"/>
          <w:szCs w:val="24"/>
        </w:rPr>
      </w:pPr>
    </w:p>
    <w:p w14:paraId="5615984E" w14:textId="77777777" w:rsidR="00332C33" w:rsidRPr="002451B6" w:rsidRDefault="00000000">
      <w:pPr>
        <w:spacing w:before="200" w:line="360" w:lineRule="auto"/>
        <w:ind w:right="23"/>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Referências </w:t>
      </w:r>
    </w:p>
    <w:p w14:paraId="1580C64D"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ARAUJO, M. P. “Comissões da Verdade: um debate ético-político na contemporaneidade”.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FICO, Carlos., ARAUJO, Maria Paula., GRIN, Monica. </w:t>
      </w:r>
      <w:r w:rsidRPr="002451B6">
        <w:rPr>
          <w:rFonts w:ascii="Times New Roman" w:eastAsia="Times New Roman" w:hAnsi="Times New Roman" w:cs="Times New Roman"/>
          <w:i/>
          <w:iCs/>
          <w:sz w:val="24"/>
          <w:szCs w:val="24"/>
        </w:rPr>
        <w:t xml:space="preserve">Violência na História: </w:t>
      </w:r>
      <w:r w:rsidRPr="002451B6">
        <w:rPr>
          <w:rFonts w:ascii="Times New Roman" w:eastAsia="Times New Roman" w:hAnsi="Times New Roman" w:cs="Times New Roman"/>
          <w:sz w:val="24"/>
          <w:szCs w:val="24"/>
        </w:rPr>
        <w:t>memória, trauma e reparação. Rio de Janeiro: Ponteio, 2012.</w:t>
      </w:r>
    </w:p>
    <w:p w14:paraId="084422E9" w14:textId="77777777" w:rsidR="00332C33" w:rsidRPr="002451B6" w:rsidRDefault="00000000">
      <w:pPr>
        <w:spacing w:before="200"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ARAUJO, M. P. “História Oral e memória da ditadura militar: o papel dos testemunhos”</w:t>
      </w:r>
      <w:r w:rsidRPr="002451B6">
        <w:rPr>
          <w:rFonts w:ascii="Times New Roman" w:eastAsia="Times New Roman" w:hAnsi="Times New Roman" w:cs="Times New Roman"/>
          <w:i/>
          <w:iCs/>
          <w:sz w:val="24"/>
          <w:szCs w:val="24"/>
        </w:rPr>
        <w:t xml:space="preserve"> In</w:t>
      </w:r>
      <w:r w:rsidRPr="002451B6">
        <w:rPr>
          <w:rFonts w:ascii="Times New Roman" w:eastAsia="Times New Roman" w:hAnsi="Times New Roman" w:cs="Times New Roman"/>
          <w:sz w:val="24"/>
          <w:szCs w:val="24"/>
        </w:rPr>
        <w:t xml:space="preserve">: GOMES, A. de C.  (Org.) </w:t>
      </w:r>
      <w:r w:rsidRPr="002451B6">
        <w:rPr>
          <w:rFonts w:ascii="Times New Roman" w:eastAsia="Times New Roman" w:hAnsi="Times New Roman" w:cs="Times New Roman"/>
          <w:i/>
          <w:iCs/>
          <w:sz w:val="24"/>
          <w:szCs w:val="24"/>
        </w:rPr>
        <w:t xml:space="preserve">História Oral e Historiografia: </w:t>
      </w:r>
      <w:r w:rsidRPr="002451B6">
        <w:rPr>
          <w:rFonts w:ascii="Times New Roman" w:eastAsia="Times New Roman" w:hAnsi="Times New Roman" w:cs="Times New Roman"/>
          <w:sz w:val="24"/>
          <w:szCs w:val="24"/>
        </w:rPr>
        <w:t>questões sensíveis. São Paulo, SP: Letra e Voz, 2020.</w:t>
      </w:r>
    </w:p>
    <w:p w14:paraId="38FBFB31"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BAUER, C. S.</w:t>
      </w:r>
      <w:r w:rsidRPr="002451B6">
        <w:rPr>
          <w:rFonts w:ascii="Times New Roman" w:eastAsia="Times New Roman" w:hAnsi="Times New Roman" w:cs="Times New Roman"/>
          <w:i/>
          <w:iCs/>
          <w:sz w:val="24"/>
          <w:szCs w:val="24"/>
        </w:rPr>
        <w:t xml:space="preserve"> Como será o passado?</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História, historiadores e a Comissão Nacional da Verdade. Jundiaí, SP: Ed. Paco Editorial, 2017.</w:t>
      </w:r>
    </w:p>
    <w:p w14:paraId="35E069A2"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BAUER, C. S. “Políticas de memória: aproximações conceituais e teóricas.”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GALLO, C. A. (Org.). </w:t>
      </w:r>
      <w:r w:rsidRPr="002451B6">
        <w:rPr>
          <w:rFonts w:ascii="Times New Roman" w:eastAsia="Times New Roman" w:hAnsi="Times New Roman" w:cs="Times New Roman"/>
          <w:i/>
          <w:iCs/>
          <w:sz w:val="24"/>
          <w:szCs w:val="24"/>
        </w:rPr>
        <w:t xml:space="preserve">Nas trincheiras da memória: </w:t>
      </w:r>
      <w:r w:rsidRPr="002451B6">
        <w:rPr>
          <w:rFonts w:ascii="Times New Roman" w:eastAsia="Times New Roman" w:hAnsi="Times New Roman" w:cs="Times New Roman"/>
          <w:sz w:val="24"/>
          <w:szCs w:val="24"/>
        </w:rPr>
        <w:t>lutas pelo passado, políticas de memória e justiça de transição no sul da Europa e na América do Sul. Rio de Janeiro: Ed. Oficina Raquel, 2021.</w:t>
      </w:r>
    </w:p>
    <w:p w14:paraId="7D4135BA"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BENJAMIN, W. </w:t>
      </w:r>
      <w:r w:rsidRPr="002451B6">
        <w:rPr>
          <w:rFonts w:ascii="Times New Roman" w:eastAsia="Times New Roman" w:hAnsi="Times New Roman" w:cs="Times New Roman"/>
          <w:i/>
          <w:iCs/>
          <w:sz w:val="24"/>
          <w:szCs w:val="24"/>
        </w:rPr>
        <w:t>O Anjo da História</w:t>
      </w:r>
      <w:r w:rsidRPr="002451B6">
        <w:rPr>
          <w:rFonts w:ascii="Times New Roman" w:eastAsia="Times New Roman" w:hAnsi="Times New Roman" w:cs="Times New Roman"/>
          <w:sz w:val="24"/>
          <w:szCs w:val="24"/>
        </w:rPr>
        <w:t>. Belo Horizonte: Autêntica Editora, 2016.</w:t>
      </w:r>
    </w:p>
    <w:p w14:paraId="49B72485"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CATELA, L. </w:t>
      </w:r>
      <w:proofErr w:type="spellStart"/>
      <w:r w:rsidRPr="002451B6">
        <w:rPr>
          <w:rFonts w:ascii="Times New Roman" w:eastAsia="Times New Roman" w:hAnsi="Times New Roman" w:cs="Times New Roman"/>
          <w:sz w:val="24"/>
          <w:szCs w:val="24"/>
        </w:rPr>
        <w:t>da</w:t>
      </w:r>
      <w:proofErr w:type="spellEnd"/>
      <w:r w:rsidRPr="002451B6">
        <w:rPr>
          <w:rFonts w:ascii="Times New Roman" w:eastAsia="Times New Roman" w:hAnsi="Times New Roman" w:cs="Times New Roman"/>
          <w:sz w:val="24"/>
          <w:szCs w:val="24"/>
        </w:rPr>
        <w:t xml:space="preserve"> S. </w:t>
      </w:r>
      <w:r w:rsidRPr="002451B6">
        <w:rPr>
          <w:rFonts w:ascii="Times New Roman" w:eastAsia="Times New Roman" w:hAnsi="Times New Roman" w:cs="Times New Roman"/>
          <w:i/>
          <w:iCs/>
          <w:sz w:val="24"/>
          <w:szCs w:val="24"/>
        </w:rPr>
        <w:t>Situação-Limite e Memória:</w:t>
      </w:r>
      <w:r w:rsidRPr="002451B6">
        <w:rPr>
          <w:rFonts w:ascii="Times New Roman" w:eastAsia="Times New Roman" w:hAnsi="Times New Roman" w:cs="Times New Roman"/>
          <w:sz w:val="24"/>
          <w:szCs w:val="24"/>
        </w:rPr>
        <w:t xml:space="preserve"> A reconstrução do mundo dos familiares de desaparecidos da Argentina. São Paulo: HUCITEC, ANPOCS, 2001.</w:t>
      </w:r>
    </w:p>
    <w:p w14:paraId="1200D73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COLLING, A. M. “50 anos da ditadura no Brasil: questões feministas e de gênero”. </w:t>
      </w:r>
      <w:r w:rsidRPr="002451B6">
        <w:rPr>
          <w:rFonts w:ascii="Times New Roman" w:eastAsia="Times New Roman" w:hAnsi="Times New Roman" w:cs="Times New Roman"/>
          <w:i/>
          <w:iCs/>
          <w:sz w:val="24"/>
          <w:szCs w:val="24"/>
        </w:rPr>
        <w:t xml:space="preserve">OPSIS, </w:t>
      </w:r>
      <w:r w:rsidRPr="002451B6">
        <w:rPr>
          <w:rFonts w:ascii="Times New Roman" w:eastAsia="Times New Roman" w:hAnsi="Times New Roman" w:cs="Times New Roman"/>
          <w:sz w:val="24"/>
          <w:szCs w:val="24"/>
        </w:rPr>
        <w:t>v. 15, n. 2, p. 370-383, 19 dez. 2015.</w:t>
      </w:r>
    </w:p>
    <w:p w14:paraId="454D04BD"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CUNHA, R. M. C. da. “Comissão Nacional da Verdade: Impulso à democratização ou fator de retrocesso?”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TELES, Edson, QUINALHA, Renan (</w:t>
      </w:r>
      <w:proofErr w:type="spellStart"/>
      <w:r w:rsidRPr="002451B6">
        <w:rPr>
          <w:rFonts w:ascii="Times New Roman" w:eastAsia="Times New Roman" w:hAnsi="Times New Roman" w:cs="Times New Roman"/>
          <w:sz w:val="24"/>
          <w:szCs w:val="24"/>
        </w:rPr>
        <w:t>Orgs</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Espectros da ditadura: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da Comissão da Verdade ao bolsonarismo. São Paulo, Autonomia Literária, 2020.</w:t>
      </w:r>
    </w:p>
    <w:p w14:paraId="36BBA37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COWAN, B. </w:t>
      </w:r>
      <w:proofErr w:type="spellStart"/>
      <w:r w:rsidRPr="002451B6">
        <w:rPr>
          <w:rFonts w:ascii="Times New Roman" w:eastAsia="Times New Roman" w:hAnsi="Times New Roman" w:cs="Times New Roman"/>
          <w:i/>
          <w:iCs/>
          <w:sz w:val="24"/>
          <w:szCs w:val="24"/>
        </w:rPr>
        <w:t>Securing</w:t>
      </w:r>
      <w:proofErr w:type="spellEnd"/>
      <w:r w:rsidRPr="002451B6">
        <w:rPr>
          <w:rFonts w:ascii="Times New Roman" w:eastAsia="Times New Roman" w:hAnsi="Times New Roman" w:cs="Times New Roman"/>
          <w:i/>
          <w:iCs/>
          <w:sz w:val="24"/>
          <w:szCs w:val="24"/>
        </w:rPr>
        <w:t xml:space="preserve"> Sex:</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Morality</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and</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Repression</w:t>
      </w:r>
      <w:proofErr w:type="spellEnd"/>
      <w:r w:rsidRPr="002451B6">
        <w:rPr>
          <w:rFonts w:ascii="Times New Roman" w:eastAsia="Times New Roman" w:hAnsi="Times New Roman" w:cs="Times New Roman"/>
          <w:sz w:val="24"/>
          <w:szCs w:val="24"/>
        </w:rPr>
        <w:t xml:space="preserve"> in </w:t>
      </w:r>
      <w:proofErr w:type="spellStart"/>
      <w:r w:rsidRPr="002451B6">
        <w:rPr>
          <w:rFonts w:ascii="Times New Roman" w:eastAsia="Times New Roman" w:hAnsi="Times New Roman" w:cs="Times New Roman"/>
          <w:sz w:val="24"/>
          <w:szCs w:val="24"/>
        </w:rPr>
        <w:t>the</w:t>
      </w:r>
      <w:proofErr w:type="spellEnd"/>
      <w:r w:rsidRPr="002451B6">
        <w:rPr>
          <w:rFonts w:ascii="Times New Roman" w:eastAsia="Times New Roman" w:hAnsi="Times New Roman" w:cs="Times New Roman"/>
          <w:sz w:val="24"/>
          <w:szCs w:val="24"/>
        </w:rPr>
        <w:t xml:space="preserve"> Making </w:t>
      </w:r>
      <w:proofErr w:type="spellStart"/>
      <w:r w:rsidRPr="002451B6">
        <w:rPr>
          <w:rFonts w:ascii="Times New Roman" w:eastAsia="Times New Roman" w:hAnsi="Times New Roman" w:cs="Times New Roman"/>
          <w:sz w:val="24"/>
          <w:szCs w:val="24"/>
        </w:rPr>
        <w:t>of</w:t>
      </w:r>
      <w:proofErr w:type="spellEnd"/>
      <w:r w:rsidRPr="002451B6">
        <w:rPr>
          <w:rFonts w:ascii="Times New Roman" w:eastAsia="Times New Roman" w:hAnsi="Times New Roman" w:cs="Times New Roman"/>
          <w:sz w:val="24"/>
          <w:szCs w:val="24"/>
        </w:rPr>
        <w:t xml:space="preserve"> Cold War </w:t>
      </w:r>
      <w:proofErr w:type="spellStart"/>
      <w:r w:rsidRPr="002451B6">
        <w:rPr>
          <w:rFonts w:ascii="Times New Roman" w:eastAsia="Times New Roman" w:hAnsi="Times New Roman" w:cs="Times New Roman"/>
          <w:sz w:val="24"/>
          <w:szCs w:val="24"/>
        </w:rPr>
        <w:t>Brazil</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University</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of</w:t>
      </w:r>
      <w:proofErr w:type="spellEnd"/>
      <w:r w:rsidRPr="002451B6">
        <w:rPr>
          <w:rFonts w:ascii="Times New Roman" w:eastAsia="Times New Roman" w:hAnsi="Times New Roman" w:cs="Times New Roman"/>
          <w:sz w:val="24"/>
          <w:szCs w:val="24"/>
        </w:rPr>
        <w:t xml:space="preserve"> North Carolina Press, 2016.</w:t>
      </w:r>
    </w:p>
    <w:p w14:paraId="577C1AF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D’ARAÚJO, M. C.; JOFFILY, </w:t>
      </w:r>
      <w:proofErr w:type="gramStart"/>
      <w:r w:rsidRPr="002451B6">
        <w:rPr>
          <w:rFonts w:ascii="Times New Roman" w:eastAsia="Times New Roman" w:hAnsi="Times New Roman" w:cs="Times New Roman"/>
          <w:sz w:val="24"/>
          <w:szCs w:val="24"/>
        </w:rPr>
        <w:t>M..</w:t>
      </w:r>
      <w:proofErr w:type="gramEnd"/>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“Os dias seguintes ao golpe de 1964 e a construção da ditadura (1964-1968)”.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FERREIRA, J.; DELGADO, L. de A. </w:t>
      </w:r>
      <w:proofErr w:type="spellStart"/>
      <w:r w:rsidRPr="002451B6">
        <w:rPr>
          <w:rFonts w:ascii="Times New Roman" w:eastAsia="Times New Roman" w:hAnsi="Times New Roman" w:cs="Times New Roman"/>
          <w:sz w:val="24"/>
          <w:szCs w:val="24"/>
        </w:rPr>
        <w:t>N.s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Orgs</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O Brasil republicano</w:t>
      </w:r>
      <w:r w:rsidRPr="002451B6">
        <w:rPr>
          <w:rFonts w:ascii="Times New Roman" w:eastAsia="Times New Roman" w:hAnsi="Times New Roman" w:cs="Times New Roman"/>
          <w:sz w:val="24"/>
          <w:szCs w:val="24"/>
        </w:rPr>
        <w:t>. O tempo do regime autoritário. Ditadura militar e redemocratização. Rio de Janeiro: Civilização Brasileira, 2019.</w:t>
      </w:r>
    </w:p>
    <w:p w14:paraId="4F249D00"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GONZÁLEZ, E. “Observações sobre o Mandato Legal da Comissão Nacional da Verdade do Brasil”. </w:t>
      </w:r>
      <w:r w:rsidRPr="002451B6">
        <w:rPr>
          <w:rFonts w:ascii="Times New Roman" w:eastAsia="Times New Roman" w:hAnsi="Times New Roman" w:cs="Times New Roman"/>
          <w:i/>
          <w:iCs/>
          <w:sz w:val="24"/>
          <w:szCs w:val="24"/>
        </w:rPr>
        <w:t>Centro Internacional para a Justiça de Transição</w:t>
      </w:r>
      <w:r w:rsidRPr="002451B6">
        <w:rPr>
          <w:rFonts w:ascii="Times New Roman" w:eastAsia="Times New Roman" w:hAnsi="Times New Roman" w:cs="Times New Roman"/>
          <w:sz w:val="24"/>
          <w:szCs w:val="24"/>
        </w:rPr>
        <w:t xml:space="preserve">. ICTJ New York. Maio de 2012. p.4. Arquivo CNV, 00092.003099/2014-23. Disponível em: </w:t>
      </w:r>
      <w:r w:rsidRPr="002451B6">
        <w:rPr>
          <w:rFonts w:ascii="Times New Roman" w:eastAsia="Times New Roman" w:hAnsi="Times New Roman" w:cs="Times New Roman"/>
          <w:sz w:val="24"/>
          <w:szCs w:val="24"/>
        </w:rPr>
        <w:lastRenderedPageBreak/>
        <w:t>&lt;https://cnv.memoriasreveladas.gov.br/images/documentos/Capitulo1/Nota%2025, %2030%20-%2000092_003099_2014_23.pdf.&gt; Acesso em 16 de maio de 2024.</w:t>
      </w:r>
    </w:p>
    <w:p w14:paraId="4AA7E636" w14:textId="77777777" w:rsidR="00332C33" w:rsidRPr="002451B6" w:rsidRDefault="00000000">
      <w:pPr>
        <w:spacing w:after="200" w:line="240" w:lineRule="auto"/>
        <w:ind w:right="23"/>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GROPPO, B. “</w:t>
      </w:r>
      <w:proofErr w:type="spellStart"/>
      <w:r w:rsidRPr="002451B6">
        <w:rPr>
          <w:rFonts w:ascii="Times New Roman" w:eastAsia="Times New Roman" w:hAnsi="Times New Roman" w:cs="Times New Roman"/>
          <w:sz w:val="24"/>
          <w:szCs w:val="24"/>
        </w:rPr>
        <w:t>Las</w:t>
      </w:r>
      <w:proofErr w:type="spellEnd"/>
      <w:r w:rsidRPr="002451B6">
        <w:rPr>
          <w:rFonts w:ascii="Times New Roman" w:eastAsia="Times New Roman" w:hAnsi="Times New Roman" w:cs="Times New Roman"/>
          <w:sz w:val="24"/>
          <w:szCs w:val="24"/>
        </w:rPr>
        <w:t xml:space="preserve"> </w:t>
      </w:r>
      <w:proofErr w:type="spellStart"/>
      <w:proofErr w:type="gramStart"/>
      <w:r w:rsidRPr="002451B6">
        <w:rPr>
          <w:rFonts w:ascii="Times New Roman" w:eastAsia="Times New Roman" w:hAnsi="Times New Roman" w:cs="Times New Roman"/>
          <w:sz w:val="24"/>
          <w:szCs w:val="24"/>
        </w:rPr>
        <w:t>politica</w:t>
      </w:r>
      <w:proofErr w:type="spellEnd"/>
      <w:proofErr w:type="gram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memoria”. In:</w:t>
      </w:r>
      <w:r w:rsidRPr="002451B6">
        <w:rPr>
          <w:rFonts w:ascii="Times New Roman" w:eastAsia="Times New Roman" w:hAnsi="Times New Roman" w:cs="Times New Roman"/>
          <w:b/>
          <w:bCs/>
          <w:sz w:val="24"/>
          <w:szCs w:val="24"/>
        </w:rPr>
        <w:t xml:space="preserve"> </w:t>
      </w:r>
      <w:proofErr w:type="spellStart"/>
      <w:r w:rsidRPr="002451B6">
        <w:rPr>
          <w:rFonts w:ascii="Times New Roman" w:eastAsia="Times New Roman" w:hAnsi="Times New Roman" w:cs="Times New Roman"/>
          <w:i/>
          <w:iCs/>
          <w:sz w:val="24"/>
          <w:szCs w:val="24"/>
        </w:rPr>
        <w:t>Sociohistórica</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Nro</w:t>
      </w:r>
      <w:proofErr w:type="spellEnd"/>
      <w:r w:rsidRPr="002451B6">
        <w:rPr>
          <w:rFonts w:ascii="Times New Roman" w:eastAsia="Times New Roman" w:hAnsi="Times New Roman" w:cs="Times New Roman"/>
          <w:sz w:val="24"/>
          <w:szCs w:val="24"/>
        </w:rPr>
        <w:t>. 11 - 12, 2002. p. 190. Disponível em: &lt;https://www.memoria.fahce.unlp.edu.ar/library?a=d&amp;c=arti&amp;d=Jpr3067&gt; Acesso em 13 de setembro de 2024.</w:t>
      </w:r>
    </w:p>
    <w:p w14:paraId="26377DF6"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HUYSSEN, A. “Os direitos humanos internacionais e a política da memória: limites e desafios.”.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Cultura do passado-presente: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modernismos, artes visuais, políticas de memória. 1ª Edição. Rio de Janeiro: Contraponto: Museu de Arte do Rio, 2014.</w:t>
      </w:r>
    </w:p>
    <w:p w14:paraId="39E7FFC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JELIN, E., LANGLAND, V. (</w:t>
      </w:r>
      <w:proofErr w:type="spellStart"/>
      <w:r w:rsidRPr="002451B6">
        <w:rPr>
          <w:rFonts w:ascii="Times New Roman" w:eastAsia="Times New Roman" w:hAnsi="Times New Roman" w:cs="Times New Roman"/>
          <w:sz w:val="24"/>
          <w:szCs w:val="24"/>
        </w:rPr>
        <w:t>comps</w:t>
      </w:r>
      <w:proofErr w:type="spellEnd"/>
      <w:r w:rsidRPr="002451B6">
        <w:rPr>
          <w:rFonts w:ascii="Times New Roman" w:eastAsia="Times New Roman" w:hAnsi="Times New Roman" w:cs="Times New Roman"/>
          <w:sz w:val="24"/>
          <w:szCs w:val="24"/>
        </w:rPr>
        <w:t>). “</w:t>
      </w:r>
      <w:proofErr w:type="spellStart"/>
      <w:r w:rsidRPr="002451B6">
        <w:rPr>
          <w:rFonts w:ascii="Times New Roman" w:eastAsia="Times New Roman" w:hAnsi="Times New Roman" w:cs="Times New Roman"/>
          <w:sz w:val="24"/>
          <w:szCs w:val="24"/>
        </w:rPr>
        <w:t>Introducción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Las</w:t>
      </w:r>
      <w:proofErr w:type="spellEnd"/>
      <w:r w:rsidRPr="002451B6">
        <w:rPr>
          <w:rFonts w:ascii="Times New Roman" w:eastAsia="Times New Roman" w:hAnsi="Times New Roman" w:cs="Times New Roman"/>
          <w:sz w:val="24"/>
          <w:szCs w:val="24"/>
        </w:rPr>
        <w:t xml:space="preserve"> Marcas </w:t>
      </w:r>
      <w:proofErr w:type="spellStart"/>
      <w:r w:rsidRPr="002451B6">
        <w:rPr>
          <w:rFonts w:ascii="Times New Roman" w:eastAsia="Times New Roman" w:hAnsi="Times New Roman" w:cs="Times New Roman"/>
          <w:sz w:val="24"/>
          <w:szCs w:val="24"/>
        </w:rPr>
        <w:t>Territoriales</w:t>
      </w:r>
      <w:proofErr w:type="spellEnd"/>
      <w:r w:rsidRPr="002451B6">
        <w:rPr>
          <w:rFonts w:ascii="Times New Roman" w:eastAsia="Times New Roman" w:hAnsi="Times New Roman" w:cs="Times New Roman"/>
          <w:sz w:val="24"/>
          <w:szCs w:val="24"/>
        </w:rPr>
        <w:t xml:space="preserve"> como nexo entre </w:t>
      </w:r>
      <w:proofErr w:type="spellStart"/>
      <w:r w:rsidRPr="002451B6">
        <w:rPr>
          <w:rFonts w:ascii="Times New Roman" w:eastAsia="Times New Roman" w:hAnsi="Times New Roman" w:cs="Times New Roman"/>
          <w:sz w:val="24"/>
          <w:szCs w:val="24"/>
        </w:rPr>
        <w:t>pasado</w:t>
      </w:r>
      <w:proofErr w:type="spellEnd"/>
      <w:r w:rsidRPr="002451B6">
        <w:rPr>
          <w:rFonts w:ascii="Times New Roman" w:eastAsia="Times New Roman" w:hAnsi="Times New Roman" w:cs="Times New Roman"/>
          <w:sz w:val="24"/>
          <w:szCs w:val="24"/>
        </w:rPr>
        <w:t xml:space="preserve"> y presente” IN: </w:t>
      </w:r>
      <w:r w:rsidRPr="002451B6">
        <w:rPr>
          <w:rFonts w:ascii="Times New Roman" w:eastAsia="Times New Roman" w:hAnsi="Times New Roman" w:cs="Times New Roman"/>
          <w:i/>
          <w:iCs/>
          <w:sz w:val="24"/>
          <w:szCs w:val="24"/>
        </w:rPr>
        <w:t xml:space="preserve">Monumentos, </w:t>
      </w:r>
      <w:proofErr w:type="spellStart"/>
      <w:r w:rsidRPr="002451B6">
        <w:rPr>
          <w:rFonts w:ascii="Times New Roman" w:eastAsia="Times New Roman" w:hAnsi="Times New Roman" w:cs="Times New Roman"/>
          <w:i/>
          <w:iCs/>
          <w:sz w:val="24"/>
          <w:szCs w:val="24"/>
        </w:rPr>
        <w:t>memoriales</w:t>
      </w:r>
      <w:proofErr w:type="spellEnd"/>
      <w:r w:rsidRPr="002451B6">
        <w:rPr>
          <w:rFonts w:ascii="Times New Roman" w:eastAsia="Times New Roman" w:hAnsi="Times New Roman" w:cs="Times New Roman"/>
          <w:i/>
          <w:iCs/>
          <w:sz w:val="24"/>
          <w:szCs w:val="24"/>
        </w:rPr>
        <w:t xml:space="preserve"> y marcas </w:t>
      </w:r>
      <w:proofErr w:type="spellStart"/>
      <w:r w:rsidRPr="002451B6">
        <w:rPr>
          <w:rFonts w:ascii="Times New Roman" w:eastAsia="Times New Roman" w:hAnsi="Times New Roman" w:cs="Times New Roman"/>
          <w:i/>
          <w:iCs/>
          <w:sz w:val="24"/>
          <w:szCs w:val="24"/>
        </w:rPr>
        <w:t>territoriales</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2003, Madrid y Buenos Aires: </w:t>
      </w:r>
      <w:proofErr w:type="spellStart"/>
      <w:r w:rsidRPr="002451B6">
        <w:rPr>
          <w:rFonts w:ascii="Times New Roman" w:eastAsia="Times New Roman" w:hAnsi="Times New Roman" w:cs="Times New Roman"/>
          <w:sz w:val="24"/>
          <w:szCs w:val="24"/>
        </w:rPr>
        <w:t>Siglo</w:t>
      </w:r>
      <w:proofErr w:type="spellEnd"/>
      <w:r w:rsidRPr="002451B6">
        <w:rPr>
          <w:rFonts w:ascii="Times New Roman" w:eastAsia="Times New Roman" w:hAnsi="Times New Roman" w:cs="Times New Roman"/>
          <w:sz w:val="24"/>
          <w:szCs w:val="24"/>
        </w:rPr>
        <w:t xml:space="preserve"> XXI Editores. </w:t>
      </w:r>
    </w:p>
    <w:p w14:paraId="144BBAED"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LACAPRA, Dominick. “Trauma, </w:t>
      </w:r>
      <w:proofErr w:type="spellStart"/>
      <w:r w:rsidRPr="002451B6">
        <w:rPr>
          <w:rFonts w:ascii="Times New Roman" w:eastAsia="Times New Roman" w:hAnsi="Times New Roman" w:cs="Times New Roman"/>
          <w:sz w:val="24"/>
          <w:szCs w:val="24"/>
        </w:rPr>
        <w:t>Absence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Loss</w:t>
      </w:r>
      <w:proofErr w:type="spellEnd"/>
      <w:r w:rsidRPr="002451B6">
        <w:rPr>
          <w:rFonts w:ascii="Times New Roman" w:eastAsia="Times New Roman" w:hAnsi="Times New Roman" w:cs="Times New Roman"/>
          <w:sz w:val="24"/>
          <w:szCs w:val="24"/>
        </w:rPr>
        <w:t xml:space="preserve">”. IN: </w:t>
      </w:r>
      <w:proofErr w:type="spellStart"/>
      <w:r w:rsidRPr="002451B6">
        <w:rPr>
          <w:rFonts w:ascii="Times New Roman" w:eastAsia="Times New Roman" w:hAnsi="Times New Roman" w:cs="Times New Roman"/>
          <w:i/>
          <w:iCs/>
          <w:sz w:val="24"/>
          <w:szCs w:val="24"/>
        </w:rPr>
        <w:t>Critical</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Inquiry</w:t>
      </w:r>
      <w:proofErr w:type="spellEnd"/>
      <w:r w:rsidRPr="002451B6">
        <w:rPr>
          <w:rFonts w:ascii="Times New Roman" w:eastAsia="Times New Roman" w:hAnsi="Times New Roman" w:cs="Times New Roman"/>
          <w:sz w:val="24"/>
          <w:szCs w:val="24"/>
        </w:rPr>
        <w:t xml:space="preserve">, vol.25, n.4, The </w:t>
      </w:r>
      <w:proofErr w:type="spellStart"/>
      <w:r w:rsidRPr="002451B6">
        <w:rPr>
          <w:rFonts w:ascii="Times New Roman" w:eastAsia="Times New Roman" w:hAnsi="Times New Roman" w:cs="Times New Roman"/>
          <w:sz w:val="24"/>
          <w:szCs w:val="24"/>
        </w:rPr>
        <w:t>University</w:t>
      </w:r>
      <w:proofErr w:type="spellEnd"/>
      <w:r w:rsidRPr="002451B6">
        <w:rPr>
          <w:rFonts w:ascii="Times New Roman" w:eastAsia="Times New Roman" w:hAnsi="Times New Roman" w:cs="Times New Roman"/>
          <w:sz w:val="24"/>
          <w:szCs w:val="24"/>
        </w:rPr>
        <w:t xml:space="preserve"> of Chicago Press. 1999. p.697 - 698.</w:t>
      </w:r>
    </w:p>
    <w:p w14:paraId="384EDCD5"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MARTINS, F. P. </w:t>
      </w:r>
      <w:r w:rsidRPr="002451B6">
        <w:rPr>
          <w:rFonts w:ascii="Times New Roman" w:eastAsia="Times New Roman" w:hAnsi="Times New Roman" w:cs="Times New Roman"/>
          <w:i/>
          <w:iCs/>
          <w:sz w:val="24"/>
          <w:szCs w:val="24"/>
        </w:rPr>
        <w:t xml:space="preserve">Entre silêncios e performances: </w:t>
      </w:r>
      <w:r w:rsidRPr="002451B6">
        <w:rPr>
          <w:rFonts w:ascii="Times New Roman" w:eastAsia="Times New Roman" w:hAnsi="Times New Roman" w:cs="Times New Roman"/>
          <w:sz w:val="24"/>
          <w:szCs w:val="24"/>
        </w:rPr>
        <w:t>as experiências femininas na Justiça Militar (1965-1979). 2024. Dissertação (Mestrado em História Social da Cultura) – Pontifícia Universidade Católica do Rio de Janeiro, Rio de Janeiro, 2024.</w:t>
      </w:r>
    </w:p>
    <w:p w14:paraId="447A9CD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PADRÓS, E. S. “Repressão e violência: segurança nacional e terror de Estado nas ditaduras latino-americanas”. </w:t>
      </w:r>
      <w:r w:rsidRPr="002451B6">
        <w:rPr>
          <w:rFonts w:ascii="Times New Roman" w:eastAsia="Times New Roman" w:hAnsi="Times New Roman" w:cs="Times New Roman"/>
          <w:i/>
          <w:iCs/>
          <w:sz w:val="24"/>
          <w:szCs w:val="24"/>
        </w:rPr>
        <w:t>In</w:t>
      </w:r>
      <w:r w:rsidRPr="002451B6">
        <w:rPr>
          <w:rFonts w:ascii="Times New Roman" w:eastAsia="Times New Roman" w:hAnsi="Times New Roman" w:cs="Times New Roman"/>
          <w:sz w:val="24"/>
          <w:szCs w:val="24"/>
        </w:rPr>
        <w:t xml:space="preserve">: FICO, C., FERREIRA, M. de M., ARAUJO, M. P. e QUADRAT, S. </w:t>
      </w:r>
      <w:proofErr w:type="gramStart"/>
      <w:r w:rsidRPr="002451B6">
        <w:rPr>
          <w:rFonts w:ascii="Times New Roman" w:eastAsia="Times New Roman" w:hAnsi="Times New Roman" w:cs="Times New Roman"/>
          <w:sz w:val="24"/>
          <w:szCs w:val="24"/>
        </w:rPr>
        <w:t>V.(</w:t>
      </w:r>
      <w:proofErr w:type="spellStart"/>
      <w:proofErr w:type="gramEnd"/>
      <w:r w:rsidRPr="002451B6">
        <w:rPr>
          <w:rFonts w:ascii="Times New Roman" w:eastAsia="Times New Roman" w:hAnsi="Times New Roman" w:cs="Times New Roman"/>
          <w:sz w:val="24"/>
          <w:szCs w:val="24"/>
        </w:rPr>
        <w:t>Orgs</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Ditadura e Democracia na América latina.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Balanço Histórico e Perspectivas. Rio de Janeiro: Editora FGV, 2008.</w:t>
      </w:r>
    </w:p>
    <w:p w14:paraId="2EDFA632"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PEDRETTI, L. </w:t>
      </w:r>
      <w:r w:rsidRPr="002451B6">
        <w:rPr>
          <w:rFonts w:ascii="Times New Roman" w:eastAsia="Times New Roman" w:hAnsi="Times New Roman" w:cs="Times New Roman"/>
          <w:i/>
          <w:iCs/>
          <w:sz w:val="24"/>
          <w:szCs w:val="24"/>
        </w:rPr>
        <w:t>Dançando na mira da ditadura: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bailes soul e violência contra a população negra nos anos 1970. São Paulo: Arquivo Nacional, 2022.</w:t>
      </w:r>
    </w:p>
    <w:p w14:paraId="54F78795"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QUINALHA, R. H. </w:t>
      </w:r>
      <w:r w:rsidRPr="002451B6">
        <w:rPr>
          <w:rFonts w:ascii="Times New Roman" w:eastAsia="Times New Roman" w:hAnsi="Times New Roman" w:cs="Times New Roman"/>
          <w:i/>
          <w:iCs/>
          <w:sz w:val="24"/>
          <w:szCs w:val="24"/>
        </w:rPr>
        <w:t>Contra a moral e os bons costumes: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a política sexual da ditadura brasileira (1964-1988).</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2017. Tese (Doutorado em Relações Internacionais) - Instituto de Relações Internacionais, Universidade de São Paulo, São Paulo, 2017.</w:t>
      </w:r>
    </w:p>
    <w:p w14:paraId="37193A8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SELIGMANN-SILVA, M. Narrar o trauma: a questão dos testemunhos de catástrofes históricas. </w:t>
      </w:r>
      <w:r w:rsidRPr="002451B6">
        <w:rPr>
          <w:rFonts w:ascii="Times New Roman" w:eastAsia="Times New Roman" w:hAnsi="Times New Roman" w:cs="Times New Roman"/>
          <w:i/>
          <w:iCs/>
          <w:sz w:val="24"/>
          <w:szCs w:val="24"/>
        </w:rPr>
        <w:t>Psicologia Clínica.</w:t>
      </w:r>
      <w:r w:rsidRPr="002451B6">
        <w:rPr>
          <w:rFonts w:ascii="Times New Roman" w:eastAsia="Times New Roman" w:hAnsi="Times New Roman" w:cs="Times New Roman"/>
          <w:sz w:val="24"/>
          <w:szCs w:val="24"/>
        </w:rPr>
        <w:t xml:space="preserve"> v.20, n.1, p. 65-82, 2008. </w:t>
      </w:r>
    </w:p>
    <w:p w14:paraId="5DE7B10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SELIGMANN-SILVA, M. “O testemunho: entre a ficção e o “real””. In: SELIGMANN-SILVA, M. (Org.) </w:t>
      </w:r>
      <w:r w:rsidRPr="002451B6">
        <w:rPr>
          <w:rFonts w:ascii="Times New Roman" w:eastAsia="Times New Roman" w:hAnsi="Times New Roman" w:cs="Times New Roman"/>
          <w:i/>
          <w:iCs/>
          <w:sz w:val="24"/>
          <w:szCs w:val="24"/>
        </w:rPr>
        <w:t>História, memória, literatura: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o testemunho na Era das Catástrofes. Campinas, São Paulo: Editora Unicamp, 2003.</w:t>
      </w:r>
    </w:p>
    <w:p w14:paraId="1C800F4D"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VIEIRA, B. G. “Medula e Osso: Reflexões sobre experiência histórica dolorosa e conhecimento histórico ético-político”. Texto apresentado na mesa-redonda da </w:t>
      </w:r>
      <w:r w:rsidRPr="002451B6">
        <w:rPr>
          <w:rFonts w:ascii="Times New Roman" w:eastAsia="Times New Roman" w:hAnsi="Times New Roman" w:cs="Times New Roman"/>
          <w:i/>
          <w:iCs/>
          <w:sz w:val="24"/>
          <w:szCs w:val="24"/>
        </w:rPr>
        <w:t>XII Semana de História Política da UERJ/ IX Seminário Nacional de História: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Política, Cultura e Sociedade: Conflitos e Resistências: Entre Práticas, Expectativas e Rupturas. Rio de Janeiro. 2017. </w:t>
      </w:r>
    </w:p>
    <w:p w14:paraId="77D7ACB3" w14:textId="77777777" w:rsidR="00332C33" w:rsidRPr="002451B6" w:rsidRDefault="00332C33">
      <w:pPr>
        <w:spacing w:after="200" w:line="240" w:lineRule="auto"/>
        <w:ind w:right="23"/>
        <w:jc w:val="both"/>
        <w:rPr>
          <w:rFonts w:ascii="Times New Roman" w:eastAsia="Times New Roman" w:hAnsi="Times New Roman" w:cs="Times New Roman"/>
          <w:sz w:val="24"/>
          <w:szCs w:val="24"/>
        </w:rPr>
      </w:pPr>
    </w:p>
    <w:p w14:paraId="280943EB" w14:textId="77777777" w:rsidR="00332C33" w:rsidRPr="002451B6" w:rsidRDefault="00000000">
      <w:pPr>
        <w:spacing w:line="360" w:lineRule="auto"/>
        <w:ind w:right="23"/>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Fontes:</w:t>
      </w:r>
    </w:p>
    <w:p w14:paraId="067F4FA3"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BRASIL. Presidência da República, Subchefia para Assuntos Jurídicos, </w:t>
      </w:r>
      <w:r w:rsidRPr="002451B6">
        <w:rPr>
          <w:rFonts w:ascii="Times New Roman" w:eastAsia="Times New Roman" w:hAnsi="Times New Roman" w:cs="Times New Roman"/>
          <w:i/>
          <w:iCs/>
          <w:sz w:val="24"/>
          <w:szCs w:val="24"/>
        </w:rPr>
        <w:t>Lei 12.528 de 18 de novembro de 2011. Cria a Comissão Nacional da Verdade no âmbito da Casa Civil da Presidência da República.</w:t>
      </w:r>
      <w:r w:rsidRPr="002451B6">
        <w:rPr>
          <w:rFonts w:ascii="Times New Roman" w:eastAsia="Times New Roman" w:hAnsi="Times New Roman" w:cs="Times New Roman"/>
          <w:sz w:val="24"/>
          <w:szCs w:val="24"/>
        </w:rPr>
        <w:t xml:space="preserve"> Disponível em: &lt; https://www.planalto.gov.br/ccivil_03/_ato2011-2014/2011/lei/l12528.htm&gt; Acesso em: 15 fev. 2024.</w:t>
      </w:r>
    </w:p>
    <w:p w14:paraId="5D1EDBB5"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BRASIL. COMISSÃO NACIONAL DA VERDADE. </w:t>
      </w:r>
      <w:r w:rsidRPr="002451B6">
        <w:rPr>
          <w:rFonts w:ascii="Times New Roman" w:eastAsia="Times New Roman" w:hAnsi="Times New Roman" w:cs="Times New Roman"/>
          <w:i/>
          <w:iCs/>
          <w:sz w:val="24"/>
          <w:szCs w:val="24"/>
        </w:rPr>
        <w:t>Relatório/ Comissão Nacional da Verdade. Volume I.</w:t>
      </w:r>
      <w:r w:rsidRPr="002451B6">
        <w:rPr>
          <w:rFonts w:ascii="Times New Roman" w:eastAsia="Times New Roman" w:hAnsi="Times New Roman" w:cs="Times New Roman"/>
          <w:sz w:val="24"/>
          <w:szCs w:val="24"/>
        </w:rPr>
        <w:t xml:space="preserve"> Brasília: CNV, 2014.</w:t>
      </w:r>
    </w:p>
    <w:p w14:paraId="03DF9124"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LEITE, R. de S. C. </w:t>
      </w:r>
      <w:r w:rsidRPr="002451B6">
        <w:rPr>
          <w:rFonts w:ascii="Times New Roman" w:eastAsia="Times New Roman" w:hAnsi="Times New Roman" w:cs="Times New Roman"/>
          <w:i/>
          <w:iCs/>
          <w:sz w:val="24"/>
          <w:szCs w:val="24"/>
        </w:rPr>
        <w:t xml:space="preserve">Depoimento concedido à Comissão Nacional da Verdade. </w:t>
      </w:r>
      <w:r w:rsidRPr="002451B6">
        <w:rPr>
          <w:rFonts w:ascii="Times New Roman" w:eastAsia="Times New Roman" w:hAnsi="Times New Roman" w:cs="Times New Roman"/>
          <w:sz w:val="24"/>
          <w:szCs w:val="24"/>
        </w:rPr>
        <w:t>04 de junho de 2014. São Paulo.</w:t>
      </w:r>
    </w:p>
    <w:p w14:paraId="32CFB226" w14:textId="77777777" w:rsidR="00332C33" w:rsidRPr="002451B6" w:rsidRDefault="00000000">
      <w:pPr>
        <w:spacing w:after="200" w:line="240" w:lineRule="auto"/>
        <w:ind w:right="23"/>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COMISSÃO NACIONAL DA VERDADE. </w:t>
      </w:r>
      <w:r w:rsidRPr="002451B6">
        <w:rPr>
          <w:rFonts w:ascii="Times New Roman" w:eastAsia="Times New Roman" w:hAnsi="Times New Roman" w:cs="Times New Roman"/>
          <w:i/>
          <w:iCs/>
          <w:sz w:val="24"/>
          <w:szCs w:val="24"/>
        </w:rPr>
        <w:t xml:space="preserve">Portal da Comissão Nacional da Verdade. </w:t>
      </w:r>
      <w:r w:rsidRPr="002451B6">
        <w:rPr>
          <w:rFonts w:ascii="Times New Roman" w:eastAsia="Times New Roman" w:hAnsi="Times New Roman" w:cs="Times New Roman"/>
          <w:sz w:val="24"/>
          <w:szCs w:val="24"/>
        </w:rPr>
        <w:t>Disponível em: https://cnv.memoriasreveladas.gov.br/index.php. Acesso em: 14 jan. 2025.</w:t>
      </w:r>
    </w:p>
    <w:p w14:paraId="64F22BC0" w14:textId="77777777" w:rsidR="00332C33" w:rsidRPr="002451B6" w:rsidRDefault="00000000">
      <w:pPr>
        <w:spacing w:after="200" w:line="240" w:lineRule="auto"/>
        <w:ind w:right="23"/>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 xml:space="preserve">GOVERNO DO ESTADO DE SÃO PAULO. </w:t>
      </w:r>
      <w:r w:rsidRPr="002451B6">
        <w:rPr>
          <w:rFonts w:ascii="Times New Roman" w:eastAsia="Times New Roman" w:hAnsi="Times New Roman" w:cs="Times New Roman"/>
          <w:i/>
          <w:iCs/>
          <w:sz w:val="24"/>
          <w:szCs w:val="24"/>
        </w:rPr>
        <w:t>Site do Memorial da Resistência.</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Disponível em: https://memorialdaresistenciasp.org.br/. Acesso em: 03 de mar.  2026. </w:t>
      </w:r>
    </w:p>
    <w:p w14:paraId="39855DAF"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4C67E2DB"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4876D50F"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11D870B3"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37684B1C"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371640F9"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6BC75517"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03DEFF37" w14:textId="77777777" w:rsidR="00332C33" w:rsidRPr="002451B6" w:rsidRDefault="00332C33" w:rsidP="00CA56E3">
      <w:pPr>
        <w:widowControl w:val="0"/>
        <w:spacing w:before="67" w:after="200" w:line="240" w:lineRule="auto"/>
        <w:ind w:right="135"/>
        <w:jc w:val="both"/>
        <w:rPr>
          <w:rFonts w:ascii="Times New Roman" w:eastAsia="Times New Roman" w:hAnsi="Times New Roman" w:cs="Times New Roman"/>
          <w:b/>
          <w:bCs/>
          <w:sz w:val="24"/>
          <w:szCs w:val="24"/>
        </w:rPr>
      </w:pPr>
    </w:p>
    <w:p w14:paraId="15664B45" w14:textId="77777777" w:rsidR="00CA56E3" w:rsidRPr="002451B6" w:rsidRDefault="00CA56E3" w:rsidP="00CA56E3">
      <w:pPr>
        <w:widowControl w:val="0"/>
        <w:spacing w:before="67" w:after="200" w:line="240" w:lineRule="auto"/>
        <w:ind w:right="135"/>
        <w:jc w:val="both"/>
        <w:rPr>
          <w:rFonts w:ascii="Times New Roman" w:eastAsia="Times New Roman" w:hAnsi="Times New Roman" w:cs="Times New Roman"/>
          <w:b/>
          <w:bCs/>
          <w:sz w:val="24"/>
          <w:szCs w:val="24"/>
        </w:rPr>
      </w:pPr>
    </w:p>
    <w:p w14:paraId="1CF1870C"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78D69552"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5B2B734F"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2CF375BE" w14:textId="77777777" w:rsidR="00332C33" w:rsidRPr="002451B6" w:rsidRDefault="00332C33">
      <w:pPr>
        <w:widowControl w:val="0"/>
        <w:spacing w:before="67" w:after="200" w:line="240" w:lineRule="auto"/>
        <w:ind w:left="140" w:right="135"/>
        <w:jc w:val="both"/>
        <w:rPr>
          <w:rFonts w:ascii="Times New Roman" w:eastAsia="Times New Roman" w:hAnsi="Times New Roman" w:cs="Times New Roman"/>
          <w:b/>
          <w:bCs/>
          <w:sz w:val="24"/>
          <w:szCs w:val="24"/>
        </w:rPr>
      </w:pPr>
    </w:p>
    <w:p w14:paraId="12F8BDE9"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6B9A5CD9"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0AFEB4A6" w14:textId="77777777" w:rsidR="00332C33" w:rsidRPr="002451B6" w:rsidRDefault="00332C33" w:rsidP="00CA56E3">
      <w:pPr>
        <w:widowControl w:val="0"/>
        <w:spacing w:before="67" w:line="360" w:lineRule="auto"/>
        <w:ind w:right="135"/>
        <w:rPr>
          <w:rFonts w:ascii="Times New Roman" w:eastAsia="Times New Roman" w:hAnsi="Times New Roman" w:cs="Times New Roman"/>
          <w:b/>
          <w:bCs/>
          <w:sz w:val="24"/>
          <w:szCs w:val="24"/>
        </w:rPr>
      </w:pPr>
    </w:p>
    <w:p w14:paraId="6864EE6A"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031B357F"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45E00C92" w14:textId="77777777" w:rsidR="00332C33" w:rsidRPr="002451B6" w:rsidRDefault="00332C33">
      <w:pPr>
        <w:widowControl w:val="0"/>
        <w:spacing w:before="67" w:line="360" w:lineRule="auto"/>
        <w:ind w:left="140" w:right="135"/>
        <w:jc w:val="center"/>
        <w:rPr>
          <w:rFonts w:ascii="Times New Roman" w:eastAsia="Times New Roman" w:hAnsi="Times New Roman" w:cs="Times New Roman"/>
          <w:b/>
          <w:bCs/>
          <w:sz w:val="24"/>
          <w:szCs w:val="24"/>
        </w:rPr>
      </w:pPr>
    </w:p>
    <w:p w14:paraId="52DD6322" w14:textId="77777777" w:rsidR="00CA0F9D" w:rsidRDefault="00CA0F9D">
      <w:pPr>
        <w:widowControl w:val="0"/>
        <w:spacing w:before="67" w:line="360" w:lineRule="auto"/>
        <w:ind w:right="135"/>
        <w:jc w:val="center"/>
        <w:rPr>
          <w:rFonts w:ascii="Times New Roman" w:eastAsia="Times New Roman" w:hAnsi="Times New Roman" w:cs="Times New Roman"/>
          <w:b/>
          <w:bCs/>
          <w:sz w:val="24"/>
          <w:szCs w:val="24"/>
        </w:rPr>
      </w:pPr>
    </w:p>
    <w:p w14:paraId="7C518D3C" w14:textId="77777777" w:rsidR="00CA0F9D" w:rsidRDefault="00CA0F9D">
      <w:pPr>
        <w:widowControl w:val="0"/>
        <w:spacing w:before="67" w:line="360" w:lineRule="auto"/>
        <w:ind w:right="135"/>
        <w:jc w:val="center"/>
        <w:rPr>
          <w:rFonts w:ascii="Times New Roman" w:eastAsia="Times New Roman" w:hAnsi="Times New Roman" w:cs="Times New Roman"/>
          <w:b/>
          <w:bCs/>
          <w:sz w:val="24"/>
          <w:szCs w:val="24"/>
        </w:rPr>
      </w:pPr>
    </w:p>
    <w:p w14:paraId="364F95D2" w14:textId="77777777" w:rsidR="00CA0F9D" w:rsidRDefault="00CA0F9D">
      <w:pPr>
        <w:widowControl w:val="0"/>
        <w:spacing w:before="67" w:line="360" w:lineRule="auto"/>
        <w:ind w:right="135"/>
        <w:jc w:val="center"/>
        <w:rPr>
          <w:rFonts w:ascii="Times New Roman" w:eastAsia="Times New Roman" w:hAnsi="Times New Roman" w:cs="Times New Roman"/>
          <w:b/>
          <w:bCs/>
          <w:sz w:val="24"/>
          <w:szCs w:val="24"/>
        </w:rPr>
      </w:pPr>
    </w:p>
    <w:p w14:paraId="1B67D21B" w14:textId="77777777" w:rsidR="00CA0F9D" w:rsidRDefault="00CA0F9D">
      <w:pPr>
        <w:widowControl w:val="0"/>
        <w:spacing w:before="67" w:line="360" w:lineRule="auto"/>
        <w:ind w:right="135"/>
        <w:jc w:val="center"/>
        <w:rPr>
          <w:rFonts w:ascii="Times New Roman" w:eastAsia="Times New Roman" w:hAnsi="Times New Roman" w:cs="Times New Roman"/>
          <w:b/>
          <w:bCs/>
          <w:sz w:val="24"/>
          <w:szCs w:val="24"/>
        </w:rPr>
      </w:pPr>
    </w:p>
    <w:p w14:paraId="3F4F292A" w14:textId="26335C47" w:rsidR="00332C33" w:rsidRPr="002451B6" w:rsidRDefault="00000000">
      <w:pPr>
        <w:widowControl w:val="0"/>
        <w:spacing w:before="67" w:line="360" w:lineRule="auto"/>
        <w:ind w:right="135"/>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 xml:space="preserve">Violência, estigmatização e sexismo na invenção da “Bruxa da </w:t>
      </w:r>
      <w:proofErr w:type="spellStart"/>
      <w:r w:rsidRPr="002451B6">
        <w:rPr>
          <w:rFonts w:ascii="Times New Roman" w:eastAsia="Times New Roman" w:hAnsi="Times New Roman" w:cs="Times New Roman"/>
          <w:b/>
          <w:bCs/>
          <w:sz w:val="24"/>
          <w:szCs w:val="24"/>
        </w:rPr>
        <w:t>Sapolândia</w:t>
      </w:r>
      <w:proofErr w:type="spellEnd"/>
      <w:r w:rsidRPr="002451B6">
        <w:rPr>
          <w:rFonts w:ascii="Times New Roman" w:eastAsia="Times New Roman" w:hAnsi="Times New Roman" w:cs="Times New Roman"/>
          <w:b/>
          <w:bCs/>
          <w:sz w:val="24"/>
          <w:szCs w:val="24"/>
        </w:rPr>
        <w:t>”</w:t>
      </w:r>
    </w:p>
    <w:p w14:paraId="5AEAFEDB" w14:textId="77777777" w:rsidR="00332C33" w:rsidRPr="002451B6" w:rsidRDefault="00332C33">
      <w:pPr>
        <w:widowControl w:val="0"/>
        <w:spacing w:line="240" w:lineRule="auto"/>
        <w:ind w:left="104" w:right="141"/>
        <w:jc w:val="center"/>
        <w:rPr>
          <w:rFonts w:ascii="Times New Roman" w:eastAsia="Times New Roman" w:hAnsi="Times New Roman" w:cs="Times New Roman"/>
          <w:sz w:val="24"/>
          <w:szCs w:val="24"/>
        </w:rPr>
      </w:pPr>
    </w:p>
    <w:p w14:paraId="2738E3E8" w14:textId="77777777" w:rsidR="00332C33" w:rsidRPr="002451B6" w:rsidRDefault="00332C33">
      <w:pPr>
        <w:pStyle w:val="Ttulo1"/>
        <w:keepNext w:val="0"/>
        <w:keepLines w:val="0"/>
        <w:widowControl w:val="0"/>
        <w:numPr>
          <w:ilvl w:val="1"/>
          <w:numId w:val="1"/>
        </w:numPr>
        <w:tabs>
          <w:tab w:val="left" w:pos="601"/>
          <w:tab w:val="left" w:pos="2623"/>
          <w:tab w:val="left" w:pos="3890"/>
          <w:tab w:val="left" w:pos="4326"/>
          <w:tab w:val="left" w:pos="4777"/>
          <w:tab w:val="left" w:pos="6757"/>
          <w:tab w:val="left" w:pos="7396"/>
        </w:tabs>
        <w:spacing w:before="0" w:after="0" w:line="360" w:lineRule="auto"/>
        <w:ind w:right="140"/>
        <w:rPr>
          <w:rFonts w:ascii="Noto Sans Symbols" w:eastAsia="Noto Sans Symbols" w:hAnsi="Noto Sans Symbols" w:cs="Noto Sans Symbols"/>
          <w:b/>
          <w:bCs/>
          <w:sz w:val="24"/>
          <w:szCs w:val="24"/>
        </w:rPr>
      </w:pPr>
    </w:p>
    <w:p w14:paraId="4C8BF7AC" w14:textId="77777777" w:rsidR="00332C33" w:rsidRPr="002451B6" w:rsidRDefault="00000000">
      <w:pPr>
        <w:pStyle w:val="Ttulo1"/>
        <w:keepNext w:val="0"/>
        <w:keepLines w:val="0"/>
        <w:widowControl w:val="0"/>
        <w:numPr>
          <w:ilvl w:val="1"/>
          <w:numId w:val="1"/>
        </w:numPr>
        <w:tabs>
          <w:tab w:val="left" w:pos="601"/>
          <w:tab w:val="left" w:pos="2623"/>
          <w:tab w:val="left" w:pos="3890"/>
          <w:tab w:val="left" w:pos="4326"/>
          <w:tab w:val="left" w:pos="4777"/>
          <w:tab w:val="left" w:pos="6757"/>
          <w:tab w:val="left" w:pos="7396"/>
        </w:tabs>
        <w:spacing w:before="0" w:after="0" w:line="360" w:lineRule="auto"/>
        <w:ind w:right="140"/>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Introdução: bruxas e a construção do feminino subversivo</w:t>
      </w:r>
    </w:p>
    <w:p w14:paraId="50D3A402" w14:textId="77777777" w:rsidR="002237A1" w:rsidRPr="002451B6" w:rsidRDefault="002237A1" w:rsidP="002237A1"/>
    <w:p w14:paraId="30A96AC3" w14:textId="77777777" w:rsidR="00332C33" w:rsidRPr="002451B6" w:rsidRDefault="00000000">
      <w:pPr>
        <w:widowControl w:val="0"/>
        <w:spacing w:line="360" w:lineRule="auto"/>
        <w:ind w:left="140" w:right="131"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Celina Abagge e sua mãe, Beatriz Cordeiro Abagge, as </w:t>
      </w:r>
      <w:r w:rsidRPr="002451B6">
        <w:rPr>
          <w:rFonts w:ascii="Times New Roman" w:eastAsia="Times New Roman" w:hAnsi="Times New Roman" w:cs="Times New Roman"/>
          <w:i/>
          <w:iCs/>
          <w:sz w:val="24"/>
          <w:szCs w:val="24"/>
        </w:rPr>
        <w:t xml:space="preserve">Bruxas de Guaratuba </w:t>
      </w:r>
      <w:r w:rsidRPr="002451B6">
        <w:rPr>
          <w:rFonts w:ascii="Times New Roman" w:eastAsia="Times New Roman" w:hAnsi="Times New Roman" w:cs="Times New Roman"/>
          <w:sz w:val="24"/>
          <w:szCs w:val="24"/>
        </w:rPr>
        <w:t xml:space="preserve">(Paraná), em 1992; Fabiane Maria de Jesus, a </w:t>
      </w:r>
      <w:r w:rsidRPr="002451B6">
        <w:rPr>
          <w:rFonts w:ascii="Times New Roman" w:eastAsia="Times New Roman" w:hAnsi="Times New Roman" w:cs="Times New Roman"/>
          <w:i/>
          <w:iCs/>
          <w:sz w:val="24"/>
          <w:szCs w:val="24"/>
        </w:rPr>
        <w:t xml:space="preserve">Bruxa do Guarujá </w:t>
      </w:r>
      <w:r w:rsidRPr="002451B6">
        <w:rPr>
          <w:rFonts w:ascii="Times New Roman" w:eastAsia="Times New Roman" w:hAnsi="Times New Roman" w:cs="Times New Roman"/>
          <w:sz w:val="24"/>
          <w:szCs w:val="24"/>
        </w:rPr>
        <w:t xml:space="preserve">(Guarujá-SP), em 2014; Célia de Souza, a </w:t>
      </w:r>
      <w:r w:rsidRPr="002451B6">
        <w:rPr>
          <w:rFonts w:ascii="Times New Roman" w:eastAsia="Times New Roman" w:hAnsi="Times New Roman" w:cs="Times New Roman"/>
          <w:i/>
          <w:iCs/>
          <w:sz w:val="24"/>
          <w:szCs w:val="24"/>
        </w:rPr>
        <w:t xml:space="preserve">Bruxa da </w:t>
      </w:r>
      <w:proofErr w:type="spellStart"/>
      <w:r w:rsidRPr="002451B6">
        <w:rPr>
          <w:rFonts w:ascii="Times New Roman" w:eastAsia="Times New Roman" w:hAnsi="Times New Roman" w:cs="Times New Roman"/>
          <w:i/>
          <w:iCs/>
          <w:sz w:val="24"/>
          <w:szCs w:val="24"/>
        </w:rPr>
        <w:t>Sapolândia</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(Campo Grande - Mato Grosso, atual Mato Grosso do Sul), em 1969</w:t>
      </w:r>
      <w:r w:rsidRPr="002451B6">
        <w:rPr>
          <w:rFonts w:ascii="Times New Roman" w:eastAsia="Times New Roman" w:hAnsi="Times New Roman" w:cs="Times New Roman"/>
          <w:sz w:val="24"/>
          <w:szCs w:val="24"/>
          <w:vertAlign w:val="superscript"/>
        </w:rPr>
        <w:t>1</w:t>
      </w:r>
      <w:r w:rsidRPr="002451B6">
        <w:rPr>
          <w:rFonts w:ascii="Times New Roman" w:eastAsia="Times New Roman" w:hAnsi="Times New Roman" w:cs="Times New Roman"/>
          <w:sz w:val="24"/>
          <w:szCs w:val="24"/>
        </w:rPr>
        <w:t>. O que conecta essas datas, esses corpos e esses nomes na História recente do Brasil?</w:t>
      </w:r>
    </w:p>
    <w:p w14:paraId="6E71762E" w14:textId="77777777" w:rsidR="00332C33" w:rsidRPr="002451B6" w:rsidRDefault="00000000">
      <w:pPr>
        <w:widowControl w:val="0"/>
        <w:spacing w:line="360" w:lineRule="auto"/>
        <w:ind w:left="140" w:right="130"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resposta reside no horror de um arquétipo perene: o do feminino perigoso e subversivo, cujo poder não reside na liderança política, mas na agência espiritual e popular. Embora separadas por décadas e por contextos políticos distintos - Célia foi condenada no período da ditadura miliar, alvo de espetacularização midiática e ameaçada de linchamento; Fabiane, vítima da fúria linchadora da era digital; Celina e Beatriz foram torturadas pela polícia para confessarem um crime cuja culpa não foi comprovada, também se tornaram alvo de espetacularização midiática - todas foram marcadas com violência pelo mesmo estigma. Foram mulheres acusadas de crimes considerados abjetos, associados a rituais de feitiçaria, magia, saravá, curandeirismo e assassinato de crianças. Seus processos judiciais podem ter culminado em absolvições ou em provas cabais de inocência anos mais tarde, mas a condenação social jamais foi revogada. A alcunha de bruxa, imputada pela imprensa e pela opinião pública, sobreviveu à verdade dos fatos, transformando-as em símbolos de um Mal que a sociedade se sente legitimada a excluir, agredir e, no caso de Fabiane, aniquilar. A história de Célia de Souza, a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não é apenas o registro</w:t>
      </w:r>
    </w:p>
    <w:p w14:paraId="11CFBD86" w14:textId="77777777" w:rsidR="00332C33" w:rsidRPr="002451B6" w:rsidRDefault="00000000">
      <w:pPr>
        <w:widowControl w:val="0"/>
        <w:spacing w:before="204" w:line="240" w:lineRule="auto"/>
        <w:rPr>
          <w:rFonts w:ascii="Times New Roman" w:eastAsia="Times New Roman" w:hAnsi="Times New Roman" w:cs="Times New Roman"/>
          <w:sz w:val="20"/>
          <w:szCs w:val="20"/>
        </w:rPr>
      </w:pPr>
      <w:r w:rsidRPr="002451B6">
        <w:rPr>
          <w:noProof/>
        </w:rPr>
        <mc:AlternateContent>
          <mc:Choice Requires="wpg">
            <w:drawing>
              <wp:anchor distT="0" distB="0" distL="0" distR="0" simplePos="0" relativeHeight="251658240" behindDoc="0" locked="0" layoutInCell="1" hidden="0" allowOverlap="1" wp14:anchorId="777B5429" wp14:editId="5158ACB1">
                <wp:simplePos x="0" y="0"/>
                <wp:positionH relativeFrom="column">
                  <wp:posOffset>89534</wp:posOffset>
                </wp:positionH>
                <wp:positionV relativeFrom="paragraph">
                  <wp:posOffset>285115</wp:posOffset>
                </wp:positionV>
                <wp:extent cx="1830705" cy="12700"/>
                <wp:effectExtent l="0" t="0" r="0" b="0"/>
                <wp:wrapTopAndBottom distT="0" dist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7"/>
                        <a:srcRect/>
                        <a:stretch>
                          <a:fillRect/>
                        </a:stretch>
                      </pic:blipFill>
                      <pic:spPr>
                        <a:xfrm>
                          <a:off x="0" y="0"/>
                          <a:ext cx="1830705" cy="12700"/>
                        </a:xfrm>
                        <a:prstGeom prst="rect">
                          <a:avLst/>
                        </a:prstGeom>
                        <a:ln/>
                      </pic:spPr>
                    </pic:pic>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89534</wp:posOffset>
                </wp:positionH>
                <wp:positionV relativeFrom="paragraph">
                  <wp:posOffset>285115</wp:posOffset>
                </wp:positionV>
                <wp:extent cx="1830705" cy="12700"/>
                <wp:effectExtent b="0" l="0" r="0" t="0"/>
                <wp:wrapTopAndBottom distB="0" distT="0"/>
                <wp:docPr id="5" name="image7.png"/>
                <a:graphic>
                  <a:graphicData uri="http://schemas.openxmlformats.org/drawingml/2006/picture">
                    <pic:pic>
                      <pic:nvPicPr>
                        <pic:cNvPr id="0" name="image7.png"/>
                        <pic:cNvPicPr preferRelativeResize="0"/>
                      </pic:nvPicPr>
                      <pic:blipFill>
                        <a:blip r:embed="rId28"/>
                        <a:srcRect/>
                        <a:stretch>
                          <a:fillRect/>
                        </a:stretch>
                      </pic:blipFill>
                      <pic:spPr>
                        <a:xfrm>
                          <a:off x="0" y="0"/>
                          <a:ext cx="1830705" cy="12700"/>
                        </a:xfrm>
                        <a:prstGeom prst="rect"/>
                        <a:ln/>
                      </pic:spPr>
                    </pic:pic>
                  </a:graphicData>
                </a:graphic>
              </wp:anchor>
            </w:drawing>
          </mc:Fallback>
        </mc:AlternateContent>
      </w:r>
    </w:p>
    <w:p w14:paraId="69A66610" w14:textId="77777777" w:rsidR="00332C33" w:rsidRPr="002451B6" w:rsidRDefault="00000000">
      <w:pPr>
        <w:widowControl w:val="0"/>
        <w:tabs>
          <w:tab w:val="left" w:pos="462"/>
          <w:tab w:val="left" w:pos="937"/>
          <w:tab w:val="left" w:pos="1618"/>
          <w:tab w:val="left" w:pos="1754"/>
          <w:tab w:val="left" w:pos="2803"/>
          <w:tab w:val="left" w:pos="3225"/>
          <w:tab w:val="left" w:pos="3763"/>
          <w:tab w:val="left" w:pos="4751"/>
          <w:tab w:val="left" w:pos="5326"/>
          <w:tab w:val="left" w:pos="5542"/>
          <w:tab w:val="left" w:pos="5773"/>
          <w:tab w:val="left" w:pos="6027"/>
          <w:tab w:val="left" w:pos="6665"/>
          <w:tab w:val="left" w:pos="6717"/>
          <w:tab w:val="left" w:pos="7164"/>
          <w:tab w:val="left" w:pos="7284"/>
          <w:tab w:val="left" w:pos="8142"/>
          <w:tab w:val="left" w:pos="8560"/>
        </w:tabs>
        <w:spacing w:before="1" w:line="240" w:lineRule="auto"/>
        <w:ind w:left="140" w:right="133"/>
        <w:rPr>
          <w:rFonts w:ascii="Times New Roman" w:eastAsia="Times New Roman" w:hAnsi="Times New Roman" w:cs="Times New Roman"/>
          <w:sz w:val="20"/>
          <w:szCs w:val="20"/>
        </w:rPr>
        <w:sectPr w:rsidR="00332C33" w:rsidRPr="002451B6" w:rsidSect="004C4435">
          <w:headerReference w:type="default" r:id="rId29"/>
          <w:type w:val="continuous"/>
          <w:pgSz w:w="11909" w:h="16834"/>
          <w:pgMar w:top="1701" w:right="1134" w:bottom="1134" w:left="1701" w:header="720" w:footer="720" w:gutter="0"/>
          <w:pgNumType w:start="1"/>
          <w:cols w:space="720"/>
        </w:sectPr>
      </w:pPr>
      <w:r w:rsidRPr="002451B6">
        <w:rPr>
          <w:rFonts w:ascii="Times New Roman" w:eastAsia="Times New Roman" w:hAnsi="Times New Roman" w:cs="Times New Roman"/>
          <w:sz w:val="20"/>
          <w:szCs w:val="20"/>
          <w:vertAlign w:val="superscript"/>
        </w:rPr>
        <w:t>1</w:t>
      </w:r>
      <w:r w:rsidRPr="002451B6">
        <w:rPr>
          <w:rFonts w:ascii="Times New Roman" w:eastAsia="Times New Roman" w:hAnsi="Times New Roman" w:cs="Times New Roman"/>
          <w:sz w:val="20"/>
          <w:szCs w:val="20"/>
        </w:rPr>
        <w:t xml:space="preserve"> Os casos envolvendo as três mulheres podem ser lidos em matérias, como: </w:t>
      </w:r>
      <w:hyperlink r:id="rId30">
        <w:r w:rsidR="00332C33" w:rsidRPr="002451B6">
          <w:rPr>
            <w:rFonts w:ascii="Times New Roman" w:eastAsia="Times New Roman" w:hAnsi="Times New Roman" w:cs="Times New Roman"/>
            <w:sz w:val="20"/>
            <w:szCs w:val="20"/>
            <w:u w:val="single"/>
          </w:rPr>
          <w:t>https://www.campograndenews.com.br/cidades/capital/bruxa-da-sapolandia-e-o-misterio-que-</w:t>
        </w:r>
      </w:hyperlink>
      <w:r w:rsidRPr="002451B6">
        <w:rPr>
          <w:rFonts w:ascii="Times New Roman" w:eastAsia="Times New Roman" w:hAnsi="Times New Roman" w:cs="Times New Roman"/>
          <w:sz w:val="20"/>
          <w:szCs w:val="20"/>
        </w:rPr>
        <w:t xml:space="preserve"> </w:t>
      </w:r>
      <w:hyperlink r:id="rId31">
        <w:r w:rsidR="00332C33" w:rsidRPr="002451B6">
          <w:rPr>
            <w:rFonts w:ascii="Times New Roman" w:eastAsia="Times New Roman" w:hAnsi="Times New Roman" w:cs="Times New Roman"/>
            <w:sz w:val="20"/>
            <w:szCs w:val="20"/>
            <w:u w:val="single"/>
          </w:rPr>
          <w:t>movimentou-campo-grande-em-1969</w:t>
        </w:r>
      </w:hyperlink>
      <w:r w:rsidRPr="002451B6">
        <w:rPr>
          <w:rFonts w:ascii="Times New Roman" w:eastAsia="Times New Roman" w:hAnsi="Times New Roman" w:cs="Times New Roman"/>
          <w:sz w:val="20"/>
          <w:szCs w:val="20"/>
        </w:rPr>
        <w:t xml:space="preserve"> (o caso da Bruxa da </w:t>
      </w:r>
      <w:proofErr w:type="spellStart"/>
      <w:r w:rsidRPr="002451B6">
        <w:rPr>
          <w:rFonts w:ascii="Times New Roman" w:eastAsia="Times New Roman" w:hAnsi="Times New Roman" w:cs="Times New Roman"/>
          <w:sz w:val="20"/>
          <w:szCs w:val="20"/>
        </w:rPr>
        <w:t>Sapolândia</w:t>
      </w:r>
      <w:proofErr w:type="spellEnd"/>
      <w:r w:rsidRPr="002451B6">
        <w:rPr>
          <w:rFonts w:ascii="Times New Roman" w:eastAsia="Times New Roman" w:hAnsi="Times New Roman" w:cs="Times New Roman"/>
          <w:sz w:val="20"/>
          <w:szCs w:val="20"/>
        </w:rPr>
        <w:t xml:space="preserve"> volta a ser revisitado pela mídia após a digitalização e arquivamento público de casos “históricos” do Tribunal de Justiça de Mato Grosso do Sul (TJMS));</w:t>
      </w:r>
      <w:r w:rsidRPr="002451B6">
        <w:rPr>
          <w:rFonts w:ascii="Times New Roman" w:eastAsia="Times New Roman" w:hAnsi="Times New Roman" w:cs="Times New Roman"/>
          <w:sz w:val="20"/>
          <w:szCs w:val="20"/>
        </w:rPr>
        <w:tab/>
      </w:r>
      <w:r w:rsidRPr="002451B6">
        <w:rPr>
          <w:rFonts w:ascii="Times New Roman" w:eastAsia="Times New Roman" w:hAnsi="Times New Roman" w:cs="Times New Roman"/>
          <w:sz w:val="20"/>
          <w:szCs w:val="20"/>
        </w:rPr>
        <w:tab/>
      </w:r>
      <w:r w:rsidRPr="002451B6">
        <w:rPr>
          <w:rFonts w:ascii="Times New Roman" w:eastAsia="Times New Roman" w:hAnsi="Times New Roman" w:cs="Times New Roman"/>
          <w:sz w:val="20"/>
          <w:szCs w:val="20"/>
        </w:rPr>
        <w:tab/>
      </w:r>
      <w:hyperlink r:id="rId32">
        <w:r w:rsidR="00332C33" w:rsidRPr="002451B6">
          <w:rPr>
            <w:rFonts w:ascii="Times New Roman" w:eastAsia="Times New Roman" w:hAnsi="Times New Roman" w:cs="Times New Roman"/>
            <w:sz w:val="20"/>
            <w:szCs w:val="20"/>
            <w:u w:val="single"/>
          </w:rPr>
          <w:t>https://entretenimento.uol.com.br/noticias/redacao/2019/04/21/podcast-sobre-menino-</w:t>
        </w:r>
      </w:hyperlink>
      <w:r w:rsidRPr="002451B6">
        <w:rPr>
          <w:rFonts w:ascii="Times New Roman" w:eastAsia="Times New Roman" w:hAnsi="Times New Roman" w:cs="Times New Roman"/>
          <w:sz w:val="20"/>
          <w:szCs w:val="20"/>
        </w:rPr>
        <w:t xml:space="preserve"> </w:t>
      </w:r>
      <w:hyperlink r:id="rId33">
        <w:r w:rsidR="00332C33" w:rsidRPr="002451B6">
          <w:rPr>
            <w:rFonts w:ascii="Times New Roman" w:eastAsia="Times New Roman" w:hAnsi="Times New Roman" w:cs="Times New Roman"/>
            <w:sz w:val="20"/>
            <w:szCs w:val="20"/>
            <w:u w:val="single"/>
          </w:rPr>
          <w:t>assassinado-no-pr-deve-atingir-1-milhao-de-downloads.htm</w:t>
        </w:r>
      </w:hyperlink>
      <w:r w:rsidRPr="002451B6">
        <w:rPr>
          <w:rFonts w:ascii="Times New Roman" w:eastAsia="Times New Roman" w:hAnsi="Times New Roman" w:cs="Times New Roman"/>
          <w:sz w:val="20"/>
          <w:szCs w:val="20"/>
        </w:rPr>
        <w:t xml:space="preserve"> (Bruxas de Guaratuba) e </w:t>
      </w:r>
      <w:hyperlink r:id="rId34">
        <w:r w:rsidR="00332C33" w:rsidRPr="002451B6">
          <w:rPr>
            <w:rFonts w:ascii="Times New Roman" w:eastAsia="Times New Roman" w:hAnsi="Times New Roman" w:cs="Times New Roman"/>
            <w:sz w:val="20"/>
            <w:szCs w:val="20"/>
            <w:u w:val="single"/>
          </w:rPr>
          <w:t>https://g1.globo.com/sp/santos-regiao/noticia/2014/05/mulher-espancada-apos-boatos-em-rede-social-</w:t>
        </w:r>
      </w:hyperlink>
      <w:r w:rsidRPr="002451B6">
        <w:rPr>
          <w:rFonts w:ascii="Times New Roman" w:eastAsia="Times New Roman" w:hAnsi="Times New Roman" w:cs="Times New Roman"/>
          <w:sz w:val="20"/>
          <w:szCs w:val="20"/>
        </w:rPr>
        <w:t xml:space="preserve"> </w:t>
      </w:r>
      <w:hyperlink r:id="rId35">
        <w:r w:rsidR="00332C33" w:rsidRPr="002451B6">
          <w:rPr>
            <w:rFonts w:ascii="Times New Roman" w:eastAsia="Times New Roman" w:hAnsi="Times New Roman" w:cs="Times New Roman"/>
            <w:sz w:val="20"/>
            <w:szCs w:val="20"/>
            <w:u w:val="single"/>
          </w:rPr>
          <w:t>morre-em-guaruja-sp.html</w:t>
        </w:r>
      </w:hyperlink>
      <w:r w:rsidRPr="002451B6">
        <w:rPr>
          <w:rFonts w:ascii="Times New Roman" w:eastAsia="Times New Roman" w:hAnsi="Times New Roman" w:cs="Times New Roman"/>
          <w:sz w:val="20"/>
          <w:szCs w:val="20"/>
        </w:rPr>
        <w:t xml:space="preserve"> (Bruxa do Guarujá). Acesso em: 15 dez. 2025. </w:t>
      </w:r>
    </w:p>
    <w:p w14:paraId="2FA67058" w14:textId="77777777" w:rsidR="00332C33" w:rsidRPr="002451B6" w:rsidRDefault="00000000">
      <w:pPr>
        <w:widowControl w:val="0"/>
        <w:spacing w:line="360" w:lineRule="auto"/>
        <w:ind w:right="134"/>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de um erro judiciário de 1969; é a raiz histórica e interseccional dessa cultura de violência que usa o terror da feitiçaria para justificar a eliminação de mulheres mestiças, pobres e donas de um saber </w:t>
      </w:r>
      <w:proofErr w:type="spellStart"/>
      <w:r w:rsidRPr="002451B6">
        <w:rPr>
          <w:rFonts w:ascii="Times New Roman" w:eastAsia="Times New Roman" w:hAnsi="Times New Roman" w:cs="Times New Roman"/>
          <w:sz w:val="24"/>
          <w:szCs w:val="24"/>
        </w:rPr>
        <w:t>não-ortodoxo</w:t>
      </w:r>
      <w:proofErr w:type="spellEnd"/>
      <w:r w:rsidRPr="002451B6">
        <w:rPr>
          <w:rFonts w:ascii="Times New Roman" w:eastAsia="Times New Roman" w:hAnsi="Times New Roman" w:cs="Times New Roman"/>
          <w:sz w:val="24"/>
          <w:szCs w:val="24"/>
        </w:rPr>
        <w:t>. Mesmo que, afinal de contas, essas práticas “mágicas” nunca tivessem sido comprovadas.</w:t>
      </w:r>
    </w:p>
    <w:p w14:paraId="1F30B577" w14:textId="77777777" w:rsidR="00332C33" w:rsidRPr="002451B6" w:rsidRDefault="00000000">
      <w:pPr>
        <w:widowControl w:val="0"/>
        <w:spacing w:line="360" w:lineRule="auto"/>
        <w:ind w:right="134"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pânico moral é uma força destrutiva de longa duração, uma teia histórica que usa o corpo feminino como seu principal palco de espetacularização. No Brasil, a persistência do arquétipo da "bruxa" e o uso da feitiçaria como justificativa para a violência e a desumanização ressoam com intensidade. No ano de 2014, o país testemunhou um evento que sintetizou a violência estrutural e o poder destrutivo da desinformação: o linchamento de Fabiane Maria de Jesus, no Guarujá (SP). Vítima de um boato viral nas redes sociais que a acusava de sequestrar crianças para rituais macabros, Fabiane foi sumariamente desumanizada e executada pela multidão. Esse evento de barbárie moderna ecoa a histeria coletiva que marcou o Caso Evandro, em Guaratuba (PR), onde, a partir de 1992, o desaparecimento de um menino desencadeou uma caça às bruxas que transformou as mulheres Celina e Beatriz Abagge em cúmplices do diabo, reforçando a narrativa de que a criminalidade hedionda estava umbilicalmente ligada à transgressão feminina e a rituais de magia.</w:t>
      </w:r>
    </w:p>
    <w:p w14:paraId="2AAE5360" w14:textId="77777777" w:rsidR="00332C33" w:rsidRPr="002451B6" w:rsidRDefault="00000000">
      <w:pPr>
        <w:widowControl w:val="0"/>
        <w:spacing w:before="1" w:line="360" w:lineRule="auto"/>
        <w:ind w:left="140" w:right="131" w:firstLine="71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t xml:space="preserve">Tais eventos contemporâneos não são anomalias; são a reiteração violenta de um padrão histórico de repressão que utiliza um ou outro ou </w:t>
      </w:r>
      <w:proofErr w:type="gramStart"/>
      <w:r w:rsidRPr="002451B6">
        <w:rPr>
          <w:rFonts w:ascii="Times New Roman" w:eastAsia="Times New Roman" w:hAnsi="Times New Roman" w:cs="Times New Roman"/>
          <w:sz w:val="24"/>
          <w:szCs w:val="24"/>
        </w:rPr>
        <w:t>todos estigmas</w:t>
      </w:r>
      <w:proofErr w:type="gramEnd"/>
      <w:r w:rsidRPr="002451B6">
        <w:rPr>
          <w:rFonts w:ascii="Times New Roman" w:eastAsia="Times New Roman" w:hAnsi="Times New Roman" w:cs="Times New Roman"/>
          <w:sz w:val="24"/>
          <w:szCs w:val="24"/>
        </w:rPr>
        <w:t xml:space="preserve"> de gênero, raça, etnia, classe e religião para condenar sujeitos subalternos, principalmente mulheres. É nesse contexto de longa duração da violência simbólica e física que se insere o objeto central desta análise: o caso de Célia de Souza, a mulher marginalizada que, em 1969, na então Campo Grande (à época uma cidade do Mato Grosso), foi convertida no símbolo da </w:t>
      </w:r>
      <w:r w:rsidRPr="002451B6">
        <w:rPr>
          <w:rFonts w:ascii="Times New Roman" w:eastAsia="Times New Roman" w:hAnsi="Times New Roman" w:cs="Times New Roman"/>
          <w:i/>
          <w:iCs/>
          <w:sz w:val="24"/>
          <w:szCs w:val="24"/>
        </w:rPr>
        <w:t xml:space="preserve">Bruxa da </w:t>
      </w:r>
      <w:proofErr w:type="spellStart"/>
      <w:r w:rsidRPr="002451B6">
        <w:rPr>
          <w:rFonts w:ascii="Times New Roman" w:eastAsia="Times New Roman" w:hAnsi="Times New Roman" w:cs="Times New Roman"/>
          <w:i/>
          <w:iCs/>
          <w:sz w:val="24"/>
          <w:szCs w:val="24"/>
        </w:rPr>
        <w:t>Sapolândia</w:t>
      </w:r>
      <w:proofErr w:type="spellEnd"/>
      <w:r w:rsidRPr="002451B6">
        <w:rPr>
          <w:rFonts w:ascii="Times New Roman" w:eastAsia="Times New Roman" w:hAnsi="Times New Roman" w:cs="Times New Roman"/>
          <w:i/>
          <w:iCs/>
          <w:sz w:val="24"/>
          <w:szCs w:val="24"/>
        </w:rPr>
        <w:t>.</w:t>
      </w:r>
    </w:p>
    <w:p w14:paraId="7CC145BD" w14:textId="77777777" w:rsidR="00332C33" w:rsidRPr="002451B6" w:rsidRDefault="00000000">
      <w:pPr>
        <w:widowControl w:val="0"/>
        <w:spacing w:before="2" w:line="360" w:lineRule="auto"/>
        <w:ind w:left="140" w:right="128"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caso começa em janeiro de 1969, em um contexto de intensa repressão política e moral no Brasil. Célia de Souza, mulher mestiça, pobre e com 41 anos, residia na periferia de Campo Grande (no bairro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xml:space="preserve">, daí o epíteto), onde vizinhos relatam que ela exercia um tipo de atividade espiritual que a comunidade local, frequentemente carente de acesso à saúde e à justiça formais, procurava. Célia era associada a práticas de </w:t>
      </w:r>
      <w:r w:rsidRPr="002451B6">
        <w:rPr>
          <w:rFonts w:ascii="Times New Roman" w:eastAsia="Times New Roman" w:hAnsi="Times New Roman" w:cs="Times New Roman"/>
          <w:i/>
          <w:iCs/>
          <w:sz w:val="24"/>
          <w:szCs w:val="24"/>
        </w:rPr>
        <w:t>saravá</w:t>
      </w:r>
      <w:r w:rsidRPr="002451B6">
        <w:rPr>
          <w:rFonts w:ascii="Times New Roman" w:eastAsia="Times New Roman" w:hAnsi="Times New Roman" w:cs="Times New Roman"/>
          <w:sz w:val="24"/>
          <w:szCs w:val="24"/>
        </w:rPr>
        <w:t>, termo que remete às religiões de matriz africana. Foi presa sob essa acusação, saravá é o termo que consta em seu inquérito policial</w:t>
      </w:r>
      <w:r w:rsidRPr="002451B6">
        <w:rPr>
          <w:rFonts w:ascii="Times New Roman" w:eastAsia="Times New Roman" w:hAnsi="Times New Roman" w:cs="Times New Roman"/>
          <w:sz w:val="24"/>
          <w:szCs w:val="24"/>
          <w:vertAlign w:val="superscript"/>
        </w:rPr>
        <w:t>2</w:t>
      </w:r>
      <w:r w:rsidRPr="002451B6">
        <w:rPr>
          <w:rFonts w:ascii="Times New Roman" w:eastAsia="Times New Roman" w:hAnsi="Times New Roman" w:cs="Times New Roman"/>
          <w:sz w:val="24"/>
          <w:szCs w:val="24"/>
        </w:rPr>
        <w:t>. O objetivo dos</w:t>
      </w:r>
    </w:p>
    <w:p w14:paraId="1D9D68E3" w14:textId="77777777" w:rsidR="00332C33" w:rsidRPr="002451B6" w:rsidRDefault="00332C33">
      <w:pPr>
        <w:widowControl w:val="0"/>
        <w:spacing w:line="240" w:lineRule="auto"/>
        <w:rPr>
          <w:rFonts w:ascii="Times New Roman" w:eastAsia="Times New Roman" w:hAnsi="Times New Roman" w:cs="Times New Roman"/>
          <w:sz w:val="20"/>
          <w:szCs w:val="20"/>
        </w:rPr>
      </w:pPr>
    </w:p>
    <w:p w14:paraId="3ACD7E71" w14:textId="77777777" w:rsidR="00332C33" w:rsidRPr="002451B6" w:rsidRDefault="00000000">
      <w:pPr>
        <w:widowControl w:val="0"/>
        <w:spacing w:before="112" w:line="240" w:lineRule="auto"/>
        <w:rPr>
          <w:rFonts w:ascii="Times New Roman" w:eastAsia="Times New Roman" w:hAnsi="Times New Roman" w:cs="Times New Roman"/>
          <w:sz w:val="20"/>
          <w:szCs w:val="20"/>
        </w:rPr>
      </w:pPr>
      <w:r w:rsidRPr="002451B6">
        <w:rPr>
          <w:noProof/>
        </w:rPr>
        <mc:AlternateContent>
          <mc:Choice Requires="wpg">
            <w:drawing>
              <wp:anchor distT="0" distB="0" distL="0" distR="0" simplePos="0" relativeHeight="251659264" behindDoc="0" locked="0" layoutInCell="1" hidden="0" allowOverlap="1" wp14:anchorId="51E5EF9F" wp14:editId="7D26811F">
                <wp:simplePos x="0" y="0"/>
                <wp:positionH relativeFrom="column">
                  <wp:posOffset>89534</wp:posOffset>
                </wp:positionH>
                <wp:positionV relativeFrom="paragraph">
                  <wp:posOffset>226060</wp:posOffset>
                </wp:positionV>
                <wp:extent cx="1830705" cy="12700"/>
                <wp:effectExtent l="0" t="0" r="0" b="0"/>
                <wp:wrapTopAndBottom distT="0" distB="0"/>
                <wp:docPr id="1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7"/>
                        <a:srcRect/>
                        <a:stretch>
                          <a:fillRect/>
                        </a:stretch>
                      </pic:blipFill>
                      <pic:spPr>
                        <a:xfrm>
                          <a:off x="0" y="0"/>
                          <a:ext cx="1830705" cy="12700"/>
                        </a:xfrm>
                        <a:prstGeom prst="rect">
                          <a:avLst/>
                        </a:prstGeom>
                        <a:ln/>
                      </pic:spPr>
                    </pic:pic>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89534</wp:posOffset>
                </wp:positionH>
                <wp:positionV relativeFrom="paragraph">
                  <wp:posOffset>226060</wp:posOffset>
                </wp:positionV>
                <wp:extent cx="1830705" cy="12700"/>
                <wp:effectExtent b="0" l="0" r="0" t="0"/>
                <wp:wrapTopAndBottom distB="0" distT="0"/>
                <wp:docPr id="11" name="image15.png"/>
                <a:graphic>
                  <a:graphicData uri="http://schemas.openxmlformats.org/drawingml/2006/picture">
                    <pic:pic>
                      <pic:nvPicPr>
                        <pic:cNvPr id="0" name="image15.png"/>
                        <pic:cNvPicPr preferRelativeResize="0"/>
                      </pic:nvPicPr>
                      <pic:blipFill>
                        <a:blip r:embed="rId28"/>
                        <a:srcRect/>
                        <a:stretch>
                          <a:fillRect/>
                        </a:stretch>
                      </pic:blipFill>
                      <pic:spPr>
                        <a:xfrm>
                          <a:off x="0" y="0"/>
                          <a:ext cx="1830705" cy="12700"/>
                        </a:xfrm>
                        <a:prstGeom prst="rect"/>
                        <a:ln/>
                      </pic:spPr>
                    </pic:pic>
                  </a:graphicData>
                </a:graphic>
              </wp:anchor>
            </w:drawing>
          </mc:Fallback>
        </mc:AlternateContent>
      </w:r>
    </w:p>
    <w:p w14:paraId="787894CE" w14:textId="77777777" w:rsidR="00332C33" w:rsidRPr="002451B6" w:rsidRDefault="00000000">
      <w:pPr>
        <w:widowControl w:val="0"/>
        <w:spacing w:before="101" w:line="240" w:lineRule="auto"/>
        <w:ind w:left="140" w:right="135"/>
        <w:rPr>
          <w:rFonts w:ascii="Times New Roman" w:eastAsia="Times New Roman" w:hAnsi="Times New Roman" w:cs="Times New Roman"/>
          <w:sz w:val="20"/>
          <w:szCs w:val="20"/>
        </w:rPr>
        <w:sectPr w:rsidR="00332C33" w:rsidRPr="002451B6" w:rsidSect="00C27DD5">
          <w:pgSz w:w="11909" w:h="16834"/>
          <w:pgMar w:top="1701" w:right="1134" w:bottom="1134" w:left="1701" w:header="0" w:footer="0" w:gutter="0"/>
          <w:cols w:space="720"/>
        </w:sectPr>
      </w:pPr>
      <w:r w:rsidRPr="002451B6">
        <w:rPr>
          <w:rFonts w:ascii="Times New Roman" w:eastAsia="Times New Roman" w:hAnsi="Times New Roman" w:cs="Times New Roman"/>
          <w:sz w:val="20"/>
          <w:szCs w:val="20"/>
          <w:vertAlign w:val="superscript"/>
        </w:rPr>
        <w:t>2</w:t>
      </w:r>
      <w:r w:rsidRPr="002451B6">
        <w:rPr>
          <w:rFonts w:ascii="Times New Roman" w:eastAsia="Times New Roman" w:hAnsi="Times New Roman" w:cs="Times New Roman"/>
          <w:sz w:val="20"/>
          <w:szCs w:val="20"/>
        </w:rPr>
        <w:t xml:space="preserve"> TRIBUNAL DE JUSTIÇA DE MATO GROSSO DO SUL. Processo criminal 22/69 – Caixa 222/01. Arquivo de Processos Históricos e Relevantes. Campo Grande: TJMS, 1969. Disponível em</w:t>
      </w:r>
    </w:p>
    <w:p w14:paraId="44F1A849" w14:textId="77777777" w:rsidR="00332C33" w:rsidRPr="002451B6" w:rsidRDefault="00000000">
      <w:pPr>
        <w:widowControl w:val="0"/>
        <w:spacing w:before="79" w:line="360" w:lineRule="auto"/>
        <w:ind w:left="102" w:right="136"/>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dispositivos da Justiça foi o de tentar enquadrá-la na acusação de curandeirismo (art. 284 do Código Penal) e por supostamente aterrorizar a vizinhança com seus feitiços e rituais. </w:t>
      </w:r>
    </w:p>
    <w:p w14:paraId="05D1BF55" w14:textId="77777777" w:rsidR="00332C33" w:rsidRPr="002451B6" w:rsidRDefault="00000000">
      <w:pPr>
        <w:widowControl w:val="0"/>
        <w:spacing w:line="360" w:lineRule="auto"/>
        <w:ind w:left="104" w:right="135"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que transformou Célia em um fenômeno de pânico moral foi a espetacularização midiática que se seguiu à sua prisão. O Jornal Diário da Serra</w:t>
      </w:r>
      <w:r w:rsidRPr="002451B6">
        <w:rPr>
          <w:rFonts w:ascii="Times New Roman" w:eastAsia="Times New Roman" w:hAnsi="Times New Roman" w:cs="Times New Roman"/>
          <w:sz w:val="24"/>
          <w:szCs w:val="24"/>
          <w:vertAlign w:val="superscript"/>
        </w:rPr>
        <w:t>3</w:t>
      </w:r>
      <w:r w:rsidRPr="002451B6">
        <w:rPr>
          <w:rFonts w:ascii="Times New Roman" w:eastAsia="Times New Roman" w:hAnsi="Times New Roman" w:cs="Times New Roman"/>
          <w:sz w:val="24"/>
          <w:szCs w:val="24"/>
        </w:rPr>
        <w:t xml:space="preserve"> à época dedicou manchetes e páginas à sua figura, detalhando com sensacionalismo seu local de moradia, seus utensílios religiosos e a ameaça de linchamento da comunidade, que se aglomerou na porta da delegacia na ocasião de sua prisão. A narrativa jornalística agiu como um verdadeiro tribunal da opinião pública, desumanizando-a e fixando sua imagem como uma figura macabra e assassina.</w:t>
      </w:r>
    </w:p>
    <w:p w14:paraId="5AA5C5F1" w14:textId="77777777" w:rsidR="00332C33" w:rsidRPr="002451B6" w:rsidRDefault="00000000">
      <w:pPr>
        <w:widowControl w:val="0"/>
        <w:spacing w:line="360" w:lineRule="auto"/>
        <w:ind w:left="140" w:right="134"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imprensa, especialmente a de apelo popular, cumpre um papel pedagógico conservador ao produzir o pânico moral. Ao detalhar o suposto horror das práticas de Célia de Souza, incluindo o local onde vivia, a divulgação de sua imagem, frequentemente vista como “assustadora” pelos vizinhos, e o uso do termo </w:t>
      </w:r>
      <w:r w:rsidRPr="002451B6">
        <w:rPr>
          <w:rFonts w:ascii="Times New Roman" w:eastAsia="Times New Roman" w:hAnsi="Times New Roman" w:cs="Times New Roman"/>
          <w:i/>
          <w:iCs/>
          <w:sz w:val="24"/>
          <w:szCs w:val="24"/>
        </w:rPr>
        <w:t>saravá,</w:t>
      </w:r>
      <w:r w:rsidRPr="002451B6">
        <w:rPr>
          <w:rFonts w:ascii="Times New Roman" w:eastAsia="Times New Roman" w:hAnsi="Times New Roman" w:cs="Times New Roman"/>
          <w:sz w:val="24"/>
          <w:szCs w:val="24"/>
        </w:rPr>
        <w:t xml:space="preserve"> o Jornal Diário da Serra “educava” seus leitores sobre o tipo de pessoa que deveria ser temida e qual punição era socialmente aceitável para o corpo que fugia à norma - em consonância com a culpabilização e estigmatização da mulher no processo-crime. A descrição minuciosa e sensacionalista de Célia não era apenas informativa; era uma performance retórica que despojava a mulher de sua complexidade humana, reduzindo-a a um mero vetor de ameaça, um monstro necessário para justificar a repressão institucional e a coesão social da maioria branca e de classe média daquele momento histórico. Esse mecanismo de despersonalização legitimava as políticas de exclusão e a perseguição seletiva (Batista, 2011, p. 78).</w:t>
      </w:r>
    </w:p>
    <w:p w14:paraId="24A792E2" w14:textId="77777777" w:rsidR="00332C33" w:rsidRPr="002451B6" w:rsidRDefault="00000000">
      <w:pPr>
        <w:widowControl w:val="0"/>
        <w:spacing w:before="2" w:line="360" w:lineRule="auto"/>
        <w:ind w:left="140" w:right="130"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prisão de Célia de Souza em 1969, conhecida como a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ilustra de forma categórica a tese de Vera Malaguti Batista (2011) sobre o medo como dispositivo de coerção policial e jurídica. Para a autora, o sistema penal atua como um agente produtor de ordem que seletivamente designa o corpo perigoso. No caso de Célia, essa seletividade foi acionada não apenas pela sua posição social vulnerável e possível prática do curandeirismo, mas pela própria construção de sua imagem junto à comunidade: os vizinhos, em seus relatos, expressam medo da figura “estranha”, validando a exclusão social. É fundamental sublinhar que nunca foi comprovado que Célia realizava os rituais que lhe eram imputados; as acusações se baseavam em medo e</w:t>
      </w:r>
    </w:p>
    <w:p w14:paraId="4BBAA3E5" w14:textId="77777777" w:rsidR="00332C33" w:rsidRPr="002451B6" w:rsidRDefault="00000000">
      <w:pPr>
        <w:widowControl w:val="0"/>
        <w:spacing w:before="66" w:line="240" w:lineRule="auto"/>
        <w:rPr>
          <w:rFonts w:ascii="Times New Roman" w:eastAsia="Times New Roman" w:hAnsi="Times New Roman" w:cs="Times New Roman"/>
          <w:sz w:val="20"/>
          <w:szCs w:val="20"/>
        </w:rPr>
      </w:pPr>
      <w:r w:rsidRPr="002451B6">
        <w:rPr>
          <w:noProof/>
        </w:rPr>
        <mc:AlternateContent>
          <mc:Choice Requires="wpg">
            <w:drawing>
              <wp:anchor distT="0" distB="0" distL="0" distR="0" simplePos="0" relativeHeight="251660288" behindDoc="0" locked="0" layoutInCell="1" hidden="0" allowOverlap="1" wp14:anchorId="493484B6" wp14:editId="7ED41D18">
                <wp:simplePos x="0" y="0"/>
                <wp:positionH relativeFrom="column">
                  <wp:posOffset>89534</wp:posOffset>
                </wp:positionH>
                <wp:positionV relativeFrom="paragraph">
                  <wp:posOffset>197485</wp:posOffset>
                </wp:positionV>
                <wp:extent cx="1830705" cy="12700"/>
                <wp:effectExtent l="0" t="0" r="0" b="0"/>
                <wp:wrapTopAndBottom distT="0" dist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7"/>
                        <a:srcRect/>
                        <a:stretch>
                          <a:fillRect/>
                        </a:stretch>
                      </pic:blipFill>
                      <pic:spPr>
                        <a:xfrm>
                          <a:off x="0" y="0"/>
                          <a:ext cx="1830705" cy="12700"/>
                        </a:xfrm>
                        <a:prstGeom prst="rect">
                          <a:avLst/>
                        </a:prstGeom>
                        <a:ln/>
                      </pic:spPr>
                    </pic:pic>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89534</wp:posOffset>
                </wp:positionH>
                <wp:positionV relativeFrom="paragraph">
                  <wp:posOffset>197485</wp:posOffset>
                </wp:positionV>
                <wp:extent cx="1830705" cy="12700"/>
                <wp:effectExtent b="0" l="0" r="0" t="0"/>
                <wp:wrapTopAndBottom distB="0" distT="0"/>
                <wp:docPr id="7" name="image10.png"/>
                <a:graphic>
                  <a:graphicData uri="http://schemas.openxmlformats.org/drawingml/2006/picture">
                    <pic:pic>
                      <pic:nvPicPr>
                        <pic:cNvPr id="0" name="image10.png"/>
                        <pic:cNvPicPr preferRelativeResize="0"/>
                      </pic:nvPicPr>
                      <pic:blipFill>
                        <a:blip r:embed="rId28"/>
                        <a:srcRect/>
                        <a:stretch>
                          <a:fillRect/>
                        </a:stretch>
                      </pic:blipFill>
                      <pic:spPr>
                        <a:xfrm>
                          <a:off x="0" y="0"/>
                          <a:ext cx="1830705" cy="12700"/>
                        </a:xfrm>
                        <a:prstGeom prst="rect"/>
                        <a:ln/>
                      </pic:spPr>
                    </pic:pic>
                  </a:graphicData>
                </a:graphic>
              </wp:anchor>
            </w:drawing>
          </mc:Fallback>
        </mc:AlternateContent>
      </w:r>
    </w:p>
    <w:p w14:paraId="522E6015" w14:textId="77777777" w:rsidR="00332C33" w:rsidRPr="002451B6" w:rsidRDefault="00332C33">
      <w:pPr>
        <w:widowControl w:val="0"/>
        <w:spacing w:before="102" w:line="240" w:lineRule="auto"/>
        <w:ind w:left="140" w:right="135"/>
        <w:rPr>
          <w:rFonts w:ascii="Times New Roman" w:eastAsia="Times New Roman" w:hAnsi="Times New Roman" w:cs="Times New Roman"/>
          <w:sz w:val="20"/>
          <w:szCs w:val="20"/>
        </w:rPr>
      </w:pPr>
      <w:hyperlink r:id="rId36">
        <w:r w:rsidRPr="002451B6">
          <w:rPr>
            <w:rFonts w:ascii="Times New Roman" w:eastAsia="Times New Roman" w:hAnsi="Times New Roman" w:cs="Times New Roman"/>
            <w:sz w:val="20"/>
            <w:szCs w:val="20"/>
            <w:u w:val="single"/>
          </w:rPr>
          <w:t>https://sti.tjms.jus.br/confluence/spaces/PH/pages/229638279/Processos+Hist%C3%B3ricos+e+Relevant</w:t>
        </w:r>
      </w:hyperlink>
      <w:r w:rsidRPr="002451B6">
        <w:rPr>
          <w:rFonts w:ascii="Times New Roman" w:eastAsia="Times New Roman" w:hAnsi="Times New Roman" w:cs="Times New Roman"/>
          <w:sz w:val="20"/>
          <w:szCs w:val="20"/>
        </w:rPr>
        <w:t xml:space="preserve"> </w:t>
      </w:r>
      <w:hyperlink r:id="rId37">
        <w:r w:rsidRPr="002451B6">
          <w:rPr>
            <w:rFonts w:ascii="Times New Roman" w:eastAsia="Times New Roman" w:hAnsi="Times New Roman" w:cs="Times New Roman"/>
            <w:sz w:val="20"/>
            <w:szCs w:val="20"/>
            <w:u w:val="single"/>
          </w:rPr>
          <w:t>es?preview=%2F229638279%2F234129578%2FBruxa+da+Sapol%C3%A2ndia.pdf</w:t>
        </w:r>
      </w:hyperlink>
    </w:p>
    <w:p w14:paraId="5828E1F0" w14:textId="4214A961" w:rsidR="00332C33" w:rsidRPr="002451B6" w:rsidRDefault="00000000">
      <w:pPr>
        <w:widowControl w:val="0"/>
        <w:spacing w:line="240" w:lineRule="auto"/>
        <w:ind w:left="1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Acesso em: </w:t>
      </w:r>
      <w:r w:rsidR="000A2F02" w:rsidRPr="002451B6">
        <w:rPr>
          <w:rFonts w:ascii="Times New Roman" w:eastAsia="Times New Roman" w:hAnsi="Times New Roman" w:cs="Times New Roman"/>
          <w:sz w:val="20"/>
          <w:szCs w:val="20"/>
        </w:rPr>
        <w:t xml:space="preserve"> 09 set. 2025. </w:t>
      </w:r>
    </w:p>
    <w:p w14:paraId="3370AC00" w14:textId="77777777" w:rsidR="00332C33" w:rsidRPr="002451B6" w:rsidRDefault="00000000">
      <w:pPr>
        <w:widowControl w:val="0"/>
        <w:spacing w:before="1" w:line="240" w:lineRule="auto"/>
        <w:ind w:left="140" w:right="135"/>
        <w:rPr>
          <w:rFonts w:ascii="Times New Roman" w:eastAsia="Times New Roman" w:hAnsi="Times New Roman" w:cs="Times New Roman"/>
          <w:sz w:val="20"/>
          <w:szCs w:val="20"/>
        </w:rPr>
        <w:sectPr w:rsidR="00332C33" w:rsidRPr="002451B6" w:rsidSect="00C27DD5">
          <w:pgSz w:w="11909" w:h="16834"/>
          <w:pgMar w:top="1701" w:right="1134" w:bottom="1134" w:left="1701" w:header="0" w:footer="0" w:gutter="0"/>
          <w:cols w:space="720"/>
        </w:sectPr>
      </w:pPr>
      <w:r w:rsidRPr="002451B6">
        <w:rPr>
          <w:rFonts w:ascii="Times New Roman" w:eastAsia="Times New Roman" w:hAnsi="Times New Roman" w:cs="Times New Roman"/>
          <w:sz w:val="20"/>
          <w:szCs w:val="20"/>
          <w:vertAlign w:val="superscript"/>
        </w:rPr>
        <w:t>3</w:t>
      </w:r>
      <w:r w:rsidRPr="002451B6">
        <w:rPr>
          <w:rFonts w:ascii="Times New Roman" w:eastAsia="Times New Roman" w:hAnsi="Times New Roman" w:cs="Times New Roman"/>
          <w:sz w:val="20"/>
          <w:szCs w:val="20"/>
        </w:rPr>
        <w:t xml:space="preserve"> JORNAL DIÁRIO DA SERRA. Matéria de 12/01/1969. Anexo no processo criminal 22/69 – Caixa 222/01.</w:t>
      </w:r>
    </w:p>
    <w:p w14:paraId="0483407D" w14:textId="77777777" w:rsidR="00332C33" w:rsidRPr="002451B6" w:rsidRDefault="00000000">
      <w:pPr>
        <w:widowControl w:val="0"/>
        <w:spacing w:before="79" w:line="360" w:lineRule="auto"/>
        <w:ind w:left="140" w:right="134"/>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em simples relatos dos vizinhos. A menção a um suposto poder de cura pela “água de flores”, registrada como depoimento da própria Célia no processo, levanta fortes suspeitas de coerção policial – um padrão repressivo comum, como evidenciado no caso das “Bruxas de Guaratuba”. Essa suspeita é reforçada pelo contexto da época: a justiça e a polícia, operando sob a Ditadura Civil-Militar, frequentemente utilizavam o Artigo 284 do Código Penal para reprimir e monitorar as religiões de matriz africana e suas práticas, consideradas uma ameaça à ordem moral e, por vezes, à segurança nacional (Bento, 2024). Desse modo, o aparato policial e o espetáculo midiático mobilizados funcionaram como estratégias de poder para autorizar o linchamento moral e a exclusão da mulher periférica, validando a violência institucional sob o manto da defesa da saúde pública (Batista, 2011).</w:t>
      </w:r>
    </w:p>
    <w:p w14:paraId="3A4DAFA3" w14:textId="77777777" w:rsidR="00332C33" w:rsidRPr="002451B6" w:rsidRDefault="00000000">
      <w:pPr>
        <w:widowControl w:val="0"/>
        <w:spacing w:before="3" w:line="360" w:lineRule="auto"/>
        <w:ind w:left="140" w:right="143"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caso de Célia de Souza não terminou em condenação penal, mas o estigma social permaneceu, apagando a mulher real em favor da lenda de uma “bruxa má”.</w:t>
      </w:r>
    </w:p>
    <w:p w14:paraId="5157CAD8" w14:textId="77777777" w:rsidR="00332C33" w:rsidRPr="002451B6" w:rsidRDefault="00332C33">
      <w:pPr>
        <w:widowControl w:val="0"/>
        <w:spacing w:before="3" w:line="360" w:lineRule="auto"/>
        <w:ind w:left="140" w:right="143" w:firstLine="710"/>
        <w:jc w:val="both"/>
        <w:rPr>
          <w:rFonts w:ascii="Times New Roman" w:eastAsia="Times New Roman" w:hAnsi="Times New Roman" w:cs="Times New Roman"/>
          <w:sz w:val="24"/>
          <w:szCs w:val="24"/>
        </w:rPr>
      </w:pPr>
    </w:p>
    <w:p w14:paraId="300D9703" w14:textId="77777777" w:rsidR="00332C33" w:rsidRPr="002451B6" w:rsidRDefault="00000000">
      <w:pPr>
        <w:pStyle w:val="Ttulo1"/>
        <w:keepNext w:val="0"/>
        <w:keepLines w:val="0"/>
        <w:widowControl w:val="0"/>
        <w:numPr>
          <w:ilvl w:val="1"/>
          <w:numId w:val="1"/>
        </w:numPr>
        <w:tabs>
          <w:tab w:val="left" w:pos="428"/>
        </w:tabs>
        <w:spacing w:before="0" w:after="0" w:line="240" w:lineRule="auto"/>
        <w:ind w:left="140" w:right="140"/>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A bruxa no espelho do medo: colonialidade, sexismo e a fabricação do perigo feminino na ditadura militar</w:t>
      </w:r>
    </w:p>
    <w:p w14:paraId="14672010" w14:textId="77777777" w:rsidR="00332C33" w:rsidRPr="002451B6" w:rsidRDefault="00332C33">
      <w:pPr>
        <w:widowControl w:val="0"/>
        <w:spacing w:before="6" w:line="240" w:lineRule="auto"/>
        <w:rPr>
          <w:rFonts w:ascii="Times New Roman" w:eastAsia="Times New Roman" w:hAnsi="Times New Roman" w:cs="Times New Roman"/>
          <w:b/>
          <w:bCs/>
          <w:sz w:val="24"/>
          <w:szCs w:val="24"/>
        </w:rPr>
      </w:pPr>
    </w:p>
    <w:p w14:paraId="5345D4B6" w14:textId="77777777" w:rsidR="00332C33" w:rsidRPr="002451B6" w:rsidRDefault="00000000">
      <w:pPr>
        <w:widowControl w:val="0"/>
        <w:spacing w:line="360" w:lineRule="auto"/>
        <w:ind w:left="140" w:right="13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irrupção do caso de Célia de Souza exige a compreensão da dinâmica do medo como fator de coerção e ordenamento social. O Brasil, mergulhado no endurecimento do regime militar pós-AI-5, vivenciava um período de profunda incerteza política e moral, um terreno fértil para a reatualização de antigos arquétipos de terror. Delumeau (1989) argumenta que o medo não é uma emoção meramente individual, mas uma matriz cultural que serve a funções sociais claras, nomeadamente a coesão social através da busca por um bode expiatório.</w:t>
      </w:r>
    </w:p>
    <w:p w14:paraId="38FE2E39" w14:textId="77777777" w:rsidR="00332C33" w:rsidRPr="002451B6" w:rsidRDefault="00000000">
      <w:pPr>
        <w:widowControl w:val="0"/>
        <w:spacing w:before="3" w:line="240" w:lineRule="auto"/>
        <w:ind w:left="851"/>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juiz do caso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escreve no processo:</w:t>
      </w:r>
    </w:p>
    <w:p w14:paraId="0A400DF6" w14:textId="77777777" w:rsidR="00332C33" w:rsidRPr="002451B6" w:rsidRDefault="00332C33">
      <w:pPr>
        <w:widowControl w:val="0"/>
        <w:spacing w:before="269" w:line="240" w:lineRule="auto"/>
        <w:rPr>
          <w:rFonts w:ascii="Times New Roman" w:eastAsia="Times New Roman" w:hAnsi="Times New Roman" w:cs="Times New Roman"/>
          <w:sz w:val="24"/>
          <w:szCs w:val="24"/>
        </w:rPr>
      </w:pPr>
    </w:p>
    <w:p w14:paraId="56645442" w14:textId="77777777" w:rsidR="00332C33" w:rsidRPr="002451B6" w:rsidRDefault="00000000">
      <w:pPr>
        <w:widowControl w:val="0"/>
        <w:spacing w:line="240" w:lineRule="auto"/>
        <w:ind w:left="2407" w:right="134"/>
        <w:jc w:val="both"/>
        <w:rPr>
          <w:rFonts w:ascii="Times New Roman" w:eastAsia="Times New Roman" w:hAnsi="Times New Roman" w:cs="Times New Roman"/>
        </w:rPr>
        <w:sectPr w:rsidR="00332C33" w:rsidRPr="002451B6" w:rsidSect="00C27DD5">
          <w:pgSz w:w="11909" w:h="16834"/>
          <w:pgMar w:top="1701" w:right="1134" w:bottom="1134" w:left="1701" w:header="0" w:footer="0" w:gutter="0"/>
          <w:cols w:space="720"/>
        </w:sectPr>
      </w:pPr>
      <w:r w:rsidRPr="002451B6">
        <w:rPr>
          <w:rFonts w:ascii="Times New Roman" w:eastAsia="Times New Roman" w:hAnsi="Times New Roman" w:cs="Times New Roman"/>
        </w:rPr>
        <w:t>Esses crimes que vieram ao conhecimento público pela colaboração na imprensa desta cidade, revoltou a sociedade, pois é quase inconcebível que alguém, usando o nome de Deus - ou proclamando poderes que só um Ente Superior pode dar - cometa tantas atrocidades, como as que nos revela o presente inquérito - como se remontássemos a eras medievais (José Nunes da Cunha, 21 de janeiro de 1969).</w:t>
      </w:r>
    </w:p>
    <w:p w14:paraId="6201432A" w14:textId="77777777" w:rsidR="00332C33" w:rsidRPr="002451B6" w:rsidRDefault="00000000">
      <w:pPr>
        <w:widowControl w:val="0"/>
        <w:spacing w:before="79" w:line="360" w:lineRule="auto"/>
        <w:ind w:left="140" w:right="138"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José Nunes se refere a “alguém” e não aos três acusados, é de Célia que ele está falando. Depois, completa: “A liberdade dos mesmos, além de atentar contra a própria dignidade de uma população honesta, decente e cristã consciente dos seus deveres para com seus semelhantes, constituiria até afronta aos princípios da própria Justiça”</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(José Nunes da Cunha, 21 de janeiro de 1969). Apesar do juiz se referir também aos homens acusados, André Luiz e Bertolino, para endossar o discurso do risco à moral cristã que </w:t>
      </w:r>
      <w:proofErr w:type="gramStart"/>
      <w:r w:rsidRPr="002451B6">
        <w:rPr>
          <w:rFonts w:ascii="Times New Roman" w:eastAsia="Times New Roman" w:hAnsi="Times New Roman" w:cs="Times New Roman"/>
          <w:sz w:val="24"/>
          <w:szCs w:val="24"/>
        </w:rPr>
        <w:t>os atos de uma suposta bruxaria de Célia causara</w:t>
      </w:r>
      <w:proofErr w:type="gramEnd"/>
      <w:r w:rsidRPr="002451B6">
        <w:rPr>
          <w:rFonts w:ascii="Times New Roman" w:eastAsia="Times New Roman" w:hAnsi="Times New Roman" w:cs="Times New Roman"/>
          <w:sz w:val="24"/>
          <w:szCs w:val="24"/>
        </w:rPr>
        <w:t>, a criminalização recai mais fortemente sobre ela.</w:t>
      </w:r>
    </w:p>
    <w:p w14:paraId="657A7E45" w14:textId="77777777" w:rsidR="00332C33" w:rsidRPr="002451B6" w:rsidRDefault="00000000">
      <w:pPr>
        <w:widowControl w:val="0"/>
        <w:spacing w:before="2" w:line="360" w:lineRule="auto"/>
        <w:ind w:left="140" w:right="14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Era Célia a acusada de fazer rituais de saravá em sua casa, era a mulher apontada como violenta e agressiva pelo companheiro, que em depoimento, dizia ter que se sujeitar aos castigos por ela praticados. A imagem do marido apresentando marcas das supostas agressões foi fortemente divulgada nas páginas do jornal Diário da Serra, anexo ao processo. A legenda apresentada é </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Foto referente aos maus tratos recebidos pelo amante de Célia de Souza, a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onde o mesmo mostra espancamentos sofridos pela mesma”</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Essa representação não é apenas uma descrição factual; ela opera como uma inversão simbólica para a manutenção da ordem patriarcal e moral da época. Ao retratar João Luiz, o companheiro de Célia, como uma vítima de espancamentos perpetrados por ela, o discurso jornalístico, os olhares dos policiais, despojam Célia de qualquer resquício da "feminilidade" normativa, que conforme aponta Pierre Bourdieu (2002), é socialmente construída sobre os pilares da passividade e da submissão. </w:t>
      </w:r>
    </w:p>
    <w:p w14:paraId="46763232" w14:textId="77777777" w:rsidR="00332C33" w:rsidRPr="002451B6" w:rsidRDefault="00000000">
      <w:pPr>
        <w:widowControl w:val="0"/>
        <w:spacing w:before="2" w:line="360" w:lineRule="auto"/>
        <w:ind w:left="140" w:right="14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universo simbólico da dominação masculina, a virilidade é associada à força e à proteção; um homem vítima de uma mulher é uma afronta à lógica da honra, e a mulher que exerce tal violência deixa de ser lida como "fêmea" para ser convertida em um monstro</w:t>
      </w:r>
    </w:p>
    <w:p w14:paraId="485E393E" w14:textId="77777777" w:rsidR="00CA56E3" w:rsidRPr="002451B6" w:rsidRDefault="00CA56E3" w:rsidP="00CA56E3">
      <w:pPr>
        <w:widowControl w:val="0"/>
        <w:spacing w:before="79" w:line="360" w:lineRule="auto"/>
        <w:ind w:left="104" w:right="131"/>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assexuado ou em uma figura demoníaca. Para o sistema de poder vigente em 1969, Célia não era apenas uma suspeita de um crime; ela era a subversão da própria natureza feminina. Essa exclusão da feminilidade protegida é um traço da colonialidade do gênero. Maria Lugones, ao aprofundar essa análise, demonstra que fêmeas não brancas e pobres nunca foram plenamente incluídas na categoria de mulher definida pela burguesia branca ocidental. Como afirma a autora em sua obra:</w:t>
      </w:r>
    </w:p>
    <w:p w14:paraId="5719557E" w14:textId="6CF55F54" w:rsidR="00CA56E3" w:rsidRPr="002451B6" w:rsidRDefault="00CA56E3" w:rsidP="002237A1">
      <w:pPr>
        <w:widowControl w:val="0"/>
        <w:spacing w:before="4" w:line="232" w:lineRule="auto"/>
        <w:ind w:left="2407" w:right="140"/>
        <w:jc w:val="both"/>
        <w:rPr>
          <w:rFonts w:ascii="Times New Roman" w:eastAsia="Times New Roman" w:hAnsi="Times New Roman" w:cs="Times New Roman"/>
        </w:rPr>
      </w:pPr>
      <w:r w:rsidRPr="002451B6">
        <w:rPr>
          <w:rFonts w:ascii="Times New Roman" w:eastAsia="Times New Roman" w:hAnsi="Times New Roman" w:cs="Times New Roman"/>
        </w:rPr>
        <w:t xml:space="preserve">Também é parte dessa história o fato de que só as mulheres burguesas brancas são contadas como mulheres no Ocidente. As fêmeas excluídas por e nessa descrição não eram apenas subordinadas, elas também eram vistas e tratadas como animais, em um sentido mais profundo que o da identificação das mulheres brancas com a natureza, as crianças e os animais pequenos. As fêmeas não brancas eram consideradas animais no sentido de seres “sem gênero”, marcadas sexualmente como fêmeas, mas sem as características da feminilidade. As fêmeas </w:t>
      </w:r>
      <w:proofErr w:type="spellStart"/>
      <w:r w:rsidRPr="002451B6">
        <w:rPr>
          <w:rFonts w:ascii="Times New Roman" w:eastAsia="Times New Roman" w:hAnsi="Times New Roman" w:cs="Times New Roman"/>
        </w:rPr>
        <w:t>racializadas</w:t>
      </w:r>
      <w:proofErr w:type="spellEnd"/>
      <w:r w:rsidRPr="002451B6">
        <w:rPr>
          <w:rFonts w:ascii="Times New Roman" w:eastAsia="Times New Roman" w:hAnsi="Times New Roman" w:cs="Times New Roman"/>
        </w:rPr>
        <w:t xml:space="preserve"> como seres inferiores foram transformadas de animais a diferentes versões de mulher </w:t>
      </w:r>
      <w:r w:rsidRPr="002451B6">
        <w:rPr>
          <w:rFonts w:ascii="Times New Roman" w:eastAsia="Times New Roman" w:hAnsi="Times New Roman" w:cs="Times New Roman"/>
        </w:rPr>
        <w:lastRenderedPageBreak/>
        <w:t>(Lugones, 2020, p. 27).</w:t>
      </w:r>
    </w:p>
    <w:p w14:paraId="316792CA" w14:textId="77777777" w:rsidR="00CA56E3" w:rsidRPr="002451B6" w:rsidRDefault="00CA56E3" w:rsidP="00CA56E3">
      <w:pPr>
        <w:widowControl w:val="0"/>
        <w:spacing w:before="2" w:line="360" w:lineRule="auto"/>
        <w:ind w:right="146"/>
        <w:jc w:val="both"/>
        <w:rPr>
          <w:rFonts w:ascii="Times New Roman" w:eastAsia="Times New Roman" w:hAnsi="Times New Roman" w:cs="Times New Roman"/>
          <w:sz w:val="24"/>
          <w:szCs w:val="24"/>
        </w:rPr>
      </w:pPr>
    </w:p>
    <w:p w14:paraId="2A1B0A2C" w14:textId="77777777" w:rsidR="00CA56E3" w:rsidRPr="002451B6" w:rsidRDefault="00CA56E3" w:rsidP="00CA56E3">
      <w:pPr>
        <w:widowControl w:val="0"/>
        <w:spacing w:line="360" w:lineRule="auto"/>
        <w:ind w:left="140" w:right="139"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Nesta perspectiva, a imagem de Célia como uma figura de agressividade perversa serviu para confirmar o estatuto de animalidade atribuído a corpos que fogem à norma eurocêntrica e cristã. A espetacularização do "amante espancado" nas páginas do jornal </w:t>
      </w:r>
      <w:r w:rsidRPr="002451B6">
        <w:rPr>
          <w:rFonts w:ascii="Times New Roman" w:eastAsia="Times New Roman" w:hAnsi="Times New Roman" w:cs="Times New Roman"/>
          <w:i/>
          <w:iCs/>
          <w:sz w:val="24"/>
          <w:szCs w:val="24"/>
        </w:rPr>
        <w:t xml:space="preserve">Diário da Serra </w:t>
      </w:r>
      <w:r w:rsidRPr="002451B6">
        <w:rPr>
          <w:rFonts w:ascii="Times New Roman" w:eastAsia="Times New Roman" w:hAnsi="Times New Roman" w:cs="Times New Roman"/>
          <w:sz w:val="24"/>
          <w:szCs w:val="24"/>
        </w:rPr>
        <w:t xml:space="preserve">funcionou como um instrumento de legitimação da desumanização de Célia. Enquanto os homens envolvidos no caso permaneceram em relativo segundo plano, a carga da condenação social recaiu de forma absoluta sobre Célia, revelando uma seletividade de gênero que tornava sua transgressão doméstica e espiritual imperdoável para a normatividade social. </w:t>
      </w:r>
    </w:p>
    <w:p w14:paraId="6A61F314" w14:textId="77777777" w:rsidR="00CA56E3" w:rsidRPr="002451B6" w:rsidRDefault="00CA56E3" w:rsidP="00CA56E3">
      <w:pPr>
        <w:widowControl w:val="0"/>
        <w:spacing w:before="1" w:line="360" w:lineRule="auto"/>
        <w:ind w:left="140" w:right="13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discurso do juiz José Nunes da Cunha corrobora essa visão ao apelar para a proteção de uma “população honesta, decente e cristã” contra o que chamou de “atrocidades medievais”. Aqui, a Doutrina de Segurança Nacional (DSN) manifestou-se como uma força de policiamento moral e racial. O monitoramento de práticas como o “saravá”, classificadas no inquérito como baixo espiritismo, revela o racismo religioso, onde o saber de matriz africana era visto como indício de degradação moral e subversão cultural, características projetadas nas mulheres, que historicamente representaram o perigo e a maldade nas sociedades patriarcais. </w:t>
      </w:r>
    </w:p>
    <w:p w14:paraId="32D50032" w14:textId="46EE9C91" w:rsidR="00CA56E3" w:rsidRPr="002451B6" w:rsidRDefault="00CA56E3" w:rsidP="00CA56E3">
      <w:pPr>
        <w:widowControl w:val="0"/>
        <w:spacing w:before="79" w:line="360" w:lineRule="auto"/>
        <w:ind w:left="140" w:right="134"/>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Toda sociedade que se sente ameaçada, seja por pragas, fomes ou revoluções, busca projetar o mal em um elemento mais facilmente identificável e ritualisticamente </w:t>
      </w:r>
      <w:proofErr w:type="spellStart"/>
      <w:r w:rsidRPr="002451B6">
        <w:rPr>
          <w:rFonts w:ascii="Times New Roman" w:eastAsia="Times New Roman" w:hAnsi="Times New Roman" w:cs="Times New Roman"/>
          <w:sz w:val="24"/>
          <w:szCs w:val="24"/>
        </w:rPr>
        <w:t>purificável</w:t>
      </w:r>
      <w:proofErr w:type="spellEnd"/>
      <w:r w:rsidRPr="002451B6">
        <w:rPr>
          <w:rFonts w:ascii="Times New Roman" w:eastAsia="Times New Roman" w:hAnsi="Times New Roman" w:cs="Times New Roman"/>
          <w:sz w:val="24"/>
          <w:szCs w:val="24"/>
        </w:rPr>
        <w:t>, restaurando a ilusão de segurança. O arquétipo da bruxa, herdeiro direto das perseguições modernas europeias, encarna o desvio da ordem, o mal feminino que ataca os pilares do patriarcado, da religião hegemônica e, no contexto da Ditadura de 1964 no Brasil, da moralidade defendida pelo Estado. Célia de Souza, mulher, mestiça, periférica e supostamente praticante de saberes populares, foi o receptáculo perfeito para essa projeção. O pânico gerado pelos rumores, longe de ser ingenuidade, funcionou como a validação moral para a ação do Estado. Os depoimentos coletados no processo contra Célia explicitam esse terror, mencionando o temor da mulher perigosa e agressiva. Este medo, absorvido e amplificado pelo aparato repressivo, forneceu a autorização extralegal para a violência policial, transformando a prisão de Célia em uma reencenação do teatro da caça às bruxas, agora sob a égide da Doutrina de Segurança Nacional (DSN).</w:t>
      </w:r>
    </w:p>
    <w:p w14:paraId="307543B3" w14:textId="77777777" w:rsidR="00CA56E3" w:rsidRPr="002451B6" w:rsidRDefault="00CA56E3" w:rsidP="00CA56E3">
      <w:pPr>
        <w:widowControl w:val="0"/>
        <w:spacing w:before="4" w:line="360" w:lineRule="auto"/>
        <w:ind w:left="140" w:right="134"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implementação da DSN no Brasil, consolidada pela Escola Superior de Guerra (ESG), visava proteger os valores cristãos e ocidentais contra qualquer ameaça de subversão ideológica ou cultural. Nesse contexto, a religião não era um campo neutro; ao contrário, as </w:t>
      </w:r>
      <w:r w:rsidRPr="002451B6">
        <w:rPr>
          <w:rFonts w:ascii="Times New Roman" w:eastAsia="Times New Roman" w:hAnsi="Times New Roman" w:cs="Times New Roman"/>
          <w:sz w:val="24"/>
          <w:szCs w:val="24"/>
        </w:rPr>
        <w:lastRenderedPageBreak/>
        <w:t xml:space="preserve">práticas religiosas de matriz africana eram monitoradas pelo Serviço Nacional de Informações (SNI) e outros órgãos de segurança por serem percebidas como focos de resistência cultural ou de atraso que punham em risco a unidade nacional. Ao rotular Célia como "bruxa" e associá-la ao "baixo espiritismo", o Estado e a mídia não apenas criminalizaram sua fé, mas também sua existência física e sua localização social. </w:t>
      </w:r>
    </w:p>
    <w:p w14:paraId="1DB30A16" w14:textId="77777777" w:rsidR="00CA56E3" w:rsidRPr="002451B6" w:rsidRDefault="00CA56E3" w:rsidP="00CA56E3">
      <w:pPr>
        <w:widowControl w:val="0"/>
        <w:spacing w:before="4" w:line="360" w:lineRule="auto"/>
        <w:ind w:left="140" w:right="134"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uso do termo "saravá" na documentação repressiva serviu para enquadrar a cultura afro-brasileira como uma patologia social ou um péssimo antecedente moral da suposta autora dos crimes. A DSN, ao adotar o mito da democracia racial, operava um silenciamento estratégico: negava-se o racismo, enquanto se perseguia o modo de vida negro sob o pretexto de manutenção da ordem pública e da moralidade cristã. Segundo Amanda Bento (2024), no domínio estrutural do poder, as instituições jurídicas e policiais de 1969 utilizavam o Artigo 284 do Código Penal (curandeirismo) como ferramenta de controle sobre os terreiros e sobre mulheres </w:t>
      </w:r>
      <w:proofErr w:type="gramStart"/>
      <w:r w:rsidRPr="002451B6">
        <w:rPr>
          <w:rFonts w:ascii="Times New Roman" w:eastAsia="Times New Roman" w:hAnsi="Times New Roman" w:cs="Times New Roman"/>
          <w:sz w:val="24"/>
          <w:szCs w:val="24"/>
        </w:rPr>
        <w:t>-  como</w:t>
      </w:r>
      <w:proofErr w:type="gramEnd"/>
      <w:r w:rsidRPr="002451B6">
        <w:rPr>
          <w:rFonts w:ascii="Times New Roman" w:eastAsia="Times New Roman" w:hAnsi="Times New Roman" w:cs="Times New Roman"/>
          <w:sz w:val="24"/>
          <w:szCs w:val="24"/>
        </w:rPr>
        <w:t xml:space="preserve"> Célia - que ofereciam formas de cuidado espiritual e comunitário em regiões abandonadas pelo Estado. Essa repressão durante a ditadura foi e, podemos dizer que ainda é, em democracia, parte da dominação masculina, onde os poderes repressivos e jurídicos atuam para ratificar a autoridade patriarcal, que se torna invisível por ser naturalizada, além de impor modelos de conduta.</w:t>
      </w:r>
    </w:p>
    <w:p w14:paraId="3DE06601" w14:textId="52801273" w:rsidR="00FE0C0A" w:rsidRPr="002451B6" w:rsidRDefault="00CA56E3" w:rsidP="00FE0C0A">
      <w:pPr>
        <w:widowControl w:val="0"/>
        <w:spacing w:before="3" w:line="360" w:lineRule="auto"/>
        <w:ind w:left="140" w:right="141"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caso de Célia de Souza, a quebra dessa ordem ocorreu quando ela assumiu uma posição de agência espiritual e de agressividade física (mesmo que suposta) contra seu amante, o que afrontava a virilidade masculina e a passividade feminina esperada. O pânico</w:t>
      </w:r>
      <w:r w:rsidR="00FE0C0A" w:rsidRPr="002451B6">
        <w:rPr>
          <w:rFonts w:ascii="Times New Roman" w:eastAsia="Times New Roman" w:hAnsi="Times New Roman" w:cs="Times New Roman"/>
          <w:sz w:val="24"/>
          <w:szCs w:val="24"/>
        </w:rPr>
        <w:t xml:space="preserve"> moral alimentado pelo jornal </w:t>
      </w:r>
      <w:r w:rsidR="00FE0C0A" w:rsidRPr="002451B6">
        <w:rPr>
          <w:rFonts w:ascii="Times New Roman" w:eastAsia="Times New Roman" w:hAnsi="Times New Roman" w:cs="Times New Roman"/>
          <w:i/>
          <w:iCs/>
          <w:sz w:val="24"/>
          <w:szCs w:val="24"/>
        </w:rPr>
        <w:t xml:space="preserve">Diário da Serra </w:t>
      </w:r>
      <w:r w:rsidR="00FE0C0A" w:rsidRPr="002451B6">
        <w:rPr>
          <w:rFonts w:ascii="Times New Roman" w:eastAsia="Times New Roman" w:hAnsi="Times New Roman" w:cs="Times New Roman"/>
          <w:sz w:val="24"/>
          <w:szCs w:val="24"/>
        </w:rPr>
        <w:t>criou uma atmosfera onde o linchamento de Célia era visto como um ato de justiça comunitária em defesa da infância e da fé cristã.</w:t>
      </w:r>
    </w:p>
    <w:p w14:paraId="64B61A44" w14:textId="77777777" w:rsidR="00FE0C0A" w:rsidRPr="002451B6" w:rsidRDefault="00FE0C0A" w:rsidP="00FE0C0A">
      <w:pPr>
        <w:widowControl w:val="0"/>
        <w:spacing w:before="1" w:line="360" w:lineRule="auto"/>
        <w:ind w:left="140" w:right="130"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Ao analisarmos o caso pela lente da investigação crítica, percebemos que o monitoramento dos terreiros de Umbanda e a prisão da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xml:space="preserve">" não foram incidentes isolados, mas parte de uma estratégia de securitização da cultura popular. O regime militar via nos espaços de matriz africana potenciais polos de subversão onde a desigualdade social poderia ser discutida, o que confrontava a tese da "nação una" e sem racismo que sustentava a </w:t>
      </w:r>
      <w:proofErr w:type="spellStart"/>
      <w:r w:rsidRPr="002451B6">
        <w:rPr>
          <w:rFonts w:ascii="Times New Roman" w:eastAsia="Times New Roman" w:hAnsi="Times New Roman" w:cs="Times New Roman"/>
          <w:sz w:val="24"/>
          <w:szCs w:val="24"/>
        </w:rPr>
        <w:t>pela</w:t>
      </w:r>
      <w:proofErr w:type="spellEnd"/>
      <w:r w:rsidRPr="002451B6">
        <w:rPr>
          <w:rFonts w:ascii="Times New Roman" w:eastAsia="Times New Roman" w:hAnsi="Times New Roman" w:cs="Times New Roman"/>
          <w:sz w:val="24"/>
          <w:szCs w:val="24"/>
        </w:rPr>
        <w:t xml:space="preserve"> DSN. O racismo religioso operou como um instrumento de controle político, deslegitimando lideranças populares e destruindo o imaginário coletivo de grupos subalternizados.</w:t>
      </w:r>
    </w:p>
    <w:p w14:paraId="391A7DBE" w14:textId="77777777" w:rsidR="00FE0C0A" w:rsidRPr="002451B6" w:rsidRDefault="00FE0C0A" w:rsidP="00FE0C0A">
      <w:pPr>
        <w:widowControl w:val="0"/>
        <w:spacing w:before="1" w:line="360" w:lineRule="auto"/>
        <w:ind w:left="140" w:right="133"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despersonalização de Célia, iniciada pela legenda da foto de 1969 que a acusava de espancar seu amante, concluiu o processo do suposto assassinato das crianças, necessário para a criação da lenda urbana da “bruxa”. Mesmo após sua absolvição em 1971 por falta de provas e a alegação de morte das crianças por desnutrição, a mulher real desapareceu, </w:t>
      </w:r>
      <w:r w:rsidRPr="002451B6">
        <w:rPr>
          <w:rFonts w:ascii="Times New Roman" w:eastAsia="Times New Roman" w:hAnsi="Times New Roman" w:cs="Times New Roman"/>
          <w:sz w:val="24"/>
          <w:szCs w:val="24"/>
        </w:rPr>
        <w:lastRenderedPageBreak/>
        <w:t xml:space="preserve">enquanto o monstro simbólico permaneceu vivo no imaginário de Mato Grosso do Sul como um aviso contra a insubordinação feminina e a alteridade religiosa. Historicamente, o mal e o degradante foram atribuídos às mulheres que escapam ao controle do lar e do modelo judaico-cristão de feminilidade. Na ditadura brasileira, essa tradição misógina encontrou no aparato da Segurança Nacional a tecnologia necessária para transformar o preconceito em política de Estado. O caso da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xml:space="preserve"> revela, em última instância, que as revoluções e contrarrevoluções do período não se deram apenas nos gabinetes de Brasília, nos grupos clandestinos e na luta armada do Araguaia, mas no controle minucioso dos corpos, das crenças e das identidades das mulheres periféricas brasileiras.</w:t>
      </w:r>
    </w:p>
    <w:p w14:paraId="40AE9343" w14:textId="16B3994F" w:rsidR="00FE0C0A" w:rsidRPr="002451B6" w:rsidRDefault="00FE0C0A" w:rsidP="00FE0C0A">
      <w:pPr>
        <w:widowControl w:val="0"/>
        <w:spacing w:before="5" w:line="360" w:lineRule="auto"/>
        <w:ind w:left="140" w:right="137"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Um dos aspectos do caso é o vazio do relato de Célia. Como analisa Michelle </w:t>
      </w:r>
      <w:proofErr w:type="spellStart"/>
      <w:r w:rsidRPr="002451B6">
        <w:rPr>
          <w:rFonts w:ascii="Times New Roman" w:eastAsia="Times New Roman" w:hAnsi="Times New Roman" w:cs="Times New Roman"/>
          <w:sz w:val="24"/>
          <w:szCs w:val="24"/>
        </w:rPr>
        <w:t>Perrot</w:t>
      </w:r>
      <w:proofErr w:type="spellEnd"/>
      <w:r w:rsidRPr="002451B6">
        <w:rPr>
          <w:rFonts w:ascii="Times New Roman" w:eastAsia="Times New Roman" w:hAnsi="Times New Roman" w:cs="Times New Roman"/>
          <w:sz w:val="24"/>
          <w:szCs w:val="24"/>
        </w:rPr>
        <w:t xml:space="preserve"> (1998), as mulheres são historicamente silenciadas, e sua palavra é frequentemente relegada à ordem da "profecia ou possessão", nunca à razão. No processo, Célia negou as práticas de saravá, alegando que apenas oferecia para as crianças o que ela chamou de “água de flores</w:t>
      </w:r>
      <w:proofErr w:type="gramStart"/>
      <w:r w:rsidRPr="002451B6">
        <w:rPr>
          <w:rFonts w:ascii="Times New Roman" w:eastAsia="Times New Roman" w:hAnsi="Times New Roman" w:cs="Times New Roman"/>
          <w:sz w:val="24"/>
          <w:szCs w:val="24"/>
        </w:rPr>
        <w:t>” ,</w:t>
      </w:r>
      <w:proofErr w:type="gramEnd"/>
      <w:r w:rsidRPr="002451B6">
        <w:rPr>
          <w:rFonts w:ascii="Times New Roman" w:eastAsia="Times New Roman" w:hAnsi="Times New Roman" w:cs="Times New Roman"/>
          <w:sz w:val="24"/>
          <w:szCs w:val="24"/>
        </w:rPr>
        <w:t xml:space="preserve"> no entanto, sua voz foi abafada pelo pânico moral que reuniu milhares de pessoas à porta da delegacia clamando por seu linchamento. Mesmo após ser absolvida por falta de provas em 1971, Célia desapareceu. Esse desaparecimento não foi apenas uma mudança geográfica, mas uma morte social. O sistema judiciário e a mídia já haviam cristalizado a "Bruxa" no imaginário coletivo, tornando a mulher real invisível. </w:t>
      </w:r>
    </w:p>
    <w:p w14:paraId="04544590" w14:textId="1D74AF9C" w:rsidR="00FE0C0A" w:rsidRPr="002451B6" w:rsidRDefault="00FE0C0A" w:rsidP="00FE0C0A">
      <w:pPr>
        <w:widowControl w:val="0"/>
        <w:spacing w:line="360" w:lineRule="auto"/>
        <w:ind w:left="102" w:right="130"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persistência do estigma de Célia é comprovada pela sua transformação em lenda urbana. A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tornou-se uma figura do folclore macabro de Mato Grosso do Sul, o que é evidenciado pela publicação do livro para público infanto-juvenil de André Alvez, que utiliza a figura de Célia para compor uma narrativa ficcional que mistura horror, ludicidade e mistério. Além do livro, a era digital revitalizou o mito. Canais de investigação paranormal no YouTube, como o Caça Fantasmas Brasil</w:t>
      </w:r>
      <w:r w:rsidRPr="002451B6">
        <w:rPr>
          <w:rStyle w:val="Refdenotaderodap"/>
          <w:rFonts w:ascii="Times New Roman" w:eastAsia="Times New Roman" w:hAnsi="Times New Roman" w:cs="Times New Roman"/>
          <w:sz w:val="24"/>
          <w:szCs w:val="24"/>
        </w:rPr>
        <w:footnoteReference w:id="36"/>
      </w:r>
      <w:r w:rsidRPr="002451B6">
        <w:rPr>
          <w:rFonts w:ascii="Times New Roman" w:eastAsia="Times New Roman" w:hAnsi="Times New Roman" w:cs="Times New Roman"/>
          <w:sz w:val="24"/>
          <w:szCs w:val="24"/>
        </w:rPr>
        <w:t>, produzem vídeos que exploram a antiga casa de Célia em busca de atividades paranormais. O canal Histórias Perdidas</w:t>
      </w:r>
      <w:r w:rsidRPr="002451B6">
        <w:rPr>
          <w:rStyle w:val="Refdenotaderodap"/>
          <w:rFonts w:ascii="Times New Roman" w:eastAsia="Times New Roman" w:hAnsi="Times New Roman" w:cs="Times New Roman"/>
          <w:sz w:val="24"/>
          <w:szCs w:val="24"/>
        </w:rPr>
        <w:footnoteReference w:id="37"/>
      </w:r>
      <w:r w:rsidRPr="002451B6">
        <w:rPr>
          <w:rFonts w:ascii="Times New Roman" w:eastAsia="Times New Roman" w:hAnsi="Times New Roman" w:cs="Times New Roman"/>
          <w:sz w:val="24"/>
          <w:szCs w:val="24"/>
        </w:rPr>
        <w:t>também dedica episódios ao caso, tratando-o sob o viés do mistério e do assombro. Essa espetacularização digital ignora as intersecções de raça e classe, focando apenas no arquétipo da bruxa assassina. O consumo desses conteúdos mantém o silenciamento de Célia, pois prefere a ficção do monstro à complexidade da mulher, contribuindo com a desumanização desse sujeito.</w:t>
      </w:r>
    </w:p>
    <w:p w14:paraId="2FFD5F15" w14:textId="77777777" w:rsidR="00FE0C0A" w:rsidRPr="002451B6" w:rsidRDefault="00FE0C0A" w:rsidP="00FE0C0A">
      <w:pPr>
        <w:widowControl w:val="0"/>
        <w:spacing w:line="240" w:lineRule="auto"/>
        <w:rPr>
          <w:rFonts w:ascii="Times New Roman" w:eastAsia="Times New Roman" w:hAnsi="Times New Roman" w:cs="Times New Roman"/>
          <w:sz w:val="24"/>
          <w:szCs w:val="24"/>
        </w:rPr>
      </w:pPr>
    </w:p>
    <w:p w14:paraId="26358431" w14:textId="77777777" w:rsidR="00FE0C0A" w:rsidRPr="002451B6" w:rsidRDefault="00FE0C0A" w:rsidP="00FE0C0A">
      <w:pPr>
        <w:pStyle w:val="Ttulo1"/>
        <w:keepNext w:val="0"/>
        <w:keepLines w:val="0"/>
        <w:widowControl w:val="0"/>
        <w:tabs>
          <w:tab w:val="left" w:pos="409"/>
        </w:tabs>
        <w:spacing w:before="0" w:after="0" w:line="360" w:lineRule="auto"/>
        <w:ind w:right="142"/>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Reivindicar a humanidade: uma estratégia de resistência contra as estruturas patriarcais</w:t>
      </w:r>
    </w:p>
    <w:p w14:paraId="6E1D244A" w14:textId="77777777" w:rsidR="00FE0C0A" w:rsidRPr="002451B6" w:rsidRDefault="00FE0C0A" w:rsidP="00FE0C0A">
      <w:pPr>
        <w:widowControl w:val="0"/>
        <w:spacing w:before="139" w:line="240" w:lineRule="auto"/>
        <w:rPr>
          <w:rFonts w:ascii="Times New Roman" w:eastAsia="Times New Roman" w:hAnsi="Times New Roman" w:cs="Times New Roman"/>
          <w:b/>
          <w:bCs/>
          <w:sz w:val="24"/>
          <w:szCs w:val="24"/>
        </w:rPr>
      </w:pPr>
    </w:p>
    <w:p w14:paraId="6F061893" w14:textId="77777777" w:rsidR="00FE0C0A" w:rsidRPr="002451B6" w:rsidRDefault="00FE0C0A" w:rsidP="00FE0C0A">
      <w:pPr>
        <w:widowControl w:val="0"/>
        <w:spacing w:line="360" w:lineRule="auto"/>
        <w:ind w:left="140" w:right="133"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Pouco sabemos sobre a vida de Célia de Souza. Desde o processo findo, em 1971, ela se mudou de Campo Grande e não sabemos ainda para onde ela foi. O que se imagina a respeito da subjetividade de Célia é o que contam os vizinhos e o que é apresentado pela mídia. A maioria dos relatos sobre ela são espetacularizados e ridicularizam-na. Ouvimos e lemos que até hoje muitas pessoas não passam em frente à sua casa, temendo uma maldição ou assombro do espírito da mulher. Essa lacuna biográfica, esse desaparecimento físico de Célia após a absolvição jurídica, contrasta com a hipervisibilidade de sua sombra mística, que continua a habitar o imaginário coletivo como um espectro de resistência e medo.</w:t>
      </w:r>
    </w:p>
    <w:p w14:paraId="354BC2AF" w14:textId="43D42D4D" w:rsidR="00FE0C0A" w:rsidRPr="002451B6" w:rsidRDefault="00FE0C0A" w:rsidP="00FE0C0A">
      <w:pPr>
        <w:widowControl w:val="0"/>
        <w:spacing w:before="2" w:line="360" w:lineRule="auto"/>
        <w:ind w:left="140" w:right="134"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transformação de Célia em entidade assombrosa encontra eco na obra de Jules </w:t>
      </w:r>
      <w:proofErr w:type="spellStart"/>
      <w:r w:rsidRPr="002451B6">
        <w:rPr>
          <w:rFonts w:ascii="Times New Roman" w:eastAsia="Times New Roman" w:hAnsi="Times New Roman" w:cs="Times New Roman"/>
          <w:sz w:val="24"/>
          <w:szCs w:val="24"/>
        </w:rPr>
        <w:t>Michelet</w:t>
      </w:r>
      <w:proofErr w:type="spellEnd"/>
      <w:r w:rsidRPr="002451B6">
        <w:rPr>
          <w:rFonts w:ascii="Times New Roman" w:eastAsia="Times New Roman" w:hAnsi="Times New Roman" w:cs="Times New Roman"/>
          <w:sz w:val="24"/>
          <w:szCs w:val="24"/>
        </w:rPr>
        <w:t xml:space="preserve"> (1989), para quem a "bruxa" é uma criação das tensões sociais e do desespero das massas. </w:t>
      </w:r>
      <w:proofErr w:type="spellStart"/>
      <w:r w:rsidRPr="002451B6">
        <w:rPr>
          <w:rFonts w:ascii="Times New Roman" w:eastAsia="Times New Roman" w:hAnsi="Times New Roman" w:cs="Times New Roman"/>
          <w:sz w:val="24"/>
          <w:szCs w:val="24"/>
        </w:rPr>
        <w:t>Michelet</w:t>
      </w:r>
      <w:proofErr w:type="spellEnd"/>
      <w:r w:rsidRPr="002451B6">
        <w:rPr>
          <w:rFonts w:ascii="Times New Roman" w:eastAsia="Times New Roman" w:hAnsi="Times New Roman" w:cs="Times New Roman"/>
          <w:sz w:val="24"/>
          <w:szCs w:val="24"/>
        </w:rPr>
        <w:t xml:space="preserve"> argumenta que a feitiçaria surge onde a estrutura social falha; ela é o "gênio próprio" daquelas que habitam as margens. No caso de Célia, sua representação como uma mulher "</w:t>
      </w:r>
      <w:proofErr w:type="gramStart"/>
      <w:r w:rsidRPr="002451B6">
        <w:rPr>
          <w:rFonts w:ascii="Times New Roman" w:eastAsia="Times New Roman" w:hAnsi="Times New Roman" w:cs="Times New Roman"/>
          <w:sz w:val="24"/>
          <w:szCs w:val="24"/>
        </w:rPr>
        <w:t>mal vestida</w:t>
      </w:r>
      <w:proofErr w:type="gramEnd"/>
      <w:r w:rsidRPr="002451B6">
        <w:rPr>
          <w:rFonts w:ascii="Times New Roman" w:eastAsia="Times New Roman" w:hAnsi="Times New Roman" w:cs="Times New Roman"/>
          <w:sz w:val="24"/>
          <w:szCs w:val="24"/>
        </w:rPr>
        <w:t>, suja e de aparência pavorosa", segundo vizinhos e os jornais, não deve ser lida apenas como uma descrição estética, mas como a codificação</w:t>
      </w:r>
      <w:r w:rsidRPr="002451B6">
        <w:rPr>
          <w:noProof/>
        </w:rPr>
        <w:drawing>
          <wp:anchor distT="0" distB="0" distL="0" distR="0" simplePos="0" relativeHeight="251662336" behindDoc="0" locked="0" layoutInCell="1" hidden="0" allowOverlap="1" wp14:anchorId="08D57EB3" wp14:editId="016A4E4E">
            <wp:simplePos x="0" y="0"/>
            <wp:positionH relativeFrom="column">
              <wp:posOffset>89534</wp:posOffset>
            </wp:positionH>
            <wp:positionV relativeFrom="paragraph">
              <wp:posOffset>89535</wp:posOffset>
            </wp:positionV>
            <wp:extent cx="1830705" cy="12700"/>
            <wp:effectExtent l="0" t="0" r="0" b="0"/>
            <wp:wrapTopAndBottom distT="0" distB="0"/>
            <wp:docPr id="1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7"/>
                    <a:srcRect/>
                    <a:stretch>
                      <a:fillRect/>
                    </a:stretch>
                  </pic:blipFill>
                  <pic:spPr>
                    <a:xfrm>
                      <a:off x="0" y="0"/>
                      <a:ext cx="1830705" cy="12700"/>
                    </a:xfrm>
                    <a:prstGeom prst="rect">
                      <a:avLst/>
                    </a:prstGeom>
                    <a:ln/>
                  </pic:spPr>
                </pic:pic>
              </a:graphicData>
            </a:graphic>
          </wp:anchor>
        </w:drawing>
      </w:r>
      <w:r w:rsidRPr="002451B6">
        <w:rPr>
          <w:rFonts w:ascii="Times New Roman" w:eastAsia="Times New Roman" w:hAnsi="Times New Roman" w:cs="Times New Roman"/>
          <w:sz w:val="24"/>
          <w:szCs w:val="24"/>
        </w:rPr>
        <w:t xml:space="preserve"> do que é abjeto. Como aponta Michelle </w:t>
      </w:r>
      <w:proofErr w:type="spellStart"/>
      <w:r w:rsidRPr="002451B6">
        <w:rPr>
          <w:rFonts w:ascii="Times New Roman" w:eastAsia="Times New Roman" w:hAnsi="Times New Roman" w:cs="Times New Roman"/>
          <w:sz w:val="24"/>
          <w:szCs w:val="24"/>
        </w:rPr>
        <w:t>Perrot</w:t>
      </w:r>
      <w:proofErr w:type="spellEnd"/>
      <w:r w:rsidRPr="002451B6">
        <w:rPr>
          <w:rFonts w:ascii="Times New Roman" w:eastAsia="Times New Roman" w:hAnsi="Times New Roman" w:cs="Times New Roman"/>
          <w:sz w:val="24"/>
          <w:szCs w:val="24"/>
        </w:rPr>
        <w:t xml:space="preserve"> (2017), o corpo feminino que escapa à norma da domesticidade higienista e da estética burguesa é imediatamente rotulado como perigoso. É percebido sob as lentes da sujeira e do desleixo de uma mulher de periferia, moradora de um local alagadiço, interpretados pelo olhar disciplinador como indícios de uma corrupção moral que transforma a exclusão social em uma representação da monstruosidade que, enfim, recai sobre Célia de Souza.</w:t>
      </w:r>
    </w:p>
    <w:p w14:paraId="36788E9D" w14:textId="7B45AA4F" w:rsidR="00FE0C0A" w:rsidRPr="002451B6" w:rsidRDefault="00FE0C0A" w:rsidP="00FE0C0A">
      <w:pPr>
        <w:widowControl w:val="0"/>
        <w:spacing w:before="3" w:line="360" w:lineRule="auto"/>
        <w:ind w:left="140" w:right="135" w:firstLine="706"/>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Essa construção visual alimentou o que Yvonne Maggie (1992) define como o “medo do feitiço". Segundo Maggie, a crença na magia e na feitiçaria no Brasil funciona como um sistema de acusações que organiza as relações de poder e as distâncias sociais. O medo de passar em frente à casa de Célia revela uma fronteira invisível, onde a calçada se torna um território de perigo espiritual. Esse isolamento geográfico da residência de Célia operava uma limpeza simbólica: a vizinhança "decente" e "cristã" buscava proteger- se do contágio de uma mulher que representava a alteridade </w:t>
      </w:r>
      <w:r w:rsidR="00C13431" w:rsidRPr="002451B6">
        <w:rPr>
          <w:rFonts w:ascii="Times New Roman" w:eastAsia="Times New Roman" w:hAnsi="Times New Roman" w:cs="Times New Roman"/>
          <w:sz w:val="24"/>
          <w:szCs w:val="24"/>
        </w:rPr>
        <w:t>radical:</w:t>
      </w:r>
      <w:r w:rsidRPr="002451B6">
        <w:rPr>
          <w:rFonts w:ascii="Times New Roman" w:eastAsia="Times New Roman" w:hAnsi="Times New Roman" w:cs="Times New Roman"/>
          <w:sz w:val="24"/>
          <w:szCs w:val="24"/>
        </w:rPr>
        <w:t xml:space="preserve"> a negritude mística que a modernidade da época tentava, sem sucesso, soterrar.</w:t>
      </w:r>
    </w:p>
    <w:p w14:paraId="4A03EB1C" w14:textId="77777777" w:rsidR="00FE0C0A" w:rsidRPr="002451B6" w:rsidRDefault="00FE0C0A" w:rsidP="00FE0C0A">
      <w:pPr>
        <w:widowControl w:val="0"/>
        <w:spacing w:before="2" w:line="360" w:lineRule="auto"/>
        <w:ind w:left="140" w:right="137"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perenidade desse estigma é confirmada pela experiência etnográfica contemporânea, que demonstra que a "Bruxa" permanece viva na memória traumática da </w:t>
      </w:r>
      <w:r w:rsidRPr="002451B6">
        <w:rPr>
          <w:rFonts w:ascii="Times New Roman" w:eastAsia="Times New Roman" w:hAnsi="Times New Roman" w:cs="Times New Roman"/>
          <w:sz w:val="24"/>
          <w:szCs w:val="24"/>
        </w:rPr>
        <w:lastRenderedPageBreak/>
        <w:t>cidade. Em contato com o bisneto de Bertolino Larson, personagem central no processo de 1969, a força do silêncio se impôs como uma barreira intransponível. A avó do entrevistado, uma das crianças que ficou sob os cuidados de Célia e irmã de duas das crianças mortas, recusa-se a falar sobre o assunto. Esse silêncio não é apenas esquecimento; é uma forma de proteção contra a reativação de forças que a família ainda considera perigosas.</w:t>
      </w:r>
    </w:p>
    <w:p w14:paraId="5025D1EA" w14:textId="51C97FF6" w:rsidR="00FE0C0A" w:rsidRPr="002451B6" w:rsidRDefault="00FE0C0A" w:rsidP="008B6F15">
      <w:pPr>
        <w:widowControl w:val="0"/>
        <w:spacing w:before="1" w:line="360" w:lineRule="auto"/>
        <w:ind w:left="140" w:right="132"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aviso dado pelo descendente de Larson à pesquisadora: "- Você tem filhos? Porque se tem é melhor deixar essa história </w:t>
      </w:r>
      <w:proofErr w:type="gramStart"/>
      <w:r w:rsidRPr="002451B6">
        <w:rPr>
          <w:rFonts w:ascii="Times New Roman" w:eastAsia="Times New Roman" w:hAnsi="Times New Roman" w:cs="Times New Roman"/>
          <w:sz w:val="24"/>
          <w:szCs w:val="24"/>
        </w:rPr>
        <w:t>pra</w:t>
      </w:r>
      <w:proofErr w:type="gramEnd"/>
      <w:r w:rsidRPr="002451B6">
        <w:rPr>
          <w:rFonts w:ascii="Times New Roman" w:eastAsia="Times New Roman" w:hAnsi="Times New Roman" w:cs="Times New Roman"/>
          <w:sz w:val="24"/>
          <w:szCs w:val="24"/>
        </w:rPr>
        <w:t xml:space="preserve"> lá"</w:t>
      </w:r>
      <w:r w:rsidR="004826BF" w:rsidRPr="002451B6">
        <w:rPr>
          <w:rStyle w:val="Refdenotaderodap"/>
          <w:rFonts w:ascii="Times New Roman" w:eastAsia="Times New Roman" w:hAnsi="Times New Roman" w:cs="Times New Roman"/>
          <w:sz w:val="24"/>
          <w:szCs w:val="24"/>
        </w:rPr>
        <w:footnoteReference w:id="38"/>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materializa a crença de que a evocação histórica de Célia é, em si, um ato de risco. Segundo o relato, o simples fato de o jornal </w:t>
      </w:r>
      <w:r w:rsidRPr="002451B6">
        <w:rPr>
          <w:rFonts w:ascii="Times New Roman" w:eastAsia="Times New Roman" w:hAnsi="Times New Roman" w:cs="Times New Roman"/>
          <w:i/>
          <w:iCs/>
          <w:sz w:val="24"/>
          <w:szCs w:val="24"/>
        </w:rPr>
        <w:t xml:space="preserve">Campo Grande News </w:t>
      </w:r>
      <w:r w:rsidRPr="002451B6">
        <w:rPr>
          <w:rFonts w:ascii="Times New Roman" w:eastAsia="Times New Roman" w:hAnsi="Times New Roman" w:cs="Times New Roman"/>
          <w:sz w:val="24"/>
          <w:szCs w:val="24"/>
        </w:rPr>
        <w:t>ter revisitado o caso em 2014</w:t>
      </w:r>
      <w:r w:rsidR="004826BF" w:rsidRPr="002451B6">
        <w:rPr>
          <w:rStyle w:val="Refdenotaderodap"/>
          <w:rFonts w:ascii="Times New Roman" w:eastAsia="Times New Roman" w:hAnsi="Times New Roman" w:cs="Times New Roman"/>
          <w:sz w:val="24"/>
          <w:szCs w:val="24"/>
        </w:rPr>
        <w:footnoteReference w:id="39"/>
      </w:r>
      <w:r w:rsidRPr="002451B6">
        <w:rPr>
          <w:rFonts w:ascii="Times New Roman" w:eastAsia="Times New Roman" w:hAnsi="Times New Roman" w:cs="Times New Roman"/>
          <w:sz w:val="24"/>
          <w:szCs w:val="24"/>
          <w:vertAlign w:val="superscript"/>
        </w:rPr>
        <w:t>7</w:t>
      </w:r>
      <w:r w:rsidRPr="002451B6">
        <w:rPr>
          <w:rFonts w:ascii="Times New Roman" w:eastAsia="Times New Roman" w:hAnsi="Times New Roman" w:cs="Times New Roman"/>
          <w:sz w:val="24"/>
          <w:szCs w:val="24"/>
        </w:rPr>
        <w:t xml:space="preserve"> teria desencadeado uma sucessão de "maldições" e infortúnios familiares. Aqui, a feitiçaria deixa de ser um objeto de estudo distante para se tornar uma realidade vivida: a história de Célia não é vista como um erro judiciário do passado, mas como uma ferida metafísica que, se tocada, pode sangrar novamente sobre as novas gerações.</w:t>
      </w:r>
      <w:r w:rsidRPr="002451B6">
        <w:rPr>
          <w:noProof/>
        </w:rPr>
        <w:drawing>
          <wp:anchor distT="0" distB="0" distL="0" distR="0" simplePos="0" relativeHeight="251663360" behindDoc="0" locked="0" layoutInCell="1" hidden="0" allowOverlap="1" wp14:anchorId="664ABF6E" wp14:editId="5C9EC889">
            <wp:simplePos x="0" y="0"/>
            <wp:positionH relativeFrom="column">
              <wp:posOffset>89534</wp:posOffset>
            </wp:positionH>
            <wp:positionV relativeFrom="paragraph">
              <wp:posOffset>185420</wp:posOffset>
            </wp:positionV>
            <wp:extent cx="1830705" cy="12700"/>
            <wp:effectExtent l="0" t="0" r="0" b="0"/>
            <wp:wrapTopAndBottom distT="0" dist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7"/>
                    <a:srcRect/>
                    <a:stretch>
                      <a:fillRect/>
                    </a:stretch>
                  </pic:blipFill>
                  <pic:spPr>
                    <a:xfrm>
                      <a:off x="0" y="0"/>
                      <a:ext cx="1830705" cy="12700"/>
                    </a:xfrm>
                    <a:prstGeom prst="rect">
                      <a:avLst/>
                    </a:prstGeom>
                    <a:ln/>
                  </pic:spPr>
                </pic:pic>
              </a:graphicData>
            </a:graphic>
          </wp:anchor>
        </w:drawing>
      </w:r>
    </w:p>
    <w:p w14:paraId="11DCFA12" w14:textId="77777777" w:rsidR="00FE0C0A" w:rsidRPr="002451B6" w:rsidRDefault="00FE0C0A" w:rsidP="00FE0C0A">
      <w:pPr>
        <w:widowControl w:val="0"/>
        <w:spacing w:before="79" w:line="360" w:lineRule="auto"/>
        <w:ind w:left="140" w:right="138"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Portanto, o sexismo e o pânico moral da ditadura militar não apenas encarceraram Célia de Souza fisicamente; eles a aprisionaram em um arquétipo do mal que a verdade dos fatos parece incapaz de dissipar. Enquanto a Célia humana desapareceu no tempo, a "Bruxa" permanece vigiando sua antiga casa, servindo como um lembrete violento de como a sociedade patriarcal, racista e intolerante trata a agência feminina dissidente: se não pode ser controlada pelo Direito, será eternizada pelo Medo.</w:t>
      </w:r>
    </w:p>
    <w:p w14:paraId="65724BDE" w14:textId="77777777" w:rsidR="00FE0C0A" w:rsidRPr="002451B6" w:rsidRDefault="00FE0C0A" w:rsidP="00FE0C0A">
      <w:pPr>
        <w:widowControl w:val="0"/>
        <w:spacing w:before="3" w:line="360" w:lineRule="auto"/>
        <w:ind w:left="140" w:right="130"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Quando foi presa, em 1969, Célia tinha 41 anos, hoje ela pode estar ou estaria com 97 anos, não sabemos no momento se ela ainda é viva. Em 2014, quando o jornal Campo Grande News reviveu o caso da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xml:space="preserve"> através de matéria jornalística, ela poderia estar com 86 anos. Sem contar que no imaginário popular a lenda urbana nunca foi esquecida. Dessa forma, a própria Célia pode ter assistido parte de sua trajetória de vida ser contada por vozes alheias, ela pode ter assistido sua subalternização e inferiorização ser construída ao longo dos anos. Se isto realmente ocorreu, Célia de Souza foi violentada durante toda sua vida.</w:t>
      </w:r>
    </w:p>
    <w:p w14:paraId="6CD580DA" w14:textId="77777777" w:rsidR="00FE0C0A" w:rsidRPr="002451B6" w:rsidRDefault="00FE0C0A" w:rsidP="00FE0C0A">
      <w:pPr>
        <w:widowControl w:val="0"/>
        <w:spacing w:before="2" w:line="360" w:lineRule="auto"/>
        <w:ind w:left="140" w:right="135"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caso da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xml:space="preserve"> para além de ser a trajetória de vida de uma mulher comum, reflete a história de violências sofridas por todas nós: estigmatização, inferiorização, </w:t>
      </w:r>
      <w:r w:rsidRPr="002451B6">
        <w:rPr>
          <w:rFonts w:ascii="Times New Roman" w:eastAsia="Times New Roman" w:hAnsi="Times New Roman" w:cs="Times New Roman"/>
          <w:sz w:val="24"/>
          <w:szCs w:val="24"/>
        </w:rPr>
        <w:lastRenderedPageBreak/>
        <w:t>desumanização, silenciamento. Essas violências quando perpetradas pelo Estado significam a intenção de moldar comportamentos e ditar regras para o feminino de sua época. O governo dos corpos, sob a égide foucaultiana, manifesta-se na minúcia das tecnologias políticas que visam a normalização do desejo e da conduta social. No caso de Célia, o Estado não apenas encarcerou seu corpo físico, mas operou uma biopolítica que utilizou o estigma para disciplinar o imaginário coletivo, estabelecendo o limite entre a feminilidade aceitável e a alteridade abjeta que deve ser vigiada e punida. A rotulação como “bruxa” opera, portanto, como um dispositivo de segurança moral, onde a criminalização da agência espiritual e da pobreza funciona para reiterar a ordem soberana, transformando uma existência singular em um exemplo pedagógico de abjeção e conduta desviante.</w:t>
      </w:r>
    </w:p>
    <w:p w14:paraId="5276798F" w14:textId="528BD495" w:rsidR="00FE0C0A" w:rsidRPr="002451B6" w:rsidRDefault="00FE0C0A" w:rsidP="00B101D0">
      <w:pPr>
        <w:widowControl w:val="0"/>
        <w:spacing w:before="1" w:line="360" w:lineRule="auto"/>
        <w:ind w:left="140" w:right="137"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construção da lenda urbana de Célia de Souza não deve ser lida como um mero subproduto do folclore regional, mas como a cristalização de um regime de verdade que se sustenta na aliança entre o aparato jurídico-policial e a espetacularização midiática. Como Foucault demonstra em Vigiar e punir (2014), o poder moderno não é apenas repressivo, mas produtivo: ele produz saberes sobre o indivíduo para melhor governá-lo. Ao ser narrada por vozes alheias, a trajetória de Célia foi submetida a uma anatomia política, onde cada detalhe de sua vida: sua mestiçagem, classe social, sua idade, sua</w:t>
      </w:r>
      <w:r w:rsidR="00B101D0"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religiosidade, foram dissecadas para justificar a necessidade de sua exclusão. A lenda, nesse sentido, atua como um Panóptico social permanente: ela vigia não apenas o corpo físico de Célia, mas molda o olhar das gerações futuras, perpetuando o medo como uma técnica de governo que desencoraja qualquer forma de subjetividade que escape aos padrões da domesticidade cristã e branca. A violência, portanto, é fundamentalmente epistemológica: o Estado e a sociedade retiraram de Célia o direito de narrar a si mesma, condenando-a ao cárcere de um discurso que a define exclusivamente pelo estigma da feitiçaria e da periculosidade.</w:t>
      </w:r>
    </w:p>
    <w:p w14:paraId="06724E5E" w14:textId="59672B5F" w:rsidR="00FE0C0A" w:rsidRPr="002451B6" w:rsidRDefault="00FE0C0A" w:rsidP="00B101D0">
      <w:pPr>
        <w:widowControl w:val="0"/>
        <w:spacing w:before="2" w:line="360" w:lineRule="auto"/>
        <w:ind w:left="140" w:right="136" w:firstLine="71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Concluir o estudo sobre o caso da Bruxa da </w:t>
      </w:r>
      <w:proofErr w:type="spellStart"/>
      <w:r w:rsidRPr="002451B6">
        <w:rPr>
          <w:rFonts w:ascii="Times New Roman" w:eastAsia="Times New Roman" w:hAnsi="Times New Roman" w:cs="Times New Roman"/>
          <w:sz w:val="24"/>
          <w:szCs w:val="24"/>
        </w:rPr>
        <w:t>Sapolândia</w:t>
      </w:r>
      <w:proofErr w:type="spellEnd"/>
      <w:r w:rsidRPr="002451B6">
        <w:rPr>
          <w:rFonts w:ascii="Times New Roman" w:eastAsia="Times New Roman" w:hAnsi="Times New Roman" w:cs="Times New Roman"/>
          <w:sz w:val="24"/>
          <w:szCs w:val="24"/>
        </w:rPr>
        <w:t xml:space="preserve"> exige reconhecer que a biopolítica brasileira encontrou no corpo feminino periférico um laboratório de controle cujos ecos ressoam até a contemporaneidade. A trajetória e subjetividade de Célia, marcadas pela subalternização e pelo desaparecimento social, é o espelho de um biopoder que decide quais vidas são dignas de direito e quais são destinadas ao apagamento ou à conversão em mito assombroso. Se Célia assistiu, em sua possível longevidade, à reativação de sua dor sob o manto do entretenimento jornalístico em 2014, ela testemunhou a atualização de uma sentença que não necessita de celas de ferro para ser executada. Entretanto, ao reconstituirmos sua história sob uma lente crítica, operamos uma insurreição dos saberes sujeitados, confrontando a história oficial com a densidade da vida real que o mito tentou </w:t>
      </w:r>
      <w:r w:rsidRPr="002451B6">
        <w:rPr>
          <w:rFonts w:ascii="Times New Roman" w:eastAsia="Times New Roman" w:hAnsi="Times New Roman" w:cs="Times New Roman"/>
          <w:sz w:val="24"/>
          <w:szCs w:val="24"/>
        </w:rPr>
        <w:lastRenderedPageBreak/>
        <w:t xml:space="preserve">soterrar. Reivindicar a humanidade de Célia de Souza não é apenas um ato de reparação historiográfica, mas uma estratégia de resistência contra as estruturas patriarcais que continuam a ditar regras para o feminino, provando que, embora o poder tente governar os corpos através do medo e do silenciamento, a memória permanece como o território onde a </w:t>
      </w:r>
      <w:proofErr w:type="spellStart"/>
      <w:r w:rsidRPr="002451B6">
        <w:rPr>
          <w:rFonts w:ascii="Times New Roman" w:eastAsia="Times New Roman" w:hAnsi="Times New Roman" w:cs="Times New Roman"/>
          <w:sz w:val="24"/>
          <w:szCs w:val="24"/>
        </w:rPr>
        <w:t>contra-história</w:t>
      </w:r>
      <w:proofErr w:type="spellEnd"/>
      <w:r w:rsidRPr="002451B6">
        <w:rPr>
          <w:rFonts w:ascii="Times New Roman" w:eastAsia="Times New Roman" w:hAnsi="Times New Roman" w:cs="Times New Roman"/>
          <w:sz w:val="24"/>
          <w:szCs w:val="24"/>
        </w:rPr>
        <w:t xml:space="preserve"> se torna uma ferramenta de libertação.</w:t>
      </w:r>
    </w:p>
    <w:p w14:paraId="6A351D60" w14:textId="77777777" w:rsidR="00FE0C0A" w:rsidRPr="002451B6" w:rsidRDefault="00FE0C0A" w:rsidP="00FE0C0A">
      <w:pPr>
        <w:widowControl w:val="0"/>
        <w:spacing w:line="240" w:lineRule="auto"/>
        <w:rPr>
          <w:rFonts w:ascii="Times New Roman" w:eastAsia="Times New Roman" w:hAnsi="Times New Roman" w:cs="Times New Roman"/>
          <w:sz w:val="24"/>
          <w:szCs w:val="24"/>
        </w:rPr>
      </w:pPr>
    </w:p>
    <w:p w14:paraId="12B4D2AE" w14:textId="77777777" w:rsidR="00FE0C0A" w:rsidRPr="002451B6" w:rsidRDefault="00FE0C0A" w:rsidP="00FE0C0A">
      <w:pPr>
        <w:widowControl w:val="0"/>
        <w:spacing w:before="1" w:line="240" w:lineRule="auto"/>
        <w:rPr>
          <w:rFonts w:ascii="Times New Roman" w:eastAsia="Times New Roman" w:hAnsi="Times New Roman" w:cs="Times New Roman"/>
          <w:sz w:val="24"/>
          <w:szCs w:val="24"/>
        </w:rPr>
      </w:pPr>
    </w:p>
    <w:p w14:paraId="3E0318C8" w14:textId="77777777" w:rsidR="00FE0C0A" w:rsidRPr="002451B6" w:rsidRDefault="00FE0C0A" w:rsidP="00FE0C0A">
      <w:pPr>
        <w:pStyle w:val="Ttulo1"/>
        <w:keepNext w:val="0"/>
        <w:keepLines w:val="0"/>
        <w:widowControl w:val="0"/>
        <w:numPr>
          <w:ilvl w:val="1"/>
          <w:numId w:val="1"/>
        </w:numPr>
        <w:spacing w:before="0" w:after="0" w:line="240" w:lineRule="auto"/>
        <w:ind w:left="140"/>
        <w:jc w:val="center"/>
        <w:rPr>
          <w:rFonts w:ascii="Times New Roman" w:eastAsia="Times New Roman" w:hAnsi="Times New Roman" w:cs="Times New Roman"/>
          <w:b/>
          <w:bCs/>
          <w:sz w:val="24"/>
          <w:szCs w:val="24"/>
        </w:rPr>
      </w:pPr>
      <w:bookmarkStart w:id="11" w:name="_1fwtiq1gtry8" w:colFirst="0" w:colLast="0"/>
      <w:bookmarkEnd w:id="11"/>
      <w:r w:rsidRPr="002451B6">
        <w:rPr>
          <w:rFonts w:ascii="Times New Roman" w:eastAsia="Times New Roman" w:hAnsi="Times New Roman" w:cs="Times New Roman"/>
          <w:b/>
          <w:bCs/>
          <w:sz w:val="24"/>
          <w:szCs w:val="24"/>
        </w:rPr>
        <w:t xml:space="preserve">Referências </w:t>
      </w:r>
    </w:p>
    <w:p w14:paraId="17DA73A5" w14:textId="77777777" w:rsidR="00FE0C0A" w:rsidRPr="002451B6" w:rsidRDefault="00FE0C0A" w:rsidP="00FE0C0A">
      <w:pPr>
        <w:widowControl w:val="0"/>
        <w:spacing w:before="5" w:line="240" w:lineRule="auto"/>
        <w:rPr>
          <w:rFonts w:ascii="Times New Roman" w:eastAsia="Times New Roman" w:hAnsi="Times New Roman" w:cs="Times New Roman"/>
          <w:b/>
          <w:bCs/>
          <w:sz w:val="24"/>
          <w:szCs w:val="24"/>
        </w:rPr>
      </w:pPr>
    </w:p>
    <w:p w14:paraId="32934341" w14:textId="77777777" w:rsidR="00FE0C0A" w:rsidRPr="002451B6" w:rsidRDefault="00FE0C0A" w:rsidP="00FE0C0A">
      <w:pPr>
        <w:widowControl w:val="0"/>
        <w:spacing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BATISTA, V. M. </w:t>
      </w:r>
      <w:r w:rsidRPr="002451B6">
        <w:rPr>
          <w:rFonts w:ascii="Times New Roman" w:eastAsia="Times New Roman" w:hAnsi="Times New Roman" w:cs="Times New Roman"/>
          <w:i/>
          <w:iCs/>
          <w:sz w:val="24"/>
          <w:szCs w:val="24"/>
        </w:rPr>
        <w:t>O medo na cidade do Rio de Janeiro</w:t>
      </w:r>
      <w:r w:rsidRPr="002451B6">
        <w:rPr>
          <w:rFonts w:ascii="Times New Roman" w:eastAsia="Times New Roman" w:hAnsi="Times New Roman" w:cs="Times New Roman"/>
          <w:sz w:val="24"/>
          <w:szCs w:val="24"/>
        </w:rPr>
        <w:t>: dois tempos de uma história. 2. ed. Rio de Janeiro: Revan, 2011.</w:t>
      </w:r>
    </w:p>
    <w:p w14:paraId="58DEAE2D" w14:textId="71CCEB8E" w:rsidR="00B101D0" w:rsidRPr="002451B6" w:rsidRDefault="00FE0C0A" w:rsidP="00B101D0">
      <w:pPr>
        <w:widowControl w:val="0"/>
        <w:spacing w:before="268"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BENTO, A. T. </w:t>
      </w:r>
      <w:r w:rsidRPr="002451B6">
        <w:rPr>
          <w:rFonts w:ascii="Times New Roman" w:eastAsia="Times New Roman" w:hAnsi="Times New Roman" w:cs="Times New Roman"/>
          <w:i/>
          <w:iCs/>
          <w:sz w:val="24"/>
          <w:szCs w:val="24"/>
        </w:rPr>
        <w:t>A Ditadura Civil-Militar Brasileira e o Racismo Religioso</w:t>
      </w:r>
      <w:r w:rsidRPr="002451B6">
        <w:rPr>
          <w:rFonts w:ascii="Times New Roman" w:eastAsia="Times New Roman" w:hAnsi="Times New Roman" w:cs="Times New Roman"/>
          <w:sz w:val="24"/>
          <w:szCs w:val="24"/>
        </w:rPr>
        <w:t>: o monitoramento às religiões de matriz africana através da Doutrina de Segurança Nacional. 2024. 53 f. Trabalho de Conclusão de Curso (Graduação em História) – Universidade Federal do Rio Grande do Sul, Porto Alegre, 2024.</w:t>
      </w:r>
    </w:p>
    <w:p w14:paraId="36669A3D" w14:textId="5D75A66A" w:rsidR="00FE0C0A" w:rsidRPr="002451B6" w:rsidRDefault="00B101D0" w:rsidP="00B101D0">
      <w:pPr>
        <w:widowControl w:val="0"/>
        <w:spacing w:before="74" w:line="245" w:lineRule="auto"/>
        <w:ind w:left="142" w:right="136"/>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00FE0C0A" w:rsidRPr="002451B6">
        <w:rPr>
          <w:rFonts w:ascii="Times New Roman" w:eastAsia="Times New Roman" w:hAnsi="Times New Roman" w:cs="Times New Roman"/>
          <w:sz w:val="24"/>
          <w:szCs w:val="24"/>
        </w:rPr>
        <w:t xml:space="preserve">BOURDIEU, P. </w:t>
      </w:r>
      <w:r w:rsidR="00FE0C0A" w:rsidRPr="002451B6">
        <w:rPr>
          <w:rFonts w:ascii="Times New Roman" w:eastAsia="Times New Roman" w:hAnsi="Times New Roman" w:cs="Times New Roman"/>
          <w:i/>
          <w:iCs/>
          <w:sz w:val="24"/>
          <w:szCs w:val="24"/>
        </w:rPr>
        <w:t>A dominação masculina</w:t>
      </w:r>
      <w:r w:rsidR="00FE0C0A" w:rsidRPr="002451B6">
        <w:rPr>
          <w:rFonts w:ascii="Times New Roman" w:eastAsia="Times New Roman" w:hAnsi="Times New Roman" w:cs="Times New Roman"/>
          <w:sz w:val="24"/>
          <w:szCs w:val="24"/>
        </w:rPr>
        <w:t xml:space="preserve">. Tradução de Maria Helena </w:t>
      </w:r>
      <w:proofErr w:type="spellStart"/>
      <w:r w:rsidR="00FE0C0A" w:rsidRPr="002451B6">
        <w:rPr>
          <w:rFonts w:ascii="Times New Roman" w:eastAsia="Times New Roman" w:hAnsi="Times New Roman" w:cs="Times New Roman"/>
          <w:sz w:val="24"/>
          <w:szCs w:val="24"/>
        </w:rPr>
        <w:t>Kühner</w:t>
      </w:r>
      <w:proofErr w:type="spellEnd"/>
      <w:r w:rsidR="00FE0C0A" w:rsidRPr="002451B6">
        <w:rPr>
          <w:rFonts w:ascii="Times New Roman" w:eastAsia="Times New Roman" w:hAnsi="Times New Roman" w:cs="Times New Roman"/>
          <w:sz w:val="24"/>
          <w:szCs w:val="24"/>
        </w:rPr>
        <w:t xml:space="preserve">. 2. ed. Rio </w:t>
      </w:r>
      <w:r w:rsidRPr="002451B6">
        <w:rPr>
          <w:rFonts w:ascii="Times New Roman" w:eastAsia="Times New Roman" w:hAnsi="Times New Roman" w:cs="Times New Roman"/>
          <w:sz w:val="24"/>
          <w:szCs w:val="24"/>
        </w:rPr>
        <w:t xml:space="preserve">  </w:t>
      </w:r>
      <w:proofErr w:type="gramStart"/>
      <w:r w:rsidR="00FE0C0A" w:rsidRPr="002451B6">
        <w:rPr>
          <w:rFonts w:ascii="Times New Roman" w:eastAsia="Times New Roman" w:hAnsi="Times New Roman" w:cs="Times New Roman"/>
          <w:sz w:val="24"/>
          <w:szCs w:val="24"/>
        </w:rPr>
        <w:t xml:space="preserve">de </w:t>
      </w:r>
      <w:r w:rsidRPr="002451B6">
        <w:rPr>
          <w:rFonts w:ascii="Times New Roman" w:eastAsia="Times New Roman" w:hAnsi="Times New Roman" w:cs="Times New Roman"/>
          <w:sz w:val="24"/>
          <w:szCs w:val="24"/>
        </w:rPr>
        <w:t xml:space="preserve"> </w:t>
      </w:r>
      <w:r w:rsidR="00FE0C0A" w:rsidRPr="002451B6">
        <w:rPr>
          <w:rFonts w:ascii="Times New Roman" w:eastAsia="Times New Roman" w:hAnsi="Times New Roman" w:cs="Times New Roman"/>
          <w:sz w:val="24"/>
          <w:szCs w:val="24"/>
        </w:rPr>
        <w:t>Janeiro</w:t>
      </w:r>
      <w:proofErr w:type="gramEnd"/>
      <w:r w:rsidR="00FE0C0A" w:rsidRPr="002451B6">
        <w:rPr>
          <w:rFonts w:ascii="Times New Roman" w:eastAsia="Times New Roman" w:hAnsi="Times New Roman" w:cs="Times New Roman"/>
          <w:sz w:val="24"/>
          <w:szCs w:val="24"/>
        </w:rPr>
        <w:t>: Bertrand Brasil, 2002.</w:t>
      </w:r>
    </w:p>
    <w:p w14:paraId="1937E1D7" w14:textId="77777777" w:rsidR="00FE0C0A" w:rsidRPr="002451B6" w:rsidRDefault="00FE0C0A" w:rsidP="00FE0C0A">
      <w:pPr>
        <w:widowControl w:val="0"/>
        <w:spacing w:before="267"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COLLINS, P. H.; BILGE, S. </w:t>
      </w:r>
      <w:r w:rsidRPr="002451B6">
        <w:rPr>
          <w:rFonts w:ascii="Times New Roman" w:eastAsia="Times New Roman" w:hAnsi="Times New Roman" w:cs="Times New Roman"/>
          <w:i/>
          <w:iCs/>
          <w:sz w:val="24"/>
          <w:szCs w:val="24"/>
        </w:rPr>
        <w:t>Interseccionalidade</w:t>
      </w:r>
      <w:r w:rsidRPr="002451B6">
        <w:rPr>
          <w:rFonts w:ascii="Times New Roman" w:eastAsia="Times New Roman" w:hAnsi="Times New Roman" w:cs="Times New Roman"/>
          <w:sz w:val="24"/>
          <w:szCs w:val="24"/>
        </w:rPr>
        <w:t>. São Paulo: Boitempo, 2022.</w:t>
      </w:r>
    </w:p>
    <w:p w14:paraId="0FDFBA1E" w14:textId="77777777" w:rsidR="00FE0C0A" w:rsidRPr="002451B6" w:rsidRDefault="00FE0C0A" w:rsidP="00FE0C0A">
      <w:pPr>
        <w:widowControl w:val="0"/>
        <w:spacing w:before="267"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DELUMEAU, J. </w:t>
      </w:r>
      <w:r w:rsidRPr="002451B6">
        <w:rPr>
          <w:rFonts w:ascii="Times New Roman" w:eastAsia="Times New Roman" w:hAnsi="Times New Roman" w:cs="Times New Roman"/>
          <w:i/>
          <w:iCs/>
          <w:sz w:val="24"/>
          <w:szCs w:val="24"/>
        </w:rPr>
        <w:t>História do medo no Ocidente:</w:t>
      </w:r>
      <w:r w:rsidRPr="002451B6">
        <w:rPr>
          <w:rFonts w:ascii="Times New Roman" w:eastAsia="Times New Roman" w:hAnsi="Times New Roman" w:cs="Times New Roman"/>
          <w:sz w:val="24"/>
          <w:szCs w:val="24"/>
        </w:rPr>
        <w:t xml:space="preserve"> 1300-1800, uma cidade sitiada. São Paulo: Companhia das Letras, 1989.</w:t>
      </w:r>
    </w:p>
    <w:p w14:paraId="14F3CF8B" w14:textId="77777777" w:rsidR="00FE0C0A" w:rsidRPr="002451B6" w:rsidRDefault="00FE0C0A" w:rsidP="00FE0C0A">
      <w:pPr>
        <w:widowControl w:val="0"/>
        <w:spacing w:before="267"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FEDERICI, S. </w:t>
      </w:r>
      <w:r w:rsidRPr="002451B6">
        <w:rPr>
          <w:rFonts w:ascii="Times New Roman" w:eastAsia="Times New Roman" w:hAnsi="Times New Roman" w:cs="Times New Roman"/>
          <w:i/>
          <w:iCs/>
          <w:sz w:val="24"/>
          <w:szCs w:val="24"/>
        </w:rPr>
        <w:t>Mulheres e caça às bruxas:</w:t>
      </w:r>
      <w:r w:rsidRPr="002451B6">
        <w:rPr>
          <w:rFonts w:ascii="Times New Roman" w:eastAsia="Times New Roman" w:hAnsi="Times New Roman" w:cs="Times New Roman"/>
          <w:sz w:val="24"/>
          <w:szCs w:val="24"/>
        </w:rPr>
        <w:t xml:space="preserve"> da Idade Média aos dias atuais. Traduzido por </w:t>
      </w:r>
      <w:proofErr w:type="spellStart"/>
      <w:r w:rsidRPr="002451B6">
        <w:rPr>
          <w:rFonts w:ascii="Times New Roman" w:eastAsia="Times New Roman" w:hAnsi="Times New Roman" w:cs="Times New Roman"/>
          <w:sz w:val="24"/>
          <w:szCs w:val="24"/>
        </w:rPr>
        <w:t>Heci</w:t>
      </w:r>
      <w:proofErr w:type="spellEnd"/>
      <w:r w:rsidRPr="002451B6">
        <w:rPr>
          <w:rFonts w:ascii="Times New Roman" w:eastAsia="Times New Roman" w:hAnsi="Times New Roman" w:cs="Times New Roman"/>
          <w:sz w:val="24"/>
          <w:szCs w:val="24"/>
        </w:rPr>
        <w:t xml:space="preserve"> Regina </w:t>
      </w:r>
      <w:proofErr w:type="spellStart"/>
      <w:r w:rsidRPr="002451B6">
        <w:rPr>
          <w:rFonts w:ascii="Times New Roman" w:eastAsia="Times New Roman" w:hAnsi="Times New Roman" w:cs="Times New Roman"/>
          <w:sz w:val="24"/>
          <w:szCs w:val="24"/>
        </w:rPr>
        <w:t>Candiani</w:t>
      </w:r>
      <w:proofErr w:type="spellEnd"/>
      <w:r w:rsidRPr="002451B6">
        <w:rPr>
          <w:rFonts w:ascii="Times New Roman" w:eastAsia="Times New Roman" w:hAnsi="Times New Roman" w:cs="Times New Roman"/>
          <w:sz w:val="24"/>
          <w:szCs w:val="24"/>
        </w:rPr>
        <w:t>. 1° ed. São Paulo: Boitempo, 2019. 158p.</w:t>
      </w:r>
    </w:p>
    <w:p w14:paraId="686DB546" w14:textId="77777777" w:rsidR="00FE0C0A" w:rsidRPr="002451B6" w:rsidRDefault="00FE0C0A" w:rsidP="00FE0C0A">
      <w:pPr>
        <w:widowControl w:val="0"/>
        <w:spacing w:before="267"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FEDERICI, S. </w:t>
      </w:r>
      <w:proofErr w:type="spellStart"/>
      <w:r w:rsidRPr="002451B6">
        <w:rPr>
          <w:rFonts w:ascii="Times New Roman" w:eastAsia="Times New Roman" w:hAnsi="Times New Roman" w:cs="Times New Roman"/>
          <w:i/>
          <w:iCs/>
          <w:sz w:val="24"/>
          <w:szCs w:val="24"/>
        </w:rPr>
        <w:t>Calibã</w:t>
      </w:r>
      <w:proofErr w:type="spellEnd"/>
      <w:r w:rsidRPr="002451B6">
        <w:rPr>
          <w:rFonts w:ascii="Times New Roman" w:eastAsia="Times New Roman" w:hAnsi="Times New Roman" w:cs="Times New Roman"/>
          <w:i/>
          <w:iCs/>
          <w:sz w:val="24"/>
          <w:szCs w:val="24"/>
        </w:rPr>
        <w:t xml:space="preserve"> e a bruxa.</w:t>
      </w:r>
      <w:r w:rsidRPr="002451B6">
        <w:rPr>
          <w:rFonts w:ascii="Times New Roman" w:eastAsia="Times New Roman" w:hAnsi="Times New Roman" w:cs="Times New Roman"/>
          <w:sz w:val="24"/>
          <w:szCs w:val="24"/>
        </w:rPr>
        <w:t xml:space="preserve"> Mulheres, corpo e acumulação primitiva. Trad. de Coletivo </w:t>
      </w:r>
      <w:proofErr w:type="spellStart"/>
      <w:r w:rsidRPr="002451B6">
        <w:rPr>
          <w:rFonts w:ascii="Times New Roman" w:eastAsia="Times New Roman" w:hAnsi="Times New Roman" w:cs="Times New Roman"/>
          <w:sz w:val="24"/>
          <w:szCs w:val="24"/>
        </w:rPr>
        <w:t>Sycorax</w:t>
      </w:r>
      <w:proofErr w:type="spellEnd"/>
      <w:r w:rsidRPr="002451B6">
        <w:rPr>
          <w:rFonts w:ascii="Times New Roman" w:eastAsia="Times New Roman" w:hAnsi="Times New Roman" w:cs="Times New Roman"/>
          <w:sz w:val="24"/>
          <w:szCs w:val="24"/>
        </w:rPr>
        <w:t>, São Paulo: Elefante, 2017.</w:t>
      </w:r>
    </w:p>
    <w:p w14:paraId="53D03DF5" w14:textId="77777777" w:rsidR="00FE0C0A" w:rsidRPr="002451B6" w:rsidRDefault="00FE0C0A" w:rsidP="00FE0C0A">
      <w:pPr>
        <w:widowControl w:val="0"/>
        <w:spacing w:before="274"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FOUCAULT, M. </w:t>
      </w:r>
      <w:r w:rsidRPr="002451B6">
        <w:rPr>
          <w:rFonts w:ascii="Times New Roman" w:eastAsia="Times New Roman" w:hAnsi="Times New Roman" w:cs="Times New Roman"/>
          <w:i/>
          <w:iCs/>
          <w:sz w:val="24"/>
          <w:szCs w:val="24"/>
        </w:rPr>
        <w:t>Vigiar e punir</w:t>
      </w:r>
      <w:r w:rsidRPr="002451B6">
        <w:rPr>
          <w:rFonts w:ascii="Times New Roman" w:eastAsia="Times New Roman" w:hAnsi="Times New Roman" w:cs="Times New Roman"/>
          <w:sz w:val="24"/>
          <w:szCs w:val="24"/>
        </w:rPr>
        <w:t>: nascimento da prisão. Tradução de Raquel Ramalhete. 42. ed. Petrópolis: Vozes, 2014.</w:t>
      </w:r>
    </w:p>
    <w:p w14:paraId="76E5BFAF" w14:textId="77777777" w:rsidR="00FE0C0A" w:rsidRPr="002451B6" w:rsidRDefault="00FE0C0A" w:rsidP="00FE0C0A">
      <w:pPr>
        <w:widowControl w:val="0"/>
        <w:spacing w:before="273"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LUGONES, M. Colonialidade e gênero. In: HOLLANDA, H. B. de (Org.). </w:t>
      </w:r>
      <w:r w:rsidRPr="002451B6">
        <w:rPr>
          <w:rFonts w:ascii="Times New Roman" w:eastAsia="Times New Roman" w:hAnsi="Times New Roman" w:cs="Times New Roman"/>
          <w:i/>
          <w:iCs/>
          <w:sz w:val="24"/>
          <w:szCs w:val="24"/>
        </w:rPr>
        <w:t>Pensamento feminista hoje</w:t>
      </w:r>
      <w:r w:rsidRPr="002451B6">
        <w:rPr>
          <w:rFonts w:ascii="Times New Roman" w:eastAsia="Times New Roman" w:hAnsi="Times New Roman" w:cs="Times New Roman"/>
          <w:sz w:val="24"/>
          <w:szCs w:val="24"/>
        </w:rPr>
        <w:t>: perspectivas decoloniais. Rio de Janeiro: Bazar do Tempo, 2014. p. 40-64.</w:t>
      </w:r>
    </w:p>
    <w:p w14:paraId="66F79B0D" w14:textId="77777777" w:rsidR="00FE0C0A" w:rsidRPr="002451B6" w:rsidRDefault="00FE0C0A" w:rsidP="00FE0C0A">
      <w:pPr>
        <w:widowControl w:val="0"/>
        <w:spacing w:before="273"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MAGGIE, Y. </w:t>
      </w:r>
      <w:r w:rsidRPr="002451B6">
        <w:rPr>
          <w:rFonts w:ascii="Times New Roman" w:eastAsia="Times New Roman" w:hAnsi="Times New Roman" w:cs="Times New Roman"/>
          <w:i/>
          <w:iCs/>
          <w:sz w:val="24"/>
          <w:szCs w:val="24"/>
        </w:rPr>
        <w:t>Medo do feitiço</w:t>
      </w:r>
      <w:r w:rsidRPr="002451B6">
        <w:rPr>
          <w:rFonts w:ascii="Times New Roman" w:eastAsia="Times New Roman" w:hAnsi="Times New Roman" w:cs="Times New Roman"/>
          <w:sz w:val="24"/>
          <w:szCs w:val="24"/>
        </w:rPr>
        <w:t>: relações entre magia e poder no Brasil. Rio de Janeiro: Arquivo Nacional, 1992.</w:t>
      </w:r>
    </w:p>
    <w:p w14:paraId="440432F0" w14:textId="77777777" w:rsidR="00FE0C0A" w:rsidRPr="002451B6" w:rsidRDefault="00FE0C0A" w:rsidP="00FE0C0A">
      <w:pPr>
        <w:widowControl w:val="0"/>
        <w:spacing w:before="2" w:line="240" w:lineRule="auto"/>
        <w:rPr>
          <w:rFonts w:ascii="Times New Roman" w:eastAsia="Times New Roman" w:hAnsi="Times New Roman" w:cs="Times New Roman"/>
          <w:sz w:val="24"/>
          <w:szCs w:val="24"/>
        </w:rPr>
      </w:pPr>
    </w:p>
    <w:p w14:paraId="70230CA2" w14:textId="77777777" w:rsidR="00FE0C0A" w:rsidRPr="002451B6" w:rsidRDefault="00FE0C0A" w:rsidP="00FE0C0A">
      <w:pPr>
        <w:widowControl w:val="0"/>
        <w:spacing w:line="240" w:lineRule="auto"/>
        <w:ind w:left="1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MICHELET, J. </w:t>
      </w:r>
      <w:r w:rsidRPr="002451B6">
        <w:rPr>
          <w:rFonts w:ascii="Times New Roman" w:eastAsia="Times New Roman" w:hAnsi="Times New Roman" w:cs="Times New Roman"/>
          <w:i/>
          <w:iCs/>
          <w:sz w:val="24"/>
          <w:szCs w:val="24"/>
        </w:rPr>
        <w:t>A feiticeira</w:t>
      </w:r>
      <w:r w:rsidRPr="002451B6">
        <w:rPr>
          <w:rFonts w:ascii="Times New Roman" w:eastAsia="Times New Roman" w:hAnsi="Times New Roman" w:cs="Times New Roman"/>
          <w:sz w:val="24"/>
          <w:szCs w:val="24"/>
        </w:rPr>
        <w:t>. Rio de Janeiro: Nova Fronteira, 1989.</w:t>
      </w:r>
    </w:p>
    <w:p w14:paraId="0BA88ED4" w14:textId="77777777" w:rsidR="00FE0C0A" w:rsidRPr="002451B6" w:rsidRDefault="00FE0C0A" w:rsidP="00FE0C0A">
      <w:pPr>
        <w:widowControl w:val="0"/>
        <w:spacing w:line="240" w:lineRule="auto"/>
        <w:jc w:val="both"/>
        <w:rPr>
          <w:rFonts w:ascii="Times New Roman" w:eastAsia="Times New Roman" w:hAnsi="Times New Roman" w:cs="Times New Roman"/>
          <w:sz w:val="24"/>
          <w:szCs w:val="24"/>
        </w:rPr>
      </w:pPr>
    </w:p>
    <w:p w14:paraId="5C7C04C0" w14:textId="77777777" w:rsidR="00FE0C0A" w:rsidRPr="002451B6" w:rsidRDefault="00FE0C0A" w:rsidP="00FE0C0A">
      <w:pPr>
        <w:widowControl w:val="0"/>
        <w:spacing w:line="240" w:lineRule="auto"/>
        <w:ind w:left="140" w:right="37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OLIVEIRA, A. M. B. de. </w:t>
      </w:r>
      <w:r w:rsidRPr="002451B6">
        <w:rPr>
          <w:rFonts w:ascii="Times New Roman" w:eastAsia="Times New Roman" w:hAnsi="Times New Roman" w:cs="Times New Roman"/>
          <w:i/>
          <w:iCs/>
          <w:sz w:val="24"/>
          <w:szCs w:val="24"/>
        </w:rPr>
        <w:t>Religiões afro-brasileiras e o racismo</w:t>
      </w:r>
      <w:r w:rsidRPr="002451B6">
        <w:rPr>
          <w:rFonts w:ascii="Times New Roman" w:eastAsia="Times New Roman" w:hAnsi="Times New Roman" w:cs="Times New Roman"/>
          <w:sz w:val="24"/>
          <w:szCs w:val="24"/>
        </w:rPr>
        <w:t>: contribuição para a categorização do racismo religioso. 2017. 136 f. Dissertação (Mestrado em Direitos Humanos e Cidadania) – Universidade de Brasília, Brasília, 2017.</w:t>
      </w:r>
    </w:p>
    <w:p w14:paraId="1CCF1A43" w14:textId="77777777" w:rsidR="00FE0C0A" w:rsidRPr="002451B6" w:rsidRDefault="00FE0C0A" w:rsidP="00FE0C0A">
      <w:pPr>
        <w:widowControl w:val="0"/>
        <w:spacing w:before="267" w:line="240" w:lineRule="auto"/>
        <w:ind w:left="140" w:right="18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PERROT, M. </w:t>
      </w:r>
      <w:r w:rsidRPr="002451B6">
        <w:rPr>
          <w:rFonts w:ascii="Times New Roman" w:eastAsia="Times New Roman" w:hAnsi="Times New Roman" w:cs="Times New Roman"/>
          <w:i/>
          <w:iCs/>
          <w:sz w:val="24"/>
          <w:szCs w:val="24"/>
        </w:rPr>
        <w:t>Os excluídos da história</w:t>
      </w:r>
      <w:r w:rsidRPr="002451B6">
        <w:rPr>
          <w:rFonts w:ascii="Times New Roman" w:eastAsia="Times New Roman" w:hAnsi="Times New Roman" w:cs="Times New Roman"/>
          <w:sz w:val="24"/>
          <w:szCs w:val="24"/>
        </w:rPr>
        <w:t>: operários, mulheres e prisioneiros. Rio de Janeiro: Paz e Terra, 2017.</w:t>
      </w:r>
    </w:p>
    <w:p w14:paraId="502F2E04" w14:textId="77777777" w:rsidR="00FE0C0A" w:rsidRPr="002451B6" w:rsidRDefault="00FE0C0A" w:rsidP="00FE0C0A">
      <w:pPr>
        <w:widowControl w:val="0"/>
        <w:spacing w:before="267" w:line="240" w:lineRule="auto"/>
        <w:ind w:left="140" w:right="18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PIRES, T. R. de O. Estruturas Intocadas: Racismo e Ditadura no Rio de Janeiro. </w:t>
      </w:r>
      <w:r w:rsidRPr="002451B6">
        <w:rPr>
          <w:rFonts w:ascii="Times New Roman" w:eastAsia="Times New Roman" w:hAnsi="Times New Roman" w:cs="Times New Roman"/>
          <w:i/>
          <w:iCs/>
          <w:sz w:val="24"/>
          <w:szCs w:val="24"/>
        </w:rPr>
        <w:t xml:space="preserve">Rev. Direito e </w:t>
      </w:r>
      <w:proofErr w:type="spellStart"/>
      <w:r w:rsidRPr="002451B6">
        <w:rPr>
          <w:rFonts w:ascii="Times New Roman" w:eastAsia="Times New Roman" w:hAnsi="Times New Roman" w:cs="Times New Roman"/>
          <w:i/>
          <w:iCs/>
          <w:sz w:val="24"/>
          <w:szCs w:val="24"/>
        </w:rPr>
        <w:t>Práx</w:t>
      </w:r>
      <w:proofErr w:type="spellEnd"/>
      <w:r w:rsidRPr="002451B6">
        <w:rPr>
          <w:rFonts w:ascii="Times New Roman" w:eastAsia="Times New Roman" w:hAnsi="Times New Roman" w:cs="Times New Roman"/>
          <w:sz w:val="24"/>
          <w:szCs w:val="24"/>
        </w:rPr>
        <w:t xml:space="preserve">. 09 (02), </w:t>
      </w:r>
      <w:proofErr w:type="spellStart"/>
      <w:r w:rsidRPr="002451B6">
        <w:rPr>
          <w:rFonts w:ascii="Times New Roman" w:eastAsia="Times New Roman" w:hAnsi="Times New Roman" w:cs="Times New Roman"/>
          <w:sz w:val="24"/>
          <w:szCs w:val="24"/>
        </w:rPr>
        <w:t>Jun</w:t>
      </w:r>
      <w:proofErr w:type="spellEnd"/>
      <w:r w:rsidRPr="002451B6">
        <w:rPr>
          <w:rFonts w:ascii="Times New Roman" w:eastAsia="Times New Roman" w:hAnsi="Times New Roman" w:cs="Times New Roman"/>
          <w:sz w:val="24"/>
          <w:szCs w:val="24"/>
        </w:rPr>
        <w:t xml:space="preserve"> 2018. </w:t>
      </w:r>
    </w:p>
    <w:p w14:paraId="3D0539B4" w14:textId="77777777" w:rsidR="00FE0C0A" w:rsidRPr="002451B6" w:rsidRDefault="00FE0C0A" w:rsidP="00FE0C0A">
      <w:pPr>
        <w:widowControl w:val="0"/>
        <w:spacing w:before="267" w:line="240" w:lineRule="auto"/>
        <w:ind w:left="140" w:right="18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PIRES, T. R. de O. </w:t>
      </w:r>
      <w:r w:rsidRPr="002451B6">
        <w:rPr>
          <w:rFonts w:ascii="Times New Roman" w:eastAsia="Times New Roman" w:hAnsi="Times New Roman" w:cs="Times New Roman"/>
          <w:i/>
          <w:iCs/>
          <w:sz w:val="24"/>
          <w:szCs w:val="24"/>
        </w:rPr>
        <w:t>Colorindo memórias e redefinindo olhares:</w:t>
      </w:r>
      <w:r w:rsidRPr="002451B6">
        <w:rPr>
          <w:rFonts w:ascii="Times New Roman" w:eastAsia="Times New Roman" w:hAnsi="Times New Roman" w:cs="Times New Roman"/>
          <w:sz w:val="24"/>
          <w:szCs w:val="24"/>
        </w:rPr>
        <w:t xml:space="preserve"> Ditadura Militar e Racismo no Rio de Janeiro. RIO DE JANEIRO (Estado). Comissão da Verdade do Rio. Relatório. Rio de Janeiro: CEV-Rio, 2015.</w:t>
      </w:r>
    </w:p>
    <w:p w14:paraId="0C837799" w14:textId="77777777" w:rsidR="00FE0C0A" w:rsidRPr="002451B6" w:rsidRDefault="00FE0C0A" w:rsidP="00FE0C0A">
      <w:pPr>
        <w:widowControl w:val="0"/>
        <w:spacing w:before="267" w:line="240" w:lineRule="auto"/>
        <w:ind w:left="140" w:right="18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RAGO, M. </w:t>
      </w:r>
      <w:r w:rsidRPr="002451B6">
        <w:rPr>
          <w:rFonts w:ascii="Times New Roman" w:eastAsia="Times New Roman" w:hAnsi="Times New Roman" w:cs="Times New Roman"/>
          <w:i/>
          <w:iCs/>
          <w:sz w:val="24"/>
          <w:szCs w:val="24"/>
        </w:rPr>
        <w:t>Epistemologia feminista, gênero e história.</w:t>
      </w:r>
      <w:r w:rsidRPr="002451B6">
        <w:rPr>
          <w:rFonts w:ascii="Times New Roman" w:eastAsia="Times New Roman" w:hAnsi="Times New Roman" w:cs="Times New Roman"/>
          <w:sz w:val="24"/>
          <w:szCs w:val="24"/>
        </w:rPr>
        <w:t xml:space="preserve"> Santiago de Compostela: Compostela, 2012.</w:t>
      </w:r>
    </w:p>
    <w:p w14:paraId="2A8FEDD1" w14:textId="77777777" w:rsidR="00FE0C0A" w:rsidRPr="002451B6" w:rsidRDefault="00FE0C0A" w:rsidP="00FE0C0A">
      <w:pPr>
        <w:widowControl w:val="0"/>
        <w:spacing w:before="273"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SILVA, N. de F. Ditadura civil-militar no Brasil e a ordem de gênero: masculinidades e feminilidades vigiadas. </w:t>
      </w:r>
      <w:r w:rsidRPr="002451B6">
        <w:rPr>
          <w:rFonts w:ascii="Times New Roman" w:eastAsia="Times New Roman" w:hAnsi="Times New Roman" w:cs="Times New Roman"/>
          <w:i/>
          <w:iCs/>
          <w:sz w:val="24"/>
          <w:szCs w:val="24"/>
        </w:rPr>
        <w:t>Mosaico</w:t>
      </w:r>
      <w:r w:rsidRPr="002451B6">
        <w:rPr>
          <w:rFonts w:ascii="Times New Roman" w:eastAsia="Times New Roman" w:hAnsi="Times New Roman" w:cs="Times New Roman"/>
          <w:sz w:val="24"/>
          <w:szCs w:val="24"/>
        </w:rPr>
        <w:t>, Rio de Janeiro, v. 7, n. 11, p. 65-83, 2016.</w:t>
      </w:r>
    </w:p>
    <w:p w14:paraId="6EA33E78" w14:textId="77777777" w:rsidR="00FE0C0A" w:rsidRPr="002451B6" w:rsidRDefault="00FE0C0A" w:rsidP="00FE0C0A">
      <w:pPr>
        <w:widowControl w:val="0"/>
        <w:spacing w:before="273" w:line="240"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SCOTT, J. W. História das mulheres. In: BURKE, Peter (</w:t>
      </w:r>
      <w:proofErr w:type="spellStart"/>
      <w:r w:rsidRPr="002451B6">
        <w:rPr>
          <w:rFonts w:ascii="Times New Roman" w:eastAsia="Times New Roman" w:hAnsi="Times New Roman" w:cs="Times New Roman"/>
          <w:sz w:val="24"/>
          <w:szCs w:val="24"/>
        </w:rPr>
        <w:t>org</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 xml:space="preserve">A escrita da História. </w:t>
      </w:r>
      <w:r w:rsidRPr="002451B6">
        <w:rPr>
          <w:rFonts w:ascii="Times New Roman" w:eastAsia="Times New Roman" w:hAnsi="Times New Roman" w:cs="Times New Roman"/>
          <w:sz w:val="24"/>
          <w:szCs w:val="24"/>
        </w:rPr>
        <w:t xml:space="preserve">Novas perspectivas. Trad. de Magda Lopes. São Paulo: Editora UNESP, 1992. </w:t>
      </w:r>
    </w:p>
    <w:p w14:paraId="07A06FBE" w14:textId="77777777" w:rsidR="00FE0C0A" w:rsidRPr="002451B6" w:rsidRDefault="00FE0C0A" w:rsidP="00FE0C0A">
      <w:pPr>
        <w:widowControl w:val="0"/>
        <w:spacing w:before="272" w:line="275" w:lineRule="auto"/>
        <w:ind w:left="1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t xml:space="preserve">TRIBUNAL DE JUSTIÇA DE MATO GROSSO DO SUL. </w:t>
      </w:r>
      <w:r w:rsidRPr="002451B6">
        <w:rPr>
          <w:rFonts w:ascii="Times New Roman" w:eastAsia="Times New Roman" w:hAnsi="Times New Roman" w:cs="Times New Roman"/>
          <w:i/>
          <w:iCs/>
          <w:sz w:val="24"/>
          <w:szCs w:val="24"/>
        </w:rPr>
        <w:t>Processo criminal 22/69 –</w:t>
      </w:r>
    </w:p>
    <w:p w14:paraId="30EB801A" w14:textId="77777777" w:rsidR="00FE0C0A" w:rsidRPr="002451B6" w:rsidRDefault="00FE0C0A" w:rsidP="00FE0C0A">
      <w:pPr>
        <w:widowControl w:val="0"/>
        <w:spacing w:line="244"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Caixa 222/01.</w:t>
      </w:r>
      <w:r w:rsidRPr="002451B6">
        <w:rPr>
          <w:rFonts w:ascii="Times New Roman" w:eastAsia="Times New Roman" w:hAnsi="Times New Roman" w:cs="Times New Roman"/>
          <w:sz w:val="24"/>
          <w:szCs w:val="24"/>
        </w:rPr>
        <w:t xml:space="preserve"> Arquivo de Processos Históricos e Relevantes. Campo Grande: TJMS, 1969.</w:t>
      </w:r>
    </w:p>
    <w:p w14:paraId="559E2223" w14:textId="77777777" w:rsidR="00FE0C0A" w:rsidRPr="002451B6" w:rsidRDefault="00FE0C0A" w:rsidP="00FE0C0A">
      <w:pPr>
        <w:widowControl w:val="0"/>
        <w:spacing w:line="244" w:lineRule="auto"/>
        <w:ind w:left="140" w:right="135"/>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VIANA, J. H. P. </w:t>
      </w:r>
      <w:r w:rsidRPr="002451B6">
        <w:rPr>
          <w:rFonts w:ascii="Times New Roman" w:eastAsia="Times New Roman" w:hAnsi="Times New Roman" w:cs="Times New Roman"/>
          <w:i/>
          <w:iCs/>
          <w:sz w:val="24"/>
          <w:szCs w:val="24"/>
        </w:rPr>
        <w:t xml:space="preserve">Caso da Bruxa da </w:t>
      </w:r>
      <w:proofErr w:type="spellStart"/>
      <w:r w:rsidRPr="002451B6">
        <w:rPr>
          <w:rFonts w:ascii="Times New Roman" w:eastAsia="Times New Roman" w:hAnsi="Times New Roman" w:cs="Times New Roman"/>
          <w:i/>
          <w:iCs/>
          <w:sz w:val="24"/>
          <w:szCs w:val="24"/>
        </w:rPr>
        <w:t>Sapolândia</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representações sociais no jornalismo policial de Campo Grande (MS). Dissertação Programa de Pós-graduação em Comunicação. Programa de Mestrado em Comunicação da Universidade Federal de Mato Grosso do Sul. Campo Grande (MS), dezembro de 2024. </w:t>
      </w:r>
    </w:p>
    <w:p w14:paraId="2E907780" w14:textId="77777777" w:rsidR="00FE0C0A" w:rsidRPr="002451B6" w:rsidRDefault="00FE0C0A" w:rsidP="00FE0C0A">
      <w:pPr>
        <w:widowControl w:val="0"/>
        <w:spacing w:line="244" w:lineRule="auto"/>
        <w:ind w:left="140" w:right="135"/>
        <w:jc w:val="both"/>
        <w:rPr>
          <w:rFonts w:ascii="Times New Roman" w:eastAsia="Times New Roman" w:hAnsi="Times New Roman" w:cs="Times New Roman"/>
          <w:sz w:val="24"/>
          <w:szCs w:val="24"/>
        </w:rPr>
      </w:pPr>
    </w:p>
    <w:p w14:paraId="77453AB8"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35EAA127"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053515D6"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60935CDA"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105DF42F"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7F6D7282"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24CED15A"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2D42215E"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5D06EB6A"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6D821A4C"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3337B8D1"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7BB9F048"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2743E980"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7361AA57"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04D0B974"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566755B4"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554FCDEE" w14:textId="77777777" w:rsidR="00FE0C0A" w:rsidRPr="002451B6" w:rsidRDefault="00FE0C0A" w:rsidP="00FE0C0A">
      <w:pPr>
        <w:spacing w:line="360" w:lineRule="auto"/>
        <w:rPr>
          <w:rFonts w:ascii="Times New Roman" w:eastAsia="Times New Roman" w:hAnsi="Times New Roman" w:cs="Times New Roman"/>
          <w:i/>
          <w:iCs/>
          <w:sz w:val="28"/>
          <w:szCs w:val="28"/>
        </w:rPr>
      </w:pPr>
    </w:p>
    <w:p w14:paraId="4EB351C3" w14:textId="77777777" w:rsidR="00332C33" w:rsidRPr="002451B6" w:rsidRDefault="00332C33">
      <w:pPr>
        <w:spacing w:line="360" w:lineRule="auto"/>
        <w:rPr>
          <w:rFonts w:ascii="Times New Roman" w:eastAsia="Times New Roman" w:hAnsi="Times New Roman" w:cs="Times New Roman"/>
          <w:sz w:val="20"/>
          <w:szCs w:val="20"/>
        </w:rPr>
      </w:pPr>
    </w:p>
    <w:p w14:paraId="50D2B50D" w14:textId="77777777" w:rsidR="00B101D0" w:rsidRPr="002451B6" w:rsidRDefault="00B101D0">
      <w:pPr>
        <w:spacing w:line="360" w:lineRule="auto"/>
        <w:rPr>
          <w:rFonts w:ascii="Times New Roman" w:eastAsia="Times New Roman" w:hAnsi="Times New Roman" w:cs="Times New Roman"/>
          <w:i/>
          <w:iCs/>
          <w:sz w:val="28"/>
          <w:szCs w:val="28"/>
        </w:rPr>
        <w:sectPr w:rsidR="00B101D0" w:rsidRPr="002451B6" w:rsidSect="00C27DD5">
          <w:pgSz w:w="11909" w:h="16834"/>
          <w:pgMar w:top="1701" w:right="1134" w:bottom="1134" w:left="1701" w:header="0" w:footer="0" w:gutter="0"/>
          <w:cols w:space="720"/>
        </w:sectPr>
      </w:pPr>
    </w:p>
    <w:p w14:paraId="31A75B5C" w14:textId="77777777" w:rsidR="00332C33" w:rsidRPr="002451B6" w:rsidRDefault="00332C33">
      <w:pPr>
        <w:spacing w:line="360" w:lineRule="auto"/>
        <w:rPr>
          <w:rFonts w:ascii="Times New Roman" w:eastAsia="Times New Roman" w:hAnsi="Times New Roman" w:cs="Times New Roman"/>
          <w:i/>
          <w:iCs/>
          <w:sz w:val="28"/>
          <w:szCs w:val="28"/>
        </w:rPr>
      </w:pPr>
    </w:p>
    <w:p w14:paraId="7C6894E3" w14:textId="77777777" w:rsidR="00332C33" w:rsidRPr="002451B6" w:rsidRDefault="00332C33">
      <w:pPr>
        <w:spacing w:line="360" w:lineRule="auto"/>
        <w:rPr>
          <w:rFonts w:ascii="Times New Roman" w:eastAsia="Times New Roman" w:hAnsi="Times New Roman" w:cs="Times New Roman"/>
          <w:i/>
          <w:iCs/>
          <w:sz w:val="28"/>
          <w:szCs w:val="28"/>
        </w:rPr>
      </w:pPr>
    </w:p>
    <w:p w14:paraId="5324B8B5" w14:textId="77777777" w:rsidR="00332C33" w:rsidRPr="002451B6" w:rsidRDefault="00332C33">
      <w:pPr>
        <w:spacing w:line="360" w:lineRule="auto"/>
        <w:rPr>
          <w:rFonts w:ascii="Times New Roman" w:eastAsia="Times New Roman" w:hAnsi="Times New Roman" w:cs="Times New Roman"/>
          <w:i/>
          <w:iCs/>
          <w:sz w:val="28"/>
          <w:szCs w:val="28"/>
        </w:rPr>
      </w:pPr>
    </w:p>
    <w:p w14:paraId="42CED57D" w14:textId="77777777" w:rsidR="00332C33" w:rsidRPr="002451B6" w:rsidRDefault="00332C33">
      <w:pPr>
        <w:spacing w:line="360" w:lineRule="auto"/>
        <w:rPr>
          <w:rFonts w:ascii="Times New Roman" w:eastAsia="Times New Roman" w:hAnsi="Times New Roman" w:cs="Times New Roman"/>
          <w:i/>
          <w:iCs/>
          <w:sz w:val="28"/>
          <w:szCs w:val="28"/>
        </w:rPr>
      </w:pPr>
    </w:p>
    <w:p w14:paraId="13E0FF2B" w14:textId="77777777" w:rsidR="00332C33" w:rsidRPr="002451B6" w:rsidRDefault="00332C33">
      <w:pPr>
        <w:spacing w:line="360" w:lineRule="auto"/>
        <w:rPr>
          <w:rFonts w:ascii="Times New Roman" w:eastAsia="Times New Roman" w:hAnsi="Times New Roman" w:cs="Times New Roman"/>
          <w:i/>
          <w:iCs/>
          <w:sz w:val="28"/>
          <w:szCs w:val="28"/>
        </w:rPr>
      </w:pPr>
    </w:p>
    <w:p w14:paraId="39A9D788" w14:textId="77777777" w:rsidR="00332C33" w:rsidRPr="002451B6" w:rsidRDefault="00332C33">
      <w:pPr>
        <w:spacing w:line="360" w:lineRule="auto"/>
        <w:rPr>
          <w:rFonts w:ascii="Times New Roman" w:eastAsia="Times New Roman" w:hAnsi="Times New Roman" w:cs="Times New Roman"/>
          <w:i/>
          <w:iCs/>
          <w:sz w:val="28"/>
          <w:szCs w:val="28"/>
        </w:rPr>
      </w:pPr>
    </w:p>
    <w:p w14:paraId="43BE5E1D" w14:textId="77777777" w:rsidR="00332C33" w:rsidRPr="002451B6" w:rsidRDefault="00332C33">
      <w:pPr>
        <w:spacing w:line="360" w:lineRule="auto"/>
        <w:rPr>
          <w:rFonts w:ascii="Times New Roman" w:eastAsia="Times New Roman" w:hAnsi="Times New Roman" w:cs="Times New Roman"/>
          <w:i/>
          <w:iCs/>
          <w:sz w:val="28"/>
          <w:szCs w:val="28"/>
        </w:rPr>
      </w:pPr>
    </w:p>
    <w:p w14:paraId="792D52FA" w14:textId="77777777" w:rsidR="00332C33" w:rsidRPr="002451B6" w:rsidRDefault="00332C33">
      <w:pPr>
        <w:spacing w:line="360" w:lineRule="auto"/>
        <w:rPr>
          <w:rFonts w:ascii="Times New Roman" w:eastAsia="Times New Roman" w:hAnsi="Times New Roman" w:cs="Times New Roman"/>
          <w:i/>
          <w:iCs/>
          <w:sz w:val="28"/>
          <w:szCs w:val="28"/>
        </w:rPr>
      </w:pPr>
    </w:p>
    <w:p w14:paraId="5AD535DB" w14:textId="77777777" w:rsidR="00332C33" w:rsidRPr="002451B6" w:rsidRDefault="00000000">
      <w:pPr>
        <w:spacing w:line="360" w:lineRule="auto"/>
        <w:jc w:val="center"/>
        <w:rPr>
          <w:rFonts w:ascii="Times New Roman" w:eastAsia="Times New Roman" w:hAnsi="Times New Roman" w:cs="Times New Roman"/>
          <w:sz w:val="28"/>
          <w:szCs w:val="28"/>
        </w:rPr>
      </w:pPr>
      <w:r w:rsidRPr="002451B6">
        <w:rPr>
          <w:rFonts w:ascii="Times New Roman" w:eastAsia="Times New Roman" w:hAnsi="Times New Roman" w:cs="Times New Roman"/>
          <w:i/>
          <w:iCs/>
          <w:sz w:val="28"/>
          <w:szCs w:val="28"/>
        </w:rPr>
        <w:t xml:space="preserve"> </w:t>
      </w:r>
      <w:r w:rsidRPr="002451B6">
        <w:rPr>
          <w:rFonts w:ascii="Times New Roman" w:eastAsia="Times New Roman" w:hAnsi="Times New Roman" w:cs="Times New Roman"/>
          <w:sz w:val="28"/>
          <w:szCs w:val="28"/>
        </w:rPr>
        <w:t xml:space="preserve">GÊNERO, MEMÓRIA SOCIAL E ARTE </w:t>
      </w:r>
    </w:p>
    <w:p w14:paraId="40800845" w14:textId="77777777" w:rsidR="00332C33" w:rsidRPr="002451B6" w:rsidRDefault="00332C33">
      <w:pPr>
        <w:spacing w:line="360" w:lineRule="auto"/>
        <w:jc w:val="center"/>
        <w:rPr>
          <w:rFonts w:ascii="Times New Roman" w:eastAsia="Times New Roman" w:hAnsi="Times New Roman" w:cs="Times New Roman"/>
          <w:sz w:val="28"/>
          <w:szCs w:val="28"/>
        </w:rPr>
      </w:pPr>
    </w:p>
    <w:p w14:paraId="0ACA269F" w14:textId="77777777" w:rsidR="00332C33" w:rsidRPr="002451B6" w:rsidRDefault="00332C33">
      <w:pPr>
        <w:spacing w:line="360" w:lineRule="auto"/>
        <w:jc w:val="center"/>
        <w:rPr>
          <w:rFonts w:ascii="Times New Roman" w:eastAsia="Times New Roman" w:hAnsi="Times New Roman" w:cs="Times New Roman"/>
          <w:sz w:val="28"/>
          <w:szCs w:val="28"/>
        </w:rPr>
      </w:pPr>
    </w:p>
    <w:p w14:paraId="0838564A" w14:textId="77777777" w:rsidR="00332C33" w:rsidRPr="002451B6" w:rsidRDefault="00332C33">
      <w:pPr>
        <w:spacing w:line="360" w:lineRule="auto"/>
        <w:jc w:val="center"/>
        <w:rPr>
          <w:rFonts w:ascii="Times New Roman" w:eastAsia="Times New Roman" w:hAnsi="Times New Roman" w:cs="Times New Roman"/>
          <w:sz w:val="28"/>
          <w:szCs w:val="28"/>
        </w:rPr>
      </w:pPr>
    </w:p>
    <w:p w14:paraId="74531505" w14:textId="77777777" w:rsidR="00332C33" w:rsidRPr="002451B6" w:rsidRDefault="00332C33">
      <w:pPr>
        <w:spacing w:line="360" w:lineRule="auto"/>
        <w:jc w:val="center"/>
        <w:rPr>
          <w:rFonts w:ascii="Times New Roman" w:eastAsia="Times New Roman" w:hAnsi="Times New Roman" w:cs="Times New Roman"/>
          <w:sz w:val="28"/>
          <w:szCs w:val="28"/>
        </w:rPr>
      </w:pPr>
    </w:p>
    <w:p w14:paraId="325A4D3D" w14:textId="77777777" w:rsidR="00332C33" w:rsidRPr="002451B6" w:rsidRDefault="00332C33">
      <w:pPr>
        <w:spacing w:line="360" w:lineRule="auto"/>
        <w:jc w:val="center"/>
        <w:rPr>
          <w:rFonts w:ascii="Times New Roman" w:eastAsia="Times New Roman" w:hAnsi="Times New Roman" w:cs="Times New Roman"/>
          <w:sz w:val="28"/>
          <w:szCs w:val="28"/>
        </w:rPr>
      </w:pPr>
    </w:p>
    <w:p w14:paraId="4D51F0B4" w14:textId="77777777" w:rsidR="00332C33" w:rsidRPr="002451B6" w:rsidRDefault="00332C33">
      <w:pPr>
        <w:spacing w:line="360" w:lineRule="auto"/>
        <w:jc w:val="center"/>
        <w:rPr>
          <w:rFonts w:ascii="Times New Roman" w:eastAsia="Times New Roman" w:hAnsi="Times New Roman" w:cs="Times New Roman"/>
          <w:sz w:val="28"/>
          <w:szCs w:val="28"/>
        </w:rPr>
      </w:pPr>
    </w:p>
    <w:p w14:paraId="5B8C1789" w14:textId="77777777" w:rsidR="00332C33" w:rsidRPr="002451B6" w:rsidRDefault="00332C33">
      <w:pPr>
        <w:spacing w:line="360" w:lineRule="auto"/>
        <w:jc w:val="center"/>
        <w:rPr>
          <w:rFonts w:ascii="Times New Roman" w:eastAsia="Times New Roman" w:hAnsi="Times New Roman" w:cs="Times New Roman"/>
          <w:sz w:val="28"/>
          <w:szCs w:val="28"/>
        </w:rPr>
      </w:pPr>
    </w:p>
    <w:p w14:paraId="286FBD0F" w14:textId="77777777" w:rsidR="00332C33" w:rsidRPr="002451B6" w:rsidRDefault="00332C33">
      <w:pPr>
        <w:spacing w:line="360" w:lineRule="auto"/>
        <w:jc w:val="center"/>
        <w:rPr>
          <w:rFonts w:ascii="Times New Roman" w:eastAsia="Times New Roman" w:hAnsi="Times New Roman" w:cs="Times New Roman"/>
          <w:sz w:val="28"/>
          <w:szCs w:val="28"/>
        </w:rPr>
      </w:pPr>
    </w:p>
    <w:p w14:paraId="61B4BD91" w14:textId="77777777" w:rsidR="00332C33" w:rsidRPr="002451B6" w:rsidRDefault="00332C33">
      <w:pPr>
        <w:spacing w:line="360" w:lineRule="auto"/>
        <w:jc w:val="center"/>
        <w:rPr>
          <w:rFonts w:ascii="Times New Roman" w:eastAsia="Times New Roman" w:hAnsi="Times New Roman" w:cs="Times New Roman"/>
          <w:sz w:val="28"/>
          <w:szCs w:val="28"/>
        </w:rPr>
      </w:pPr>
    </w:p>
    <w:p w14:paraId="6DD94AB3" w14:textId="77777777" w:rsidR="00332C33" w:rsidRPr="002451B6" w:rsidRDefault="00332C33">
      <w:pPr>
        <w:spacing w:line="360" w:lineRule="auto"/>
        <w:jc w:val="center"/>
        <w:rPr>
          <w:rFonts w:ascii="Times New Roman" w:eastAsia="Times New Roman" w:hAnsi="Times New Roman" w:cs="Times New Roman"/>
          <w:sz w:val="28"/>
          <w:szCs w:val="28"/>
        </w:rPr>
      </w:pPr>
    </w:p>
    <w:p w14:paraId="4413ABDD" w14:textId="77777777" w:rsidR="00332C33" w:rsidRPr="002451B6" w:rsidRDefault="00332C33">
      <w:pPr>
        <w:spacing w:line="360" w:lineRule="auto"/>
        <w:jc w:val="center"/>
        <w:rPr>
          <w:rFonts w:ascii="Times New Roman" w:eastAsia="Times New Roman" w:hAnsi="Times New Roman" w:cs="Times New Roman"/>
          <w:sz w:val="28"/>
          <w:szCs w:val="28"/>
        </w:rPr>
      </w:pPr>
    </w:p>
    <w:p w14:paraId="41B51A6C" w14:textId="77777777" w:rsidR="00332C33" w:rsidRPr="002451B6" w:rsidRDefault="00332C33">
      <w:pPr>
        <w:spacing w:line="360" w:lineRule="auto"/>
        <w:jc w:val="center"/>
        <w:rPr>
          <w:rFonts w:ascii="Times New Roman" w:eastAsia="Times New Roman" w:hAnsi="Times New Roman" w:cs="Times New Roman"/>
          <w:sz w:val="28"/>
          <w:szCs w:val="28"/>
        </w:rPr>
      </w:pPr>
    </w:p>
    <w:p w14:paraId="57312B2C" w14:textId="77777777" w:rsidR="00B101D0" w:rsidRPr="002451B6" w:rsidRDefault="00B101D0">
      <w:pPr>
        <w:spacing w:line="360" w:lineRule="auto"/>
        <w:jc w:val="center"/>
        <w:rPr>
          <w:rFonts w:ascii="Times New Roman" w:eastAsia="Times New Roman" w:hAnsi="Times New Roman" w:cs="Times New Roman"/>
          <w:sz w:val="28"/>
          <w:szCs w:val="28"/>
        </w:rPr>
      </w:pPr>
    </w:p>
    <w:p w14:paraId="5BC3729B" w14:textId="77777777" w:rsidR="00332C33" w:rsidRPr="002451B6" w:rsidRDefault="00332C33">
      <w:pPr>
        <w:spacing w:line="360" w:lineRule="auto"/>
        <w:jc w:val="center"/>
        <w:rPr>
          <w:rFonts w:ascii="Times New Roman" w:eastAsia="Times New Roman" w:hAnsi="Times New Roman" w:cs="Times New Roman"/>
          <w:sz w:val="28"/>
          <w:szCs w:val="28"/>
        </w:rPr>
      </w:pPr>
    </w:p>
    <w:p w14:paraId="7410882F" w14:textId="77777777" w:rsidR="00332C33" w:rsidRPr="002451B6" w:rsidRDefault="00332C33">
      <w:pPr>
        <w:spacing w:line="360" w:lineRule="auto"/>
        <w:jc w:val="center"/>
        <w:rPr>
          <w:rFonts w:ascii="Times New Roman" w:eastAsia="Times New Roman" w:hAnsi="Times New Roman" w:cs="Times New Roman"/>
          <w:sz w:val="28"/>
          <w:szCs w:val="28"/>
        </w:rPr>
      </w:pPr>
    </w:p>
    <w:p w14:paraId="39457826" w14:textId="77777777" w:rsidR="00332C33" w:rsidRPr="002451B6" w:rsidRDefault="00332C33">
      <w:pPr>
        <w:spacing w:line="360" w:lineRule="auto"/>
        <w:jc w:val="center"/>
        <w:rPr>
          <w:rFonts w:ascii="Times New Roman" w:eastAsia="Times New Roman" w:hAnsi="Times New Roman" w:cs="Times New Roman"/>
          <w:sz w:val="28"/>
          <w:szCs w:val="28"/>
        </w:rPr>
      </w:pPr>
    </w:p>
    <w:p w14:paraId="391F140F" w14:textId="77777777" w:rsidR="00332C33" w:rsidRPr="002451B6" w:rsidRDefault="00332C33">
      <w:pPr>
        <w:spacing w:line="360" w:lineRule="auto"/>
        <w:jc w:val="center"/>
        <w:rPr>
          <w:rFonts w:ascii="Times New Roman" w:eastAsia="Times New Roman" w:hAnsi="Times New Roman" w:cs="Times New Roman"/>
          <w:sz w:val="28"/>
          <w:szCs w:val="28"/>
        </w:rPr>
      </w:pPr>
    </w:p>
    <w:p w14:paraId="78515D83" w14:textId="77777777" w:rsidR="00332C33" w:rsidRPr="002451B6" w:rsidRDefault="00000000">
      <w:pPr>
        <w:spacing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Pode a subalterna filmar? Imagem, poder e a política dos corpos no audiovisual periférico de São Paulo</w:t>
      </w:r>
    </w:p>
    <w:p w14:paraId="647D512A"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268BAE87" w14:textId="77777777" w:rsidR="00332C33" w:rsidRPr="002451B6" w:rsidRDefault="00332C33">
      <w:pPr>
        <w:spacing w:after="200" w:line="360" w:lineRule="auto"/>
        <w:jc w:val="center"/>
        <w:rPr>
          <w:rFonts w:ascii="Times New Roman" w:eastAsia="Times New Roman" w:hAnsi="Times New Roman" w:cs="Times New Roman"/>
          <w:sz w:val="24"/>
          <w:szCs w:val="24"/>
          <w:vertAlign w:val="superscript"/>
        </w:rPr>
      </w:pPr>
    </w:p>
    <w:p w14:paraId="57B32E1C"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(Quase?) tudo diz respeito ao corpo no contexto das ciências, e com ainda mais relevância nos campos das ciências humanas e das artes. O conceito de corporeidade nas teorias críticas envolve uma compreensão mais profunda e multifacetada do corpo humano. Ele vai além da simples percepção física e funcional, considerando também os aspectos sociais, culturais, políticos e históricos do corpo. Michel Foucault, em </w:t>
      </w:r>
      <w:r w:rsidRPr="002451B6">
        <w:rPr>
          <w:rFonts w:ascii="Times New Roman" w:eastAsia="Times New Roman" w:hAnsi="Times New Roman" w:cs="Times New Roman"/>
          <w:i/>
          <w:iCs/>
          <w:sz w:val="24"/>
          <w:szCs w:val="24"/>
        </w:rPr>
        <w:t>Vigiar e punir</w:t>
      </w:r>
      <w:r w:rsidRPr="002451B6">
        <w:rPr>
          <w:rFonts w:ascii="Times New Roman" w:eastAsia="Times New Roman" w:hAnsi="Times New Roman" w:cs="Times New Roman"/>
          <w:sz w:val="24"/>
          <w:szCs w:val="24"/>
        </w:rPr>
        <w:t xml:space="preserve"> (1987), contextualizou o corpo como campo de estudo da seguinte maneira:</w:t>
      </w:r>
    </w:p>
    <w:p w14:paraId="0FFCC370"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Os historiadores vêm abordando a história do corpo há muito tempo. Estudaram-no no campo de uma demografia ou de uma patologia históricas; encararam-no como sede de necessidades e de apetites, como lugar de processos fisiológicos e de metabolismos, como alvos de ataques microbianos ou de vírus: mostraram até que ponto os processos históricos estavam implicados no que se poderia considerar a base puramente biológica da existência; e que lugar se deveria conceder na história das sociedades a “acontecimentos” biológicos como a circulação dos bacilos, ou o prolongamento da duração da vida (Foucault, 1987, p. 29).</w:t>
      </w:r>
    </w:p>
    <w:p w14:paraId="6EE25C4D"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7CFBF42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“Mas o corpo [...]”, continua o filósofo francês, “[...] também está diretamente mergulhado num campo político; as relações de poder têm alcance imediato sobre ele; elas o investem, o marcam, o dirigem, o supliciam, sujeitam-no a trabalhos, obrigam-no a cerimônias, exigem-lhe sinais” (Foucault, 1987, p. 29). As teorias críticas frequentemente analisam como os corpos são regulados, disciplinados e controlados por estruturas de poder. Michel Foucault discute a "biopolítica" e a forma como as instituições sociais (como prisões, escolas, hospitais) exercem controle sobre os corpos, moldando-os conforme normas e expectativas sociais.</w:t>
      </w:r>
    </w:p>
    <w:p w14:paraId="68D25182"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feminismo e os estudos de gênero também têm um papel significativo na análise da corporeidade. Judith Butler, com sua teoria da performatividade, argumenta que o gênero não é inato, mas uma constante performance. Isso implica em a identidade de gênero ser construída através de práticas corporais repetidas, influenciadas por normas culturais e sociais. Para Butler (2018; 2019), performatividade é um conjunto de práticas de repetição de atos ritualizados de expressões discursivas e gestuais como linguagem, vestuário, gestos corporais e outros rituais sociais, que reiteram e validam comportamentos de gênero. O gênero diz respeito aos atos que repetimos cotidianamente e que reforçam e reafirmam determinadas classificações e </w:t>
      </w:r>
      <w:r w:rsidRPr="002451B6">
        <w:rPr>
          <w:rFonts w:ascii="Times New Roman" w:eastAsia="Times New Roman" w:hAnsi="Times New Roman" w:cs="Times New Roman"/>
          <w:sz w:val="24"/>
          <w:szCs w:val="24"/>
        </w:rPr>
        <w:lastRenderedPageBreak/>
        <w:t>identidades. Em outras palavras, a performatividade é a construção social que realizamos com nossos corpos por meio dos nossos atos cotidianos.</w:t>
      </w:r>
    </w:p>
    <w:p w14:paraId="678DE43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teorias críticas do colonialismo</w:t>
      </w:r>
      <w:r w:rsidRPr="002451B6">
        <w:rPr>
          <w:rFonts w:ascii="Times New Roman" w:eastAsia="Times New Roman" w:hAnsi="Times New Roman" w:cs="Times New Roman"/>
          <w:sz w:val="24"/>
          <w:szCs w:val="24"/>
          <w:vertAlign w:val="superscript"/>
        </w:rPr>
        <w:footnoteReference w:id="40"/>
      </w:r>
      <w:r w:rsidRPr="002451B6">
        <w:rPr>
          <w:rFonts w:ascii="Times New Roman" w:eastAsia="Times New Roman" w:hAnsi="Times New Roman" w:cs="Times New Roman"/>
          <w:sz w:val="24"/>
          <w:szCs w:val="24"/>
        </w:rPr>
        <w:t xml:space="preserve"> também exploram como os corpos são </w:t>
      </w:r>
      <w:proofErr w:type="spellStart"/>
      <w:r w:rsidRPr="002451B6">
        <w:rPr>
          <w:rFonts w:ascii="Times New Roman" w:eastAsia="Times New Roman" w:hAnsi="Times New Roman" w:cs="Times New Roman"/>
          <w:sz w:val="24"/>
          <w:szCs w:val="24"/>
        </w:rPr>
        <w:t>racializados</w:t>
      </w:r>
      <w:proofErr w:type="spellEnd"/>
      <w:r w:rsidRPr="002451B6">
        <w:rPr>
          <w:rFonts w:ascii="Times New Roman" w:eastAsia="Times New Roman" w:hAnsi="Times New Roman" w:cs="Times New Roman"/>
          <w:sz w:val="24"/>
          <w:szCs w:val="24"/>
        </w:rPr>
        <w:t xml:space="preserve">. O corpo não é apenas um objeto biológico, mas é interpretado e categorizado através de lentes raciais. Duas das mais importantes pensadoras brasileiras contribuíram imensamente para esse campo de observação da sociedade brasileira. Para Lélia Gonzalez (1984), o racismo se constitui como a sintomática que caracteriza a neurose cultural nacional, e sua articulação com o sexismo produz efeitos violentos sobre a mulher negra em particular. Ou seja, o corpo feminino e negro carrega sua sentença de opressão, que acaba sendo </w:t>
      </w:r>
      <w:proofErr w:type="spellStart"/>
      <w:r w:rsidRPr="002451B6">
        <w:rPr>
          <w:rFonts w:ascii="Times New Roman" w:eastAsia="Times New Roman" w:hAnsi="Times New Roman" w:cs="Times New Roman"/>
          <w:sz w:val="24"/>
          <w:szCs w:val="24"/>
        </w:rPr>
        <w:t>interseccionalizada</w:t>
      </w:r>
      <w:proofErr w:type="spellEnd"/>
      <w:r w:rsidRPr="002451B6">
        <w:rPr>
          <w:rFonts w:ascii="Times New Roman" w:eastAsia="Times New Roman" w:hAnsi="Times New Roman" w:cs="Times New Roman"/>
          <w:sz w:val="24"/>
          <w:szCs w:val="24"/>
        </w:rPr>
        <w:t xml:space="preserve"> pelo marcador de classe. Sueli Carneiro (2011) apontou que uma das heranças da escravatura no Brasil foi a ideia de que alguns seres humanos são mais humanos do que outros, fruto do racismo científico do século XIX, que dividiu a humanidade em raças superiores e inferiores, tendo como consequência as desigualdades sociais que perduram até os nossos dias. Novamente o corpo como o </w:t>
      </w:r>
      <w:r w:rsidRPr="002451B6">
        <w:rPr>
          <w:rFonts w:ascii="Times New Roman" w:eastAsia="Times New Roman" w:hAnsi="Times New Roman" w:cs="Times New Roman"/>
          <w:i/>
          <w:iCs/>
          <w:sz w:val="24"/>
          <w:szCs w:val="24"/>
        </w:rPr>
        <w:t>a priori</w:t>
      </w:r>
      <w:r w:rsidRPr="002451B6">
        <w:rPr>
          <w:rFonts w:ascii="Times New Roman" w:eastAsia="Times New Roman" w:hAnsi="Times New Roman" w:cs="Times New Roman"/>
          <w:sz w:val="24"/>
          <w:szCs w:val="24"/>
        </w:rPr>
        <w:t xml:space="preserve"> que pode definir a existência de uma pessoa.</w:t>
      </w:r>
    </w:p>
    <w:p w14:paraId="49799CE0" w14:textId="77777777" w:rsidR="00332C33" w:rsidRPr="002451B6" w:rsidRDefault="00000000" w:rsidP="00371EA8">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corpo e suas corporeidades compõem um amplo espectro de possibilidades de abordagens investigativas. </w:t>
      </w:r>
      <w:r w:rsidRPr="002451B6">
        <w:rPr>
          <w:rFonts w:ascii="Times New Roman" w:eastAsia="Times New Roman" w:hAnsi="Times New Roman" w:cs="Times New Roman"/>
          <w:i/>
          <w:iCs/>
          <w:sz w:val="24"/>
          <w:szCs w:val="24"/>
        </w:rPr>
        <w:t xml:space="preserve">Performance </w:t>
      </w:r>
      <w:proofErr w:type="spellStart"/>
      <w:r w:rsidRPr="002451B6">
        <w:rPr>
          <w:rFonts w:ascii="Times New Roman" w:eastAsia="Times New Roman" w:hAnsi="Times New Roman" w:cs="Times New Roman"/>
          <w:i/>
          <w:iCs/>
          <w:sz w:val="24"/>
          <w:szCs w:val="24"/>
        </w:rPr>
        <w:t>Studies</w:t>
      </w:r>
      <w:proofErr w:type="spellEnd"/>
      <w:r w:rsidRPr="002451B6">
        <w:rPr>
          <w:rFonts w:ascii="Times New Roman" w:eastAsia="Times New Roman" w:hAnsi="Times New Roman" w:cs="Times New Roman"/>
          <w:sz w:val="24"/>
          <w:szCs w:val="24"/>
        </w:rPr>
        <w:t>, por exemplo,</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é um campo interdisciplinar que investiga a performance em suas diversas manifestações, incluindo teatro, rituais, práticas culturais, ativismo, mídia e performances do cotidiano. Desenvolvido a partir dos anos de 1970 por estudiosos como Richard </w:t>
      </w:r>
      <w:proofErr w:type="spellStart"/>
      <w:r w:rsidRPr="002451B6">
        <w:rPr>
          <w:rFonts w:ascii="Times New Roman" w:eastAsia="Times New Roman" w:hAnsi="Times New Roman" w:cs="Times New Roman"/>
          <w:sz w:val="24"/>
          <w:szCs w:val="24"/>
        </w:rPr>
        <w:t>Schechner</w:t>
      </w:r>
      <w:proofErr w:type="spellEnd"/>
      <w:r w:rsidRPr="002451B6">
        <w:rPr>
          <w:rFonts w:ascii="Times New Roman" w:eastAsia="Times New Roman" w:hAnsi="Times New Roman" w:cs="Times New Roman"/>
          <w:sz w:val="24"/>
          <w:szCs w:val="24"/>
        </w:rPr>
        <w:t xml:space="preserve"> e Victor Turner</w:t>
      </w:r>
      <w:r w:rsidRPr="002451B6">
        <w:rPr>
          <w:rFonts w:ascii="Times New Roman" w:eastAsia="Times New Roman" w:hAnsi="Times New Roman" w:cs="Times New Roman"/>
          <w:sz w:val="24"/>
          <w:szCs w:val="24"/>
          <w:vertAlign w:val="superscript"/>
        </w:rPr>
        <w:footnoteReference w:id="41"/>
      </w:r>
      <w:r w:rsidRPr="002451B6">
        <w:rPr>
          <w:rFonts w:ascii="Times New Roman" w:eastAsia="Times New Roman" w:hAnsi="Times New Roman" w:cs="Times New Roman"/>
          <w:sz w:val="24"/>
          <w:szCs w:val="24"/>
        </w:rPr>
        <w:t>, o campo rompe com fronteiras disciplinares, analisando como o corpo, a oralidade, o espaço e o contexto social produzem significados. O enfoque está na performatividade, ou seja, nas maneiras pelas quais identidades, poder e cultura são encenados e negociados em diferentes contextos. Nesse âmbito, o corpo é visto como central na formação da identidade pessoal e coletiva. A corporeidade é uma forma de expressão da identidade, influenciada por experiências individuais e coletivas.</w:t>
      </w:r>
    </w:p>
    <w:p w14:paraId="5984175D" w14:textId="77777777" w:rsidR="00332C33" w:rsidRPr="002451B6" w:rsidRDefault="00000000" w:rsidP="00371EA8">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antropólogo francês Jean-Jacques </w:t>
      </w:r>
      <w:proofErr w:type="spellStart"/>
      <w:r w:rsidRPr="002451B6">
        <w:rPr>
          <w:rFonts w:ascii="Times New Roman" w:eastAsia="Times New Roman" w:hAnsi="Times New Roman" w:cs="Times New Roman"/>
          <w:sz w:val="24"/>
          <w:szCs w:val="24"/>
        </w:rPr>
        <w:t>Courtine</w:t>
      </w:r>
      <w:proofErr w:type="spellEnd"/>
      <w:r w:rsidRPr="002451B6">
        <w:rPr>
          <w:rFonts w:ascii="Times New Roman" w:eastAsia="Times New Roman" w:hAnsi="Times New Roman" w:cs="Times New Roman"/>
          <w:sz w:val="24"/>
          <w:szCs w:val="24"/>
        </w:rPr>
        <w:t xml:space="preserve"> (2013), estudioso da obra de Michel Foucault, a respeito da “irrupção do corpo nas ciências do homem”, afirma que as motivações para esse surgimento devem ser buscadas nas transformações políticas e nas mutações sociais </w:t>
      </w:r>
      <w:r w:rsidRPr="002451B6">
        <w:rPr>
          <w:rFonts w:ascii="Times New Roman" w:eastAsia="Times New Roman" w:hAnsi="Times New Roman" w:cs="Times New Roman"/>
          <w:sz w:val="24"/>
          <w:szCs w:val="24"/>
        </w:rPr>
        <w:lastRenderedPageBreak/>
        <w:t xml:space="preserve">das décadas de 1960 e 1970. E aqui chamo a atenção para sua contemporaneidade com a emergência de </w:t>
      </w:r>
      <w:r w:rsidRPr="002451B6">
        <w:rPr>
          <w:rFonts w:ascii="Times New Roman" w:eastAsia="Times New Roman" w:hAnsi="Times New Roman" w:cs="Times New Roman"/>
          <w:i/>
          <w:iCs/>
          <w:sz w:val="24"/>
          <w:szCs w:val="24"/>
        </w:rPr>
        <w:t xml:space="preserve">Performance </w:t>
      </w:r>
      <w:proofErr w:type="spellStart"/>
      <w:r w:rsidRPr="002451B6">
        <w:rPr>
          <w:rFonts w:ascii="Times New Roman" w:eastAsia="Times New Roman" w:hAnsi="Times New Roman" w:cs="Times New Roman"/>
          <w:i/>
          <w:iCs/>
          <w:sz w:val="24"/>
          <w:szCs w:val="24"/>
        </w:rPr>
        <w:t>Studies</w:t>
      </w:r>
      <w:proofErr w:type="spellEnd"/>
      <w:r w:rsidRPr="002451B6">
        <w:rPr>
          <w:rFonts w:ascii="Times New Roman" w:eastAsia="Times New Roman" w:hAnsi="Times New Roman" w:cs="Times New Roman"/>
          <w:sz w:val="24"/>
          <w:szCs w:val="24"/>
        </w:rPr>
        <w:t xml:space="preserve">, também no Norte Global. “‘Nosso corpo nos pertence!’: nesta palavra de ordem na qual se reconheceram então aquelas que denominaríamos hoje minorias de gênero, de orientação sexual ou de origem, o corpo começou a exercer suas </w:t>
      </w:r>
      <w:proofErr w:type="gramStart"/>
      <w:r w:rsidRPr="002451B6">
        <w:rPr>
          <w:rFonts w:ascii="Times New Roman" w:eastAsia="Times New Roman" w:hAnsi="Times New Roman" w:cs="Times New Roman"/>
          <w:sz w:val="24"/>
          <w:szCs w:val="24"/>
        </w:rPr>
        <w:t>primeiríssima funções”</w:t>
      </w:r>
      <w:proofErr w:type="gram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Courtine</w:t>
      </w:r>
      <w:proofErr w:type="spellEnd"/>
      <w:r w:rsidRPr="002451B6">
        <w:rPr>
          <w:rFonts w:ascii="Times New Roman" w:eastAsia="Times New Roman" w:hAnsi="Times New Roman" w:cs="Times New Roman"/>
          <w:sz w:val="24"/>
          <w:szCs w:val="24"/>
        </w:rPr>
        <w:t>, 2013, p. 15). E afirma na sequência que:</w:t>
      </w:r>
    </w:p>
    <w:p w14:paraId="3B812A65"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rPr>
        <w:t>O corpo, sem dúvida, não sustentou as promessas de revolução das quais se podia então esperá-lo portador. Mas, sem dúvida alguma ele conservou as lutas sociais e as aspirações individuais deste momento histórico de impressão profunda de funções sexuadas, de rastos de origens sociais ou étnicas que doravante não saberiam mais ser apagadas (</w:t>
      </w:r>
      <w:proofErr w:type="spellStart"/>
      <w:r w:rsidRPr="002451B6">
        <w:rPr>
          <w:rFonts w:ascii="Times New Roman" w:eastAsia="Times New Roman" w:hAnsi="Times New Roman" w:cs="Times New Roman"/>
        </w:rPr>
        <w:t>Courtine</w:t>
      </w:r>
      <w:proofErr w:type="spellEnd"/>
      <w:r w:rsidRPr="002451B6">
        <w:rPr>
          <w:rFonts w:ascii="Times New Roman" w:eastAsia="Times New Roman" w:hAnsi="Times New Roman" w:cs="Times New Roman"/>
        </w:rPr>
        <w:t>, 2013, pp. 15-16).</w:t>
      </w:r>
    </w:p>
    <w:p w14:paraId="654435D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Se o corpo, como demonstram Foucault, Butler, Gonzalez e Carneiro, é constantemente atravessado por discursos de poder, normatizações e processos de subalternização, essa corporeidade também se manifesta — e é reiterada ou negada — nos espaços concretos de produção simbólica, como o audiovisual. É nesse campo que a política dos corpos se revela não apenas em representações, mas sobretudo nas estruturas de acesso, decisão e criação. Em outras palavras, a presença ou ausência de determinados corpos nos bastidores da produção audiovisual denuncia as engrenagens de uma desigualdade histórica.</w:t>
      </w:r>
    </w:p>
    <w:p w14:paraId="04D24815"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Dados da Ancine publicados em 2018</w:t>
      </w:r>
      <w:r w:rsidRPr="002451B6">
        <w:rPr>
          <w:rFonts w:ascii="Times New Roman" w:eastAsia="Times New Roman" w:hAnsi="Times New Roman" w:cs="Times New Roman"/>
          <w:sz w:val="24"/>
          <w:szCs w:val="24"/>
          <w:vertAlign w:val="superscript"/>
        </w:rPr>
        <w:footnoteReference w:id="42"/>
      </w:r>
      <w:r w:rsidRPr="002451B6">
        <w:rPr>
          <w:rFonts w:ascii="Times New Roman" w:eastAsia="Times New Roman" w:hAnsi="Times New Roman" w:cs="Times New Roman"/>
          <w:sz w:val="24"/>
          <w:szCs w:val="24"/>
        </w:rPr>
        <w:t xml:space="preserve"> revelaram números ligados à divisão de raça e gênero na produção audiovisual brasileira. Esta pesquisa evidenciou uma realidade até então pouco conhecida, mesmo tendo como </w:t>
      </w:r>
      <w:r w:rsidRPr="002451B6">
        <w:rPr>
          <w:rFonts w:ascii="Times New Roman" w:eastAsia="Times New Roman" w:hAnsi="Times New Roman" w:cs="Times New Roman"/>
          <w:i/>
          <w:iCs/>
          <w:sz w:val="24"/>
          <w:szCs w:val="24"/>
        </w:rPr>
        <w:t>corpus</w:t>
      </w:r>
      <w:r w:rsidRPr="002451B6">
        <w:rPr>
          <w:rFonts w:ascii="Times New Roman" w:eastAsia="Times New Roman" w:hAnsi="Times New Roman" w:cs="Times New Roman"/>
          <w:sz w:val="24"/>
          <w:szCs w:val="24"/>
        </w:rPr>
        <w:t xml:space="preserve"> de análise apenas produções cinematográficas do </w:t>
      </w:r>
      <w:proofErr w:type="spellStart"/>
      <w:r w:rsidRPr="002451B6">
        <w:rPr>
          <w:rFonts w:ascii="Times New Roman" w:eastAsia="Times New Roman" w:hAnsi="Times New Roman" w:cs="Times New Roman"/>
          <w:i/>
          <w:iCs/>
          <w:sz w:val="24"/>
          <w:szCs w:val="24"/>
        </w:rPr>
        <w:t>mainstream</w:t>
      </w:r>
      <w:proofErr w:type="spellEnd"/>
      <w:r w:rsidRPr="002451B6">
        <w:rPr>
          <w:rFonts w:ascii="Times New Roman" w:eastAsia="Times New Roman" w:hAnsi="Times New Roman" w:cs="Times New Roman"/>
          <w:sz w:val="24"/>
          <w:szCs w:val="24"/>
        </w:rPr>
        <w:t xml:space="preserve"> nacional, ou seja, que atendiam ao que o mercado determina como “profissional”. O dado mais chocante é, sem dúvida, o referente à porcentagem de 0% de mulheres negras ocupando cargos de poder e prestígio como direção e roteiro na lista de filmes que compunham o </w:t>
      </w:r>
      <w:r w:rsidRPr="002451B6">
        <w:rPr>
          <w:rFonts w:ascii="Times New Roman" w:eastAsia="Times New Roman" w:hAnsi="Times New Roman" w:cs="Times New Roman"/>
          <w:i/>
          <w:iCs/>
          <w:sz w:val="24"/>
          <w:szCs w:val="24"/>
        </w:rPr>
        <w:t xml:space="preserve">corpus </w:t>
      </w:r>
      <w:r w:rsidRPr="002451B6">
        <w:rPr>
          <w:rFonts w:ascii="Times New Roman" w:eastAsia="Times New Roman" w:hAnsi="Times New Roman" w:cs="Times New Roman"/>
          <w:sz w:val="24"/>
          <w:szCs w:val="24"/>
        </w:rPr>
        <w:t xml:space="preserve">da pesquisa. </w:t>
      </w:r>
    </w:p>
    <w:p w14:paraId="1224125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Quando observamos os dados da Ancine (2018), o que está em jogo é justamente a intersecção entre corpo e poder: quais corpos têm legitimidade para narrar? Quem pode ocupar posições de autoria e autoridade simbólica? A pesquisa da Ancine não é apenas uma estatística; ela materializa o silenciamento estrutural de corpos que, historicamente, foram marcados pelo gênero, pela raça e pela classe.</w:t>
      </w:r>
    </w:p>
    <w:p w14:paraId="0CE05CB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Quase uma década depois, o cenário do audiovisual brasileiro se vê aquecido com a crescente atuação e reconhecimento de mulheres negras realizadoras. Grandes conquistas e crescimento, suas narrativas ocupam espaços antes inalcançáveis como a TV aberta, o cinema e o </w:t>
      </w:r>
      <w:r w:rsidRPr="002451B6">
        <w:rPr>
          <w:rFonts w:ascii="Times New Roman" w:eastAsia="Times New Roman" w:hAnsi="Times New Roman" w:cs="Times New Roman"/>
          <w:i/>
          <w:iCs/>
          <w:sz w:val="24"/>
          <w:szCs w:val="24"/>
        </w:rPr>
        <w:t>streaming</w:t>
      </w:r>
      <w:r w:rsidRPr="002451B6">
        <w:rPr>
          <w:rFonts w:ascii="Times New Roman" w:eastAsia="Times New Roman" w:hAnsi="Times New Roman" w:cs="Times New Roman"/>
          <w:sz w:val="24"/>
          <w:szCs w:val="24"/>
        </w:rPr>
        <w:t xml:space="preserve">. Nomes como </w:t>
      </w:r>
      <w:proofErr w:type="spellStart"/>
      <w:r w:rsidRPr="002451B6">
        <w:rPr>
          <w:rFonts w:ascii="Times New Roman" w:eastAsia="Times New Roman" w:hAnsi="Times New Roman" w:cs="Times New Roman"/>
          <w:sz w:val="24"/>
          <w:szCs w:val="24"/>
        </w:rPr>
        <w:t>Everlane</w:t>
      </w:r>
      <w:proofErr w:type="spellEnd"/>
      <w:r w:rsidRPr="002451B6">
        <w:rPr>
          <w:rFonts w:ascii="Times New Roman" w:eastAsia="Times New Roman" w:hAnsi="Times New Roman" w:cs="Times New Roman"/>
          <w:sz w:val="24"/>
          <w:szCs w:val="24"/>
        </w:rPr>
        <w:t xml:space="preserve"> Moraes, Renata Martins, Jéssica Queiroz, Safira Moreira, </w:t>
      </w:r>
      <w:r w:rsidRPr="002451B6">
        <w:rPr>
          <w:rFonts w:ascii="Times New Roman" w:eastAsia="Times New Roman" w:hAnsi="Times New Roman" w:cs="Times New Roman"/>
          <w:sz w:val="24"/>
          <w:szCs w:val="24"/>
        </w:rPr>
        <w:lastRenderedPageBreak/>
        <w:t xml:space="preserve">Glenda Nicácio, Larissa Fulana de Tal, Mariana Campos, Viviane Ferreira, Ana Julia </w:t>
      </w:r>
      <w:proofErr w:type="spellStart"/>
      <w:r w:rsidRPr="002451B6">
        <w:rPr>
          <w:rFonts w:ascii="Times New Roman" w:eastAsia="Times New Roman" w:hAnsi="Times New Roman" w:cs="Times New Roman"/>
          <w:sz w:val="24"/>
          <w:szCs w:val="24"/>
        </w:rPr>
        <w:t>Travia</w:t>
      </w:r>
      <w:proofErr w:type="spellEnd"/>
      <w:r w:rsidRPr="002451B6">
        <w:rPr>
          <w:rFonts w:ascii="Times New Roman" w:eastAsia="Times New Roman" w:hAnsi="Times New Roman" w:cs="Times New Roman"/>
          <w:sz w:val="24"/>
          <w:szCs w:val="24"/>
        </w:rPr>
        <w:t xml:space="preserve">, Joyce Prado, Yasmin Thayná, Ana do Carmo, Camila de Moraes e tantas outras se destacam com o que podemos chamar de “nova geração” de realizadoras negras do audiovisual contemporâneo brasileiro, num recorte de produções que, mesmo sendo de menor custo, se enquadram em um certo </w:t>
      </w:r>
      <w:proofErr w:type="spellStart"/>
      <w:r w:rsidRPr="002451B6">
        <w:rPr>
          <w:rFonts w:ascii="Times New Roman" w:eastAsia="Times New Roman" w:hAnsi="Times New Roman" w:cs="Times New Roman"/>
          <w:i/>
          <w:iCs/>
          <w:sz w:val="24"/>
          <w:szCs w:val="24"/>
        </w:rPr>
        <w:t>mainstream</w:t>
      </w:r>
      <w:proofErr w:type="spellEnd"/>
      <w:r w:rsidRPr="002451B6">
        <w:rPr>
          <w:rFonts w:ascii="Times New Roman" w:eastAsia="Times New Roman" w:hAnsi="Times New Roman" w:cs="Times New Roman"/>
          <w:sz w:val="24"/>
          <w:szCs w:val="24"/>
        </w:rPr>
        <w:t>, que acessa recursos e alcançam considerável circulação no cenário de mostras e festivais nacionais e internacionais.</w:t>
      </w:r>
    </w:p>
    <w:p w14:paraId="16527CE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Entretanto, faz-se necessário um olhar em detalhe para esse contexto, a fim de identificar como se dão as dinâmicas da interseccionalidade de raça, classe e gênero. O livro </w:t>
      </w:r>
      <w:r w:rsidRPr="002451B6">
        <w:rPr>
          <w:rFonts w:ascii="Times New Roman" w:eastAsia="Times New Roman" w:hAnsi="Times New Roman" w:cs="Times New Roman"/>
          <w:i/>
          <w:iCs/>
          <w:sz w:val="24"/>
          <w:szCs w:val="24"/>
        </w:rPr>
        <w:t>Narrativas incontidas do audiovisual brasileiro</w:t>
      </w:r>
      <w:r w:rsidRPr="002451B6">
        <w:rPr>
          <w:rFonts w:ascii="Times New Roman" w:eastAsia="Times New Roman" w:hAnsi="Times New Roman" w:cs="Times New Roman"/>
          <w:sz w:val="24"/>
          <w:szCs w:val="24"/>
        </w:rPr>
        <w:t>, organizado por Renata Martins, publicado em 2021, demonstra que dentre as realizadoras retratadas, especificamente as paulistas/paulistanas, existe uma variação de trajetórias socioeconômicas, embora todas as entrevistadas carreguem em seus corpos o marcador racial. Em outras palavras, a produção audiovisual brasileira, desde a pesquisa da Ancine de 2018, conta com um número crescente de participação de mulheres negras, o que contempla as pautas de gênero e raça, mas que não alcança ainda, de forma massiva, a questão de classe no acesso aos bens de produção.</w:t>
      </w:r>
    </w:p>
    <w:p w14:paraId="758F67C3"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 mulheres negras que se declararam em seus depoimentos como “de origem periférica”, apresentam o diferencial do capital cultural, pelas relações familiares ou pelo acesso à universidade pública de elite. O capital cultural, para Bourdieu (1999), refere-se aos recursos culturais que uma pessoa possui como conhecimentos, habilidades, educação formal, fluência em idiomas, familiaridade com artes e literatura, entre outros aspectos relacionados à cultura. Para Bourdieu, o capital cultural desempenha um papel importante na forma como as pessoas são socialmente classificadas e como elas obtêm vantagens ou desvantagens em diferentes campos da vida, como educação, emprego e status social. Para o sociólogo francês, o capital cultural pode ser transmitido de geração em geração e desempenha um papel fundamental na reprodução das desigualdades sociais (Bourdieu, 1999). </w:t>
      </w:r>
    </w:p>
    <w:p w14:paraId="198C919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Lilian Solá Santiago, por exemplo, embora tenha nascido “no bairro da Cachoeirinha, periferia da cidade de São Paulo” (Martins, 2021, p. 54) teve a sorte de ter um pai que trabalhava como motorista na empresa Standard Propaganda, onde pôde conseguir trabalho para os três filhos homens. Esses irmãos de Lilian faziam parte do que ela chamou em seu depoimento de “turma do cinema paulista de 1980” (Martins, 2021, p. 54). Ao ser inserida nesse mundo por seus irmãos, pôde “conhecer muitas pessoas do cinema” (p. 55). Além desse capital cultural familiar, Lilian acessou uma universidade de elite, a USP, onde cursou História. Depois sabemos da trajetória importantíssima que Lilian construiu como uma das mais importantes </w:t>
      </w:r>
      <w:r w:rsidRPr="002451B6">
        <w:rPr>
          <w:rFonts w:ascii="Times New Roman" w:eastAsia="Times New Roman" w:hAnsi="Times New Roman" w:cs="Times New Roman"/>
          <w:sz w:val="24"/>
          <w:szCs w:val="24"/>
        </w:rPr>
        <w:lastRenderedPageBreak/>
        <w:t xml:space="preserve">cineastas contemporâneas brasileiras, cuja produção mais premiada é o documentário </w:t>
      </w:r>
      <w:r w:rsidRPr="002451B6">
        <w:rPr>
          <w:rFonts w:ascii="Times New Roman" w:eastAsia="Times New Roman" w:hAnsi="Times New Roman" w:cs="Times New Roman"/>
          <w:i/>
          <w:iCs/>
          <w:sz w:val="24"/>
          <w:szCs w:val="24"/>
        </w:rPr>
        <w:t xml:space="preserve">Família Alcântara </w:t>
      </w:r>
      <w:r w:rsidRPr="002451B6">
        <w:rPr>
          <w:rFonts w:ascii="Times New Roman" w:eastAsia="Times New Roman" w:hAnsi="Times New Roman" w:cs="Times New Roman"/>
          <w:sz w:val="24"/>
          <w:szCs w:val="24"/>
        </w:rPr>
        <w:t>(2004).</w:t>
      </w:r>
    </w:p>
    <w:p w14:paraId="40BAEB8F"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Na geração mais jovem de realizadoras negras paulistas, Mariane Nunes (Nuna) se autodefine como “da ponte pra lá”, nascida e criada na periferia da Zona Sul de São Paulo. Embora não tivesse o capital cultural na própria família, Nuna, conseguiu acessar a universidade pública de elite (USP), o que possibilitou seu acesso aos meios de produção audiovisual. Jaqueline Souza, roteirista reconhecida, saiu do interior de São Paulo para acessar o curso de cinema em uma universidade pública no Sul do país. A própria Renata Martins, organizadora do livro, cineasta premiada internacionalmente, acessou sua formação universitária através do sistema de políticas afirmativas, em 2005. Assim também ocorreu com Joyce Prado, que mesmo sendo de classe média, ingressou na faculdade de cinema por meio do PROUNI, em 2006.</w:t>
      </w:r>
    </w:p>
    <w:p w14:paraId="5DEB9747"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Alice Marcone, nasceu em Valinhos, cidade do interior de São Paulo. Mesmo se colocando num lugar de “êxodo rural”, destaca que seu pai era artista plástico e fotógrafo, enquanto sua mãe trabalhava no gabinete do prefeito da cidade, ao que tudo indica, em um posto distante de qualquer subalternidade. Alice se muda para a capital paulista para estudar Psicologia na USP. Ana Julia </w:t>
      </w:r>
      <w:proofErr w:type="spellStart"/>
      <w:r w:rsidRPr="002451B6">
        <w:rPr>
          <w:rFonts w:ascii="Times New Roman" w:eastAsia="Times New Roman" w:hAnsi="Times New Roman" w:cs="Times New Roman"/>
          <w:sz w:val="24"/>
          <w:szCs w:val="24"/>
        </w:rPr>
        <w:t>Travia</w:t>
      </w:r>
      <w:proofErr w:type="spellEnd"/>
      <w:r w:rsidRPr="002451B6">
        <w:rPr>
          <w:rFonts w:ascii="Times New Roman" w:eastAsia="Times New Roman" w:hAnsi="Times New Roman" w:cs="Times New Roman"/>
          <w:sz w:val="24"/>
          <w:szCs w:val="24"/>
        </w:rPr>
        <w:t xml:space="preserve">, cineasta expoente dessa geração, também está nesse lugar de acessar a formação universitária na USP. Outro exemplo interessante dessa realidade que tento demonstrar aqui - de que o contexto de origem social de realizadoras negras do </w:t>
      </w:r>
      <w:proofErr w:type="gramStart"/>
      <w:r w:rsidRPr="002451B6">
        <w:rPr>
          <w:rFonts w:ascii="Times New Roman" w:eastAsia="Times New Roman" w:hAnsi="Times New Roman" w:cs="Times New Roman"/>
          <w:sz w:val="24"/>
          <w:szCs w:val="24"/>
        </w:rPr>
        <w:t>audiovisual paulistas</w:t>
      </w:r>
      <w:proofErr w:type="gramEnd"/>
      <w:r w:rsidRPr="002451B6">
        <w:rPr>
          <w:rFonts w:ascii="Times New Roman" w:eastAsia="Times New Roman" w:hAnsi="Times New Roman" w:cs="Times New Roman"/>
          <w:sz w:val="24"/>
          <w:szCs w:val="24"/>
        </w:rPr>
        <w:t xml:space="preserve"> não é majoritariamente ou necessariamente periférico - é o da atual presidente da </w:t>
      </w:r>
      <w:proofErr w:type="spellStart"/>
      <w:r w:rsidRPr="002451B6">
        <w:rPr>
          <w:rFonts w:ascii="Times New Roman" w:eastAsia="Times New Roman" w:hAnsi="Times New Roman" w:cs="Times New Roman"/>
          <w:sz w:val="24"/>
          <w:szCs w:val="24"/>
        </w:rPr>
        <w:t>Spcine</w:t>
      </w:r>
      <w:proofErr w:type="spellEnd"/>
      <w:r w:rsidRPr="002451B6">
        <w:rPr>
          <w:rFonts w:ascii="Times New Roman" w:eastAsia="Times New Roman" w:hAnsi="Times New Roman" w:cs="Times New Roman"/>
          <w:sz w:val="24"/>
          <w:szCs w:val="24"/>
          <w:vertAlign w:val="superscript"/>
        </w:rPr>
        <w:footnoteReference w:id="43"/>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Lyara</w:t>
      </w:r>
      <w:proofErr w:type="spellEnd"/>
      <w:r w:rsidRPr="002451B6">
        <w:rPr>
          <w:rFonts w:ascii="Times New Roman" w:eastAsia="Times New Roman" w:hAnsi="Times New Roman" w:cs="Times New Roman"/>
          <w:sz w:val="24"/>
          <w:szCs w:val="24"/>
        </w:rPr>
        <w:t xml:space="preserve"> Oliveira. Em seu depoimento para o livro </w:t>
      </w:r>
      <w:r w:rsidRPr="002451B6">
        <w:rPr>
          <w:rFonts w:ascii="Times New Roman" w:eastAsia="Times New Roman" w:hAnsi="Times New Roman" w:cs="Times New Roman"/>
          <w:i/>
          <w:iCs/>
          <w:sz w:val="24"/>
          <w:szCs w:val="24"/>
        </w:rPr>
        <w:t>Narrativas incontidas do audiovisual brasileiro,</w:t>
      </w:r>
      <w:r w:rsidRPr="002451B6">
        <w:rPr>
          <w:rFonts w:ascii="Times New Roman" w:eastAsia="Times New Roman" w:hAnsi="Times New Roman" w:cs="Times New Roman"/>
          <w:sz w:val="24"/>
          <w:szCs w:val="24"/>
        </w:rPr>
        <w:t xml:space="preserve"> afirma o seguinte:</w:t>
      </w:r>
    </w:p>
    <w:p w14:paraId="32175FD4"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Sou uma mulher negra de classe média que cresceu em meio a uma sociedade majoritariamente branca, estudou em escola particular, teve seus estudos e estrutura social sustentados pela família até o início da vida profissional, após a faculdade. Estudei em universidade pública, passei no vestibular sem fazer cursinho e fiquei quatro anos no interior de São Paulo até completar a graduação (Oliveira, 2021, p. 227).</w:t>
      </w:r>
    </w:p>
    <w:p w14:paraId="45C4041C" w14:textId="77777777" w:rsidR="00332C33" w:rsidRPr="002451B6" w:rsidRDefault="00332C33">
      <w:pPr>
        <w:spacing w:line="240" w:lineRule="auto"/>
        <w:jc w:val="both"/>
        <w:rPr>
          <w:rFonts w:ascii="Times New Roman" w:eastAsia="Times New Roman" w:hAnsi="Times New Roman" w:cs="Times New Roman"/>
          <w:sz w:val="24"/>
          <w:szCs w:val="24"/>
        </w:rPr>
      </w:pPr>
    </w:p>
    <w:p w14:paraId="0BDE7394"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Outra cineasta que se reconhece em certo lugar de “privilégio”, mesmo carregando em seu corpo o marcador de raça, é </w:t>
      </w:r>
      <w:proofErr w:type="spellStart"/>
      <w:r w:rsidRPr="002451B6">
        <w:rPr>
          <w:rFonts w:ascii="Times New Roman" w:eastAsia="Times New Roman" w:hAnsi="Times New Roman" w:cs="Times New Roman"/>
          <w:sz w:val="24"/>
          <w:szCs w:val="24"/>
        </w:rPr>
        <w:t>Issis</w:t>
      </w:r>
      <w:proofErr w:type="spellEnd"/>
      <w:r w:rsidRPr="002451B6">
        <w:rPr>
          <w:rFonts w:ascii="Times New Roman" w:eastAsia="Times New Roman" w:hAnsi="Times New Roman" w:cs="Times New Roman"/>
          <w:sz w:val="24"/>
          <w:szCs w:val="24"/>
        </w:rPr>
        <w:t xml:space="preserve"> Valenzuela, que afirma ter tido “uma infância e uma adolescência privilegiadas se comparada à maioria da população negra brasileira. Minha família é de classe média e estudei em escolas particulares” (Valenzuela, 2021, p. 281). Filha de </w:t>
      </w:r>
      <w:r w:rsidRPr="002451B6">
        <w:rPr>
          <w:rFonts w:ascii="Times New Roman" w:eastAsia="Times New Roman" w:hAnsi="Times New Roman" w:cs="Times New Roman"/>
          <w:sz w:val="24"/>
          <w:szCs w:val="24"/>
        </w:rPr>
        <w:lastRenderedPageBreak/>
        <w:t>acadêmicos da USP, durante a trajetória de estudos da mãe morou em diversas localidades, inclusive fora do Brasil, em Portugal e Espanha.</w:t>
      </w:r>
    </w:p>
    <w:p w14:paraId="70049A3A" w14:textId="77777777" w:rsidR="00332C33" w:rsidRPr="002451B6" w:rsidRDefault="00000000">
      <w:pPr>
        <w:spacing w:line="360" w:lineRule="auto"/>
        <w:ind w:firstLine="720"/>
        <w:jc w:val="both"/>
        <w:rPr>
          <w:rFonts w:ascii="Times New Roman" w:eastAsia="Times New Roman" w:hAnsi="Times New Roman" w:cs="Times New Roman"/>
          <w:sz w:val="24"/>
          <w:szCs w:val="24"/>
        </w:rPr>
      </w:pPr>
      <w:bookmarkStart w:id="12" w:name="_5c3724s6xima" w:colFirst="0" w:colLast="0"/>
      <w:bookmarkEnd w:id="12"/>
      <w:r w:rsidRPr="002451B6">
        <w:rPr>
          <w:rFonts w:ascii="Times New Roman" w:eastAsia="Times New Roman" w:hAnsi="Times New Roman" w:cs="Times New Roman"/>
          <w:sz w:val="24"/>
          <w:szCs w:val="24"/>
        </w:rPr>
        <w:t xml:space="preserve">Jessica </w:t>
      </w:r>
      <w:proofErr w:type="spellStart"/>
      <w:r w:rsidRPr="002451B6">
        <w:rPr>
          <w:rFonts w:ascii="Times New Roman" w:eastAsia="Times New Roman" w:hAnsi="Times New Roman" w:cs="Times New Roman"/>
          <w:sz w:val="24"/>
          <w:szCs w:val="24"/>
        </w:rPr>
        <w:t>Quiroz</w:t>
      </w:r>
      <w:proofErr w:type="spellEnd"/>
      <w:r w:rsidRPr="002451B6">
        <w:rPr>
          <w:rFonts w:ascii="Times New Roman" w:eastAsia="Times New Roman" w:hAnsi="Times New Roman" w:cs="Times New Roman"/>
          <w:sz w:val="24"/>
          <w:szCs w:val="24"/>
        </w:rPr>
        <w:t xml:space="preserve"> é um exemplo de outro fenômeno no que se refere à origem e à formação de realizadoras audiovisuais negras paulistas. Tendo origem periférica e sem o capital cultural da família ou da universidade de elite, ela passou pela formação de instituições que atuam nas periferias, como as já citadas Oficinas </w:t>
      </w:r>
      <w:proofErr w:type="spellStart"/>
      <w:r w:rsidRPr="002451B6">
        <w:rPr>
          <w:rFonts w:ascii="Times New Roman" w:eastAsia="Times New Roman" w:hAnsi="Times New Roman" w:cs="Times New Roman"/>
          <w:sz w:val="24"/>
          <w:szCs w:val="24"/>
        </w:rPr>
        <w:t>Kinoforum</w:t>
      </w:r>
      <w:proofErr w:type="spellEnd"/>
      <w:r w:rsidRPr="002451B6">
        <w:rPr>
          <w:rFonts w:ascii="Times New Roman" w:eastAsia="Times New Roman" w:hAnsi="Times New Roman" w:cs="Times New Roman"/>
          <w:sz w:val="24"/>
          <w:szCs w:val="24"/>
        </w:rPr>
        <w:t xml:space="preserve"> e Instituto Criar, por exemplo. No caso de Jéssica, foi no Instituto Criar que ela obteve as duas primeiras e fundamentais formações em audiovisual que possibilitaram que pudesse acessar o mercado de trabalho como montadora. Ao descrever o Instituto Criar, diz em seu depoimento: “Lá todos são periféricos, com condições financeiras muito parecidas” (</w:t>
      </w:r>
      <w:proofErr w:type="spellStart"/>
      <w:r w:rsidRPr="002451B6">
        <w:rPr>
          <w:rFonts w:ascii="Times New Roman" w:eastAsia="Times New Roman" w:hAnsi="Times New Roman" w:cs="Times New Roman"/>
          <w:sz w:val="24"/>
          <w:szCs w:val="24"/>
        </w:rPr>
        <w:t>Quiroz</w:t>
      </w:r>
      <w:proofErr w:type="spellEnd"/>
      <w:r w:rsidRPr="002451B6">
        <w:rPr>
          <w:rFonts w:ascii="Times New Roman" w:eastAsia="Times New Roman" w:hAnsi="Times New Roman" w:cs="Times New Roman"/>
          <w:sz w:val="24"/>
          <w:szCs w:val="24"/>
        </w:rPr>
        <w:t>, 2021, p. 272).</w:t>
      </w:r>
    </w:p>
    <w:p w14:paraId="68851213" w14:textId="39340CE7" w:rsidR="00332C33" w:rsidRPr="002451B6" w:rsidRDefault="00000000" w:rsidP="007C075D">
      <w:pPr>
        <w:spacing w:after="200" w:line="360" w:lineRule="auto"/>
        <w:ind w:firstLine="720"/>
        <w:jc w:val="both"/>
        <w:rPr>
          <w:rFonts w:ascii="Times New Roman" w:eastAsia="Times New Roman" w:hAnsi="Times New Roman" w:cs="Times New Roman"/>
          <w:sz w:val="24"/>
          <w:szCs w:val="24"/>
        </w:rPr>
      </w:pPr>
      <w:bookmarkStart w:id="13" w:name="_l1w7ajqp99c4" w:colFirst="0" w:colLast="0"/>
      <w:bookmarkEnd w:id="13"/>
      <w:r w:rsidRPr="002451B6">
        <w:rPr>
          <w:rFonts w:ascii="Times New Roman" w:eastAsia="Times New Roman" w:hAnsi="Times New Roman" w:cs="Times New Roman"/>
          <w:sz w:val="24"/>
          <w:szCs w:val="24"/>
        </w:rPr>
        <w:t xml:space="preserve">Este breve panorama não intenciona deslegitimar a importância do reconhecimento e valorização de realizadoras negras do audiovisual brasileiro. O objetivo é esboçar um mapa da trajetória de corpos </w:t>
      </w:r>
      <w:proofErr w:type="spellStart"/>
      <w:r w:rsidRPr="002451B6">
        <w:rPr>
          <w:rFonts w:ascii="Times New Roman" w:eastAsia="Times New Roman" w:hAnsi="Times New Roman" w:cs="Times New Roman"/>
          <w:sz w:val="24"/>
          <w:szCs w:val="24"/>
        </w:rPr>
        <w:t>interseccionalizados</w:t>
      </w:r>
      <w:proofErr w:type="spellEnd"/>
      <w:r w:rsidRPr="002451B6">
        <w:rPr>
          <w:rFonts w:ascii="Times New Roman" w:eastAsia="Times New Roman" w:hAnsi="Times New Roman" w:cs="Times New Roman"/>
          <w:sz w:val="24"/>
          <w:szCs w:val="24"/>
        </w:rPr>
        <w:t xml:space="preserve"> pelos marcadores de classe, raça e gênero na produção audiovisual não-hegemônica brasileira. Este mapeamento tem como objetivo último contribuir na fundamentação das reflexões apresentadas neste capítulo, sobre o acesso à linguagem e aos bens de produção do audiovisual para mulheres negras periféricas. </w:t>
      </w:r>
    </w:p>
    <w:p w14:paraId="015E9314" w14:textId="1CDFBD48" w:rsidR="00332C33" w:rsidRPr="002451B6" w:rsidRDefault="00000000" w:rsidP="007C075D">
      <w:pPr>
        <w:keepNext/>
        <w:keepLines/>
        <w:spacing w:after="200" w:line="360" w:lineRule="auto"/>
        <w:jc w:val="both"/>
        <w:rPr>
          <w:rFonts w:ascii="Times New Roman" w:eastAsia="Times New Roman" w:hAnsi="Times New Roman" w:cs="Times New Roman"/>
          <w:sz w:val="24"/>
          <w:szCs w:val="24"/>
        </w:rPr>
      </w:pPr>
      <w:bookmarkStart w:id="14" w:name="_iezj17l10uo5" w:colFirst="0" w:colLast="0"/>
      <w:bookmarkEnd w:id="14"/>
      <w:r w:rsidRPr="002451B6">
        <w:rPr>
          <w:rFonts w:ascii="Times New Roman" w:eastAsia="Times New Roman" w:hAnsi="Times New Roman" w:cs="Times New Roman"/>
          <w:b/>
          <w:bCs/>
          <w:sz w:val="24"/>
          <w:szCs w:val="24"/>
        </w:rPr>
        <w:t>Pode a subalterna filmar?</w:t>
      </w:r>
    </w:p>
    <w:p w14:paraId="243D18FE" w14:textId="77777777" w:rsidR="00332C33" w:rsidRPr="002451B6" w:rsidRDefault="00000000">
      <w:pPr>
        <w:spacing w:line="360" w:lineRule="auto"/>
        <w:ind w:firstLine="72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A subalternidade é um conceito teórico que se refere às vozes e experiências daqueles que estão marginalizados e subordinados nas estruturas de poder sociais, políticas e culturais. </w:t>
      </w:r>
      <w:proofErr w:type="spellStart"/>
      <w:r w:rsidRPr="002451B6">
        <w:rPr>
          <w:rFonts w:ascii="Times New Roman" w:eastAsia="Times New Roman" w:hAnsi="Times New Roman" w:cs="Times New Roman"/>
          <w:sz w:val="24"/>
          <w:szCs w:val="24"/>
          <w:highlight w:val="white"/>
        </w:rPr>
        <w:t>Gayatri</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Spivak</w:t>
      </w:r>
      <w:proofErr w:type="spellEnd"/>
      <w:r w:rsidRPr="002451B6">
        <w:rPr>
          <w:rFonts w:ascii="Times New Roman" w:eastAsia="Times New Roman" w:hAnsi="Times New Roman" w:cs="Times New Roman"/>
          <w:sz w:val="24"/>
          <w:szCs w:val="24"/>
          <w:highlight w:val="white"/>
        </w:rPr>
        <w:t xml:space="preserve">, teórica pós-colonial feminista indiana, desenvolveu o conceito de subalternidade em seu texto intitulado </w:t>
      </w:r>
      <w:r w:rsidRPr="002451B6">
        <w:rPr>
          <w:rFonts w:ascii="Times New Roman" w:eastAsia="Times New Roman" w:hAnsi="Times New Roman" w:cs="Times New Roman"/>
          <w:i/>
          <w:iCs/>
          <w:sz w:val="24"/>
          <w:szCs w:val="24"/>
          <w:highlight w:val="white"/>
        </w:rPr>
        <w:t>Pode o subalterno falar?</w:t>
      </w:r>
      <w:r w:rsidRPr="002451B6">
        <w:rPr>
          <w:rFonts w:ascii="Times New Roman" w:eastAsia="Times New Roman" w:hAnsi="Times New Roman" w:cs="Times New Roman"/>
          <w:sz w:val="24"/>
          <w:szCs w:val="24"/>
          <w:highlight w:val="white"/>
        </w:rPr>
        <w:t xml:space="preserve"> (1988). A subalternidade, na perspectiva de </w:t>
      </w:r>
      <w:proofErr w:type="spellStart"/>
      <w:r w:rsidRPr="002451B6">
        <w:rPr>
          <w:rFonts w:ascii="Times New Roman" w:eastAsia="Times New Roman" w:hAnsi="Times New Roman" w:cs="Times New Roman"/>
          <w:sz w:val="24"/>
          <w:szCs w:val="24"/>
          <w:highlight w:val="white"/>
        </w:rPr>
        <w:t>Spivak</w:t>
      </w:r>
      <w:proofErr w:type="spellEnd"/>
      <w:r w:rsidRPr="002451B6">
        <w:rPr>
          <w:rFonts w:ascii="Times New Roman" w:eastAsia="Times New Roman" w:hAnsi="Times New Roman" w:cs="Times New Roman"/>
          <w:sz w:val="24"/>
          <w:szCs w:val="24"/>
          <w:highlight w:val="white"/>
        </w:rPr>
        <w:t>, está relacionada às pessoas que estão sujeitas a formas extremas de opressão e que são excluídas dos discursos dominantes. Ela se concentra particularmente nas experiências das mulheres colonizadas e das classes trabalhadoras colonizadas, examinando as formas como suas vozes e histórias são silenciadas ou ignoradas.</w:t>
      </w:r>
    </w:p>
    <w:p w14:paraId="56F4A0FD" w14:textId="77777777" w:rsidR="00332C33" w:rsidRPr="002451B6" w:rsidRDefault="00000000">
      <w:pPr>
        <w:spacing w:line="360" w:lineRule="auto"/>
        <w:ind w:firstLine="720"/>
        <w:jc w:val="both"/>
        <w:rPr>
          <w:rFonts w:ascii="Times New Roman" w:eastAsia="Times New Roman" w:hAnsi="Times New Roman" w:cs="Times New Roman"/>
          <w:sz w:val="24"/>
          <w:szCs w:val="24"/>
          <w:highlight w:val="white"/>
        </w:rPr>
      </w:pPr>
      <w:proofErr w:type="spellStart"/>
      <w:r w:rsidRPr="002451B6">
        <w:rPr>
          <w:rFonts w:ascii="Times New Roman" w:eastAsia="Times New Roman" w:hAnsi="Times New Roman" w:cs="Times New Roman"/>
          <w:sz w:val="24"/>
          <w:szCs w:val="24"/>
          <w:highlight w:val="white"/>
        </w:rPr>
        <w:t>Spivak</w:t>
      </w:r>
      <w:proofErr w:type="spellEnd"/>
      <w:r w:rsidRPr="002451B6">
        <w:rPr>
          <w:rFonts w:ascii="Times New Roman" w:eastAsia="Times New Roman" w:hAnsi="Times New Roman" w:cs="Times New Roman"/>
          <w:sz w:val="24"/>
          <w:szCs w:val="24"/>
          <w:highlight w:val="white"/>
        </w:rPr>
        <w:t xml:space="preserve"> argumenta que o discurso dominante, ou hegemônico, oculta as experiências das pessoas subalternas e reforça as estruturas de poder existentes. Ela questiona se é possível para os subalternos falar, ou seja, expressar-se, dentro do sistema opressivo e se sua fala pode ser verdadeiramente ouvida e compreendida. </w:t>
      </w:r>
      <w:proofErr w:type="spellStart"/>
      <w:r w:rsidRPr="002451B6">
        <w:rPr>
          <w:rFonts w:ascii="Times New Roman" w:eastAsia="Times New Roman" w:hAnsi="Times New Roman" w:cs="Times New Roman"/>
          <w:sz w:val="24"/>
          <w:szCs w:val="24"/>
          <w:highlight w:val="white"/>
        </w:rPr>
        <w:t>Spivak</w:t>
      </w:r>
      <w:proofErr w:type="spellEnd"/>
      <w:r w:rsidRPr="002451B6">
        <w:rPr>
          <w:rFonts w:ascii="Times New Roman" w:eastAsia="Times New Roman" w:hAnsi="Times New Roman" w:cs="Times New Roman"/>
          <w:sz w:val="24"/>
          <w:szCs w:val="24"/>
          <w:highlight w:val="white"/>
        </w:rPr>
        <w:t xml:space="preserve"> também critica a noção de representação, argumentando que a representação dos subalternos muitas vezes é distorcida e reafirma a hegemonia das estruturas de poder existentes. Grupos étnicos e raciais minoritários podem ser subalternizados e enfrentar discriminação com base em suas origens étnico-raciais e enfrentar </w:t>
      </w:r>
      <w:r w:rsidRPr="002451B6">
        <w:rPr>
          <w:rFonts w:ascii="Times New Roman" w:eastAsia="Times New Roman" w:hAnsi="Times New Roman" w:cs="Times New Roman"/>
          <w:sz w:val="24"/>
          <w:szCs w:val="24"/>
          <w:highlight w:val="white"/>
        </w:rPr>
        <w:lastRenderedPageBreak/>
        <w:t>marginalização e violência devido à sua orientação sexual e/ou identidade de gênero, por exemplo.</w:t>
      </w:r>
    </w:p>
    <w:p w14:paraId="01D0F1A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highlight w:val="white"/>
        </w:rPr>
        <w:t>Nas sociedades capitalistas pós-coloniais, existe um acirramento das desigualdades sociais, especialmente as de raça, gênero e classe. No Brasil, tal situação se intensifica, gerando interseccionalidades de desigualdades, que afetam sobretudo a mulher negra.</w:t>
      </w:r>
      <w:r w:rsidRPr="002451B6">
        <w:rPr>
          <w:rFonts w:ascii="Times New Roman" w:eastAsia="Times New Roman" w:hAnsi="Times New Roman" w:cs="Times New Roman"/>
          <w:sz w:val="24"/>
          <w:szCs w:val="24"/>
        </w:rPr>
        <w:t xml:space="preserve"> Nesse cenário, esta pesquisa coloca a pergunta: é possível para corpos subalternizados criar narrativas </w:t>
      </w:r>
      <w:proofErr w:type="spellStart"/>
      <w:r w:rsidRPr="002451B6">
        <w:rPr>
          <w:rFonts w:ascii="Times New Roman" w:eastAsia="Times New Roman" w:hAnsi="Times New Roman" w:cs="Times New Roman"/>
          <w:sz w:val="24"/>
          <w:szCs w:val="24"/>
        </w:rPr>
        <w:t>contra-hegemônicas</w:t>
      </w:r>
      <w:proofErr w:type="spellEnd"/>
      <w:r w:rsidRPr="002451B6">
        <w:rPr>
          <w:rFonts w:ascii="Times New Roman" w:eastAsia="Times New Roman" w:hAnsi="Times New Roman" w:cs="Times New Roman"/>
          <w:sz w:val="24"/>
          <w:szCs w:val="24"/>
        </w:rPr>
        <w:t xml:space="preserve"> de si, ou seja, que não estão a serviço de padronizações características da sociedade do espetáculo e do consumo? </w:t>
      </w:r>
    </w:p>
    <w:p w14:paraId="47D34678"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Diante dessa questão, torna-se fundamental investigar como a produção de imagens se insere na dinâmica de subalternização e resistência. Se a sociedade do espetáculo impõe padrões visuais que reforçam hierarquias sociais, é pertinente questionar de que maneira a criação de imagens pode operar como um gesto </w:t>
      </w:r>
      <w:proofErr w:type="spellStart"/>
      <w:r w:rsidRPr="002451B6">
        <w:rPr>
          <w:rFonts w:ascii="Times New Roman" w:eastAsia="Times New Roman" w:hAnsi="Times New Roman" w:cs="Times New Roman"/>
          <w:sz w:val="24"/>
          <w:szCs w:val="24"/>
        </w:rPr>
        <w:t>contra-hegemônico</w:t>
      </w:r>
      <w:proofErr w:type="spellEnd"/>
      <w:r w:rsidRPr="002451B6">
        <w:rPr>
          <w:rFonts w:ascii="Times New Roman" w:eastAsia="Times New Roman" w:hAnsi="Times New Roman" w:cs="Times New Roman"/>
          <w:sz w:val="24"/>
          <w:szCs w:val="24"/>
        </w:rPr>
        <w:t xml:space="preserve">. Nesse sentido, a reflexão sobre a “qualidade” das imagens e sua relação com o valor social é essencial para compreender como corpos subalternizados podem desafiar as estruturas normativas da representação. É nesse contexto que as reflexões de </w:t>
      </w:r>
      <w:proofErr w:type="spellStart"/>
      <w:r w:rsidRPr="002451B6">
        <w:rPr>
          <w:rFonts w:ascii="Times New Roman" w:eastAsia="Times New Roman" w:hAnsi="Times New Roman" w:cs="Times New Roman"/>
          <w:sz w:val="24"/>
          <w:szCs w:val="24"/>
        </w:rPr>
        <w:t>Steyerl</w:t>
      </w:r>
      <w:proofErr w:type="spellEnd"/>
      <w:r w:rsidRPr="002451B6">
        <w:rPr>
          <w:rFonts w:ascii="Times New Roman" w:eastAsia="Times New Roman" w:hAnsi="Times New Roman" w:cs="Times New Roman"/>
          <w:sz w:val="24"/>
          <w:szCs w:val="24"/>
        </w:rPr>
        <w:t xml:space="preserve"> sobre as “imagens pobres” oferecem um referencial teórico relevante, ao evidenciar como a circulação e o estatuto das imagens estão diretamente ligados às desigualdades de classe e poder.</w:t>
      </w:r>
    </w:p>
    <w:p w14:paraId="0F434948"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realizadora, pesquisadora e escritora alemã </w:t>
      </w:r>
      <w:proofErr w:type="spellStart"/>
      <w:r w:rsidRPr="002451B6">
        <w:rPr>
          <w:rFonts w:ascii="Times New Roman" w:eastAsia="Times New Roman" w:hAnsi="Times New Roman" w:cs="Times New Roman"/>
          <w:sz w:val="24"/>
          <w:szCs w:val="24"/>
        </w:rPr>
        <w:t>Hito</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Steyerl</w:t>
      </w:r>
      <w:proofErr w:type="spellEnd"/>
      <w:r w:rsidRPr="002451B6">
        <w:rPr>
          <w:rFonts w:ascii="Times New Roman" w:eastAsia="Times New Roman" w:hAnsi="Times New Roman" w:cs="Times New Roman"/>
          <w:sz w:val="24"/>
          <w:szCs w:val="24"/>
        </w:rPr>
        <w:t xml:space="preserve">, em seu artigo </w:t>
      </w:r>
      <w:r w:rsidRPr="002451B6">
        <w:rPr>
          <w:rFonts w:ascii="Times New Roman" w:eastAsia="Times New Roman" w:hAnsi="Times New Roman" w:cs="Times New Roman"/>
          <w:i/>
          <w:iCs/>
          <w:sz w:val="24"/>
          <w:szCs w:val="24"/>
        </w:rPr>
        <w:t>Em defesa das imagens pobres</w:t>
      </w:r>
      <w:r w:rsidRPr="002451B6">
        <w:rPr>
          <w:rFonts w:ascii="Times New Roman" w:eastAsia="Times New Roman" w:hAnsi="Times New Roman" w:cs="Times New Roman"/>
          <w:sz w:val="24"/>
          <w:szCs w:val="24"/>
        </w:rPr>
        <w:t>, publicado em um site em 2009</w:t>
      </w:r>
      <w:r w:rsidRPr="002451B6">
        <w:rPr>
          <w:rFonts w:ascii="Times New Roman" w:eastAsia="Times New Roman" w:hAnsi="Times New Roman" w:cs="Times New Roman"/>
          <w:sz w:val="24"/>
          <w:szCs w:val="24"/>
          <w:vertAlign w:val="superscript"/>
        </w:rPr>
        <w:footnoteReference w:id="44"/>
      </w:r>
      <w:r w:rsidRPr="002451B6">
        <w:rPr>
          <w:rFonts w:ascii="Times New Roman" w:eastAsia="Times New Roman" w:hAnsi="Times New Roman" w:cs="Times New Roman"/>
          <w:sz w:val="24"/>
          <w:szCs w:val="24"/>
        </w:rPr>
        <w:t xml:space="preserve">, manifesta uma abordagem crítica em torno das imagens de “baixa qualidade” na contemporaneidade. Segundo </w:t>
      </w:r>
      <w:proofErr w:type="spellStart"/>
      <w:r w:rsidRPr="002451B6">
        <w:rPr>
          <w:rFonts w:ascii="Times New Roman" w:eastAsia="Times New Roman" w:hAnsi="Times New Roman" w:cs="Times New Roman"/>
          <w:sz w:val="24"/>
          <w:szCs w:val="24"/>
        </w:rPr>
        <w:t>Steyerl</w:t>
      </w:r>
      <w:proofErr w:type="spellEnd"/>
      <w:r w:rsidRPr="002451B6">
        <w:rPr>
          <w:rFonts w:ascii="Times New Roman" w:eastAsia="Times New Roman" w:hAnsi="Times New Roman" w:cs="Times New Roman"/>
          <w:sz w:val="24"/>
          <w:szCs w:val="24"/>
        </w:rPr>
        <w:t>, as “imagens pobres são pobres porque não adquirem nenhum valor dentro da sociedade de classe das imagens” (</w:t>
      </w:r>
      <w:proofErr w:type="spellStart"/>
      <w:r w:rsidRPr="002451B6">
        <w:rPr>
          <w:rFonts w:ascii="Times New Roman" w:eastAsia="Times New Roman" w:hAnsi="Times New Roman" w:cs="Times New Roman"/>
          <w:sz w:val="24"/>
          <w:szCs w:val="24"/>
        </w:rPr>
        <w:t>Steyerl</w:t>
      </w:r>
      <w:proofErr w:type="spellEnd"/>
      <w:r w:rsidRPr="002451B6">
        <w:rPr>
          <w:rFonts w:ascii="Times New Roman" w:eastAsia="Times New Roman" w:hAnsi="Times New Roman" w:cs="Times New Roman"/>
          <w:sz w:val="24"/>
          <w:szCs w:val="24"/>
        </w:rPr>
        <w:t>, 2009, p. 192). Tal perspectiva, a de que há uma divisão de classe no âmbito das imagens que circulam na sociedade, corrobora a construção de um olhar crítico acerca das possibilidades de produção e difusão audiovisual.</w:t>
      </w:r>
    </w:p>
    <w:p w14:paraId="235F17EA"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rPr>
        <w:t>O foco está identificado com a posição de classe, uma posição de facilidade e privilégios, ao passo que estar fora de foco rebaixa o valor da pessoa como imagem. A hierarquia contemporânea das imagens, contudo, não se baseia apenas na acuidade, mas também, e principalmente, na resolução. [...] Na sociedade de classe das imagens, o cinema assume o papel de loja-conceito, onde os produtos são vendidos em um ambiente sofisticado (</w:t>
      </w:r>
      <w:proofErr w:type="spellStart"/>
      <w:r w:rsidRPr="002451B6">
        <w:rPr>
          <w:rFonts w:ascii="Times New Roman" w:eastAsia="Times New Roman" w:hAnsi="Times New Roman" w:cs="Times New Roman"/>
        </w:rPr>
        <w:t>Steyerl</w:t>
      </w:r>
      <w:proofErr w:type="spellEnd"/>
      <w:r w:rsidRPr="002451B6">
        <w:rPr>
          <w:rFonts w:ascii="Times New Roman" w:eastAsia="Times New Roman" w:hAnsi="Times New Roman" w:cs="Times New Roman"/>
        </w:rPr>
        <w:t>, 2009, p. 186).</w:t>
      </w:r>
    </w:p>
    <w:p w14:paraId="12252DCC"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 </w:t>
      </w:r>
      <w:proofErr w:type="spellStart"/>
      <w:r w:rsidRPr="002451B6">
        <w:rPr>
          <w:rFonts w:ascii="Times New Roman" w:eastAsia="Times New Roman" w:hAnsi="Times New Roman" w:cs="Times New Roman"/>
          <w:sz w:val="24"/>
          <w:szCs w:val="24"/>
        </w:rPr>
        <w:t>Steyerl</w:t>
      </w:r>
      <w:proofErr w:type="spellEnd"/>
      <w:r w:rsidRPr="002451B6">
        <w:rPr>
          <w:rFonts w:ascii="Times New Roman" w:eastAsia="Times New Roman" w:hAnsi="Times New Roman" w:cs="Times New Roman"/>
          <w:sz w:val="24"/>
          <w:szCs w:val="24"/>
        </w:rPr>
        <w:t xml:space="preserve"> (2009) a imagem pobre seria um “fragmento proletário na classe social das aparências, hierarquizada e avaliada em função da sua resolução”. Dessa perspectiva, as formas de autorrepresentação </w:t>
      </w:r>
      <w:proofErr w:type="spellStart"/>
      <w:r w:rsidRPr="002451B6">
        <w:rPr>
          <w:rFonts w:ascii="Times New Roman" w:eastAsia="Times New Roman" w:hAnsi="Times New Roman" w:cs="Times New Roman"/>
          <w:sz w:val="24"/>
          <w:szCs w:val="24"/>
        </w:rPr>
        <w:t>contra-hegemônica</w:t>
      </w:r>
      <w:proofErr w:type="spellEnd"/>
      <w:r w:rsidRPr="002451B6">
        <w:rPr>
          <w:rFonts w:ascii="Times New Roman" w:eastAsia="Times New Roman" w:hAnsi="Times New Roman" w:cs="Times New Roman"/>
          <w:sz w:val="24"/>
          <w:szCs w:val="24"/>
        </w:rPr>
        <w:t xml:space="preserve"> podem ser poderosas ferramentas no “capitalismo </w:t>
      </w:r>
      <w:r w:rsidRPr="002451B6">
        <w:rPr>
          <w:rFonts w:ascii="Times New Roman" w:eastAsia="Times New Roman" w:hAnsi="Times New Roman" w:cs="Times New Roman"/>
          <w:sz w:val="24"/>
          <w:szCs w:val="24"/>
        </w:rPr>
        <w:lastRenderedPageBreak/>
        <w:t>audiovisual”, no sentido de desestabilizar estruturas de poder nos planos simbólico, imagético e estético. No entanto, é importante destacar que existem desafios significativos, uma vez que a cultura hegemônica, produzida e mantida pela indústria cultural, opera constantemente no sentido de cooptar e neutralizar resistências, reabsorvendo-as de volta ao espetáculo, como uma forma de perpetuar sua dominação:</w:t>
      </w:r>
    </w:p>
    <w:p w14:paraId="375AB105"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rPr>
        <w:t xml:space="preserve">Nunca importou o fato de que essas economias afluentes da produção cinematográfica estivessem (e ainda estejam) firmemente ancoradas em sistemas de cultura nacional, em produções de estúdio capitalistas, no culto do gênio, </w:t>
      </w:r>
      <w:r w:rsidRPr="002451B6">
        <w:rPr>
          <w:rFonts w:ascii="Times New Roman" w:eastAsia="Times New Roman" w:hAnsi="Times New Roman" w:cs="Times New Roman"/>
          <w:u w:val="single"/>
        </w:rPr>
        <w:t>quase sempre masculino</w:t>
      </w:r>
      <w:r w:rsidRPr="002451B6">
        <w:rPr>
          <w:rFonts w:ascii="Times New Roman" w:eastAsia="Times New Roman" w:hAnsi="Times New Roman" w:cs="Times New Roman"/>
        </w:rPr>
        <w:t xml:space="preserve"> e na versão original, sendo, por isso, muitas vezes conservadoras em sua própria estrutura (</w:t>
      </w:r>
      <w:proofErr w:type="spellStart"/>
      <w:r w:rsidRPr="002451B6">
        <w:rPr>
          <w:rFonts w:ascii="Times New Roman" w:eastAsia="Times New Roman" w:hAnsi="Times New Roman" w:cs="Times New Roman"/>
        </w:rPr>
        <w:t>Steyerl</w:t>
      </w:r>
      <w:proofErr w:type="spellEnd"/>
      <w:r w:rsidRPr="002451B6">
        <w:rPr>
          <w:rFonts w:ascii="Times New Roman" w:eastAsia="Times New Roman" w:hAnsi="Times New Roman" w:cs="Times New Roman"/>
        </w:rPr>
        <w:t>, 2009, p. 188, grifo meu).</w:t>
      </w:r>
    </w:p>
    <w:p w14:paraId="2D45D25A" w14:textId="77777777" w:rsidR="00332C33" w:rsidRPr="002451B6" w:rsidRDefault="00000000">
      <w:pPr>
        <w:spacing w:line="360" w:lineRule="auto"/>
        <w:ind w:firstLine="720"/>
        <w:jc w:val="both"/>
        <w:rPr>
          <w:rFonts w:ascii="Times New Roman" w:eastAsia="Times New Roman" w:hAnsi="Times New Roman" w:cs="Times New Roman"/>
          <w:sz w:val="24"/>
          <w:szCs w:val="24"/>
          <w:highlight w:val="yellow"/>
        </w:rPr>
      </w:pPr>
      <w:r w:rsidRPr="002451B6">
        <w:rPr>
          <w:rFonts w:ascii="Times New Roman" w:eastAsia="Times New Roman" w:hAnsi="Times New Roman" w:cs="Times New Roman"/>
          <w:sz w:val="24"/>
          <w:szCs w:val="24"/>
        </w:rPr>
        <w:t xml:space="preserve">Não ter acesso aos bens de produção audiovisual (máquinas, tecnologias, mão de obra e outros insumos) faz com que pessoas realizadoras do audiovisual que advêm de realidades subalternizadas lancem mão dos recursos que têm ao alcance. Câmeras digitais, câmeras de celulares, câmeras </w:t>
      </w:r>
      <w:proofErr w:type="spellStart"/>
      <w:proofErr w:type="gramStart"/>
      <w:r w:rsidRPr="002451B6">
        <w:rPr>
          <w:rFonts w:ascii="Times New Roman" w:eastAsia="Times New Roman" w:hAnsi="Times New Roman" w:cs="Times New Roman"/>
          <w:sz w:val="24"/>
          <w:szCs w:val="24"/>
        </w:rPr>
        <w:t>semi-profissionais</w:t>
      </w:r>
      <w:proofErr w:type="spellEnd"/>
      <w:proofErr w:type="gramEnd"/>
      <w:r w:rsidRPr="002451B6">
        <w:rPr>
          <w:rFonts w:ascii="Times New Roman" w:eastAsia="Times New Roman" w:hAnsi="Times New Roman" w:cs="Times New Roman"/>
          <w:sz w:val="24"/>
          <w:szCs w:val="24"/>
        </w:rPr>
        <w:t xml:space="preserve"> e muitas outras possibilidades de registro são utilizadas na produção de filmes. Essa “precarização como linguagem” faz parte da história do cinema nacional, inclusive. Movimentos como Cinema Novo, Cinema Marginal e da Boca do Lixo foram construídos a partir de produções com baixos orçamentos.</w:t>
      </w:r>
    </w:p>
    <w:p w14:paraId="6AA38FC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Cineastas como Glauber Rocha em seus primeiros filmes, durante os anos 1960; Rogério Sganzerla, Helena Ignez e Júlio Bressane em paralelo com o Cinema Marginal, nos anos 1970, são exemplos de realizadores que produziram obras com recursos mínimos comparados à indústria cinematográfica da época. O importantíssimo documentário </w:t>
      </w:r>
      <w:proofErr w:type="spellStart"/>
      <w:r w:rsidRPr="002451B6">
        <w:rPr>
          <w:rFonts w:ascii="Times New Roman" w:eastAsia="Times New Roman" w:hAnsi="Times New Roman" w:cs="Times New Roman"/>
          <w:i/>
          <w:iCs/>
          <w:sz w:val="24"/>
          <w:szCs w:val="24"/>
        </w:rPr>
        <w:t>Ori</w:t>
      </w:r>
      <w:proofErr w:type="spellEnd"/>
      <w:r w:rsidRPr="002451B6">
        <w:rPr>
          <w:rFonts w:ascii="Times New Roman" w:eastAsia="Times New Roman" w:hAnsi="Times New Roman" w:cs="Times New Roman"/>
          <w:sz w:val="24"/>
          <w:szCs w:val="24"/>
        </w:rPr>
        <w:t xml:space="preserve"> (1989), escrito e performado por Beatriz Nascimento, foi realizado de forma quase artesanal por Raquel Gerber. Mais recentemente, Grace </w:t>
      </w:r>
      <w:proofErr w:type="spellStart"/>
      <w:r w:rsidRPr="002451B6">
        <w:rPr>
          <w:rFonts w:ascii="Times New Roman" w:eastAsia="Times New Roman" w:hAnsi="Times New Roman" w:cs="Times New Roman"/>
          <w:sz w:val="24"/>
          <w:szCs w:val="24"/>
        </w:rPr>
        <w:t>Passô</w:t>
      </w:r>
      <w:proofErr w:type="spellEnd"/>
      <w:r w:rsidRPr="002451B6">
        <w:rPr>
          <w:rFonts w:ascii="Times New Roman" w:eastAsia="Times New Roman" w:hAnsi="Times New Roman" w:cs="Times New Roman"/>
          <w:sz w:val="24"/>
          <w:szCs w:val="24"/>
        </w:rPr>
        <w:t xml:space="preserve">, Adirley Queiroz e a produtora Filmes de Plástico, bem como Ary Rosa e Glenda Nicácio (dentre outras/os), a partir de 2010, também produziram obras de grande relevância com menos recursos do que o usual da indústria. </w:t>
      </w:r>
    </w:p>
    <w:p w14:paraId="1FCE966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um contexto menos midiático, com uma visibilidade menor, há uma produção audiovisual profícua pelas periferias do Brasil. Na esquiva de tentar construir um panorama de nível nacional, direciono o foco desta reflexão para a produção da periferia da cidade de São Paulo. "Cinema de quebrada" é uma expressão que foi utilizada no começo da segunda década deste século para se referir a um tipo de cinema que tem suas raízes e inspirações nas comunidades marginalizadas, geralmente em áreas de baixa renda conhecidas como "quebradas". O catálogo da mostra “Cinema da Quebrada”, realizada pelo </w:t>
      </w:r>
      <w:proofErr w:type="spellStart"/>
      <w:r w:rsidRPr="002451B6">
        <w:rPr>
          <w:rFonts w:ascii="Times New Roman" w:eastAsia="Times New Roman" w:hAnsi="Times New Roman" w:cs="Times New Roman"/>
          <w:sz w:val="24"/>
          <w:szCs w:val="24"/>
        </w:rPr>
        <w:t>Cinusp</w:t>
      </w:r>
      <w:proofErr w:type="spellEnd"/>
      <w:r w:rsidRPr="002451B6">
        <w:rPr>
          <w:rFonts w:ascii="Times New Roman" w:eastAsia="Times New Roman" w:hAnsi="Times New Roman" w:cs="Times New Roman"/>
          <w:sz w:val="24"/>
          <w:szCs w:val="24"/>
        </w:rPr>
        <w:t xml:space="preserve"> Paulo Emílio </w:t>
      </w:r>
      <w:r w:rsidRPr="002451B6">
        <w:rPr>
          <w:rFonts w:ascii="Times New Roman" w:eastAsia="Times New Roman" w:hAnsi="Times New Roman" w:cs="Times New Roman"/>
          <w:sz w:val="24"/>
          <w:szCs w:val="24"/>
        </w:rPr>
        <w:lastRenderedPageBreak/>
        <w:t>(USP)</w:t>
      </w:r>
      <w:r w:rsidRPr="002451B6">
        <w:rPr>
          <w:rFonts w:ascii="Times New Roman" w:eastAsia="Times New Roman" w:hAnsi="Times New Roman" w:cs="Times New Roman"/>
          <w:sz w:val="24"/>
          <w:szCs w:val="24"/>
          <w:vertAlign w:val="superscript"/>
        </w:rPr>
        <w:footnoteReference w:id="45"/>
      </w:r>
      <w:r w:rsidRPr="002451B6">
        <w:rPr>
          <w:rFonts w:ascii="Times New Roman" w:eastAsia="Times New Roman" w:hAnsi="Times New Roman" w:cs="Times New Roman"/>
          <w:sz w:val="24"/>
          <w:szCs w:val="24"/>
        </w:rPr>
        <w:t xml:space="preserve">, em 2012, apresenta uma curadoria que considera “Cinema da Quebrada”: “curtas e longas-metragens, que têm como cenário a periferia de grandes cidades brasileiras, protagonizadas e realizadas por pessoas que também vivem nessas áreas” (p. 2). Essa mostra teve três edições, em 2012, 2013 e 2014, contanto com as respectivas curadorias de: Renato Cândido de Lima, Thais </w:t>
      </w:r>
      <w:proofErr w:type="spellStart"/>
      <w:r w:rsidRPr="002451B6">
        <w:rPr>
          <w:rFonts w:ascii="Times New Roman" w:eastAsia="Times New Roman" w:hAnsi="Times New Roman" w:cs="Times New Roman"/>
          <w:sz w:val="24"/>
          <w:szCs w:val="24"/>
        </w:rPr>
        <w:t>Scabio</w:t>
      </w:r>
      <w:proofErr w:type="spellEnd"/>
      <w:r w:rsidRPr="002451B6">
        <w:rPr>
          <w:rFonts w:ascii="Times New Roman" w:eastAsia="Times New Roman" w:hAnsi="Times New Roman" w:cs="Times New Roman"/>
          <w:sz w:val="24"/>
          <w:szCs w:val="24"/>
        </w:rPr>
        <w:t xml:space="preserve"> e </w:t>
      </w:r>
      <w:proofErr w:type="spellStart"/>
      <w:r w:rsidRPr="002451B6">
        <w:rPr>
          <w:rFonts w:ascii="Times New Roman" w:eastAsia="Times New Roman" w:hAnsi="Times New Roman" w:cs="Times New Roman"/>
          <w:sz w:val="24"/>
          <w:szCs w:val="24"/>
        </w:rPr>
        <w:t>Wilq</w:t>
      </w:r>
      <w:proofErr w:type="spellEnd"/>
      <w:r w:rsidRPr="002451B6">
        <w:rPr>
          <w:rFonts w:ascii="Times New Roman" w:eastAsia="Times New Roman" w:hAnsi="Times New Roman" w:cs="Times New Roman"/>
          <w:sz w:val="24"/>
          <w:szCs w:val="24"/>
        </w:rPr>
        <w:t xml:space="preserve"> Vicente. O </w:t>
      </w:r>
      <w:proofErr w:type="spellStart"/>
      <w:r w:rsidRPr="002451B6">
        <w:rPr>
          <w:rFonts w:ascii="Times New Roman" w:eastAsia="Times New Roman" w:hAnsi="Times New Roman" w:cs="Times New Roman"/>
          <w:sz w:val="24"/>
          <w:szCs w:val="24"/>
        </w:rPr>
        <w:t>Cinusp</w:t>
      </w:r>
      <w:proofErr w:type="spellEnd"/>
      <w:r w:rsidRPr="002451B6">
        <w:rPr>
          <w:rFonts w:ascii="Times New Roman" w:eastAsia="Times New Roman" w:hAnsi="Times New Roman" w:cs="Times New Roman"/>
          <w:sz w:val="24"/>
          <w:szCs w:val="24"/>
        </w:rPr>
        <w:t xml:space="preserve"> não realizou mais essa mostra desde então.</w:t>
      </w:r>
    </w:p>
    <w:p w14:paraId="536D15E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Antes disso, em 2005, houve uma mostra chamada “Cinema de Quebrada”, realizada pelo Centro Cultural São Paulo. O nome da mostra, em minha interpretação, diz respeito aos temas dos filmes, ligados à “vida na periferia”, conforme declara o texto de divulgação disponível na internet sobre esse evento</w:t>
      </w:r>
      <w:r w:rsidRPr="002451B6">
        <w:rPr>
          <w:rFonts w:ascii="Times New Roman" w:eastAsia="Times New Roman" w:hAnsi="Times New Roman" w:cs="Times New Roman"/>
          <w:sz w:val="24"/>
          <w:szCs w:val="24"/>
          <w:vertAlign w:val="superscript"/>
        </w:rPr>
        <w:footnoteReference w:id="46"/>
      </w:r>
      <w:r w:rsidRPr="002451B6">
        <w:rPr>
          <w:rFonts w:ascii="Times New Roman" w:eastAsia="Times New Roman" w:hAnsi="Times New Roman" w:cs="Times New Roman"/>
          <w:sz w:val="24"/>
          <w:szCs w:val="24"/>
        </w:rPr>
        <w:t>:</w:t>
      </w:r>
    </w:p>
    <w:p w14:paraId="1AEF38DC" w14:textId="77777777" w:rsidR="00332C33" w:rsidRPr="002451B6" w:rsidRDefault="00332C33">
      <w:pPr>
        <w:spacing w:line="360" w:lineRule="auto"/>
        <w:ind w:firstLine="720"/>
        <w:jc w:val="both"/>
        <w:rPr>
          <w:rFonts w:ascii="Times New Roman" w:eastAsia="Times New Roman" w:hAnsi="Times New Roman" w:cs="Times New Roman"/>
          <w:sz w:val="24"/>
          <w:szCs w:val="24"/>
        </w:rPr>
      </w:pPr>
    </w:p>
    <w:p w14:paraId="66650AE3"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b/>
          <w:bCs/>
        </w:rPr>
        <w:t>CCSP promove projeção de filmes e debates relacionados ao tema da exclusão social</w:t>
      </w:r>
    </w:p>
    <w:p w14:paraId="4D5FA4CB"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O tema central dos filmes e documentários é a vida de moradores das periferias das grandes cidades brasileiras.</w:t>
      </w:r>
    </w:p>
    <w:p w14:paraId="6941E306"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"Cinema de Periferia", "Bairro de Calçada", "Nas calçadas do Rio". O tema da desigualdade social é explorado por filmes e documentários brasileiros exibidos no Brasil e no exterior. Entretanto, pela falta de acesso às salas de cinema, muitos brasileiros ficam excluídos desse entretenimento que muitas vezes traduz sua realidade.</w:t>
      </w:r>
    </w:p>
    <w:p w14:paraId="1FAF50DF"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Com o objetivo de tornar o acesso ao cinema mais democrático, a Coordenadoria da Juventude e o Centro Cultural São Paulo promovem até o dia 19 de novembro a Mostra "Cinema de Quebrada" em que são exibidos gratuitamente filmes seguidos de debates, sempre aos sábados, às 14 horas, no Centro Cultural São Paulo. O tema central dos filmes e documentários é a vida de moradores das periferias das grandes cidades brasileiras.</w:t>
      </w:r>
    </w:p>
    <w:p w14:paraId="23BE3FDF"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Neste último sábado, 08, foram exibidos seis curtas-metragens, entre eles "O Último da Fila", conto que aborda a situação de algumas das 38 mil pessoas que disputaram 600 vagas de gari. O tema do debate foi: "Linguagem - A olho nu: estética e linguagem sem frescura.</w:t>
      </w:r>
    </w:p>
    <w:p w14:paraId="54A52514"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Nesse próximo sábado, dia 15, estão previstas três sessões, com destaque para "João Cândido", história do líder das Chibatas, em 1910. No episódio, muitos marinheiros morreram por más condições de tratamento.</w:t>
      </w:r>
    </w:p>
    <w:p w14:paraId="5E8C4CA7"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No sábado seguinte, 22, serão apresentados mais seis filmes, entre eles "Defina-se", um manifesto audiovisual sobre a trajetória dos negros no Brasil, da senzala à periferia da cidade grande.</w:t>
      </w:r>
    </w:p>
    <w:p w14:paraId="47657B15" w14:textId="77777777" w:rsidR="00332C33" w:rsidRPr="002451B6" w:rsidRDefault="00000000">
      <w:pPr>
        <w:spacing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 programação do mês encerra-se dia 29 com a exibição de mais seis curtas, que discutem a realidade da cidade de São Paulo, abordando temas como miscigenação, questão da ocupação dos mananciais e a vida dos presidiários (CCSP, 2005).</w:t>
      </w:r>
    </w:p>
    <w:p w14:paraId="1B2FBB5C" w14:textId="77777777" w:rsidR="00332C33" w:rsidRPr="002451B6" w:rsidRDefault="00332C33">
      <w:pPr>
        <w:spacing w:line="240" w:lineRule="auto"/>
        <w:rPr>
          <w:rFonts w:ascii="Cambria" w:eastAsia="Cambria" w:hAnsi="Cambria" w:cs="Cambria"/>
          <w:sz w:val="24"/>
          <w:szCs w:val="24"/>
        </w:rPr>
      </w:pPr>
    </w:p>
    <w:p w14:paraId="11336D06"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Segundo </w:t>
      </w:r>
      <w:proofErr w:type="spellStart"/>
      <w:r w:rsidRPr="002451B6">
        <w:rPr>
          <w:rFonts w:ascii="Times New Roman" w:eastAsia="Times New Roman" w:hAnsi="Times New Roman" w:cs="Times New Roman"/>
          <w:sz w:val="24"/>
          <w:szCs w:val="24"/>
        </w:rPr>
        <w:t>Wilq</w:t>
      </w:r>
      <w:proofErr w:type="spellEnd"/>
      <w:r w:rsidRPr="002451B6">
        <w:rPr>
          <w:rFonts w:ascii="Times New Roman" w:eastAsia="Times New Roman" w:hAnsi="Times New Roman" w:cs="Times New Roman"/>
          <w:sz w:val="24"/>
          <w:szCs w:val="24"/>
        </w:rPr>
        <w:t xml:space="preserve"> Vicente, em um dos textos presentes no catálogo da Mostra Cinema de Quebrada, de 2014, em 2005, havia acontecido o Fórum de Cinema Comunitário, que contava, </w:t>
      </w:r>
      <w:r w:rsidRPr="002451B6">
        <w:rPr>
          <w:rFonts w:ascii="Times New Roman" w:eastAsia="Times New Roman" w:hAnsi="Times New Roman" w:cs="Times New Roman"/>
          <w:sz w:val="24"/>
          <w:szCs w:val="24"/>
        </w:rPr>
        <w:lastRenderedPageBreak/>
        <w:t xml:space="preserve">em seu início, com a participação de realizadores “periféricos” e de entidades que atuavam com formações nesses territórios como a Associação Cultural </w:t>
      </w:r>
      <w:proofErr w:type="spellStart"/>
      <w:r w:rsidRPr="002451B6">
        <w:rPr>
          <w:rFonts w:ascii="Times New Roman" w:eastAsia="Times New Roman" w:hAnsi="Times New Roman" w:cs="Times New Roman"/>
          <w:sz w:val="24"/>
          <w:szCs w:val="24"/>
        </w:rPr>
        <w:t>Kinoforum</w:t>
      </w:r>
      <w:proofErr w:type="spellEnd"/>
      <w:r w:rsidRPr="002451B6">
        <w:rPr>
          <w:rFonts w:ascii="Times New Roman" w:eastAsia="Times New Roman" w:hAnsi="Times New Roman" w:cs="Times New Roman"/>
          <w:sz w:val="24"/>
          <w:szCs w:val="24"/>
        </w:rPr>
        <w:t>, Ação Educativa, Projeto Arrastão, Gol de Letra, Instituto Criar, Projeto Casulo (Vicente, 2014</w:t>
      </w:r>
      <w:r w:rsidRPr="002451B6">
        <w:rPr>
          <w:rFonts w:ascii="Times New Roman" w:eastAsia="Times New Roman" w:hAnsi="Times New Roman" w:cs="Times New Roman"/>
        </w:rPr>
        <w:t>,</w:t>
      </w:r>
      <w:r w:rsidRPr="002451B6">
        <w:rPr>
          <w:rFonts w:ascii="Times New Roman" w:eastAsia="Times New Roman" w:hAnsi="Times New Roman" w:cs="Times New Roman"/>
          <w:sz w:val="24"/>
          <w:szCs w:val="24"/>
        </w:rPr>
        <w:t xml:space="preserve"> p. 21). Esse contexto era consequência de fatores políticos e socioculturais, como afirmam esses mesmos autores:</w:t>
      </w:r>
    </w:p>
    <w:p w14:paraId="7CEA4649" w14:textId="77777777" w:rsidR="00332C33" w:rsidRPr="002451B6" w:rsidRDefault="00000000">
      <w:pPr>
        <w:spacing w:after="20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Após um enfraquecimento em meados da década de 1990, desde os anos 2000, constatamos uma crescente popularização da prática do vídeo. Protagonizado hoje por uma nova geração e impulsionado pelo acesso aos instrumentos de produção, bem como por um conjunto disperso de iniciativas públicas e privadas pontuais, esse crescimento atual do vídeo, agora digital, traz consigo uma nova agenda de demandas para o setor cultural e político (Vicente, 2014, p. 31).</w:t>
      </w:r>
    </w:p>
    <w:p w14:paraId="429746D2" w14:textId="77777777" w:rsidR="00332C33" w:rsidRPr="002451B6" w:rsidRDefault="00332C33">
      <w:pPr>
        <w:spacing w:after="200" w:line="240" w:lineRule="auto"/>
        <w:ind w:left="2267"/>
        <w:jc w:val="both"/>
        <w:rPr>
          <w:rFonts w:ascii="Times New Roman" w:eastAsia="Times New Roman" w:hAnsi="Times New Roman" w:cs="Times New Roman"/>
        </w:rPr>
      </w:pPr>
    </w:p>
    <w:p w14:paraId="4084BA22"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Nesse contexto, diversas ações e fatores ajudaram a fomentar uma produção audiovisual nas periferias brasileiras:</w:t>
      </w:r>
    </w:p>
    <w:p w14:paraId="3EE58E02" w14:textId="77777777" w:rsidR="00332C33" w:rsidRPr="002451B6" w:rsidRDefault="00000000">
      <w:pPr>
        <w:spacing w:after="20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Inicialmente apoiadas por recursos de organismos internacionais e empresas privadas, a partir dos anos 2000 intensificou-se a utilização de recursos estatais. Ações culturais e educacionais de algumas ONGs se fortaleceram especialmente no início dessa década. Algumas organizações passaram a realizar oficinas de cinema, vídeo e novas mídias, principalmente com jovens de baixa renda da periferia, com o apelo do “desenvolvimento cidadão” (Vicente, 2014, p. 20).</w:t>
      </w:r>
    </w:p>
    <w:p w14:paraId="0785AC89" w14:textId="77777777" w:rsidR="00332C33" w:rsidRPr="002451B6" w:rsidRDefault="00332C33">
      <w:pPr>
        <w:spacing w:after="200" w:line="240" w:lineRule="auto"/>
        <w:ind w:left="2267"/>
        <w:jc w:val="both"/>
        <w:rPr>
          <w:rFonts w:ascii="Times New Roman" w:eastAsia="Times New Roman" w:hAnsi="Times New Roman" w:cs="Times New Roman"/>
        </w:rPr>
      </w:pPr>
    </w:p>
    <w:p w14:paraId="2E38B40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cinema de quebrada, desde os anos 2000, vem desempenhando um papel importante na promoção da diversidade e na ampliação das vozes e perspectivas </w:t>
      </w:r>
      <w:proofErr w:type="spellStart"/>
      <w:r w:rsidRPr="002451B6">
        <w:rPr>
          <w:rFonts w:ascii="Times New Roman" w:eastAsia="Times New Roman" w:hAnsi="Times New Roman" w:cs="Times New Roman"/>
          <w:sz w:val="24"/>
          <w:szCs w:val="24"/>
        </w:rPr>
        <w:t>sub-representadas</w:t>
      </w:r>
      <w:proofErr w:type="spellEnd"/>
      <w:r w:rsidRPr="002451B6">
        <w:rPr>
          <w:rFonts w:ascii="Times New Roman" w:eastAsia="Times New Roman" w:hAnsi="Times New Roman" w:cs="Times New Roman"/>
          <w:sz w:val="24"/>
          <w:szCs w:val="24"/>
        </w:rPr>
        <w:t xml:space="preserve"> dentro da indústria cinematográfica brasileira. Vale destacar que antes do Fórum de Cinema Comunitário, realizado no CCSP em 2005, os coletivos MUCCA (Mudança com Conhecimento e Arte), Filmagens Periféricas, Arroz, feijão, cinema e vídeo e o Cine Favela (Heliópolis) já realizavam movimentação e articulação autônoma na produção de filmes, encontros e outras ações</w:t>
      </w:r>
      <w:r w:rsidRPr="002451B6">
        <w:rPr>
          <w:rFonts w:ascii="Times New Roman" w:eastAsia="Times New Roman" w:hAnsi="Times New Roman" w:cs="Times New Roman"/>
          <w:sz w:val="24"/>
          <w:szCs w:val="24"/>
          <w:vertAlign w:val="superscript"/>
        </w:rPr>
        <w:footnoteReference w:id="47"/>
      </w:r>
      <w:r w:rsidRPr="002451B6">
        <w:rPr>
          <w:rFonts w:ascii="Times New Roman" w:eastAsia="Times New Roman" w:hAnsi="Times New Roman" w:cs="Times New Roman"/>
          <w:sz w:val="24"/>
          <w:szCs w:val="24"/>
        </w:rPr>
        <w:t xml:space="preserve">. Desde então, a produção audiovisual periférica vem crescendo exponencialmente, especialmente em São Paulo por conta, principalmente, de fomentos governamentais. O edital VAI, da cidade de São Paulo, por exemplo, tem sido uma importante ferramenta de acesso a recursos para realizações de diversos coletivos periféricos de audiovisual nos últimos vinte </w:t>
      </w:r>
      <w:r w:rsidRPr="002451B6">
        <w:rPr>
          <w:rFonts w:ascii="Times New Roman" w:eastAsia="Times New Roman" w:hAnsi="Times New Roman" w:cs="Times New Roman"/>
          <w:sz w:val="24"/>
          <w:szCs w:val="24"/>
        </w:rPr>
        <w:lastRenderedPageBreak/>
        <w:t>anos. Além disso, atualmente, há uma grande diversidade de mostras e festivais voltados a esse contexto pelo Brasil, sem dúvida, é um cenário em franca expansão.</w:t>
      </w:r>
    </w:p>
    <w:p w14:paraId="505F231E"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Entretanto, vale pontuar que dentro dessa efervescente cena de produção audiovisual periférica, o número de mulheres realizadoras ainda é muito baixo. Trata-se de ausência ou de invisibilidade? Provavelmente ambos. Há diversos coletivos atuando com audiovisual nas periferias da cidade, mas poucos contam com mulheres periféricas em posições de comando (direção e roteiro), como o </w:t>
      </w:r>
      <w:r w:rsidRPr="002451B6">
        <w:rPr>
          <w:rFonts w:ascii="Times New Roman" w:eastAsia="Times New Roman" w:hAnsi="Times New Roman" w:cs="Times New Roman"/>
          <w:i/>
          <w:iCs/>
          <w:sz w:val="24"/>
          <w:szCs w:val="24"/>
        </w:rPr>
        <w:t>Nós Madalenas</w:t>
      </w:r>
      <w:r w:rsidRPr="002451B6">
        <w:rPr>
          <w:rFonts w:ascii="Times New Roman" w:eastAsia="Times New Roman" w:hAnsi="Times New Roman" w:cs="Times New Roman"/>
          <w:sz w:val="24"/>
          <w:szCs w:val="24"/>
          <w:vertAlign w:val="superscript"/>
        </w:rPr>
        <w:footnoteReference w:id="48"/>
      </w:r>
      <w:r w:rsidRPr="002451B6">
        <w:rPr>
          <w:rFonts w:ascii="Times New Roman" w:eastAsia="Times New Roman" w:hAnsi="Times New Roman" w:cs="Times New Roman"/>
          <w:sz w:val="24"/>
          <w:szCs w:val="24"/>
        </w:rPr>
        <w:t xml:space="preserve">, por exemplo. A cineasta Thais </w:t>
      </w:r>
      <w:proofErr w:type="spellStart"/>
      <w:r w:rsidRPr="002451B6">
        <w:rPr>
          <w:rFonts w:ascii="Times New Roman" w:eastAsia="Times New Roman" w:hAnsi="Times New Roman" w:cs="Times New Roman"/>
          <w:sz w:val="24"/>
          <w:szCs w:val="24"/>
        </w:rPr>
        <w:t>Scabio</w:t>
      </w:r>
      <w:proofErr w:type="spellEnd"/>
      <w:r w:rsidRPr="002451B6">
        <w:rPr>
          <w:rFonts w:ascii="Times New Roman" w:eastAsia="Times New Roman" w:hAnsi="Times New Roman" w:cs="Times New Roman"/>
          <w:sz w:val="24"/>
          <w:szCs w:val="24"/>
        </w:rPr>
        <w:t xml:space="preserve">, é uma referência de mulher periférica realizadora audiovisual que assina produções autorais que marcaram a história recente do audiovisual periférico, como </w:t>
      </w:r>
      <w:r w:rsidRPr="002451B6">
        <w:rPr>
          <w:rFonts w:ascii="Times New Roman" w:eastAsia="Times New Roman" w:hAnsi="Times New Roman" w:cs="Times New Roman"/>
          <w:i/>
          <w:iCs/>
          <w:sz w:val="24"/>
          <w:szCs w:val="24"/>
        </w:rPr>
        <w:t>A festa do cavalo noia</w:t>
      </w:r>
      <w:r w:rsidRPr="002451B6">
        <w:rPr>
          <w:rFonts w:ascii="Times New Roman" w:eastAsia="Times New Roman" w:hAnsi="Times New Roman" w:cs="Times New Roman"/>
          <w:sz w:val="24"/>
          <w:szCs w:val="24"/>
        </w:rPr>
        <w:t xml:space="preserve">… (2009), </w:t>
      </w:r>
      <w:r w:rsidRPr="002451B6">
        <w:rPr>
          <w:rFonts w:ascii="Times New Roman" w:eastAsia="Times New Roman" w:hAnsi="Times New Roman" w:cs="Times New Roman"/>
          <w:i/>
          <w:iCs/>
          <w:sz w:val="24"/>
          <w:szCs w:val="24"/>
        </w:rPr>
        <w:t>Graffiti dança</w:t>
      </w:r>
      <w:r w:rsidRPr="002451B6">
        <w:rPr>
          <w:rFonts w:ascii="Times New Roman" w:eastAsia="Times New Roman" w:hAnsi="Times New Roman" w:cs="Times New Roman"/>
          <w:sz w:val="24"/>
          <w:szCs w:val="24"/>
        </w:rPr>
        <w:t xml:space="preserve"> (2013) e </w:t>
      </w:r>
      <w:r w:rsidRPr="002451B6">
        <w:rPr>
          <w:rFonts w:ascii="Times New Roman" w:eastAsia="Times New Roman" w:hAnsi="Times New Roman" w:cs="Times New Roman"/>
          <w:i/>
          <w:iCs/>
          <w:sz w:val="24"/>
          <w:szCs w:val="24"/>
        </w:rPr>
        <w:t>Caixa d’água</w:t>
      </w:r>
      <w:r w:rsidRPr="002451B6">
        <w:rPr>
          <w:rFonts w:ascii="Times New Roman" w:eastAsia="Times New Roman" w:hAnsi="Times New Roman" w:cs="Times New Roman"/>
          <w:sz w:val="24"/>
          <w:szCs w:val="24"/>
        </w:rPr>
        <w:t xml:space="preserve"> (2013). </w:t>
      </w:r>
    </w:p>
    <w:p w14:paraId="6CD3270A"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cenário de mulheres negras realizadoras tem crescido nos últimos anos, havendo inclusive o Cinema Negro Feminino, movimento que articula a produção cinematográfica de cineastas negras a partir de uma perspectiva estética e política própria. Esse conceito vem sendo usado para descrever um cinema feito por mulheres negras que utilizam o audiovisual como ferramenta para denunciar e combater o racismo, o machismo, a homofobia e outras formas de discriminação estrutural presentes na sociedade. A pesquisadora e professora de cinema Tatiana Carvalho define: “Esse cinema negro feito por mulheres é obviamente parte superimportante do que a gente testemunha hoje no cinema brasileiro contemporâneo”</w:t>
      </w:r>
      <w:r w:rsidRPr="002451B6">
        <w:rPr>
          <w:rFonts w:ascii="Times New Roman" w:eastAsia="Times New Roman" w:hAnsi="Times New Roman" w:cs="Times New Roman"/>
          <w:sz w:val="24"/>
          <w:szCs w:val="24"/>
          <w:vertAlign w:val="superscript"/>
        </w:rPr>
        <w:footnoteReference w:id="49"/>
      </w:r>
      <w:r w:rsidRPr="002451B6">
        <w:rPr>
          <w:rFonts w:ascii="Times New Roman" w:eastAsia="Times New Roman" w:hAnsi="Times New Roman" w:cs="Times New Roman"/>
          <w:sz w:val="24"/>
          <w:szCs w:val="24"/>
        </w:rPr>
        <w:t xml:space="preserve">. </w:t>
      </w:r>
    </w:p>
    <w:p w14:paraId="7B8D8F1C"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protagonismo feminino no cinema negro tem ganhado força com iniciativas institucionais e políticas afirmativas, como os editais de fomento ao audiovisual voltados para realizadores negros e negras no Brasil, impulsionados pela APAN (Associação de Profissionais do Audiovisual Negro)</w:t>
      </w:r>
      <w:r w:rsidRPr="002451B6">
        <w:rPr>
          <w:rFonts w:ascii="Times New Roman" w:eastAsia="Times New Roman" w:hAnsi="Times New Roman" w:cs="Times New Roman"/>
          <w:sz w:val="24"/>
          <w:szCs w:val="24"/>
          <w:vertAlign w:val="superscript"/>
        </w:rPr>
        <w:footnoteReference w:id="50"/>
      </w:r>
      <w:r w:rsidRPr="002451B6">
        <w:rPr>
          <w:rFonts w:ascii="Times New Roman" w:eastAsia="Times New Roman" w:hAnsi="Times New Roman" w:cs="Times New Roman"/>
          <w:sz w:val="24"/>
          <w:szCs w:val="24"/>
        </w:rPr>
        <w:t xml:space="preserve"> e outras entidades. Essas ações têm sido fundamentais para ampliar o acesso e a representatividade das mulheres negras no cinema brasileiro</w:t>
      </w:r>
    </w:p>
    <w:p w14:paraId="00B81558" w14:textId="77777777" w:rsidR="00332C33" w:rsidRPr="002451B6" w:rsidRDefault="00000000">
      <w:pPr>
        <w:spacing w:after="20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Entretanto, retomando a discussão inicial, as realizadoras negras de destaque no cenário audiovisual contemporâneo não são, necessariamente, mulheres periféricas. E isso não faz delas menos merecedoras dos espaços que conquistaram. Trata-se da constatação de que mulheres de origem periférica têm menos acesso às possibilidades de produção de narrativas audiovisuais por conta da interseccionalidade entre gênero, raça e classe. Mesmo os homens periféricos têm </w:t>
      </w:r>
      <w:r w:rsidRPr="002451B6">
        <w:rPr>
          <w:rFonts w:ascii="Times New Roman" w:eastAsia="Times New Roman" w:hAnsi="Times New Roman" w:cs="Times New Roman"/>
          <w:sz w:val="24"/>
          <w:szCs w:val="24"/>
        </w:rPr>
        <w:lastRenderedPageBreak/>
        <w:t xml:space="preserve">mais acesso aos bens de produção, à visibilidade de suas produções e recursos para materializar seus projetos. </w:t>
      </w:r>
    </w:p>
    <w:p w14:paraId="3117814C" w14:textId="77777777" w:rsidR="00332C33" w:rsidRPr="002451B6" w:rsidRDefault="00000000">
      <w:pPr>
        <w:spacing w:after="20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Olhar em volta e ver a realidade material</w:t>
      </w:r>
    </w:p>
    <w:p w14:paraId="6DC82084" w14:textId="77777777" w:rsidR="00332C33" w:rsidRPr="002451B6" w:rsidRDefault="00000000">
      <w:pPr>
        <w:spacing w:after="200" w:line="360" w:lineRule="auto"/>
        <w:ind w:firstLine="720"/>
        <w:jc w:val="both"/>
        <w:rPr>
          <w:rFonts w:ascii="Times New Roman" w:eastAsia="Times New Roman" w:hAnsi="Times New Roman" w:cs="Times New Roman"/>
          <w:sz w:val="24"/>
          <w:szCs w:val="24"/>
          <w:highlight w:val="white"/>
        </w:rPr>
      </w:pPr>
      <w:proofErr w:type="spellStart"/>
      <w:r w:rsidRPr="002451B6">
        <w:rPr>
          <w:rFonts w:ascii="Times New Roman" w:eastAsia="Times New Roman" w:hAnsi="Times New Roman" w:cs="Times New Roman"/>
          <w:sz w:val="24"/>
          <w:szCs w:val="24"/>
        </w:rPr>
        <w:t>Antonia</w:t>
      </w:r>
      <w:proofErr w:type="spellEnd"/>
      <w:r w:rsidRPr="002451B6">
        <w:rPr>
          <w:rFonts w:ascii="Times New Roman" w:eastAsia="Times New Roman" w:hAnsi="Times New Roman" w:cs="Times New Roman"/>
          <w:sz w:val="24"/>
          <w:szCs w:val="24"/>
        </w:rPr>
        <w:t xml:space="preserve"> Ágape foi a primeira cineasta negra da Paraíba reconhecida e fez parte de um importante movimento do cinema em Super 8 neste estado. </w:t>
      </w:r>
      <w:r w:rsidRPr="002451B6">
        <w:rPr>
          <w:rFonts w:ascii="Times New Roman" w:eastAsia="Times New Roman" w:hAnsi="Times New Roman" w:cs="Times New Roman"/>
          <w:sz w:val="24"/>
          <w:szCs w:val="24"/>
          <w:highlight w:val="white"/>
        </w:rPr>
        <w:t xml:space="preserve">Em 1982, ela roteirizou, fotografou e dirigiu </w:t>
      </w:r>
      <w:r w:rsidRPr="002451B6">
        <w:rPr>
          <w:rFonts w:ascii="Times New Roman" w:eastAsia="Times New Roman" w:hAnsi="Times New Roman" w:cs="Times New Roman"/>
          <w:i/>
          <w:iCs/>
          <w:sz w:val="24"/>
          <w:szCs w:val="24"/>
          <w:highlight w:val="white"/>
        </w:rPr>
        <w:t>As Cegas</w:t>
      </w:r>
      <w:r w:rsidRPr="002451B6">
        <w:rPr>
          <w:rFonts w:ascii="Times New Roman" w:eastAsia="Times New Roman" w:hAnsi="Times New Roman" w:cs="Times New Roman"/>
          <w:sz w:val="24"/>
          <w:szCs w:val="24"/>
          <w:highlight w:val="white"/>
        </w:rPr>
        <w:t xml:space="preserve">, documentário sobre as irmãs cantoras que preservam o cancioneiro popular em Campina Grande (PB). No entanto, este importante registro feito por </w:t>
      </w:r>
      <w:proofErr w:type="spellStart"/>
      <w:r w:rsidRPr="002451B6">
        <w:rPr>
          <w:rFonts w:ascii="Times New Roman" w:eastAsia="Times New Roman" w:hAnsi="Times New Roman" w:cs="Times New Roman"/>
          <w:sz w:val="24"/>
          <w:szCs w:val="24"/>
          <w:highlight w:val="white"/>
        </w:rPr>
        <w:t>Antonia</w:t>
      </w:r>
      <w:proofErr w:type="spellEnd"/>
      <w:r w:rsidRPr="002451B6">
        <w:rPr>
          <w:rFonts w:ascii="Times New Roman" w:eastAsia="Times New Roman" w:hAnsi="Times New Roman" w:cs="Times New Roman"/>
          <w:sz w:val="24"/>
          <w:szCs w:val="24"/>
          <w:highlight w:val="white"/>
        </w:rPr>
        <w:t xml:space="preserve"> ficou “engavetado” na Universidade Federal da Paraíba durante 40 anos. Foi Carine Fiúza, cineasta e pesquisadora paraibana, em sua pesquisa de mestrado - ainda não publicada - sobre o movimento </w:t>
      </w:r>
      <w:proofErr w:type="spellStart"/>
      <w:r w:rsidRPr="002451B6">
        <w:rPr>
          <w:rFonts w:ascii="Times New Roman" w:eastAsia="Times New Roman" w:hAnsi="Times New Roman" w:cs="Times New Roman"/>
          <w:sz w:val="24"/>
          <w:szCs w:val="24"/>
          <w:highlight w:val="white"/>
        </w:rPr>
        <w:t>superoitista</w:t>
      </w:r>
      <w:proofErr w:type="spellEnd"/>
      <w:r w:rsidRPr="002451B6">
        <w:rPr>
          <w:rFonts w:ascii="Times New Roman" w:eastAsia="Times New Roman" w:hAnsi="Times New Roman" w:cs="Times New Roman"/>
          <w:sz w:val="24"/>
          <w:szCs w:val="24"/>
          <w:highlight w:val="white"/>
        </w:rPr>
        <w:t xml:space="preserve"> da Paraíba, que descobriu o trabalho de </w:t>
      </w:r>
      <w:proofErr w:type="spellStart"/>
      <w:r w:rsidRPr="002451B6">
        <w:rPr>
          <w:rFonts w:ascii="Times New Roman" w:eastAsia="Times New Roman" w:hAnsi="Times New Roman" w:cs="Times New Roman"/>
          <w:sz w:val="24"/>
          <w:szCs w:val="24"/>
          <w:highlight w:val="white"/>
        </w:rPr>
        <w:t>Antonia</w:t>
      </w:r>
      <w:proofErr w:type="spellEnd"/>
      <w:r w:rsidRPr="002451B6">
        <w:rPr>
          <w:rFonts w:ascii="Times New Roman" w:eastAsia="Times New Roman" w:hAnsi="Times New Roman" w:cs="Times New Roman"/>
          <w:sz w:val="24"/>
          <w:szCs w:val="24"/>
          <w:highlight w:val="white"/>
        </w:rPr>
        <w:t xml:space="preserve"> e o trouxe à tona depois de quatro décadas de invisibilidade. Em uma entrevista ao podcast Mó Ideia</w:t>
      </w:r>
      <w:r w:rsidRPr="002451B6">
        <w:rPr>
          <w:rFonts w:ascii="Times New Roman" w:eastAsia="Times New Roman" w:hAnsi="Times New Roman" w:cs="Times New Roman"/>
          <w:sz w:val="24"/>
          <w:szCs w:val="24"/>
          <w:highlight w:val="white"/>
          <w:vertAlign w:val="superscript"/>
        </w:rPr>
        <w:footnoteReference w:id="51"/>
      </w:r>
      <w:r w:rsidRPr="002451B6">
        <w:rPr>
          <w:rFonts w:ascii="Times New Roman" w:eastAsia="Times New Roman" w:hAnsi="Times New Roman" w:cs="Times New Roman"/>
          <w:sz w:val="24"/>
          <w:szCs w:val="24"/>
          <w:highlight w:val="white"/>
        </w:rPr>
        <w:t>, Carine Fiúza compartilhou tal descoberta:</w:t>
      </w:r>
    </w:p>
    <w:p w14:paraId="3194607A"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highlight w:val="white"/>
        </w:rPr>
        <w:t xml:space="preserve">No desenvolvimento da minha pesquisa eu cheguei a um resultado que é a primeira mulher negra a fazer cinema aqui na Paraíba. É um dos resultados da minha pesquisa. Ela realizou o filme dela exatamente no movimento Super 8 da Paraíba, que começa ali no final da década de 70 e se desenvolve na década de 80. É aí que eu fui entender mais ainda sobre Super 8 na Paraíba, só que esse entendimento vem a partir de uma história de apagamento de uma mulher. Eu ainda estou muito envolvida com o Super 8 nesse sentido de entender o que foi esse movimento, entender como apagaram a história dessa mulher que é Maria </w:t>
      </w:r>
      <w:proofErr w:type="spellStart"/>
      <w:r w:rsidRPr="002451B6">
        <w:rPr>
          <w:rFonts w:ascii="Times New Roman" w:eastAsia="Times New Roman" w:hAnsi="Times New Roman" w:cs="Times New Roman"/>
          <w:highlight w:val="white"/>
        </w:rPr>
        <w:t>Antonia</w:t>
      </w:r>
      <w:proofErr w:type="spellEnd"/>
      <w:r w:rsidRPr="002451B6">
        <w:rPr>
          <w:rFonts w:ascii="Times New Roman" w:eastAsia="Times New Roman" w:hAnsi="Times New Roman" w:cs="Times New Roman"/>
          <w:highlight w:val="white"/>
        </w:rPr>
        <w:t xml:space="preserve"> Pereira Ágape (Fiúza, 2025).</w:t>
      </w:r>
    </w:p>
    <w:p w14:paraId="2445F593"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r>
      <w:proofErr w:type="spellStart"/>
      <w:r w:rsidRPr="002451B6">
        <w:rPr>
          <w:rFonts w:ascii="Times New Roman" w:eastAsia="Times New Roman" w:hAnsi="Times New Roman" w:cs="Times New Roman"/>
          <w:sz w:val="24"/>
          <w:szCs w:val="24"/>
        </w:rPr>
        <w:t>Antonia</w:t>
      </w:r>
      <w:proofErr w:type="spellEnd"/>
      <w:r w:rsidRPr="002451B6">
        <w:rPr>
          <w:rFonts w:ascii="Times New Roman" w:eastAsia="Times New Roman" w:hAnsi="Times New Roman" w:cs="Times New Roman"/>
          <w:sz w:val="24"/>
          <w:szCs w:val="24"/>
        </w:rPr>
        <w:t xml:space="preserve"> foi sumariamente apagada da história do cinema da Paraíba durante quarenta anos. Se não fosse pelo empenho de outra mulher negra, sua obra e sua importância teriam ficado enterradas nas catacumbas geladas de arquivos da universidade. Segundo o relato concedido por </w:t>
      </w:r>
      <w:proofErr w:type="spellStart"/>
      <w:r w:rsidRPr="002451B6">
        <w:rPr>
          <w:rFonts w:ascii="Times New Roman" w:eastAsia="Times New Roman" w:hAnsi="Times New Roman" w:cs="Times New Roman"/>
          <w:sz w:val="24"/>
          <w:szCs w:val="24"/>
        </w:rPr>
        <w:t>Antonia</w:t>
      </w:r>
      <w:proofErr w:type="spellEnd"/>
      <w:r w:rsidRPr="002451B6">
        <w:rPr>
          <w:rFonts w:ascii="Times New Roman" w:eastAsia="Times New Roman" w:hAnsi="Times New Roman" w:cs="Times New Roman"/>
          <w:sz w:val="24"/>
          <w:szCs w:val="24"/>
        </w:rPr>
        <w:t xml:space="preserve"> para a dissertação de mestrado que defendi julho de 2025, o </w:t>
      </w:r>
      <w:proofErr w:type="gramStart"/>
      <w:r w:rsidRPr="002451B6">
        <w:rPr>
          <w:rFonts w:ascii="Times New Roman" w:eastAsia="Times New Roman" w:hAnsi="Times New Roman" w:cs="Times New Roman"/>
          <w:sz w:val="24"/>
          <w:szCs w:val="24"/>
        </w:rPr>
        <w:t xml:space="preserve">filme  </w:t>
      </w:r>
      <w:r w:rsidRPr="002451B6">
        <w:rPr>
          <w:rFonts w:ascii="Times New Roman" w:eastAsia="Times New Roman" w:hAnsi="Times New Roman" w:cs="Times New Roman"/>
          <w:i/>
          <w:iCs/>
          <w:sz w:val="24"/>
          <w:szCs w:val="24"/>
          <w:highlight w:val="white"/>
        </w:rPr>
        <w:t>As</w:t>
      </w:r>
      <w:proofErr w:type="gramEnd"/>
      <w:r w:rsidRPr="002451B6">
        <w:rPr>
          <w:rFonts w:ascii="Times New Roman" w:eastAsia="Times New Roman" w:hAnsi="Times New Roman" w:cs="Times New Roman"/>
          <w:i/>
          <w:iCs/>
          <w:sz w:val="24"/>
          <w:szCs w:val="24"/>
          <w:highlight w:val="white"/>
        </w:rPr>
        <w:t xml:space="preserve"> Cegas </w:t>
      </w:r>
      <w:r w:rsidRPr="002451B6">
        <w:rPr>
          <w:rFonts w:ascii="Times New Roman" w:eastAsia="Times New Roman" w:hAnsi="Times New Roman" w:cs="Times New Roman"/>
          <w:sz w:val="24"/>
          <w:szCs w:val="24"/>
        </w:rPr>
        <w:t xml:space="preserve">fora entregue à Universidade Federal da Paraíba, em João Pessoa, e ficou durante quarenta anos “engavetado”, ou seja, sem que houvesse exibição, catalogação ou mesmo pesquisa ou crítica a seu respeito. </w:t>
      </w:r>
    </w:p>
    <w:p w14:paraId="2AEAC64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Entretanto, em 2005, os cineastas (brancos) Roberto Berliner e Leonardo Domingues, lançaram o documentário </w:t>
      </w:r>
      <w:r w:rsidRPr="002451B6">
        <w:rPr>
          <w:rFonts w:ascii="Times New Roman" w:eastAsia="Times New Roman" w:hAnsi="Times New Roman" w:cs="Times New Roman"/>
          <w:i/>
          <w:iCs/>
          <w:sz w:val="24"/>
          <w:szCs w:val="24"/>
        </w:rPr>
        <w:t>A pessoa é para o que nasce</w:t>
      </w:r>
      <w:r w:rsidRPr="002451B6">
        <w:rPr>
          <w:rFonts w:ascii="Times New Roman" w:eastAsia="Times New Roman" w:hAnsi="Times New Roman" w:cs="Times New Roman"/>
          <w:sz w:val="24"/>
          <w:szCs w:val="24"/>
        </w:rPr>
        <w:t xml:space="preserve">, que conta a história das irmãs cegas da Paraíba, cujas imagens enquanto jovens utilizadas foram as produzidas por </w:t>
      </w:r>
      <w:proofErr w:type="spellStart"/>
      <w:r w:rsidRPr="002451B6">
        <w:rPr>
          <w:rFonts w:ascii="Times New Roman" w:eastAsia="Times New Roman" w:hAnsi="Times New Roman" w:cs="Times New Roman"/>
          <w:sz w:val="24"/>
          <w:szCs w:val="24"/>
        </w:rPr>
        <w:t>Antonia</w:t>
      </w:r>
      <w:proofErr w:type="spellEnd"/>
      <w:r w:rsidRPr="002451B6">
        <w:rPr>
          <w:rFonts w:ascii="Times New Roman" w:eastAsia="Times New Roman" w:hAnsi="Times New Roman" w:cs="Times New Roman"/>
          <w:sz w:val="24"/>
          <w:szCs w:val="24"/>
        </w:rPr>
        <w:t xml:space="preserve"> Ágape no super 8 </w:t>
      </w:r>
      <w:r w:rsidRPr="002451B6">
        <w:rPr>
          <w:rFonts w:ascii="Times New Roman" w:eastAsia="Times New Roman" w:hAnsi="Times New Roman" w:cs="Times New Roman"/>
          <w:i/>
          <w:iCs/>
          <w:sz w:val="24"/>
          <w:szCs w:val="24"/>
        </w:rPr>
        <w:t>As Cegas</w:t>
      </w:r>
      <w:r w:rsidRPr="002451B6">
        <w:rPr>
          <w:rFonts w:ascii="Times New Roman" w:eastAsia="Times New Roman" w:hAnsi="Times New Roman" w:cs="Times New Roman"/>
          <w:sz w:val="24"/>
          <w:szCs w:val="24"/>
        </w:rPr>
        <w:t>, de 1982, filme este que, até então, estava “guardado” nos arquivos da UFPB</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O filme de Roberto Berliner e Leonardo Domingues alcançou grande visibilidade, em 2005 </w:t>
      </w:r>
      <w:r w:rsidRPr="002451B6">
        <w:rPr>
          <w:rFonts w:ascii="Times New Roman" w:eastAsia="Times New Roman" w:hAnsi="Times New Roman" w:cs="Times New Roman"/>
          <w:sz w:val="24"/>
          <w:szCs w:val="24"/>
        </w:rPr>
        <w:lastRenderedPageBreak/>
        <w:t>levou “o prêmio mais relevante do XV Cine Ceará: Melhor Filme de longa-metragem, recebendo também o Prêmio Banco do Nordeste de Cinema, no valor de R$ 10 mil”</w:t>
      </w:r>
      <w:r w:rsidRPr="002451B6">
        <w:rPr>
          <w:rFonts w:ascii="Times New Roman" w:eastAsia="Times New Roman" w:hAnsi="Times New Roman" w:cs="Times New Roman"/>
          <w:sz w:val="24"/>
          <w:szCs w:val="24"/>
          <w:vertAlign w:val="superscript"/>
        </w:rPr>
        <w:footnoteReference w:id="52"/>
      </w:r>
      <w:r w:rsidRPr="002451B6">
        <w:rPr>
          <w:rFonts w:ascii="Times New Roman" w:eastAsia="Times New Roman" w:hAnsi="Times New Roman" w:cs="Times New Roman"/>
          <w:sz w:val="24"/>
          <w:szCs w:val="24"/>
          <w:vertAlign w:val="superscript"/>
        </w:rPr>
        <w:t xml:space="preserve"> </w:t>
      </w:r>
      <w:r w:rsidRPr="002451B6">
        <w:rPr>
          <w:rFonts w:ascii="Times New Roman" w:eastAsia="Times New Roman" w:hAnsi="Times New Roman" w:cs="Times New Roman"/>
          <w:sz w:val="24"/>
          <w:szCs w:val="24"/>
        </w:rPr>
        <w:t xml:space="preserve">e foi indicado a uma série de outros prêmios que, infelizmente, não estão devidamente catalogados e disponibilizados na internet para consulta. </w:t>
      </w:r>
    </w:p>
    <w:p w14:paraId="0BC60670"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mesmo relato concedido, Maria </w:t>
      </w:r>
      <w:proofErr w:type="spellStart"/>
      <w:r w:rsidRPr="002451B6">
        <w:rPr>
          <w:rFonts w:ascii="Times New Roman" w:eastAsia="Times New Roman" w:hAnsi="Times New Roman" w:cs="Times New Roman"/>
          <w:sz w:val="24"/>
          <w:szCs w:val="24"/>
        </w:rPr>
        <w:t>Antonia</w:t>
      </w:r>
      <w:proofErr w:type="spellEnd"/>
      <w:r w:rsidRPr="002451B6">
        <w:rPr>
          <w:rFonts w:ascii="Times New Roman" w:eastAsia="Times New Roman" w:hAnsi="Times New Roman" w:cs="Times New Roman"/>
          <w:sz w:val="24"/>
          <w:szCs w:val="24"/>
        </w:rPr>
        <w:t xml:space="preserve"> Ágape compartilhou sua perspectiva desse processo:</w:t>
      </w:r>
    </w:p>
    <w:p w14:paraId="406D3B2E" w14:textId="20B0DBBF" w:rsidR="00332C33" w:rsidRPr="002451B6" w:rsidRDefault="00000000" w:rsidP="00180804">
      <w:pPr>
        <w:spacing w:before="60" w:after="60" w:line="240" w:lineRule="auto"/>
        <w:ind w:left="2267"/>
        <w:jc w:val="both"/>
        <w:rPr>
          <w:rFonts w:ascii="Times New Roman" w:eastAsia="Times New Roman" w:hAnsi="Times New Roman" w:cs="Times New Roman"/>
          <w:highlight w:val="white"/>
        </w:rPr>
      </w:pPr>
      <w:r w:rsidRPr="002451B6">
        <w:rPr>
          <w:rFonts w:ascii="Times New Roman" w:eastAsia="Times New Roman" w:hAnsi="Times New Roman" w:cs="Times New Roman"/>
          <w:highlight w:val="white"/>
        </w:rPr>
        <w:t>E o meu filme só foi visto e tirado da gaveta porque uma jovem mulher negra cineasta questionou muito com seus professores cineastas que também foram meus colegas onde estava a primeira mulher negra a fazer cinema na Paraíba, em pleno século 21. Ela não acreditava que fosse precursora do cinema na Paraíba. E no II FESTINCINE JP, um festival internacional, a atual presidente da APAN, Tatiana Carvalho Costa, ao ser convidada para o júri, questionou a presença de mulheres negras no audiovisual da Paraíba. Procuraram Carine e Carine falou de mim.</w:t>
      </w:r>
    </w:p>
    <w:p w14:paraId="1E19744E" w14:textId="0BA312E3" w:rsidR="00332C33" w:rsidRPr="002451B6" w:rsidRDefault="00000000" w:rsidP="00AF0EF9">
      <w:pPr>
        <w:spacing w:before="60" w:after="60" w:line="240" w:lineRule="auto"/>
        <w:ind w:left="2267"/>
        <w:jc w:val="both"/>
        <w:rPr>
          <w:rFonts w:ascii="Times New Roman" w:eastAsia="Times New Roman" w:hAnsi="Times New Roman" w:cs="Times New Roman"/>
          <w:highlight w:val="yellow"/>
        </w:rPr>
      </w:pPr>
      <w:r w:rsidRPr="002451B6">
        <w:rPr>
          <w:rFonts w:ascii="Times New Roman" w:eastAsia="Times New Roman" w:hAnsi="Times New Roman" w:cs="Times New Roman"/>
          <w:highlight w:val="white"/>
        </w:rPr>
        <w:t xml:space="preserve">Percebeu, que uma mulher puxou a outra? Que apesar do mundo misógino que ainda vivemos depende de nós reconstruir uma nova realidade? Não recebi </w:t>
      </w:r>
      <w:proofErr w:type="gramStart"/>
      <w:r w:rsidRPr="002451B6">
        <w:rPr>
          <w:rFonts w:ascii="Times New Roman" w:eastAsia="Times New Roman" w:hAnsi="Times New Roman" w:cs="Times New Roman"/>
          <w:highlight w:val="white"/>
        </w:rPr>
        <w:t>um parabéns</w:t>
      </w:r>
      <w:proofErr w:type="gramEnd"/>
      <w:r w:rsidRPr="002451B6">
        <w:rPr>
          <w:rFonts w:ascii="Times New Roman" w:eastAsia="Times New Roman" w:hAnsi="Times New Roman" w:cs="Times New Roman"/>
          <w:highlight w:val="white"/>
        </w:rPr>
        <w:t xml:space="preserve"> sequer dos colegas cineasta do </w:t>
      </w:r>
      <w:proofErr w:type="spellStart"/>
      <w:r w:rsidRPr="002451B6">
        <w:rPr>
          <w:rFonts w:ascii="Times New Roman" w:eastAsia="Times New Roman" w:hAnsi="Times New Roman" w:cs="Times New Roman"/>
          <w:highlight w:val="white"/>
        </w:rPr>
        <w:t>nudoc</w:t>
      </w:r>
      <w:proofErr w:type="spellEnd"/>
      <w:r w:rsidRPr="002451B6">
        <w:rPr>
          <w:rFonts w:ascii="Times New Roman" w:eastAsia="Times New Roman" w:hAnsi="Times New Roman" w:cs="Times New Roman"/>
          <w:highlight w:val="white"/>
        </w:rPr>
        <w:t xml:space="preserve"> que junto comigo fizeram o super 8 na Paraíba. (Magno, 2025)</w:t>
      </w:r>
    </w:p>
    <w:p w14:paraId="518F86B0" w14:textId="77777777" w:rsidR="00332C33" w:rsidRPr="002451B6" w:rsidRDefault="00332C33">
      <w:pPr>
        <w:spacing w:before="60" w:after="60" w:line="240" w:lineRule="auto"/>
        <w:jc w:val="both"/>
        <w:rPr>
          <w:rFonts w:ascii="Times New Roman" w:eastAsia="Times New Roman" w:hAnsi="Times New Roman" w:cs="Times New Roman"/>
          <w:sz w:val="24"/>
          <w:szCs w:val="24"/>
          <w:highlight w:val="white"/>
        </w:rPr>
      </w:pPr>
    </w:p>
    <w:p w14:paraId="0A2EEA2E" w14:textId="77777777" w:rsidR="00332C33" w:rsidRPr="002451B6" w:rsidRDefault="00000000">
      <w:pPr>
        <w:spacing w:before="60" w:after="60" w:line="360" w:lineRule="auto"/>
        <w:ind w:firstLine="720"/>
        <w:jc w:val="both"/>
        <w:rPr>
          <w:rFonts w:ascii="Times New Roman" w:eastAsia="Times New Roman" w:hAnsi="Times New Roman" w:cs="Times New Roman"/>
          <w:sz w:val="24"/>
          <w:szCs w:val="24"/>
        </w:rPr>
      </w:pPr>
      <w:proofErr w:type="spellStart"/>
      <w:r w:rsidRPr="002451B6">
        <w:rPr>
          <w:rFonts w:ascii="Times New Roman" w:eastAsia="Times New Roman" w:hAnsi="Times New Roman" w:cs="Times New Roman"/>
          <w:sz w:val="24"/>
          <w:szCs w:val="24"/>
          <w:highlight w:val="white"/>
        </w:rPr>
        <w:t>Antonia</w:t>
      </w:r>
      <w:proofErr w:type="spellEnd"/>
      <w:r w:rsidRPr="002451B6">
        <w:rPr>
          <w:rFonts w:ascii="Times New Roman" w:eastAsia="Times New Roman" w:hAnsi="Times New Roman" w:cs="Times New Roman"/>
          <w:sz w:val="24"/>
          <w:szCs w:val="24"/>
          <w:highlight w:val="white"/>
        </w:rPr>
        <w:t xml:space="preserve"> conta que na época do filme </w:t>
      </w:r>
      <w:r w:rsidRPr="002451B6">
        <w:rPr>
          <w:rFonts w:ascii="Times New Roman" w:eastAsia="Times New Roman" w:hAnsi="Times New Roman" w:cs="Times New Roman"/>
          <w:i/>
          <w:iCs/>
          <w:sz w:val="24"/>
          <w:szCs w:val="24"/>
        </w:rPr>
        <w:t>A pessoa é para o que nasce</w:t>
      </w:r>
      <w:r w:rsidRPr="002451B6">
        <w:rPr>
          <w:rFonts w:ascii="Times New Roman" w:eastAsia="Times New Roman" w:hAnsi="Times New Roman" w:cs="Times New Roman"/>
          <w:sz w:val="24"/>
          <w:szCs w:val="24"/>
        </w:rPr>
        <w:t xml:space="preserve">, ela estava morando em Portugal, entretanto, segundo a cineasta, seria facilmente localizada, o que deixa entender que houve certo descaso por parte de diversos atores envolvidos em empenhar o mínimo esforço em encontrá-la e creditá-la corretamente no filme. O que chama a atenção e merece destaque é o movimento da pesquisadora e cineasta Carine Fiúza em investigar com afinco a história do cinema paraibano até localizar </w:t>
      </w:r>
      <w:proofErr w:type="spellStart"/>
      <w:r w:rsidRPr="002451B6">
        <w:rPr>
          <w:rFonts w:ascii="Times New Roman" w:eastAsia="Times New Roman" w:hAnsi="Times New Roman" w:cs="Times New Roman"/>
          <w:sz w:val="24"/>
          <w:szCs w:val="24"/>
        </w:rPr>
        <w:t>Antonia</w:t>
      </w:r>
      <w:proofErr w:type="spellEnd"/>
      <w:r w:rsidRPr="002451B6">
        <w:rPr>
          <w:rFonts w:ascii="Times New Roman" w:eastAsia="Times New Roman" w:hAnsi="Times New Roman" w:cs="Times New Roman"/>
          <w:sz w:val="24"/>
          <w:szCs w:val="24"/>
        </w:rPr>
        <w:t xml:space="preserve"> Ágape e seu filme engavetado, e assim dar a devida visibilidade à sua obra.</w:t>
      </w:r>
    </w:p>
    <w:p w14:paraId="44DA8AD4"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Nesse sentido, a compreensão de que existe não somente um apagamento quase compulsório da produção audiovisual de mulheres negras, quando incluímos nesse observação o marcador de classe, há, para além da invisibilização, o não acesso aos bens de produção audiovisual, pois, como já apontado neste estudo, embora o campo audiovisual esteja se ampliando para o acesso de mulheres negras, essas mulheres tiveram que ter outros acessos anteriores como o capital cultural ou a condição socioeconômica favorável para lograr algum êxito. </w:t>
      </w:r>
    </w:p>
    <w:p w14:paraId="0F0CAFA0" w14:textId="77777777" w:rsidR="00332C33" w:rsidRPr="002451B6" w:rsidRDefault="00000000">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Outra situação, mais contemporânea, ilustra esta interpretação do cenário audiovisual feito por pessoas periféricas na cidade de São Paulo. O cineasta Lincoln Péricles recentemente </w:t>
      </w:r>
      <w:r w:rsidRPr="002451B6">
        <w:rPr>
          <w:rFonts w:ascii="Times New Roman" w:eastAsia="Times New Roman" w:hAnsi="Times New Roman" w:cs="Times New Roman"/>
          <w:sz w:val="24"/>
          <w:szCs w:val="24"/>
        </w:rPr>
        <w:lastRenderedPageBreak/>
        <w:t xml:space="preserve">teve sua obra reunida em uma curadoria do </w:t>
      </w:r>
      <w:proofErr w:type="spellStart"/>
      <w:r w:rsidRPr="002451B6">
        <w:rPr>
          <w:rFonts w:ascii="Times New Roman" w:eastAsia="Times New Roman" w:hAnsi="Times New Roman" w:cs="Times New Roman"/>
          <w:sz w:val="24"/>
          <w:szCs w:val="24"/>
        </w:rPr>
        <w:t>Spcine</w:t>
      </w:r>
      <w:proofErr w:type="spellEnd"/>
      <w:r w:rsidRPr="002451B6">
        <w:rPr>
          <w:rFonts w:ascii="Times New Roman" w:eastAsia="Times New Roman" w:hAnsi="Times New Roman" w:cs="Times New Roman"/>
          <w:sz w:val="24"/>
          <w:szCs w:val="24"/>
        </w:rPr>
        <w:t xml:space="preserve"> Play, o </w:t>
      </w:r>
      <w:r w:rsidRPr="002451B6">
        <w:rPr>
          <w:rFonts w:ascii="Times New Roman" w:eastAsia="Times New Roman" w:hAnsi="Times New Roman" w:cs="Times New Roman"/>
          <w:i/>
          <w:iCs/>
          <w:sz w:val="24"/>
          <w:szCs w:val="24"/>
        </w:rPr>
        <w:t>streaming</w:t>
      </w:r>
      <w:r w:rsidRPr="002451B6">
        <w:rPr>
          <w:rFonts w:ascii="Times New Roman" w:eastAsia="Times New Roman" w:hAnsi="Times New Roman" w:cs="Times New Roman"/>
          <w:sz w:val="24"/>
          <w:szCs w:val="24"/>
        </w:rPr>
        <w:t xml:space="preserve"> da </w:t>
      </w:r>
      <w:proofErr w:type="spellStart"/>
      <w:r w:rsidRPr="002451B6">
        <w:rPr>
          <w:rFonts w:ascii="Times New Roman" w:eastAsia="Times New Roman" w:hAnsi="Times New Roman" w:cs="Times New Roman"/>
          <w:sz w:val="24"/>
          <w:szCs w:val="24"/>
        </w:rPr>
        <w:t>Spcine</w:t>
      </w:r>
      <w:proofErr w:type="spellEnd"/>
      <w:r w:rsidRPr="002451B6">
        <w:rPr>
          <w:rFonts w:ascii="Times New Roman" w:eastAsia="Times New Roman" w:hAnsi="Times New Roman" w:cs="Times New Roman"/>
          <w:sz w:val="24"/>
          <w:szCs w:val="24"/>
        </w:rPr>
        <w:t>, denominada “Mil e uma quebradas: o Capão Redondo sob as poéticas de Lincoln Péricles (LKT)”</w:t>
      </w:r>
      <w:r w:rsidRPr="002451B6">
        <w:rPr>
          <w:rFonts w:ascii="Times New Roman" w:eastAsia="Times New Roman" w:hAnsi="Times New Roman" w:cs="Times New Roman"/>
          <w:sz w:val="24"/>
          <w:szCs w:val="24"/>
          <w:vertAlign w:val="superscript"/>
        </w:rPr>
        <w:footnoteReference w:id="53"/>
      </w:r>
      <w:r w:rsidRPr="002451B6">
        <w:rPr>
          <w:rFonts w:ascii="Times New Roman" w:eastAsia="Times New Roman" w:hAnsi="Times New Roman" w:cs="Times New Roman"/>
          <w:sz w:val="24"/>
          <w:szCs w:val="24"/>
        </w:rPr>
        <w:t>, cuja descrição no site é a seguinte:</w:t>
      </w:r>
    </w:p>
    <w:p w14:paraId="74BA40F9"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rPr>
        <w:t xml:space="preserve">O cinema periférico brasileiro expande territórios ao transformar espaços cotidianos em universos estéticos, como nos trabalhos de Lincoln Péricles (LKT). Morador do Capão Redondo, LKT constrói um cinema </w:t>
      </w:r>
      <w:proofErr w:type="spellStart"/>
      <w:r w:rsidRPr="002451B6">
        <w:rPr>
          <w:rFonts w:ascii="Times New Roman" w:eastAsia="Times New Roman" w:hAnsi="Times New Roman" w:cs="Times New Roman"/>
        </w:rPr>
        <w:t>manufatural</w:t>
      </w:r>
      <w:proofErr w:type="spellEnd"/>
      <w:r w:rsidRPr="002451B6">
        <w:rPr>
          <w:rFonts w:ascii="Times New Roman" w:eastAsia="Times New Roman" w:hAnsi="Times New Roman" w:cs="Times New Roman"/>
        </w:rPr>
        <w:t xml:space="preserve">, feito com os próprios recursos e comunidade, alinhado ao manifesto “Por um cinema pedreiro”. Sua filmografia se dá em um mesmo espaço geográfico, mas com múltiplas possibilidades narrativas e estilísticas. Seus filmes reinventam sua quebrada, misturando realismo, fabulação e crítica social. Curadorias e cineclubes vêm reconhecendo sua importância, destacando-o como uma das maiores descobertas do cinema brasileiro recente. </w:t>
      </w:r>
      <w:r w:rsidRPr="002451B6">
        <w:rPr>
          <w:rFonts w:ascii="Times New Roman" w:eastAsia="Times New Roman" w:hAnsi="Times New Roman" w:cs="Times New Roman"/>
          <w:highlight w:val="white"/>
        </w:rPr>
        <w:t>(Instituto Moreira Salles, 2024).</w:t>
      </w:r>
    </w:p>
    <w:p w14:paraId="285B84F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site do Instituto Moreira Salles</w:t>
      </w:r>
      <w:r w:rsidRPr="002451B6">
        <w:rPr>
          <w:rFonts w:ascii="Times New Roman" w:eastAsia="Times New Roman" w:hAnsi="Times New Roman" w:cs="Times New Roman"/>
          <w:sz w:val="24"/>
          <w:szCs w:val="24"/>
          <w:vertAlign w:val="superscript"/>
        </w:rPr>
        <w:footnoteReference w:id="54"/>
      </w:r>
      <w:r w:rsidRPr="002451B6">
        <w:rPr>
          <w:rFonts w:ascii="Times New Roman" w:eastAsia="Times New Roman" w:hAnsi="Times New Roman" w:cs="Times New Roman"/>
          <w:sz w:val="24"/>
          <w:szCs w:val="24"/>
        </w:rPr>
        <w:t xml:space="preserve"> descreve o cineasta da seguinte maneira:</w:t>
      </w:r>
    </w:p>
    <w:p w14:paraId="5A090951" w14:textId="77777777" w:rsidR="00332C33" w:rsidRPr="002451B6" w:rsidRDefault="00000000">
      <w:pPr>
        <w:spacing w:after="200" w:line="240" w:lineRule="auto"/>
        <w:ind w:left="2267"/>
        <w:jc w:val="both"/>
        <w:rPr>
          <w:rFonts w:ascii="Times New Roman" w:eastAsia="Times New Roman" w:hAnsi="Times New Roman" w:cs="Times New Roman"/>
          <w:sz w:val="24"/>
          <w:szCs w:val="24"/>
        </w:rPr>
      </w:pPr>
      <w:r w:rsidRPr="002451B6">
        <w:rPr>
          <w:rFonts w:ascii="Times New Roman" w:eastAsia="Times New Roman" w:hAnsi="Times New Roman" w:cs="Times New Roman"/>
          <w:highlight w:val="white"/>
        </w:rPr>
        <w:t xml:space="preserve">Lincoln Péricles LK nasceu e mora no bairro do Capão Redondo, periferia de São Paulo. É diretor, roteirista, montador e educador, somando mais de doze anos trabalhando com filmes produzidos em sua quebrada, que circularam entre cineclubes e coletivos periféricos, banquinhas de camelô, becos e vielas, e eventualmente em festivais nacionais e internacionais. Em fevereiro de 2020 teve seu trabalho destacado pela Cahiers </w:t>
      </w:r>
      <w:proofErr w:type="spellStart"/>
      <w:r w:rsidRPr="002451B6">
        <w:rPr>
          <w:rFonts w:ascii="Times New Roman" w:eastAsia="Times New Roman" w:hAnsi="Times New Roman" w:cs="Times New Roman"/>
          <w:highlight w:val="white"/>
        </w:rPr>
        <w:t>du</w:t>
      </w:r>
      <w:proofErr w:type="spellEnd"/>
      <w:r w:rsidRPr="002451B6">
        <w:rPr>
          <w:rFonts w:ascii="Times New Roman" w:eastAsia="Times New Roman" w:hAnsi="Times New Roman" w:cs="Times New Roman"/>
          <w:highlight w:val="white"/>
        </w:rPr>
        <w:t xml:space="preserve"> </w:t>
      </w:r>
      <w:proofErr w:type="spellStart"/>
      <w:r w:rsidRPr="002451B6">
        <w:rPr>
          <w:rFonts w:ascii="Times New Roman" w:eastAsia="Times New Roman" w:hAnsi="Times New Roman" w:cs="Times New Roman"/>
          <w:highlight w:val="white"/>
        </w:rPr>
        <w:t>Cinéma</w:t>
      </w:r>
      <w:proofErr w:type="spellEnd"/>
      <w:r w:rsidRPr="002451B6">
        <w:rPr>
          <w:rFonts w:ascii="Times New Roman" w:eastAsia="Times New Roman" w:hAnsi="Times New Roman" w:cs="Times New Roman"/>
          <w:highlight w:val="white"/>
        </w:rPr>
        <w:t>, que descreve sua obra como "Um cinema longe do imaginário ligado às favelas, que inventa sua própria forma, áspera e necessariamente imperfeita, entre intervenção e arquivo visual do bairro". (Instituto Moreira Salles, 2024).</w:t>
      </w:r>
    </w:p>
    <w:p w14:paraId="27B73F7F"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 obra de Lincoln Péricles sem dúvida faz parte da história do cinema produzido nas e pelas quebradas de São Paulo. É muito importante que ele, como homem negro e de origem periférica receba o reconhecimento pelo trabalho que vem desenvolvendo. No mesmo site da </w:t>
      </w:r>
      <w:proofErr w:type="spellStart"/>
      <w:r w:rsidRPr="002451B6">
        <w:rPr>
          <w:rFonts w:ascii="Times New Roman" w:eastAsia="Times New Roman" w:hAnsi="Times New Roman" w:cs="Times New Roman"/>
          <w:sz w:val="24"/>
          <w:szCs w:val="24"/>
        </w:rPr>
        <w:t>Spcine</w:t>
      </w:r>
      <w:proofErr w:type="spellEnd"/>
      <w:r w:rsidRPr="002451B6">
        <w:rPr>
          <w:rFonts w:ascii="Times New Roman" w:eastAsia="Times New Roman" w:hAnsi="Times New Roman" w:cs="Times New Roman"/>
          <w:sz w:val="24"/>
          <w:szCs w:val="24"/>
        </w:rPr>
        <w:t xml:space="preserve"> Play</w:t>
      </w:r>
      <w:r w:rsidRPr="002451B6">
        <w:rPr>
          <w:rFonts w:ascii="Times New Roman" w:eastAsia="Times New Roman" w:hAnsi="Times New Roman" w:cs="Times New Roman"/>
          <w:sz w:val="24"/>
          <w:szCs w:val="24"/>
          <w:vertAlign w:val="superscript"/>
        </w:rPr>
        <w:footnoteReference w:id="55"/>
      </w:r>
      <w:r w:rsidRPr="002451B6">
        <w:rPr>
          <w:rFonts w:ascii="Times New Roman" w:eastAsia="Times New Roman" w:hAnsi="Times New Roman" w:cs="Times New Roman"/>
          <w:sz w:val="24"/>
          <w:szCs w:val="24"/>
        </w:rPr>
        <w:t>, no entanto, não há uma curadoria específica para realizadoras negras e/ou periféricas. Há uma curadoria chamada “A Cara da Nova Produção Brasileira”, que reúne as seguintes cineastas: Alice Riff, Ana Carolina, Gabriela Amaral Almeida, Helena Ignez, Lucia Murat, Sabrina Fidalgo e Tata Amaral. A partir de uma leitura social subjetiva, é possível considerar a maioria das mulheres dessa lista como brancas.</w:t>
      </w:r>
    </w:p>
    <w:p w14:paraId="3C0BA129"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Lincoln Péricles compõe, juntamente com Hector Babenco, Zé do Caixão e Rogério Sganzerla, as únicas curadorias da </w:t>
      </w:r>
      <w:proofErr w:type="spellStart"/>
      <w:r w:rsidRPr="002451B6">
        <w:rPr>
          <w:rFonts w:ascii="Times New Roman" w:eastAsia="Times New Roman" w:hAnsi="Times New Roman" w:cs="Times New Roman"/>
          <w:sz w:val="24"/>
          <w:szCs w:val="24"/>
        </w:rPr>
        <w:t>Spcine</w:t>
      </w:r>
      <w:proofErr w:type="spellEnd"/>
      <w:r w:rsidRPr="002451B6">
        <w:rPr>
          <w:rFonts w:ascii="Times New Roman" w:eastAsia="Times New Roman" w:hAnsi="Times New Roman" w:cs="Times New Roman"/>
          <w:sz w:val="24"/>
          <w:szCs w:val="24"/>
        </w:rPr>
        <w:t xml:space="preserve"> Play voltadas para a obra de um cineasta específico, neste caso, todos homens. Este é apenas um exemplo que de forma alguma pretende generalizar o contexto brasileiro ou internacional de visibilidade e acessos para corpos </w:t>
      </w:r>
      <w:proofErr w:type="spellStart"/>
      <w:r w:rsidRPr="002451B6">
        <w:rPr>
          <w:rFonts w:ascii="Times New Roman" w:eastAsia="Times New Roman" w:hAnsi="Times New Roman" w:cs="Times New Roman"/>
          <w:sz w:val="24"/>
          <w:szCs w:val="24"/>
        </w:rPr>
        <w:t>interseccionalizados</w:t>
      </w:r>
      <w:proofErr w:type="spellEnd"/>
      <w:r w:rsidRPr="002451B6">
        <w:rPr>
          <w:rFonts w:ascii="Times New Roman" w:eastAsia="Times New Roman" w:hAnsi="Times New Roman" w:cs="Times New Roman"/>
          <w:sz w:val="24"/>
          <w:szCs w:val="24"/>
        </w:rPr>
        <w:t xml:space="preserve"> por raça, gênero e classe no âmbito audiovisual. Contudo, demonstra uma realidade </w:t>
      </w:r>
      <w:r w:rsidRPr="002451B6">
        <w:rPr>
          <w:rFonts w:ascii="Times New Roman" w:eastAsia="Times New Roman" w:hAnsi="Times New Roman" w:cs="Times New Roman"/>
          <w:sz w:val="24"/>
          <w:szCs w:val="24"/>
        </w:rPr>
        <w:lastRenderedPageBreak/>
        <w:t xml:space="preserve">incontestável, ao menos no microcosmos da cidade de São Paulo. Em um campo tão sensível às disputas simbólicas como o audiovisual, os corpos que narram importam tanto quanto os corpos que são narrados. Ao longo deste texto, vimos que, embora haja avanços inegáveis nos âmbitos de gênero e raça, refletidos na crescente presença de mulheres negras no cinema brasileiro, esses avanços não atingem de maneira equânime todas as camadas sociais. </w:t>
      </w:r>
    </w:p>
    <w:p w14:paraId="0E1E926C" w14:textId="3460B1B7" w:rsidR="00332C33" w:rsidRPr="002451B6" w:rsidRDefault="00000000" w:rsidP="00432347">
      <w:pPr>
        <w:spacing w:after="200"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interseccionalidade — tal como apontada por Gonzalez, Carneiro e tantas outras intelectuais negras — não pode ser reduzida a um enunciado político ou um critério estético; ela precisa ser compreendida em sua materialidade concreta, onde o marcador de classe permanece como barreira estruturante. As mulheres negras periféricas ainda enfrentam obstáculos severos para acessar formações, equipamentos, redes, políticas de fomento e visibilidade. Enquanto o direito à imagem e à autoria continuar restrito a quem detém capital cultural ou social, o cinema seguirá reproduzindo desigualdades. Assim, mais do que reconhecer as conquistas, é preciso insistir na criação de condições para que mulheres periféricas não apenas acessem os meios de produção audiovisual, mas possam também inventar outras imagens de si, outros mundos possíveis — exercendo, enfim, o direito à fabulação como um gesto político, poético e profundamente necessário</w:t>
      </w:r>
      <w:r w:rsidR="00432347" w:rsidRPr="002451B6">
        <w:rPr>
          <w:rFonts w:ascii="Times New Roman" w:eastAsia="Times New Roman" w:hAnsi="Times New Roman" w:cs="Times New Roman"/>
          <w:sz w:val="24"/>
          <w:szCs w:val="24"/>
        </w:rPr>
        <w:t>.</w:t>
      </w:r>
    </w:p>
    <w:p w14:paraId="45E3FB2C" w14:textId="77777777" w:rsidR="00332C33" w:rsidRPr="002451B6" w:rsidRDefault="00000000">
      <w:pPr>
        <w:spacing w:after="200"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Referências</w:t>
      </w:r>
    </w:p>
    <w:p w14:paraId="56279AD4"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ANCINE. </w:t>
      </w:r>
      <w:r w:rsidRPr="002451B6">
        <w:rPr>
          <w:rFonts w:ascii="Times New Roman" w:eastAsia="Times New Roman" w:hAnsi="Times New Roman" w:cs="Times New Roman"/>
          <w:i/>
          <w:iCs/>
          <w:sz w:val="24"/>
          <w:szCs w:val="24"/>
        </w:rPr>
        <w:t>Informe Diversidade 2016</w:t>
      </w:r>
      <w:r w:rsidRPr="002451B6">
        <w:rPr>
          <w:rFonts w:ascii="Times New Roman" w:eastAsia="Times New Roman" w:hAnsi="Times New Roman" w:cs="Times New Roman"/>
          <w:sz w:val="24"/>
          <w:szCs w:val="24"/>
        </w:rPr>
        <w:t>. Disponível em:</w:t>
      </w:r>
      <w:hyperlink r:id="rId38">
        <w:r w:rsidR="00332C33" w:rsidRPr="002451B6">
          <w:rPr>
            <w:rFonts w:ascii="Times New Roman" w:eastAsia="Times New Roman" w:hAnsi="Times New Roman" w:cs="Times New Roman"/>
            <w:sz w:val="24"/>
            <w:szCs w:val="24"/>
          </w:rPr>
          <w:t xml:space="preserve"> </w:t>
        </w:r>
      </w:hyperlink>
      <w:hyperlink r:id="rId39">
        <w:r w:rsidR="00332C33" w:rsidRPr="002451B6">
          <w:rPr>
            <w:rFonts w:ascii="Times New Roman" w:eastAsia="Times New Roman" w:hAnsi="Times New Roman" w:cs="Times New Roman"/>
            <w:sz w:val="24"/>
            <w:szCs w:val="24"/>
            <w:u w:val="single"/>
          </w:rPr>
          <w:t>https://www.gov.br/ancine/pt-br/arquivos/informe-diversidade-2016.pdf</w:t>
        </w:r>
      </w:hyperlink>
      <w:r w:rsidRPr="002451B6">
        <w:rPr>
          <w:rFonts w:ascii="Times New Roman" w:eastAsia="Times New Roman" w:hAnsi="Times New Roman" w:cs="Times New Roman"/>
          <w:sz w:val="24"/>
          <w:szCs w:val="24"/>
        </w:rPr>
        <w:t>. Acesso em: 09 fev. 2025.</w:t>
      </w:r>
    </w:p>
    <w:p w14:paraId="486B9AA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APAN – </w:t>
      </w:r>
      <w:r w:rsidRPr="002451B6">
        <w:rPr>
          <w:rFonts w:ascii="Times New Roman" w:eastAsia="Times New Roman" w:hAnsi="Times New Roman" w:cs="Times New Roman"/>
          <w:i/>
          <w:iCs/>
          <w:sz w:val="24"/>
          <w:szCs w:val="24"/>
        </w:rPr>
        <w:t>Associação de Profissionais do Audiovisual Negro</w:t>
      </w:r>
      <w:r w:rsidRPr="002451B6">
        <w:rPr>
          <w:rFonts w:ascii="Times New Roman" w:eastAsia="Times New Roman" w:hAnsi="Times New Roman" w:cs="Times New Roman"/>
          <w:sz w:val="24"/>
          <w:szCs w:val="24"/>
        </w:rPr>
        <w:t>. Disponível em:</w:t>
      </w:r>
      <w:hyperlink r:id="rId40">
        <w:r w:rsidR="00332C33" w:rsidRPr="002451B6">
          <w:rPr>
            <w:rFonts w:ascii="Times New Roman" w:eastAsia="Times New Roman" w:hAnsi="Times New Roman" w:cs="Times New Roman"/>
            <w:sz w:val="24"/>
            <w:szCs w:val="24"/>
          </w:rPr>
          <w:t xml:space="preserve"> </w:t>
        </w:r>
      </w:hyperlink>
      <w:hyperlink r:id="rId41">
        <w:r w:rsidR="00332C33" w:rsidRPr="002451B6">
          <w:rPr>
            <w:rFonts w:ascii="Times New Roman" w:eastAsia="Times New Roman" w:hAnsi="Times New Roman" w:cs="Times New Roman"/>
            <w:sz w:val="24"/>
            <w:szCs w:val="24"/>
            <w:u w:val="single"/>
          </w:rPr>
          <w:t>https://apan.com.br/</w:t>
        </w:r>
      </w:hyperlink>
      <w:r w:rsidRPr="002451B6">
        <w:rPr>
          <w:rFonts w:ascii="Times New Roman" w:eastAsia="Times New Roman" w:hAnsi="Times New Roman" w:cs="Times New Roman"/>
          <w:sz w:val="24"/>
          <w:szCs w:val="24"/>
        </w:rPr>
        <w:t>. Acesso em: 23 mar. 2025.</w:t>
      </w:r>
    </w:p>
    <w:p w14:paraId="63198249"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BOURDIEU, P. </w:t>
      </w:r>
      <w:r w:rsidRPr="002451B6">
        <w:rPr>
          <w:rFonts w:ascii="Times New Roman" w:eastAsia="Times New Roman" w:hAnsi="Times New Roman" w:cs="Times New Roman"/>
          <w:i/>
          <w:iCs/>
          <w:sz w:val="24"/>
          <w:szCs w:val="24"/>
        </w:rPr>
        <w:t>Escritos de educação</w:t>
      </w:r>
      <w:r w:rsidRPr="002451B6">
        <w:rPr>
          <w:rFonts w:ascii="Times New Roman" w:eastAsia="Times New Roman" w:hAnsi="Times New Roman" w:cs="Times New Roman"/>
          <w:sz w:val="24"/>
          <w:szCs w:val="24"/>
        </w:rPr>
        <w:t>. 2. ed. Petrópolis: Vozes, 1999.</w:t>
      </w:r>
    </w:p>
    <w:p w14:paraId="64A8277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BUTLER, J. </w:t>
      </w:r>
      <w:r w:rsidRPr="002451B6">
        <w:rPr>
          <w:rFonts w:ascii="Times New Roman" w:eastAsia="Times New Roman" w:hAnsi="Times New Roman" w:cs="Times New Roman"/>
          <w:i/>
          <w:iCs/>
          <w:sz w:val="24"/>
          <w:szCs w:val="24"/>
        </w:rPr>
        <w:t>Desfazer o gênero</w:t>
      </w:r>
      <w:r w:rsidRPr="002451B6">
        <w:rPr>
          <w:rFonts w:ascii="Times New Roman" w:eastAsia="Times New Roman" w:hAnsi="Times New Roman" w:cs="Times New Roman"/>
          <w:sz w:val="24"/>
          <w:szCs w:val="24"/>
        </w:rPr>
        <w:t>. Rio de Janeiro: Autêntica, 2018.</w:t>
      </w:r>
    </w:p>
    <w:p w14:paraId="2200327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______________. </w:t>
      </w:r>
      <w:r w:rsidRPr="002451B6">
        <w:rPr>
          <w:rFonts w:ascii="Times New Roman" w:eastAsia="Times New Roman" w:hAnsi="Times New Roman" w:cs="Times New Roman"/>
          <w:i/>
          <w:iCs/>
          <w:sz w:val="24"/>
          <w:szCs w:val="24"/>
        </w:rPr>
        <w:t>Problemas de gênero:</w:t>
      </w:r>
      <w:r w:rsidRPr="002451B6">
        <w:rPr>
          <w:rFonts w:ascii="Times New Roman" w:eastAsia="Times New Roman" w:hAnsi="Times New Roman" w:cs="Times New Roman"/>
          <w:sz w:val="24"/>
          <w:szCs w:val="24"/>
        </w:rPr>
        <w:t xml:space="preserve"> feminismo e subversão da identidade. 2. ed. Rio de Janeiro: Civilização Brasileira, 2019.</w:t>
      </w:r>
    </w:p>
    <w:p w14:paraId="7C9BE3D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Capital SP. Mostra Cinema de Quebrada. Disponível em:</w:t>
      </w:r>
      <w:hyperlink r:id="rId42">
        <w:r w:rsidR="00332C33" w:rsidRPr="002451B6">
          <w:rPr>
            <w:rFonts w:ascii="Times New Roman" w:eastAsia="Times New Roman" w:hAnsi="Times New Roman" w:cs="Times New Roman"/>
            <w:sz w:val="24"/>
            <w:szCs w:val="24"/>
          </w:rPr>
          <w:t xml:space="preserve"> </w:t>
        </w:r>
      </w:hyperlink>
      <w:hyperlink r:id="rId43">
        <w:r w:rsidR="00332C33" w:rsidRPr="002451B6">
          <w:rPr>
            <w:rFonts w:ascii="Times New Roman" w:eastAsia="Times New Roman" w:hAnsi="Times New Roman" w:cs="Times New Roman"/>
            <w:sz w:val="24"/>
            <w:szCs w:val="24"/>
            <w:u w:val="single"/>
          </w:rPr>
          <w:t>https://capital.sp.gov.br/web/comunicacao/w/noticias/139273</w:t>
        </w:r>
      </w:hyperlink>
      <w:r w:rsidRPr="002451B6">
        <w:rPr>
          <w:rFonts w:ascii="Times New Roman" w:eastAsia="Times New Roman" w:hAnsi="Times New Roman" w:cs="Times New Roman"/>
          <w:sz w:val="24"/>
          <w:szCs w:val="24"/>
        </w:rPr>
        <w:t>. Acesso em: 23 mar. 2025.</w:t>
      </w:r>
    </w:p>
    <w:p w14:paraId="0380208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CARNEIRO, 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A construção do outro como não-ser como fundamento do ser.</w:t>
      </w:r>
      <w:r w:rsidRPr="002451B6">
        <w:rPr>
          <w:rFonts w:ascii="Times New Roman" w:eastAsia="Times New Roman" w:hAnsi="Times New Roman" w:cs="Times New Roman"/>
          <w:sz w:val="24"/>
          <w:szCs w:val="24"/>
        </w:rPr>
        <w:t xml:space="preserve"> 2005 Tese (Doutorado em Educação) – Faculdade de Educação, Universidade de São Paulo, 2005. </w:t>
      </w:r>
    </w:p>
    <w:p w14:paraId="656B71F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Cinematógrafo – Rede Minas. </w:t>
      </w:r>
      <w:r w:rsidRPr="002451B6">
        <w:rPr>
          <w:rFonts w:ascii="Times New Roman" w:eastAsia="Times New Roman" w:hAnsi="Times New Roman" w:cs="Times New Roman"/>
          <w:i/>
          <w:iCs/>
          <w:sz w:val="24"/>
          <w:szCs w:val="24"/>
        </w:rPr>
        <w:t>Cinema Negro Feminino.</w:t>
      </w:r>
      <w:r w:rsidRPr="002451B6">
        <w:rPr>
          <w:rFonts w:ascii="Times New Roman" w:eastAsia="Times New Roman" w:hAnsi="Times New Roman" w:cs="Times New Roman"/>
          <w:sz w:val="24"/>
          <w:szCs w:val="24"/>
        </w:rPr>
        <w:t xml:space="preserve"> Disponível em:</w:t>
      </w:r>
      <w:hyperlink r:id="rId44">
        <w:r w:rsidR="00332C33" w:rsidRPr="002451B6">
          <w:rPr>
            <w:rFonts w:ascii="Times New Roman" w:eastAsia="Times New Roman" w:hAnsi="Times New Roman" w:cs="Times New Roman"/>
            <w:sz w:val="24"/>
            <w:szCs w:val="24"/>
          </w:rPr>
          <w:t xml:space="preserve"> </w:t>
        </w:r>
      </w:hyperlink>
      <w:hyperlink r:id="rId45">
        <w:r w:rsidR="00332C33" w:rsidRPr="002451B6">
          <w:rPr>
            <w:rFonts w:ascii="Times New Roman" w:eastAsia="Times New Roman" w:hAnsi="Times New Roman" w:cs="Times New Roman"/>
            <w:sz w:val="24"/>
            <w:szCs w:val="24"/>
            <w:u w:val="single"/>
          </w:rPr>
          <w:t>https://cdn.emcplay.com/video/744/cinema-negro-feminino/</w:t>
        </w:r>
      </w:hyperlink>
      <w:r w:rsidRPr="002451B6">
        <w:rPr>
          <w:rFonts w:ascii="Times New Roman" w:eastAsia="Times New Roman" w:hAnsi="Times New Roman" w:cs="Times New Roman"/>
          <w:sz w:val="24"/>
          <w:szCs w:val="24"/>
        </w:rPr>
        <w:t>. Acesso em: 22 jul. 2025.</w:t>
      </w:r>
    </w:p>
    <w:p w14:paraId="65FF012A"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CINUSP</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Mostra Cinema da Quebrada.</w:t>
      </w:r>
      <w:r w:rsidRPr="002451B6">
        <w:rPr>
          <w:rFonts w:ascii="Times New Roman" w:eastAsia="Times New Roman" w:hAnsi="Times New Roman" w:cs="Times New Roman"/>
          <w:sz w:val="24"/>
          <w:szCs w:val="24"/>
        </w:rPr>
        <w:t xml:space="preserve"> Disponível em:</w:t>
      </w:r>
      <w:hyperlink r:id="rId46">
        <w:r w:rsidR="00332C33" w:rsidRPr="002451B6">
          <w:rPr>
            <w:rFonts w:ascii="Times New Roman" w:eastAsia="Times New Roman" w:hAnsi="Times New Roman" w:cs="Times New Roman"/>
            <w:sz w:val="24"/>
            <w:szCs w:val="24"/>
          </w:rPr>
          <w:t xml:space="preserve"> </w:t>
        </w:r>
      </w:hyperlink>
      <w:hyperlink r:id="rId47">
        <w:r w:rsidR="00332C33" w:rsidRPr="002451B6">
          <w:rPr>
            <w:rFonts w:ascii="Times New Roman" w:eastAsia="Times New Roman" w:hAnsi="Times New Roman" w:cs="Times New Roman"/>
            <w:sz w:val="24"/>
            <w:szCs w:val="24"/>
            <w:u w:val="single"/>
          </w:rPr>
          <w:t>https://www.usp.br/cinusp/</w:t>
        </w:r>
      </w:hyperlink>
      <w:r w:rsidRPr="002451B6">
        <w:rPr>
          <w:rFonts w:ascii="Times New Roman" w:eastAsia="Times New Roman" w:hAnsi="Times New Roman" w:cs="Times New Roman"/>
          <w:sz w:val="24"/>
          <w:szCs w:val="24"/>
        </w:rPr>
        <w:t>. Acesso em: 23 mar. 2025.</w:t>
      </w:r>
    </w:p>
    <w:p w14:paraId="02DCA791"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Coletivo Nós, Madalenas. </w:t>
      </w:r>
      <w:r w:rsidRPr="002451B6">
        <w:rPr>
          <w:rFonts w:ascii="Times New Roman" w:eastAsia="Times New Roman" w:hAnsi="Times New Roman" w:cs="Times New Roman"/>
          <w:i/>
          <w:iCs/>
          <w:sz w:val="24"/>
          <w:szCs w:val="24"/>
        </w:rPr>
        <w:t>“Quem somos”</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Disponível em:</w:t>
      </w:r>
      <w:hyperlink r:id="rId48">
        <w:r w:rsidR="00332C33" w:rsidRPr="002451B6">
          <w:rPr>
            <w:rFonts w:ascii="Times New Roman" w:eastAsia="Times New Roman" w:hAnsi="Times New Roman" w:cs="Times New Roman"/>
            <w:sz w:val="24"/>
            <w:szCs w:val="24"/>
          </w:rPr>
          <w:t xml:space="preserve"> </w:t>
        </w:r>
      </w:hyperlink>
      <w:hyperlink r:id="rId49">
        <w:r w:rsidR="00332C33" w:rsidRPr="002451B6">
          <w:rPr>
            <w:rFonts w:ascii="Times New Roman" w:eastAsia="Times New Roman" w:hAnsi="Times New Roman" w:cs="Times New Roman"/>
            <w:sz w:val="24"/>
            <w:szCs w:val="24"/>
            <w:u w:val="single"/>
          </w:rPr>
          <w:t>https://nosmadalenas.com/quem-somos</w:t>
        </w:r>
      </w:hyperlink>
      <w:r w:rsidRPr="002451B6">
        <w:rPr>
          <w:rFonts w:ascii="Times New Roman" w:eastAsia="Times New Roman" w:hAnsi="Times New Roman" w:cs="Times New Roman"/>
          <w:sz w:val="24"/>
          <w:szCs w:val="24"/>
        </w:rPr>
        <w:t>. Acesso em: 23 mar. 2025.</w:t>
      </w:r>
    </w:p>
    <w:p w14:paraId="66150A1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COURTINE, J.-J. Corpo e História: A emergência do corpo nas ciências humanas. In: </w:t>
      </w:r>
      <w:r w:rsidRPr="002451B6">
        <w:rPr>
          <w:rFonts w:ascii="Times New Roman" w:eastAsia="Times New Roman" w:hAnsi="Times New Roman" w:cs="Times New Roman"/>
          <w:i/>
          <w:iCs/>
          <w:sz w:val="24"/>
          <w:szCs w:val="24"/>
        </w:rPr>
        <w:t>Revista Brasileira de Ciências Sociais,</w:t>
      </w:r>
      <w:r w:rsidRPr="002451B6">
        <w:rPr>
          <w:rFonts w:ascii="Times New Roman" w:eastAsia="Times New Roman" w:hAnsi="Times New Roman" w:cs="Times New Roman"/>
          <w:sz w:val="24"/>
          <w:szCs w:val="24"/>
        </w:rPr>
        <w:t xml:space="preserve"> v. 28, n. 82, p. 9-23, 2013.</w:t>
      </w:r>
    </w:p>
    <w:p w14:paraId="5030F8D6"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Diário do Nordeste. </w:t>
      </w:r>
      <w:r w:rsidRPr="002451B6">
        <w:rPr>
          <w:rFonts w:ascii="Times New Roman" w:eastAsia="Times New Roman" w:hAnsi="Times New Roman" w:cs="Times New Roman"/>
          <w:i/>
          <w:iCs/>
          <w:sz w:val="24"/>
          <w:szCs w:val="24"/>
        </w:rPr>
        <w:t>A pessoa é para o que nasce</w:t>
      </w:r>
      <w:r w:rsidRPr="002451B6">
        <w:rPr>
          <w:rFonts w:ascii="Times New Roman" w:eastAsia="Times New Roman" w:hAnsi="Times New Roman" w:cs="Times New Roman"/>
          <w:sz w:val="24"/>
          <w:szCs w:val="24"/>
        </w:rPr>
        <w:t xml:space="preserve"> vence festival. Disponível em:</w:t>
      </w:r>
      <w:hyperlink r:id="rId50">
        <w:r w:rsidR="00332C33" w:rsidRPr="002451B6">
          <w:rPr>
            <w:rFonts w:ascii="Times New Roman" w:eastAsia="Times New Roman" w:hAnsi="Times New Roman" w:cs="Times New Roman"/>
            <w:sz w:val="24"/>
            <w:szCs w:val="24"/>
          </w:rPr>
          <w:t xml:space="preserve"> </w:t>
        </w:r>
      </w:hyperlink>
      <w:hyperlink r:id="rId51">
        <w:r w:rsidR="00332C33" w:rsidRPr="002451B6">
          <w:rPr>
            <w:rFonts w:ascii="Times New Roman" w:eastAsia="Times New Roman" w:hAnsi="Times New Roman" w:cs="Times New Roman"/>
            <w:sz w:val="24"/>
            <w:szCs w:val="24"/>
            <w:u w:val="single"/>
          </w:rPr>
          <w:t>https://diariodonordeste.verdesmares.com.br/metro/a-pessoa-e-para-o-que-nasce-vence-festival-1.564711</w:t>
        </w:r>
      </w:hyperlink>
      <w:r w:rsidRPr="002451B6">
        <w:rPr>
          <w:rFonts w:ascii="Times New Roman" w:eastAsia="Times New Roman" w:hAnsi="Times New Roman" w:cs="Times New Roman"/>
          <w:sz w:val="24"/>
          <w:szCs w:val="24"/>
        </w:rPr>
        <w:t>. Acesso em: 24 mar. 2025.</w:t>
      </w:r>
    </w:p>
    <w:p w14:paraId="01C70A7B"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FOUCAULT, M. </w:t>
      </w:r>
      <w:r w:rsidRPr="002451B6">
        <w:rPr>
          <w:rFonts w:ascii="Times New Roman" w:eastAsia="Times New Roman" w:hAnsi="Times New Roman" w:cs="Times New Roman"/>
          <w:i/>
          <w:iCs/>
          <w:sz w:val="24"/>
          <w:szCs w:val="24"/>
        </w:rPr>
        <w:t xml:space="preserve">Vigiar e punir: </w:t>
      </w:r>
      <w:r w:rsidRPr="002451B6">
        <w:rPr>
          <w:rFonts w:ascii="Times New Roman" w:eastAsia="Times New Roman" w:hAnsi="Times New Roman" w:cs="Times New Roman"/>
          <w:sz w:val="24"/>
          <w:szCs w:val="24"/>
        </w:rPr>
        <w:t>nascimento da prisão. 22. ed. Petrópolis: Vozes, 1987.</w:t>
      </w:r>
    </w:p>
    <w:p w14:paraId="4BE9B0E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GONZALEZ, L</w:t>
      </w:r>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Racismo e sexismo na cultura brasileira. In: SILVA, L. A. P. da. </w:t>
      </w:r>
      <w:r w:rsidRPr="002451B6">
        <w:rPr>
          <w:rFonts w:ascii="Times New Roman" w:eastAsia="Times New Roman" w:hAnsi="Times New Roman" w:cs="Times New Roman"/>
          <w:i/>
          <w:iCs/>
          <w:sz w:val="24"/>
          <w:szCs w:val="24"/>
        </w:rPr>
        <w:t>Movimentos sociais urbanos, minorias étnicas e outros estudos</w:t>
      </w:r>
      <w:r w:rsidRPr="002451B6">
        <w:rPr>
          <w:rFonts w:ascii="Times New Roman" w:eastAsia="Times New Roman" w:hAnsi="Times New Roman" w:cs="Times New Roman"/>
          <w:sz w:val="24"/>
          <w:szCs w:val="24"/>
        </w:rPr>
        <w:t>. São Paulo: Loyola, 1984.</w:t>
      </w:r>
    </w:p>
    <w:p w14:paraId="5F346BC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IMS – Instituto Moreira Salles. Sessão: Cinema de Movimento – Os filmes de Lincoln Péricles. Disponível em:</w:t>
      </w:r>
      <w:hyperlink r:id="rId52">
        <w:r w:rsidR="00332C33" w:rsidRPr="002451B6">
          <w:rPr>
            <w:rFonts w:ascii="Times New Roman" w:eastAsia="Times New Roman" w:hAnsi="Times New Roman" w:cs="Times New Roman"/>
            <w:sz w:val="24"/>
            <w:szCs w:val="24"/>
          </w:rPr>
          <w:t xml:space="preserve"> </w:t>
        </w:r>
      </w:hyperlink>
      <w:hyperlink r:id="rId53">
        <w:r w:rsidR="00332C33" w:rsidRPr="002451B6">
          <w:rPr>
            <w:rFonts w:ascii="Times New Roman" w:eastAsia="Times New Roman" w:hAnsi="Times New Roman" w:cs="Times New Roman"/>
            <w:sz w:val="24"/>
            <w:szCs w:val="24"/>
            <w:u w:val="single"/>
          </w:rPr>
          <w:t>https://ims.com.br/sessao/cinema-de-movimento-os-filmes-de-lincoln-pericles-lk/</w:t>
        </w:r>
      </w:hyperlink>
      <w:r w:rsidRPr="002451B6">
        <w:rPr>
          <w:rFonts w:ascii="Times New Roman" w:eastAsia="Times New Roman" w:hAnsi="Times New Roman" w:cs="Times New Roman"/>
          <w:sz w:val="24"/>
          <w:szCs w:val="24"/>
        </w:rPr>
        <w:t>. Acesso em: 24 mar. 2025.</w:t>
      </w:r>
    </w:p>
    <w:p w14:paraId="79189F2A" w14:textId="77777777" w:rsidR="00332C33" w:rsidRPr="002451B6" w:rsidRDefault="00000000">
      <w:pPr>
        <w:widowControl w:val="0"/>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MAGNO, A. F. </w:t>
      </w:r>
      <w:proofErr w:type="spellStart"/>
      <w:r w:rsidRPr="002451B6">
        <w:rPr>
          <w:rFonts w:ascii="Times New Roman" w:eastAsia="Times New Roman" w:hAnsi="Times New Roman" w:cs="Times New Roman"/>
          <w:sz w:val="24"/>
          <w:szCs w:val="24"/>
        </w:rPr>
        <w:t>da</w:t>
      </w:r>
      <w:proofErr w:type="spellEnd"/>
      <w:r w:rsidRPr="002451B6">
        <w:rPr>
          <w:rFonts w:ascii="Times New Roman" w:eastAsia="Times New Roman" w:hAnsi="Times New Roman" w:cs="Times New Roman"/>
          <w:sz w:val="24"/>
          <w:szCs w:val="24"/>
        </w:rPr>
        <w:t xml:space="preserve"> S. C. </w:t>
      </w:r>
      <w:proofErr w:type="spellStart"/>
      <w:r w:rsidRPr="002451B6">
        <w:rPr>
          <w:rFonts w:ascii="Times New Roman" w:eastAsia="Times New Roman" w:hAnsi="Times New Roman" w:cs="Times New Roman"/>
          <w:i/>
          <w:iCs/>
          <w:sz w:val="24"/>
          <w:szCs w:val="24"/>
        </w:rPr>
        <w:t>Escrevivência</w:t>
      </w:r>
      <w:proofErr w:type="spellEnd"/>
      <w:r w:rsidRPr="002451B6">
        <w:rPr>
          <w:rFonts w:ascii="Times New Roman" w:eastAsia="Times New Roman" w:hAnsi="Times New Roman" w:cs="Times New Roman"/>
          <w:i/>
          <w:iCs/>
          <w:sz w:val="24"/>
          <w:szCs w:val="24"/>
        </w:rPr>
        <w:t xml:space="preserve"> Audiovisual:</w:t>
      </w:r>
      <w:r w:rsidRPr="002451B6">
        <w:rPr>
          <w:rFonts w:ascii="Times New Roman" w:eastAsia="Times New Roman" w:hAnsi="Times New Roman" w:cs="Times New Roman"/>
          <w:sz w:val="24"/>
          <w:szCs w:val="24"/>
        </w:rPr>
        <w:t xml:space="preserve"> produção de narrativas imagéticas </w:t>
      </w:r>
      <w:proofErr w:type="spellStart"/>
      <w:r w:rsidRPr="002451B6">
        <w:rPr>
          <w:rFonts w:ascii="Times New Roman" w:eastAsia="Times New Roman" w:hAnsi="Times New Roman" w:cs="Times New Roman"/>
          <w:sz w:val="24"/>
          <w:szCs w:val="24"/>
        </w:rPr>
        <w:t>contra-hegemônicas</w:t>
      </w:r>
      <w:proofErr w:type="spellEnd"/>
      <w:r w:rsidRPr="002451B6">
        <w:rPr>
          <w:rFonts w:ascii="Times New Roman" w:eastAsia="Times New Roman" w:hAnsi="Times New Roman" w:cs="Times New Roman"/>
          <w:sz w:val="24"/>
          <w:szCs w:val="24"/>
        </w:rPr>
        <w:t xml:space="preserve">. 2025. Dissertação (Mestrado em Humanidades, Direitos e Outras Legitimidades), Faculdade de Filosofia, Letras e Ciências </w:t>
      </w:r>
      <w:proofErr w:type="gramStart"/>
      <w:r w:rsidRPr="002451B6">
        <w:rPr>
          <w:rFonts w:ascii="Times New Roman" w:eastAsia="Times New Roman" w:hAnsi="Times New Roman" w:cs="Times New Roman"/>
          <w:sz w:val="24"/>
          <w:szCs w:val="24"/>
        </w:rPr>
        <w:t>Humanas,  Universidade</w:t>
      </w:r>
      <w:proofErr w:type="gramEnd"/>
      <w:r w:rsidRPr="002451B6">
        <w:rPr>
          <w:rFonts w:ascii="Times New Roman" w:eastAsia="Times New Roman" w:hAnsi="Times New Roman" w:cs="Times New Roman"/>
          <w:sz w:val="24"/>
          <w:szCs w:val="24"/>
        </w:rPr>
        <w:t xml:space="preserve"> de São Paulo, São Paulo, 2025.</w:t>
      </w:r>
    </w:p>
    <w:p w14:paraId="409F0C96" w14:textId="77777777" w:rsidR="00332C33" w:rsidRPr="002451B6" w:rsidRDefault="00332C33">
      <w:pPr>
        <w:widowControl w:val="0"/>
        <w:spacing w:line="240" w:lineRule="auto"/>
        <w:rPr>
          <w:rFonts w:ascii="Courier New" w:eastAsia="Courier New" w:hAnsi="Courier New" w:cs="Courier New"/>
        </w:rPr>
      </w:pPr>
    </w:p>
    <w:p w14:paraId="30B2B9EC"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MARTINS, R. (Org.). </w:t>
      </w:r>
      <w:r w:rsidRPr="002451B6">
        <w:rPr>
          <w:rFonts w:ascii="Times New Roman" w:eastAsia="Times New Roman" w:hAnsi="Times New Roman" w:cs="Times New Roman"/>
          <w:i/>
          <w:iCs/>
          <w:sz w:val="24"/>
          <w:szCs w:val="24"/>
        </w:rPr>
        <w:t>Narrativas incontidas do audiovisual brasileiro</w:t>
      </w:r>
      <w:r w:rsidRPr="002451B6">
        <w:rPr>
          <w:rFonts w:ascii="Times New Roman" w:eastAsia="Times New Roman" w:hAnsi="Times New Roman" w:cs="Times New Roman"/>
          <w:sz w:val="24"/>
          <w:szCs w:val="24"/>
        </w:rPr>
        <w:t xml:space="preserve">. São Paulo: Selo </w:t>
      </w:r>
      <w:proofErr w:type="spellStart"/>
      <w:r w:rsidRPr="002451B6">
        <w:rPr>
          <w:rFonts w:ascii="Times New Roman" w:eastAsia="Times New Roman" w:hAnsi="Times New Roman" w:cs="Times New Roman"/>
          <w:sz w:val="24"/>
          <w:szCs w:val="24"/>
        </w:rPr>
        <w:t>Suh</w:t>
      </w:r>
      <w:proofErr w:type="spellEnd"/>
      <w:r w:rsidRPr="002451B6">
        <w:rPr>
          <w:rFonts w:ascii="Times New Roman" w:eastAsia="Times New Roman" w:hAnsi="Times New Roman" w:cs="Times New Roman"/>
          <w:sz w:val="24"/>
          <w:szCs w:val="24"/>
        </w:rPr>
        <w:t>, 2021.</w:t>
      </w:r>
    </w:p>
    <w:p w14:paraId="53936DFF"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SCHECHNER, R. </w:t>
      </w:r>
      <w:proofErr w:type="spellStart"/>
      <w:r w:rsidRPr="002451B6">
        <w:rPr>
          <w:rFonts w:ascii="Times New Roman" w:eastAsia="Times New Roman" w:hAnsi="Times New Roman" w:cs="Times New Roman"/>
          <w:i/>
          <w:iCs/>
          <w:sz w:val="24"/>
          <w:szCs w:val="24"/>
        </w:rPr>
        <w:t>Between</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theater</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and</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Anthropology</w:t>
      </w:r>
      <w:proofErr w:type="spellEnd"/>
      <w:r w:rsidRPr="002451B6">
        <w:rPr>
          <w:rFonts w:ascii="Times New Roman" w:eastAsia="Times New Roman" w:hAnsi="Times New Roman" w:cs="Times New Roman"/>
          <w:sz w:val="24"/>
          <w:szCs w:val="24"/>
        </w:rPr>
        <w:t xml:space="preserve">. Philadelphia: </w:t>
      </w:r>
      <w:proofErr w:type="spellStart"/>
      <w:r w:rsidRPr="002451B6">
        <w:rPr>
          <w:rFonts w:ascii="Times New Roman" w:eastAsia="Times New Roman" w:hAnsi="Times New Roman" w:cs="Times New Roman"/>
          <w:sz w:val="24"/>
          <w:szCs w:val="24"/>
        </w:rPr>
        <w:t>University</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of</w:t>
      </w:r>
      <w:proofErr w:type="spellEnd"/>
      <w:r w:rsidRPr="002451B6">
        <w:rPr>
          <w:rFonts w:ascii="Times New Roman" w:eastAsia="Times New Roman" w:hAnsi="Times New Roman" w:cs="Times New Roman"/>
          <w:sz w:val="24"/>
          <w:szCs w:val="24"/>
        </w:rPr>
        <w:t xml:space="preserve"> Pennsylvania Press, 1985.</w:t>
      </w:r>
    </w:p>
    <w:p w14:paraId="59EFB29E"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SCHECHNER, R.</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 xml:space="preserve">Performance </w:t>
      </w:r>
      <w:proofErr w:type="spellStart"/>
      <w:r w:rsidRPr="002451B6">
        <w:rPr>
          <w:rFonts w:ascii="Times New Roman" w:eastAsia="Times New Roman" w:hAnsi="Times New Roman" w:cs="Times New Roman"/>
          <w:i/>
          <w:iCs/>
          <w:sz w:val="24"/>
          <w:szCs w:val="24"/>
        </w:rPr>
        <w:t>theory</w:t>
      </w:r>
      <w:proofErr w:type="spellEnd"/>
      <w:r w:rsidRPr="002451B6">
        <w:rPr>
          <w:rFonts w:ascii="Times New Roman" w:eastAsia="Times New Roman" w:hAnsi="Times New Roman" w:cs="Times New Roman"/>
          <w:b/>
          <w:bCs/>
          <w:sz w:val="24"/>
          <w:szCs w:val="24"/>
        </w:rPr>
        <w:t>.</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Revised</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and</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Expanded</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Edition</w:t>
      </w:r>
      <w:proofErr w:type="spellEnd"/>
      <w:r w:rsidRPr="002451B6">
        <w:rPr>
          <w:rFonts w:ascii="Times New Roman" w:eastAsia="Times New Roman" w:hAnsi="Times New Roman" w:cs="Times New Roman"/>
          <w:sz w:val="24"/>
          <w:szCs w:val="24"/>
        </w:rPr>
        <w:t xml:space="preserve">. New York: </w:t>
      </w:r>
      <w:proofErr w:type="spellStart"/>
      <w:r w:rsidRPr="002451B6">
        <w:rPr>
          <w:rFonts w:ascii="Times New Roman" w:eastAsia="Times New Roman" w:hAnsi="Times New Roman" w:cs="Times New Roman"/>
          <w:sz w:val="24"/>
          <w:szCs w:val="24"/>
        </w:rPr>
        <w:t>Routledge</w:t>
      </w:r>
      <w:proofErr w:type="spellEnd"/>
      <w:r w:rsidRPr="002451B6">
        <w:rPr>
          <w:rFonts w:ascii="Times New Roman" w:eastAsia="Times New Roman" w:hAnsi="Times New Roman" w:cs="Times New Roman"/>
          <w:sz w:val="24"/>
          <w:szCs w:val="24"/>
        </w:rPr>
        <w:t>, 1988.</w:t>
      </w:r>
    </w:p>
    <w:p w14:paraId="5BA42F37"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SPCINE. </w:t>
      </w:r>
      <w:r w:rsidRPr="002451B6">
        <w:rPr>
          <w:rFonts w:ascii="Times New Roman" w:eastAsia="Times New Roman" w:hAnsi="Times New Roman" w:cs="Times New Roman"/>
          <w:i/>
          <w:iCs/>
          <w:sz w:val="24"/>
          <w:szCs w:val="24"/>
        </w:rPr>
        <w:t>A cara da produção feminina brasileira</w:t>
      </w:r>
      <w:r w:rsidRPr="002451B6">
        <w:rPr>
          <w:rFonts w:ascii="Times New Roman" w:eastAsia="Times New Roman" w:hAnsi="Times New Roman" w:cs="Times New Roman"/>
          <w:sz w:val="24"/>
          <w:szCs w:val="24"/>
        </w:rPr>
        <w:t>. Disponível em:</w:t>
      </w:r>
      <w:hyperlink r:id="rId54">
        <w:r w:rsidR="00332C33" w:rsidRPr="002451B6">
          <w:rPr>
            <w:rFonts w:ascii="Times New Roman" w:eastAsia="Times New Roman" w:hAnsi="Times New Roman" w:cs="Times New Roman"/>
            <w:sz w:val="24"/>
            <w:szCs w:val="24"/>
          </w:rPr>
          <w:t xml:space="preserve"> </w:t>
        </w:r>
      </w:hyperlink>
      <w:hyperlink r:id="rId55">
        <w:r w:rsidR="00332C33" w:rsidRPr="002451B6">
          <w:rPr>
            <w:rFonts w:ascii="Times New Roman" w:eastAsia="Times New Roman" w:hAnsi="Times New Roman" w:cs="Times New Roman"/>
            <w:sz w:val="24"/>
            <w:szCs w:val="24"/>
            <w:u w:val="single"/>
          </w:rPr>
          <w:t>https://www.spcineplay.com.br/pages/2</w:t>
        </w:r>
      </w:hyperlink>
      <w:r w:rsidRPr="002451B6">
        <w:rPr>
          <w:rFonts w:ascii="Times New Roman" w:eastAsia="Times New Roman" w:hAnsi="Times New Roman" w:cs="Times New Roman"/>
          <w:sz w:val="24"/>
          <w:szCs w:val="24"/>
        </w:rPr>
        <w:t>. Acesso em: 09 jul. 2025.</w:t>
      </w:r>
    </w:p>
    <w:p w14:paraId="44B42653"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SPCINE. </w:t>
      </w:r>
      <w:r w:rsidRPr="002451B6">
        <w:rPr>
          <w:rFonts w:ascii="Times New Roman" w:eastAsia="Times New Roman" w:hAnsi="Times New Roman" w:cs="Times New Roman"/>
          <w:i/>
          <w:iCs/>
          <w:sz w:val="24"/>
          <w:szCs w:val="24"/>
        </w:rPr>
        <w:t>Mil e uma quebradas: o Capão Redondo sob as poéticas de Lincoln Péricles</w:t>
      </w:r>
      <w:r w:rsidRPr="002451B6">
        <w:rPr>
          <w:rFonts w:ascii="Times New Roman" w:eastAsia="Times New Roman" w:hAnsi="Times New Roman" w:cs="Times New Roman"/>
          <w:sz w:val="24"/>
          <w:szCs w:val="24"/>
        </w:rPr>
        <w:t>. Disponível em:</w:t>
      </w:r>
      <w:hyperlink r:id="rId56">
        <w:r w:rsidR="00332C33" w:rsidRPr="002451B6">
          <w:rPr>
            <w:rFonts w:ascii="Times New Roman" w:eastAsia="Times New Roman" w:hAnsi="Times New Roman" w:cs="Times New Roman"/>
            <w:sz w:val="24"/>
            <w:szCs w:val="24"/>
          </w:rPr>
          <w:t xml:space="preserve"> </w:t>
        </w:r>
      </w:hyperlink>
      <w:hyperlink r:id="rId57">
        <w:r w:rsidR="00332C33" w:rsidRPr="002451B6">
          <w:rPr>
            <w:rFonts w:ascii="Times New Roman" w:eastAsia="Times New Roman" w:hAnsi="Times New Roman" w:cs="Times New Roman"/>
            <w:sz w:val="24"/>
            <w:szCs w:val="24"/>
            <w:u w:val="single"/>
          </w:rPr>
          <w:t>https://www.spcineplay.com.br/pages/106</w:t>
        </w:r>
      </w:hyperlink>
      <w:r w:rsidRPr="002451B6">
        <w:rPr>
          <w:rFonts w:ascii="Times New Roman" w:eastAsia="Times New Roman" w:hAnsi="Times New Roman" w:cs="Times New Roman"/>
          <w:sz w:val="24"/>
          <w:szCs w:val="24"/>
        </w:rPr>
        <w:t>. Acesso em: 24 mar. 2025.</w:t>
      </w:r>
    </w:p>
    <w:p w14:paraId="4E2F13B8"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STEYERL, H. In Defense </w:t>
      </w:r>
      <w:proofErr w:type="spellStart"/>
      <w:r w:rsidRPr="002451B6">
        <w:rPr>
          <w:rFonts w:ascii="Times New Roman" w:eastAsia="Times New Roman" w:hAnsi="Times New Roman" w:cs="Times New Roman"/>
          <w:sz w:val="24"/>
          <w:szCs w:val="24"/>
        </w:rPr>
        <w:t>of</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the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Poor</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Image</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 xml:space="preserve">E-Flux: </w:t>
      </w:r>
      <w:proofErr w:type="spellStart"/>
      <w:r w:rsidRPr="002451B6">
        <w:rPr>
          <w:rFonts w:ascii="Times New Roman" w:eastAsia="Times New Roman" w:hAnsi="Times New Roman" w:cs="Times New Roman"/>
          <w:i/>
          <w:iCs/>
          <w:sz w:val="24"/>
          <w:szCs w:val="24"/>
        </w:rPr>
        <w:t>Journal</w:t>
      </w:r>
      <w:proofErr w:type="spellEnd"/>
      <w:r w:rsidRPr="002451B6">
        <w:rPr>
          <w:rFonts w:ascii="Times New Roman" w:eastAsia="Times New Roman" w:hAnsi="Times New Roman" w:cs="Times New Roman"/>
          <w:sz w:val="24"/>
          <w:szCs w:val="24"/>
        </w:rPr>
        <w:t xml:space="preserve"> 10. 2009</w:t>
      </w:r>
      <w:r w:rsidRPr="002451B6">
        <w:rPr>
          <w:sz w:val="20"/>
          <w:szCs w:val="20"/>
        </w:rPr>
        <w:t>.</w:t>
      </w:r>
    </w:p>
    <w:p w14:paraId="7F146450"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TURNER, V. </w:t>
      </w:r>
      <w:r w:rsidRPr="002451B6">
        <w:rPr>
          <w:rFonts w:ascii="Times New Roman" w:eastAsia="Times New Roman" w:hAnsi="Times New Roman" w:cs="Times New Roman"/>
          <w:i/>
          <w:iCs/>
          <w:sz w:val="24"/>
          <w:szCs w:val="24"/>
        </w:rPr>
        <w:t xml:space="preserve">The </w:t>
      </w:r>
      <w:proofErr w:type="spellStart"/>
      <w:r w:rsidRPr="002451B6">
        <w:rPr>
          <w:rFonts w:ascii="Times New Roman" w:eastAsia="Times New Roman" w:hAnsi="Times New Roman" w:cs="Times New Roman"/>
          <w:i/>
          <w:iCs/>
          <w:sz w:val="24"/>
          <w:szCs w:val="24"/>
        </w:rPr>
        <w:t>Anthropology</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of</w:t>
      </w:r>
      <w:proofErr w:type="spellEnd"/>
      <w:r w:rsidRPr="002451B6">
        <w:rPr>
          <w:rFonts w:ascii="Times New Roman" w:eastAsia="Times New Roman" w:hAnsi="Times New Roman" w:cs="Times New Roman"/>
          <w:i/>
          <w:iCs/>
          <w:sz w:val="24"/>
          <w:szCs w:val="24"/>
        </w:rPr>
        <w:t xml:space="preserve"> Performance. </w:t>
      </w:r>
      <w:r w:rsidRPr="002451B6">
        <w:rPr>
          <w:rFonts w:ascii="Times New Roman" w:eastAsia="Times New Roman" w:hAnsi="Times New Roman" w:cs="Times New Roman"/>
          <w:sz w:val="24"/>
          <w:szCs w:val="24"/>
        </w:rPr>
        <w:t xml:space="preserve">New York: PAJ </w:t>
      </w:r>
      <w:proofErr w:type="spellStart"/>
      <w:r w:rsidRPr="002451B6">
        <w:rPr>
          <w:rFonts w:ascii="Times New Roman" w:eastAsia="Times New Roman" w:hAnsi="Times New Roman" w:cs="Times New Roman"/>
          <w:sz w:val="24"/>
          <w:szCs w:val="24"/>
        </w:rPr>
        <w:t>Publications</w:t>
      </w:r>
      <w:proofErr w:type="spellEnd"/>
      <w:r w:rsidRPr="002451B6">
        <w:rPr>
          <w:rFonts w:ascii="Times New Roman" w:eastAsia="Times New Roman" w:hAnsi="Times New Roman" w:cs="Times New Roman"/>
          <w:sz w:val="24"/>
          <w:szCs w:val="24"/>
        </w:rPr>
        <w:t>, 1987.</w:t>
      </w:r>
    </w:p>
    <w:p w14:paraId="4C595589" w14:textId="77777777" w:rsidR="00332C33" w:rsidRPr="002451B6" w:rsidRDefault="00000000">
      <w:pPr>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Youtube – Mó Ideia Podcast. #EP31 </w:t>
      </w:r>
      <w:r w:rsidRPr="002451B6">
        <w:rPr>
          <w:rFonts w:ascii="Times New Roman" w:eastAsia="Times New Roman" w:hAnsi="Times New Roman" w:cs="Times New Roman"/>
          <w:i/>
          <w:iCs/>
          <w:sz w:val="24"/>
          <w:szCs w:val="24"/>
        </w:rPr>
        <w:t>- O cinema negro paraibano.</w:t>
      </w:r>
      <w:r w:rsidRPr="002451B6">
        <w:rPr>
          <w:rFonts w:ascii="Times New Roman" w:eastAsia="Times New Roman" w:hAnsi="Times New Roman" w:cs="Times New Roman"/>
          <w:sz w:val="24"/>
          <w:szCs w:val="24"/>
        </w:rPr>
        <w:t xml:space="preserve"> Disponível em:</w:t>
      </w:r>
      <w:hyperlink r:id="rId58">
        <w:r w:rsidR="00332C33" w:rsidRPr="002451B6">
          <w:rPr>
            <w:rFonts w:ascii="Times New Roman" w:eastAsia="Times New Roman" w:hAnsi="Times New Roman" w:cs="Times New Roman"/>
            <w:sz w:val="24"/>
            <w:szCs w:val="24"/>
          </w:rPr>
          <w:t xml:space="preserve"> </w:t>
        </w:r>
      </w:hyperlink>
      <w:hyperlink r:id="rId59">
        <w:r w:rsidR="00332C33" w:rsidRPr="002451B6">
          <w:rPr>
            <w:rFonts w:ascii="Times New Roman" w:eastAsia="Times New Roman" w:hAnsi="Times New Roman" w:cs="Times New Roman"/>
            <w:sz w:val="24"/>
            <w:szCs w:val="24"/>
            <w:u w:val="single"/>
          </w:rPr>
          <w:t>https://www.youtube.com/watch?v=eN_27aa4YbI</w:t>
        </w:r>
      </w:hyperlink>
      <w:r w:rsidRPr="002451B6">
        <w:rPr>
          <w:rFonts w:ascii="Times New Roman" w:eastAsia="Times New Roman" w:hAnsi="Times New Roman" w:cs="Times New Roman"/>
          <w:sz w:val="24"/>
          <w:szCs w:val="24"/>
        </w:rPr>
        <w:t>. Acesso em: 24 mar. 2025.</w:t>
      </w:r>
    </w:p>
    <w:p w14:paraId="1A334802" w14:textId="77777777" w:rsidR="00332C33" w:rsidRPr="002451B6" w:rsidRDefault="00000000">
      <w:pPr>
        <w:spacing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VICENTE, W. (Org.). </w:t>
      </w:r>
      <w:r w:rsidRPr="002451B6">
        <w:rPr>
          <w:rFonts w:ascii="Times New Roman" w:eastAsia="Times New Roman" w:hAnsi="Times New Roman" w:cs="Times New Roman"/>
          <w:i/>
          <w:iCs/>
          <w:sz w:val="24"/>
          <w:szCs w:val="24"/>
        </w:rPr>
        <w:t>Quebrada?</w:t>
      </w:r>
      <w:r w:rsidRPr="002451B6">
        <w:rPr>
          <w:rFonts w:ascii="Times New Roman" w:eastAsia="Times New Roman" w:hAnsi="Times New Roman" w:cs="Times New Roman"/>
          <w:sz w:val="24"/>
          <w:szCs w:val="24"/>
        </w:rPr>
        <w:t xml:space="preserve"> Cinema, vídeo e lutas sociais. São Paulo: </w:t>
      </w:r>
      <w:proofErr w:type="spellStart"/>
      <w:r w:rsidRPr="002451B6">
        <w:rPr>
          <w:rFonts w:ascii="Times New Roman" w:eastAsia="Times New Roman" w:hAnsi="Times New Roman" w:cs="Times New Roman"/>
          <w:sz w:val="24"/>
          <w:szCs w:val="24"/>
        </w:rPr>
        <w:t>Pró-Reitoria</w:t>
      </w:r>
      <w:proofErr w:type="spellEnd"/>
      <w:r w:rsidRPr="002451B6">
        <w:rPr>
          <w:rFonts w:ascii="Times New Roman" w:eastAsia="Times New Roman" w:hAnsi="Times New Roman" w:cs="Times New Roman"/>
          <w:sz w:val="24"/>
          <w:szCs w:val="24"/>
        </w:rPr>
        <w:t xml:space="preserve"> de Cultura e Extensão Universitária - USP, 2014.</w:t>
      </w:r>
    </w:p>
    <w:p w14:paraId="3C5E2308" w14:textId="77777777" w:rsidR="00332C33" w:rsidRPr="002451B6" w:rsidRDefault="00332C33">
      <w:pPr>
        <w:spacing w:after="200" w:line="240" w:lineRule="auto"/>
        <w:jc w:val="both"/>
        <w:rPr>
          <w:rFonts w:ascii="Times New Roman" w:eastAsia="Times New Roman" w:hAnsi="Times New Roman" w:cs="Times New Roman"/>
          <w:sz w:val="24"/>
          <w:szCs w:val="24"/>
        </w:rPr>
      </w:pPr>
    </w:p>
    <w:p w14:paraId="0272CD7D" w14:textId="77777777" w:rsidR="00332C33" w:rsidRPr="002451B6" w:rsidRDefault="00332C33">
      <w:pPr>
        <w:spacing w:line="360" w:lineRule="auto"/>
        <w:rPr>
          <w:rFonts w:ascii="Times New Roman" w:eastAsia="Times New Roman" w:hAnsi="Times New Roman" w:cs="Times New Roman"/>
          <w:sz w:val="28"/>
          <w:szCs w:val="28"/>
        </w:rPr>
      </w:pPr>
    </w:p>
    <w:p w14:paraId="10C047AF" w14:textId="77777777" w:rsidR="00332C33" w:rsidRPr="002451B6" w:rsidRDefault="00332C33">
      <w:pPr>
        <w:spacing w:before="240" w:after="240" w:line="360" w:lineRule="auto"/>
        <w:rPr>
          <w:rFonts w:ascii="Times New Roman" w:eastAsia="Times New Roman" w:hAnsi="Times New Roman" w:cs="Times New Roman"/>
          <w:b/>
          <w:bCs/>
          <w:sz w:val="24"/>
          <w:szCs w:val="24"/>
        </w:rPr>
      </w:pPr>
    </w:p>
    <w:p w14:paraId="3B8AB4AE" w14:textId="77777777" w:rsidR="00332C33" w:rsidRPr="002451B6" w:rsidRDefault="00000000">
      <w:pPr>
        <w:spacing w:before="240" w:after="240"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“Eu sou assim”: Justificação da violência contra as mulheres no cinema latino-americano contemporâneo</w:t>
      </w:r>
    </w:p>
    <w:p w14:paraId="397C09EF" w14:textId="77777777" w:rsidR="005129E2" w:rsidRPr="002451B6" w:rsidRDefault="005129E2" w:rsidP="005129E2">
      <w:pPr>
        <w:spacing w:after="200" w:line="360" w:lineRule="auto"/>
        <w:jc w:val="center"/>
        <w:rPr>
          <w:rFonts w:ascii="Times New Roman" w:eastAsia="Times New Roman" w:hAnsi="Times New Roman" w:cs="Times New Roman"/>
          <w:b/>
          <w:bCs/>
          <w:sz w:val="24"/>
          <w:szCs w:val="24"/>
        </w:rPr>
      </w:pPr>
    </w:p>
    <w:p w14:paraId="19F9E2BB" w14:textId="77777777" w:rsidR="00332C33" w:rsidRPr="002451B6" w:rsidRDefault="00000000">
      <w:pPr>
        <w:spacing w:before="240" w:after="24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Teorias críticas fílmicas feministas e violência contra a mulher no cinema</w:t>
      </w:r>
    </w:p>
    <w:p w14:paraId="227BF0B5"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estratégias geralmente utilizadas para justificação da violência no contexto das relações de gênero, seja pelos homens ou pelas mulheres, podem ser consideradas como práticas sociais produzidas, propagadas e mantidas pela cultura do patriarcado, bem como forma de promover sua perpetuação e permanência nas sociedades contemporâneas (</w:t>
      </w:r>
      <w:proofErr w:type="spellStart"/>
      <w:r w:rsidRPr="002451B6">
        <w:rPr>
          <w:rFonts w:ascii="Times New Roman" w:eastAsia="Times New Roman" w:hAnsi="Times New Roman" w:cs="Times New Roman"/>
          <w:sz w:val="24"/>
          <w:szCs w:val="24"/>
        </w:rPr>
        <w:t>Etayo</w:t>
      </w:r>
      <w:proofErr w:type="spellEnd"/>
      <w:r w:rsidRPr="002451B6">
        <w:rPr>
          <w:rFonts w:ascii="Times New Roman" w:eastAsia="Times New Roman" w:hAnsi="Times New Roman" w:cs="Times New Roman"/>
          <w:sz w:val="24"/>
          <w:szCs w:val="24"/>
        </w:rPr>
        <w:t>, 2016). O tempo histórico tem demonstrado que processos de violência e de dominação estão presentes na vida social de diferentes grupos e sociedades, alinhados aos contextos sociopolíticos vigentes (Arendt, 2008), o que demanda a análise crítica acerca de seus produtos culturais nas questões cotidianas do nosso tempo. Tendo em vista essa dimensão psicossocial, o presente capítulo tem como objetivo analisar sua representação em filmes latino-americanos, a partir das justificativas apresentadas nas narrativas fílmicas para episódios de violências contra as mulheres exercidas pelo parceiro íntimo.</w:t>
      </w:r>
    </w:p>
    <w:p w14:paraId="07CE2241"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 xml:space="preserve">A contribuição do movimento feminista para a visibilidade da violência contra as mulheres, que não distingue classe social, religião ou nacionalidade, tem sido fundamental ao longo dos séculos XX e XXI. Para Kuhn (1991), o feminismo tem atuado como: “uma atividade política ou um conjunto de atividades com sua própria história e formas de organização, que são apresentadas em </w:t>
      </w:r>
      <w:proofErr w:type="gramStart"/>
      <w:r w:rsidRPr="002451B6">
        <w:rPr>
          <w:rFonts w:ascii="Times New Roman" w:eastAsia="Times New Roman" w:hAnsi="Times New Roman" w:cs="Times New Roman"/>
          <w:sz w:val="24"/>
          <w:szCs w:val="24"/>
        </w:rPr>
        <w:t>diferentes variedades</w:t>
      </w:r>
      <w:proofErr w:type="gramEnd"/>
      <w:r w:rsidRPr="002451B6">
        <w:rPr>
          <w:rFonts w:ascii="Times New Roman" w:eastAsia="Times New Roman" w:hAnsi="Times New Roman" w:cs="Times New Roman"/>
          <w:sz w:val="24"/>
          <w:szCs w:val="24"/>
        </w:rPr>
        <w:t xml:space="preserve"> e oferecem uma gama de análises da posição das mulheres e diferentes estratégias pela mudança social” (p.17). No contexto da violência contra as mulheres, o feminismo continua indicando que é necessário questionar o modelo de masculinidade que prevalece em certas sociedades, em que os homens exercem domínio sobre outras pessoas (</w:t>
      </w:r>
      <w:proofErr w:type="spellStart"/>
      <w:r w:rsidRPr="002451B6">
        <w:rPr>
          <w:rFonts w:ascii="Times New Roman" w:eastAsia="Times New Roman" w:hAnsi="Times New Roman" w:cs="Times New Roman"/>
          <w:sz w:val="24"/>
          <w:szCs w:val="24"/>
          <w:highlight w:val="white"/>
        </w:rPr>
        <w:t>Garaigordobil</w:t>
      </w:r>
      <w:proofErr w:type="spellEnd"/>
      <w:r w:rsidRPr="002451B6">
        <w:rPr>
          <w:rFonts w:ascii="Times New Roman" w:eastAsia="Times New Roman" w:hAnsi="Times New Roman" w:cs="Times New Roman"/>
          <w:sz w:val="24"/>
          <w:szCs w:val="24"/>
          <w:highlight w:val="white"/>
        </w:rPr>
        <w:t xml:space="preserve"> &amp; </w:t>
      </w:r>
      <w:proofErr w:type="spellStart"/>
      <w:r w:rsidRPr="002451B6">
        <w:rPr>
          <w:rFonts w:ascii="Times New Roman" w:eastAsia="Times New Roman" w:hAnsi="Times New Roman" w:cs="Times New Roman"/>
          <w:sz w:val="24"/>
          <w:szCs w:val="24"/>
          <w:highlight w:val="white"/>
        </w:rPr>
        <w:t>Aliri</w:t>
      </w:r>
      <w:proofErr w:type="spellEnd"/>
      <w:r w:rsidRPr="002451B6">
        <w:rPr>
          <w:rFonts w:ascii="Times New Roman" w:eastAsia="Times New Roman" w:hAnsi="Times New Roman" w:cs="Times New Roman"/>
          <w:sz w:val="24"/>
          <w:szCs w:val="24"/>
          <w:highlight w:val="white"/>
        </w:rPr>
        <w:t>, 2013).</w:t>
      </w:r>
    </w:p>
    <w:p w14:paraId="0A04CA91"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 década de 1960, surgiram os primeiros trabalhos de teóricas feministas que estudavam a representação das mulheres no cinema, analisando, principalmente, as produções de </w:t>
      </w:r>
      <w:r w:rsidRPr="002451B6">
        <w:rPr>
          <w:rFonts w:ascii="Times New Roman" w:eastAsia="Times New Roman" w:hAnsi="Times New Roman" w:cs="Times New Roman"/>
          <w:i/>
          <w:iCs/>
          <w:sz w:val="24"/>
          <w:szCs w:val="24"/>
        </w:rPr>
        <w:t xml:space="preserve">Hollywood </w:t>
      </w:r>
      <w:r w:rsidRPr="002451B6">
        <w:rPr>
          <w:rFonts w:ascii="Times New Roman" w:eastAsia="Times New Roman" w:hAnsi="Times New Roman" w:cs="Times New Roman"/>
          <w:sz w:val="24"/>
          <w:szCs w:val="24"/>
        </w:rPr>
        <w:t xml:space="preserve">a fim de identificar os modelos de mulheres e de homens retratados nas produções fílmicas da época (Burgos, 2017; Domínguez &amp; </w:t>
      </w:r>
      <w:proofErr w:type="spellStart"/>
      <w:r w:rsidRPr="002451B6">
        <w:rPr>
          <w:rFonts w:ascii="Times New Roman" w:eastAsia="Times New Roman" w:hAnsi="Times New Roman" w:cs="Times New Roman"/>
          <w:sz w:val="24"/>
          <w:szCs w:val="24"/>
        </w:rPr>
        <w:t>Troyano</w:t>
      </w:r>
      <w:proofErr w:type="spellEnd"/>
      <w:r w:rsidRPr="002451B6">
        <w:rPr>
          <w:rFonts w:ascii="Times New Roman" w:eastAsia="Times New Roman" w:hAnsi="Times New Roman" w:cs="Times New Roman"/>
          <w:sz w:val="24"/>
          <w:szCs w:val="24"/>
        </w:rPr>
        <w:t xml:space="preserve">-Rodríguez, 2012). Em consonância com </w:t>
      </w:r>
      <w:proofErr w:type="spellStart"/>
      <w:r w:rsidRPr="002451B6">
        <w:rPr>
          <w:rFonts w:ascii="Times New Roman" w:eastAsia="Times New Roman" w:hAnsi="Times New Roman" w:cs="Times New Roman"/>
          <w:sz w:val="24"/>
          <w:szCs w:val="24"/>
        </w:rPr>
        <w:t>Iturbide</w:t>
      </w:r>
      <w:proofErr w:type="spellEnd"/>
      <w:r w:rsidRPr="002451B6">
        <w:rPr>
          <w:rFonts w:ascii="Times New Roman" w:eastAsia="Times New Roman" w:hAnsi="Times New Roman" w:cs="Times New Roman"/>
          <w:sz w:val="24"/>
          <w:szCs w:val="24"/>
        </w:rPr>
        <w:t xml:space="preserve">-Rodrigo (2015), as “teorias feministas críticas são entendidas como a abordagem teórica e metodológica e a ferramenta filosófica e política que aborda a realidade da categoria analítica de gênero e, no caso das ciências sociais, o desenvolvimento de novos marcos para interpretar a realidade” (p. 9). Numa perspectiva de promoção histórica de mudanças sociais, a </w:t>
      </w:r>
      <w:r w:rsidRPr="002451B6">
        <w:rPr>
          <w:rFonts w:ascii="Times New Roman" w:eastAsia="Times New Roman" w:hAnsi="Times New Roman" w:cs="Times New Roman"/>
          <w:sz w:val="24"/>
          <w:szCs w:val="24"/>
        </w:rPr>
        <w:lastRenderedPageBreak/>
        <w:t>organização das mulheres e os diferentes movimentos feministas têm lutado pela igualdade de gênero e pela erradicação da violência contra as mulheres em diferentes territorialidades e contextos socioculturais (</w:t>
      </w:r>
      <w:proofErr w:type="spellStart"/>
      <w:r w:rsidRPr="002451B6">
        <w:rPr>
          <w:rFonts w:ascii="Times New Roman" w:eastAsia="Times New Roman" w:hAnsi="Times New Roman" w:cs="Times New Roman"/>
          <w:sz w:val="24"/>
          <w:szCs w:val="24"/>
        </w:rPr>
        <w:t>Allegue</w:t>
      </w:r>
      <w:proofErr w:type="spellEnd"/>
      <w:r w:rsidRPr="002451B6">
        <w:rPr>
          <w:rFonts w:ascii="Times New Roman" w:eastAsia="Times New Roman" w:hAnsi="Times New Roman" w:cs="Times New Roman"/>
          <w:sz w:val="24"/>
          <w:szCs w:val="24"/>
        </w:rPr>
        <w:t xml:space="preserve">, Carril, </w:t>
      </w:r>
      <w:proofErr w:type="spellStart"/>
      <w:r w:rsidRPr="002451B6">
        <w:rPr>
          <w:rFonts w:ascii="Times New Roman" w:eastAsia="Times New Roman" w:hAnsi="Times New Roman" w:cs="Times New Roman"/>
          <w:sz w:val="24"/>
          <w:szCs w:val="24"/>
        </w:rPr>
        <w:t>Kohen</w:t>
      </w:r>
      <w:proofErr w:type="spellEnd"/>
      <w:r w:rsidRPr="002451B6">
        <w:rPr>
          <w:rFonts w:ascii="Times New Roman" w:eastAsia="Times New Roman" w:hAnsi="Times New Roman" w:cs="Times New Roman"/>
          <w:sz w:val="24"/>
          <w:szCs w:val="24"/>
        </w:rPr>
        <w:t xml:space="preserve"> &amp; </w:t>
      </w:r>
      <w:proofErr w:type="spellStart"/>
      <w:r w:rsidRPr="002451B6">
        <w:rPr>
          <w:rFonts w:ascii="Times New Roman" w:eastAsia="Times New Roman" w:hAnsi="Times New Roman" w:cs="Times New Roman"/>
          <w:sz w:val="24"/>
          <w:szCs w:val="24"/>
        </w:rPr>
        <w:t>Tejería</w:t>
      </w:r>
      <w:proofErr w:type="spellEnd"/>
      <w:r w:rsidRPr="002451B6">
        <w:rPr>
          <w:rFonts w:ascii="Times New Roman" w:eastAsia="Times New Roman" w:hAnsi="Times New Roman" w:cs="Times New Roman"/>
          <w:sz w:val="24"/>
          <w:szCs w:val="24"/>
        </w:rPr>
        <w:t>, 2014).</w:t>
      </w:r>
    </w:p>
    <w:p w14:paraId="74DBE3EE"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Além disso, há que se debater e desnaturalizar a existência de um sistema de sexo e de gênero, em que os papéis dos homens e das mulheres são delimitados em uma perspectiva patriarcal (Sánchez, 2016). É relevante considerar, portanto, as abordagens propostas pelas teorias feministas críticas do cinema, que abrangem vários campos relacionados à representação das mulheres no cinema. Nesse sentido, Kuhn (1991) indica que:</w:t>
      </w:r>
    </w:p>
    <w:p w14:paraId="32C417B3" w14:textId="77777777" w:rsidR="00332C33" w:rsidRPr="002451B6" w:rsidRDefault="00000000">
      <w:pPr>
        <w:spacing w:before="240" w:after="240" w:line="240" w:lineRule="auto"/>
        <w:ind w:left="2267"/>
        <w:jc w:val="both"/>
        <w:rPr>
          <w:rFonts w:ascii="Times New Roman" w:eastAsia="Times New Roman" w:hAnsi="Times New Roman" w:cs="Times New Roman"/>
        </w:rPr>
      </w:pPr>
      <w:r w:rsidRPr="002451B6">
        <w:rPr>
          <w:rFonts w:ascii="Times New Roman" w:eastAsia="Times New Roman" w:hAnsi="Times New Roman" w:cs="Times New Roman"/>
        </w:rPr>
        <w:t>A partir das críticas feministas, foram apresentados argumentos contra imagens estereotipadas de mulheres que são comercializadas por diferentes revistas femininas, comerciais de TV, mídia e cinema. Existe uma construção social da mulher ideal, que tem que ser jovem, de boa aparência ou imagem física, cuidadosamente vestida e maquiada, elegante, atraente, sendo considerada opressora porque muitas mulheres não conseguem (Kuhn, 1991, p. 20).</w:t>
      </w:r>
    </w:p>
    <w:p w14:paraId="27CDF9C8"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Nessa perspectiva de análise, vale a pena resgatar a pergunta proposta por Aguilar (2012), qual seja: “Que papel a história audiovisual constrói para as personagens femininas? Ser as companheiras, ou as ajudantes, ou o descanso erótico-sexual, ou a desgraça, ou um obstáculo que se coloca entre os personagens masculinos e seu destino” (p. 2). Este debate apresenta-se como de extrema importância posto que construções historicamente consolidadas acerca das relações de gênero têm sido constatadas nos produtos culturais dessa esfera. A cultura patriarcal classifica as mulheres como heterossexuais, virgens, esposas e mães para cumprir sua função social </w:t>
      </w:r>
      <w:proofErr w:type="gramStart"/>
      <w:r w:rsidRPr="002451B6">
        <w:rPr>
          <w:rFonts w:ascii="Times New Roman" w:eastAsia="Times New Roman" w:hAnsi="Times New Roman" w:cs="Times New Roman"/>
          <w:sz w:val="24"/>
          <w:szCs w:val="24"/>
        </w:rPr>
        <w:t>e também</w:t>
      </w:r>
      <w:proofErr w:type="gramEnd"/>
      <w:r w:rsidRPr="002451B6">
        <w:rPr>
          <w:rFonts w:ascii="Times New Roman" w:eastAsia="Times New Roman" w:hAnsi="Times New Roman" w:cs="Times New Roman"/>
          <w:sz w:val="24"/>
          <w:szCs w:val="24"/>
        </w:rPr>
        <w:t xml:space="preserve"> como a mulher objeto de desejo ou a mulher fetiche que é a mulher que apoia passivamente o olhar ativo do homem (Sánchez, 2016; </w:t>
      </w:r>
      <w:proofErr w:type="spellStart"/>
      <w:r w:rsidRPr="002451B6">
        <w:rPr>
          <w:rFonts w:ascii="Times New Roman" w:eastAsia="Times New Roman" w:hAnsi="Times New Roman" w:cs="Times New Roman"/>
          <w:sz w:val="24"/>
          <w:szCs w:val="24"/>
        </w:rPr>
        <w:t>Mulvey</w:t>
      </w:r>
      <w:proofErr w:type="spellEnd"/>
      <w:r w:rsidRPr="002451B6">
        <w:rPr>
          <w:rFonts w:ascii="Times New Roman" w:eastAsia="Times New Roman" w:hAnsi="Times New Roman" w:cs="Times New Roman"/>
          <w:sz w:val="24"/>
          <w:szCs w:val="24"/>
        </w:rPr>
        <w:t>, 1988). Considera-se que as mulheres não têm história autônoma no cinema; ou seja, basicamente, seu papel se concentra em viver com o protagonista uma história de amor. O amor se torna o único argumento de sua existência e fornece relativo reconhecimento atrelado à figura do homem. Além disso, muitos filmes justificam que o amor deve ser acompanhado pelo sofrimento (Aguilar, 2012).</w:t>
      </w:r>
    </w:p>
    <w:p w14:paraId="23F439A3"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cinema, portanto, existem diferentes manifestações da misoginia, presente na cultura e na vida social (</w:t>
      </w:r>
      <w:proofErr w:type="spellStart"/>
      <w:r w:rsidRPr="002451B6">
        <w:rPr>
          <w:rFonts w:ascii="Times New Roman" w:eastAsia="Times New Roman" w:hAnsi="Times New Roman" w:cs="Times New Roman"/>
          <w:sz w:val="24"/>
          <w:szCs w:val="24"/>
        </w:rPr>
        <w:t>Rodal</w:t>
      </w:r>
      <w:proofErr w:type="spellEnd"/>
      <w:r w:rsidRPr="002451B6">
        <w:rPr>
          <w:rFonts w:ascii="Times New Roman" w:eastAsia="Times New Roman" w:hAnsi="Times New Roman" w:cs="Times New Roman"/>
          <w:sz w:val="24"/>
          <w:szCs w:val="24"/>
        </w:rPr>
        <w:t xml:space="preserve">, 2001). Para Gálvez e Hernández (2016), essa “violência masculina é internalizada em nossa cultura, não apenas é apresentada praticamente todos os dias na mídia, mas são raras as expressões artísticas ou culturais nas quais não é representada, interpretada, denunciada ou mesmo promovida” (p.5). No contexto em análise, entende-se, portanto, violência contra a mulher como: “Qualquer ato de violência com base no pertencimento ao sexo </w:t>
      </w:r>
      <w:r w:rsidRPr="002451B6">
        <w:rPr>
          <w:rFonts w:ascii="Times New Roman" w:eastAsia="Times New Roman" w:hAnsi="Times New Roman" w:cs="Times New Roman"/>
          <w:sz w:val="24"/>
          <w:szCs w:val="24"/>
        </w:rPr>
        <w:lastRenderedPageBreak/>
        <w:t>feminino que tenha ou possa resultar em dano ou sofrimento físico, sexual ou psicológico para a mulher, bem como ameaças de tais atos, coerção ou privação arbitrária de liberdade, ambos se ocorrerem em público tanto como na vida privada” (OEA, 1995, p. 22).</w:t>
      </w:r>
    </w:p>
    <w:p w14:paraId="6B53DCBB"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Fundamentando-se nessas reflexões, esse estudo tem como objetivo analisar </w:t>
      </w:r>
      <w:proofErr w:type="gramStart"/>
      <w:r w:rsidRPr="002451B6">
        <w:rPr>
          <w:rFonts w:ascii="Times New Roman" w:eastAsia="Times New Roman" w:hAnsi="Times New Roman" w:cs="Times New Roman"/>
          <w:sz w:val="24"/>
          <w:szCs w:val="24"/>
        </w:rPr>
        <w:t>as  justificativas</w:t>
      </w:r>
      <w:proofErr w:type="gramEnd"/>
      <w:r w:rsidRPr="002451B6">
        <w:rPr>
          <w:rFonts w:ascii="Times New Roman" w:eastAsia="Times New Roman" w:hAnsi="Times New Roman" w:cs="Times New Roman"/>
          <w:sz w:val="24"/>
          <w:szCs w:val="24"/>
        </w:rPr>
        <w:t xml:space="preserve"> das violências contra as mulheres retratadas nos seguintes filmes latino-americanos de ficção: </w:t>
      </w:r>
      <w:r w:rsidRPr="002451B6">
        <w:rPr>
          <w:rFonts w:ascii="Times New Roman" w:eastAsia="Times New Roman" w:hAnsi="Times New Roman" w:cs="Times New Roman"/>
          <w:i/>
          <w:iCs/>
          <w:sz w:val="24"/>
          <w:szCs w:val="24"/>
        </w:rPr>
        <w:t>Amores perros (</w:t>
      </w:r>
      <w:r w:rsidRPr="002451B6">
        <w:rPr>
          <w:rFonts w:ascii="Times New Roman" w:eastAsia="Times New Roman" w:hAnsi="Times New Roman" w:cs="Times New Roman"/>
          <w:sz w:val="24"/>
          <w:szCs w:val="24"/>
        </w:rPr>
        <w:t>González, México, 2000)</w:t>
      </w:r>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Cicatrices</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(Del Toro, México, 2005);</w:t>
      </w:r>
      <w:r w:rsidRPr="002451B6">
        <w:rPr>
          <w:rFonts w:ascii="Times New Roman" w:eastAsia="Times New Roman" w:hAnsi="Times New Roman" w:cs="Times New Roman"/>
          <w:i/>
          <w:iCs/>
          <w:sz w:val="24"/>
          <w:szCs w:val="24"/>
        </w:rPr>
        <w:t xml:space="preserve"> Ella y </w:t>
      </w:r>
      <w:proofErr w:type="spellStart"/>
      <w:r w:rsidRPr="002451B6">
        <w:rPr>
          <w:rFonts w:ascii="Times New Roman" w:eastAsia="Times New Roman" w:hAnsi="Times New Roman" w:cs="Times New Roman"/>
          <w:i/>
          <w:iCs/>
          <w:sz w:val="24"/>
          <w:szCs w:val="24"/>
        </w:rPr>
        <w:t>él</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(Pérez-Garland, </w:t>
      </w:r>
      <w:proofErr w:type="spellStart"/>
      <w:r w:rsidRPr="002451B6">
        <w:rPr>
          <w:rFonts w:ascii="Times New Roman" w:eastAsia="Times New Roman" w:hAnsi="Times New Roman" w:cs="Times New Roman"/>
          <w:sz w:val="24"/>
          <w:szCs w:val="24"/>
        </w:rPr>
        <w:t>Perú</w:t>
      </w:r>
      <w:proofErr w:type="spellEnd"/>
      <w:r w:rsidRPr="002451B6">
        <w:rPr>
          <w:rFonts w:ascii="Times New Roman" w:eastAsia="Times New Roman" w:hAnsi="Times New Roman" w:cs="Times New Roman"/>
          <w:sz w:val="24"/>
          <w:szCs w:val="24"/>
        </w:rPr>
        <w:t>, 2015</w:t>
      </w:r>
      <w:r w:rsidRPr="002451B6">
        <w:rPr>
          <w:rFonts w:ascii="Times New Roman" w:eastAsia="Times New Roman" w:hAnsi="Times New Roman" w:cs="Times New Roman"/>
          <w:i/>
          <w:iCs/>
          <w:sz w:val="24"/>
          <w:szCs w:val="24"/>
        </w:rPr>
        <w:t xml:space="preserve">); e Vidas partidas </w:t>
      </w:r>
      <w:r w:rsidRPr="002451B6">
        <w:rPr>
          <w:rFonts w:ascii="Times New Roman" w:eastAsia="Times New Roman" w:hAnsi="Times New Roman" w:cs="Times New Roman"/>
          <w:sz w:val="24"/>
          <w:szCs w:val="24"/>
        </w:rPr>
        <w:t>(</w:t>
      </w:r>
      <w:proofErr w:type="spellStart"/>
      <w:r w:rsidRPr="002451B6">
        <w:rPr>
          <w:rFonts w:ascii="Times New Roman" w:eastAsia="Times New Roman" w:hAnsi="Times New Roman" w:cs="Times New Roman"/>
          <w:sz w:val="24"/>
          <w:szCs w:val="24"/>
        </w:rPr>
        <w:t>Schetman</w:t>
      </w:r>
      <w:proofErr w:type="spellEnd"/>
      <w:r w:rsidRPr="002451B6">
        <w:rPr>
          <w:rFonts w:ascii="Times New Roman" w:eastAsia="Times New Roman" w:hAnsi="Times New Roman" w:cs="Times New Roman"/>
          <w:sz w:val="24"/>
          <w:szCs w:val="24"/>
        </w:rPr>
        <w:t>, Brasil, 2017).</w:t>
      </w:r>
    </w:p>
    <w:p w14:paraId="0B47ECD2" w14:textId="77777777" w:rsidR="00332C33" w:rsidRPr="002451B6" w:rsidRDefault="00000000">
      <w:pPr>
        <w:spacing w:before="240" w:after="24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Estratégias de análise de narrativas audiovisuais no cinema latino-americano</w:t>
      </w:r>
    </w:p>
    <w:p w14:paraId="6154E391"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Orientada pela perspectiva da pesquisa documental com abordagem qualitativa, a</w:t>
      </w:r>
      <w:r w:rsidRPr="002451B6">
        <w:rPr>
          <w:rFonts w:ascii="Times New Roman" w:eastAsia="Times New Roman" w:hAnsi="Times New Roman" w:cs="Times New Roman"/>
          <w:sz w:val="24"/>
          <w:szCs w:val="24"/>
          <w:highlight w:val="white"/>
        </w:rPr>
        <w:t xml:space="preserve"> seleção dos filmes foi feita em sites de cinema, quais sejam: </w:t>
      </w:r>
      <w:proofErr w:type="spellStart"/>
      <w:r w:rsidRPr="002451B6">
        <w:rPr>
          <w:rFonts w:ascii="Times New Roman" w:eastAsia="Times New Roman" w:hAnsi="Times New Roman" w:cs="Times New Roman"/>
          <w:sz w:val="24"/>
          <w:szCs w:val="24"/>
        </w:rPr>
        <w:t>Filmaffinity</w:t>
      </w:r>
      <w:proofErr w:type="spellEnd"/>
      <w:r w:rsidRPr="002451B6">
        <w:rPr>
          <w:rFonts w:ascii="Times New Roman" w:eastAsia="Times New Roman" w:hAnsi="Times New Roman" w:cs="Times New Roman"/>
          <w:sz w:val="24"/>
          <w:szCs w:val="24"/>
        </w:rPr>
        <w:t xml:space="preserve">, La butaca.com, Retina Latina, Cinema 10, </w:t>
      </w:r>
      <w:proofErr w:type="spellStart"/>
      <w:r w:rsidRPr="002451B6">
        <w:rPr>
          <w:rFonts w:ascii="Times New Roman" w:eastAsia="Times New Roman" w:hAnsi="Times New Roman" w:cs="Times New Roman"/>
          <w:sz w:val="24"/>
          <w:szCs w:val="24"/>
        </w:rPr>
        <w:t>AdoroCinema</w:t>
      </w:r>
      <w:proofErr w:type="spellEnd"/>
      <w:r w:rsidRPr="002451B6">
        <w:rPr>
          <w:rFonts w:ascii="Times New Roman" w:eastAsia="Times New Roman" w:hAnsi="Times New Roman" w:cs="Times New Roman"/>
          <w:sz w:val="24"/>
          <w:szCs w:val="24"/>
        </w:rPr>
        <w:t>, e Netflix. Foram observados filmes de diferentes países latino-americanos que cumpriam os seguintes critérios: ano de produção dos filmes entre 2000 e 2020; gênero cinematográfico de ficção-drama; e tema central a violência contra a mulher nos relacionamentos românticos.  Foi feita a leitura das fichas técnicas, revisão e leitura de sinopses de filmes, e foram assistidos os trailers e os filmes completos para seleção e análise do material.</w:t>
      </w:r>
    </w:p>
    <w:p w14:paraId="10AB231F"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análise dos filmes foi feita pela análise temática, como proposta por Braun e Clarke (2006), método que permite analisar as narrativas de forma dinâmica e flexível; ou seja, com caráter dialógico, envolvendo um constante ir e vir no material produzido/analisado</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(Da Silva &amp; Borges, 2017).</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Foram considerados, ainda, os aportes sobre análise fílmica proposta por </w:t>
      </w:r>
      <w:proofErr w:type="spellStart"/>
      <w:r w:rsidRPr="002451B6">
        <w:rPr>
          <w:rFonts w:ascii="Times New Roman" w:eastAsia="Times New Roman" w:hAnsi="Times New Roman" w:cs="Times New Roman"/>
          <w:sz w:val="24"/>
          <w:szCs w:val="24"/>
        </w:rPr>
        <w:t>Cassetti</w:t>
      </w:r>
      <w:proofErr w:type="spellEnd"/>
      <w:r w:rsidRPr="002451B6">
        <w:rPr>
          <w:rFonts w:ascii="Times New Roman" w:eastAsia="Times New Roman" w:hAnsi="Times New Roman" w:cs="Times New Roman"/>
          <w:sz w:val="24"/>
          <w:szCs w:val="24"/>
        </w:rPr>
        <w:t xml:space="preserve"> (1990) e Zavala (2011), que concordam que, para realizar as análises fílmicas, é preciso decompor e agrupar os diferentes elementos que compõem as narrativas dos filmes. Igualmente, os aportes das teóricas críticas fílmicas feministas Kuhn (1991), De </w:t>
      </w:r>
      <w:proofErr w:type="spellStart"/>
      <w:r w:rsidRPr="002451B6">
        <w:rPr>
          <w:rFonts w:ascii="Times New Roman" w:eastAsia="Times New Roman" w:hAnsi="Times New Roman" w:cs="Times New Roman"/>
          <w:sz w:val="24"/>
          <w:szCs w:val="24"/>
        </w:rPr>
        <w:t>Lauretis</w:t>
      </w:r>
      <w:proofErr w:type="spellEnd"/>
      <w:r w:rsidRPr="002451B6">
        <w:rPr>
          <w:rFonts w:ascii="Times New Roman" w:eastAsia="Times New Roman" w:hAnsi="Times New Roman" w:cs="Times New Roman"/>
          <w:sz w:val="24"/>
          <w:szCs w:val="24"/>
        </w:rPr>
        <w:t xml:space="preserve"> (1992) e </w:t>
      </w:r>
      <w:proofErr w:type="spellStart"/>
      <w:r w:rsidRPr="002451B6">
        <w:rPr>
          <w:rFonts w:ascii="Times New Roman" w:eastAsia="Times New Roman" w:hAnsi="Times New Roman" w:cs="Times New Roman"/>
          <w:sz w:val="24"/>
          <w:szCs w:val="24"/>
        </w:rPr>
        <w:t>Mulvey</w:t>
      </w:r>
      <w:proofErr w:type="spellEnd"/>
      <w:r w:rsidRPr="002451B6">
        <w:rPr>
          <w:rFonts w:ascii="Times New Roman" w:eastAsia="Times New Roman" w:hAnsi="Times New Roman" w:cs="Times New Roman"/>
          <w:sz w:val="24"/>
          <w:szCs w:val="24"/>
        </w:rPr>
        <w:t xml:space="preserve"> (1988) foram utilizados como recurso analítico. </w:t>
      </w:r>
    </w:p>
    <w:p w14:paraId="106F0FE4"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 a análise, foram observadas as seguintes dimensões: (1) no primeiro nível, as manifestações de violências explícitas; (2) no segundo nível, as manifestações de violência sutil e psicológica; e (3) num terceiro nível de análise, as justificativas para a violência sofrida/praticada e sua dinâmica entre os universos masculino e feminino, a fim de compreender sua prevalência e manutenção. No que se refere ao material de análise, foram selecionados para este trabalho quatro filmes de ficção do cinema comercial latino-americano contemporâneo do gênero dramático, os quais têm como enredo principal a violência contra a mulher, pelo parceiro íntimo nos relacionamentos românticos. São eles: </w:t>
      </w:r>
      <w:r w:rsidRPr="002451B6">
        <w:rPr>
          <w:rFonts w:ascii="Times New Roman" w:eastAsia="Times New Roman" w:hAnsi="Times New Roman" w:cs="Times New Roman"/>
          <w:i/>
          <w:iCs/>
          <w:sz w:val="24"/>
          <w:szCs w:val="24"/>
        </w:rPr>
        <w:t xml:space="preserve">Amores perros </w:t>
      </w:r>
      <w:r w:rsidRPr="002451B6">
        <w:rPr>
          <w:rFonts w:ascii="Times New Roman" w:eastAsia="Times New Roman" w:hAnsi="Times New Roman" w:cs="Times New Roman"/>
          <w:sz w:val="24"/>
          <w:szCs w:val="24"/>
        </w:rPr>
        <w:t>(González, México, 2000);</w:t>
      </w:r>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lastRenderedPageBreak/>
        <w:t>Cicatrices</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(Del Toro, México, 2005)</w:t>
      </w:r>
      <w:r w:rsidRPr="002451B6">
        <w:rPr>
          <w:rFonts w:ascii="Times New Roman" w:eastAsia="Times New Roman" w:hAnsi="Times New Roman" w:cs="Times New Roman"/>
          <w:i/>
          <w:iCs/>
          <w:sz w:val="24"/>
          <w:szCs w:val="24"/>
        </w:rPr>
        <w:t xml:space="preserve">; Ella y </w:t>
      </w:r>
      <w:proofErr w:type="spellStart"/>
      <w:r w:rsidRPr="002451B6">
        <w:rPr>
          <w:rFonts w:ascii="Times New Roman" w:eastAsia="Times New Roman" w:hAnsi="Times New Roman" w:cs="Times New Roman"/>
          <w:i/>
          <w:iCs/>
          <w:sz w:val="24"/>
          <w:szCs w:val="24"/>
        </w:rPr>
        <w:t>él</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(Pérez-Garland, </w:t>
      </w:r>
      <w:proofErr w:type="spellStart"/>
      <w:r w:rsidRPr="002451B6">
        <w:rPr>
          <w:rFonts w:ascii="Times New Roman" w:eastAsia="Times New Roman" w:hAnsi="Times New Roman" w:cs="Times New Roman"/>
          <w:sz w:val="24"/>
          <w:szCs w:val="24"/>
        </w:rPr>
        <w:t>Perú</w:t>
      </w:r>
      <w:proofErr w:type="spellEnd"/>
      <w:r w:rsidRPr="002451B6">
        <w:rPr>
          <w:rFonts w:ascii="Times New Roman" w:eastAsia="Times New Roman" w:hAnsi="Times New Roman" w:cs="Times New Roman"/>
          <w:sz w:val="24"/>
          <w:szCs w:val="24"/>
        </w:rPr>
        <w:t>, 2015)</w:t>
      </w:r>
      <w:r w:rsidRPr="002451B6">
        <w:rPr>
          <w:rFonts w:ascii="Times New Roman" w:eastAsia="Times New Roman" w:hAnsi="Times New Roman" w:cs="Times New Roman"/>
          <w:i/>
          <w:iCs/>
          <w:sz w:val="24"/>
          <w:szCs w:val="24"/>
        </w:rPr>
        <w:t>; e Vidas partidas</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Schetman</w:t>
      </w:r>
      <w:proofErr w:type="spellEnd"/>
      <w:r w:rsidRPr="002451B6">
        <w:rPr>
          <w:rFonts w:ascii="Times New Roman" w:eastAsia="Times New Roman" w:hAnsi="Times New Roman" w:cs="Times New Roman"/>
          <w:sz w:val="24"/>
          <w:szCs w:val="24"/>
        </w:rPr>
        <w:t>, Brasil, 2017).</w:t>
      </w:r>
    </w:p>
    <w:p w14:paraId="0FC15714"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t xml:space="preserve">Tabela 1. </w:t>
      </w:r>
      <w:r w:rsidRPr="002451B6">
        <w:rPr>
          <w:rFonts w:ascii="Times New Roman" w:eastAsia="Times New Roman" w:hAnsi="Times New Roman" w:cs="Times New Roman"/>
          <w:i/>
          <w:iCs/>
          <w:sz w:val="24"/>
          <w:szCs w:val="24"/>
        </w:rPr>
        <w:t>Informações gerais sobre os filmes analisados</w:t>
      </w:r>
    </w:p>
    <w:tbl>
      <w:tblPr>
        <w:tblStyle w:val="a"/>
        <w:tblW w:w="89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45"/>
        <w:gridCol w:w="720"/>
        <w:gridCol w:w="930"/>
        <w:gridCol w:w="945"/>
        <w:gridCol w:w="1515"/>
        <w:gridCol w:w="1710"/>
        <w:gridCol w:w="1860"/>
      </w:tblGrid>
      <w:tr w:rsidR="002451B6" w:rsidRPr="002451B6" w14:paraId="7D47D4E9" w14:textId="77777777">
        <w:trPr>
          <w:trHeight w:val="690"/>
        </w:trPr>
        <w:tc>
          <w:tcPr>
            <w:tcW w:w="1245" w:type="dxa"/>
            <w:tcBorders>
              <w:top w:val="single" w:sz="8" w:space="0" w:color="000000"/>
              <w:left w:val="nil"/>
              <w:bottom w:val="single" w:sz="8" w:space="0" w:color="000000"/>
              <w:right w:val="nil"/>
            </w:tcBorders>
            <w:tcMar>
              <w:top w:w="100" w:type="dxa"/>
              <w:left w:w="100" w:type="dxa"/>
              <w:bottom w:w="100" w:type="dxa"/>
              <w:right w:w="100" w:type="dxa"/>
            </w:tcMar>
          </w:tcPr>
          <w:p w14:paraId="0736450E"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Filme</w:t>
            </w:r>
          </w:p>
        </w:tc>
        <w:tc>
          <w:tcPr>
            <w:tcW w:w="720" w:type="dxa"/>
            <w:tcBorders>
              <w:top w:val="single" w:sz="8" w:space="0" w:color="000000"/>
              <w:left w:val="nil"/>
              <w:bottom w:val="single" w:sz="8" w:space="0" w:color="000000"/>
              <w:right w:val="nil"/>
            </w:tcBorders>
            <w:tcMar>
              <w:top w:w="100" w:type="dxa"/>
              <w:left w:w="100" w:type="dxa"/>
              <w:bottom w:w="100" w:type="dxa"/>
              <w:right w:w="100" w:type="dxa"/>
            </w:tcMar>
          </w:tcPr>
          <w:p w14:paraId="4803D2B2"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Ano</w:t>
            </w:r>
          </w:p>
        </w:tc>
        <w:tc>
          <w:tcPr>
            <w:tcW w:w="930" w:type="dxa"/>
            <w:tcBorders>
              <w:top w:val="single" w:sz="8" w:space="0" w:color="000000"/>
              <w:left w:val="nil"/>
              <w:bottom w:val="single" w:sz="8" w:space="0" w:color="000000"/>
              <w:right w:val="nil"/>
            </w:tcBorders>
            <w:tcMar>
              <w:top w:w="100" w:type="dxa"/>
              <w:left w:w="100" w:type="dxa"/>
              <w:bottom w:w="100" w:type="dxa"/>
              <w:right w:w="100" w:type="dxa"/>
            </w:tcMar>
          </w:tcPr>
          <w:p w14:paraId="55B6E1BC"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País</w:t>
            </w:r>
          </w:p>
        </w:tc>
        <w:tc>
          <w:tcPr>
            <w:tcW w:w="945" w:type="dxa"/>
            <w:tcBorders>
              <w:top w:val="single" w:sz="8" w:space="0" w:color="000000"/>
              <w:left w:val="nil"/>
              <w:bottom w:val="single" w:sz="8" w:space="0" w:color="000000"/>
              <w:right w:val="nil"/>
            </w:tcBorders>
            <w:tcMar>
              <w:top w:w="100" w:type="dxa"/>
              <w:left w:w="100" w:type="dxa"/>
              <w:bottom w:w="100" w:type="dxa"/>
              <w:right w:w="100" w:type="dxa"/>
            </w:tcMar>
          </w:tcPr>
          <w:p w14:paraId="63FED8CA"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Género</w:t>
            </w:r>
          </w:p>
        </w:tc>
        <w:tc>
          <w:tcPr>
            <w:tcW w:w="1515" w:type="dxa"/>
            <w:tcBorders>
              <w:top w:val="single" w:sz="8" w:space="0" w:color="000000"/>
              <w:left w:val="nil"/>
              <w:bottom w:val="single" w:sz="8" w:space="0" w:color="000000"/>
              <w:right w:val="nil"/>
            </w:tcBorders>
            <w:tcMar>
              <w:top w:w="100" w:type="dxa"/>
              <w:left w:w="100" w:type="dxa"/>
              <w:bottom w:w="100" w:type="dxa"/>
              <w:right w:w="100" w:type="dxa"/>
            </w:tcMar>
          </w:tcPr>
          <w:p w14:paraId="42CFA203"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Diretor/a</w:t>
            </w:r>
          </w:p>
        </w:tc>
        <w:tc>
          <w:tcPr>
            <w:tcW w:w="1710" w:type="dxa"/>
            <w:tcBorders>
              <w:top w:val="single" w:sz="8" w:space="0" w:color="000000"/>
              <w:left w:val="nil"/>
              <w:bottom w:val="single" w:sz="8" w:space="0" w:color="000000"/>
              <w:right w:val="nil"/>
            </w:tcBorders>
            <w:tcMar>
              <w:top w:w="100" w:type="dxa"/>
              <w:left w:w="100" w:type="dxa"/>
              <w:bottom w:w="100" w:type="dxa"/>
              <w:right w:w="100" w:type="dxa"/>
            </w:tcMar>
          </w:tcPr>
          <w:p w14:paraId="328724C2" w14:textId="77777777" w:rsidR="00332C33" w:rsidRPr="002451B6" w:rsidRDefault="00000000">
            <w:pPr>
              <w:spacing w:before="240" w:after="240"/>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Produtor/a</w:t>
            </w:r>
          </w:p>
        </w:tc>
        <w:tc>
          <w:tcPr>
            <w:tcW w:w="1860" w:type="dxa"/>
            <w:tcBorders>
              <w:top w:val="single" w:sz="8" w:space="0" w:color="000000"/>
              <w:left w:val="nil"/>
              <w:bottom w:val="single" w:sz="8" w:space="0" w:color="000000"/>
              <w:right w:val="nil"/>
            </w:tcBorders>
            <w:tcMar>
              <w:top w:w="100" w:type="dxa"/>
              <w:left w:w="100" w:type="dxa"/>
              <w:bottom w:w="100" w:type="dxa"/>
              <w:right w:w="100" w:type="dxa"/>
            </w:tcMar>
          </w:tcPr>
          <w:p w14:paraId="0599EDE3" w14:textId="77777777" w:rsidR="00332C33" w:rsidRPr="002451B6" w:rsidRDefault="00000000">
            <w:pPr>
              <w:spacing w:before="240" w:after="240"/>
              <w:rPr>
                <w:rFonts w:ascii="Times New Roman" w:eastAsia="Times New Roman" w:hAnsi="Times New Roman" w:cs="Times New Roman"/>
                <w:b/>
                <w:bCs/>
                <w:sz w:val="20"/>
                <w:szCs w:val="20"/>
              </w:rPr>
            </w:pPr>
            <w:proofErr w:type="spellStart"/>
            <w:r w:rsidRPr="002451B6">
              <w:rPr>
                <w:rFonts w:ascii="Times New Roman" w:eastAsia="Times New Roman" w:hAnsi="Times New Roman" w:cs="Times New Roman"/>
                <w:b/>
                <w:bCs/>
                <w:sz w:val="20"/>
                <w:szCs w:val="20"/>
              </w:rPr>
              <w:t>Roterista</w:t>
            </w:r>
            <w:proofErr w:type="spellEnd"/>
          </w:p>
        </w:tc>
      </w:tr>
      <w:tr w:rsidR="002451B6" w:rsidRPr="002451B6" w14:paraId="2999D76F" w14:textId="77777777">
        <w:trPr>
          <w:trHeight w:val="1155"/>
        </w:trPr>
        <w:tc>
          <w:tcPr>
            <w:tcW w:w="1245" w:type="dxa"/>
            <w:tcBorders>
              <w:top w:val="nil"/>
              <w:left w:val="nil"/>
              <w:bottom w:val="single" w:sz="8" w:space="0" w:color="000000"/>
              <w:right w:val="nil"/>
            </w:tcBorders>
            <w:tcMar>
              <w:top w:w="100" w:type="dxa"/>
              <w:left w:w="100" w:type="dxa"/>
              <w:bottom w:w="100" w:type="dxa"/>
              <w:right w:w="100" w:type="dxa"/>
            </w:tcMar>
          </w:tcPr>
          <w:p w14:paraId="47BFD85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Amores perros</w:t>
            </w:r>
          </w:p>
        </w:tc>
        <w:tc>
          <w:tcPr>
            <w:tcW w:w="720" w:type="dxa"/>
            <w:tcBorders>
              <w:top w:val="nil"/>
              <w:left w:val="nil"/>
              <w:bottom w:val="single" w:sz="8" w:space="0" w:color="000000"/>
              <w:right w:val="nil"/>
            </w:tcBorders>
            <w:tcMar>
              <w:top w:w="100" w:type="dxa"/>
              <w:left w:w="100" w:type="dxa"/>
              <w:bottom w:w="100" w:type="dxa"/>
              <w:right w:w="100" w:type="dxa"/>
            </w:tcMar>
          </w:tcPr>
          <w:p w14:paraId="25DC7361"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2000</w:t>
            </w:r>
          </w:p>
        </w:tc>
        <w:tc>
          <w:tcPr>
            <w:tcW w:w="930" w:type="dxa"/>
            <w:tcBorders>
              <w:top w:val="nil"/>
              <w:left w:val="nil"/>
              <w:bottom w:val="single" w:sz="8" w:space="0" w:color="000000"/>
              <w:right w:val="nil"/>
            </w:tcBorders>
            <w:tcMar>
              <w:top w:w="100" w:type="dxa"/>
              <w:left w:w="100" w:type="dxa"/>
              <w:bottom w:w="100" w:type="dxa"/>
              <w:right w:w="100" w:type="dxa"/>
            </w:tcMar>
          </w:tcPr>
          <w:p w14:paraId="154312ED"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México</w:t>
            </w:r>
          </w:p>
        </w:tc>
        <w:tc>
          <w:tcPr>
            <w:tcW w:w="945" w:type="dxa"/>
            <w:tcBorders>
              <w:top w:val="nil"/>
              <w:left w:val="nil"/>
              <w:bottom w:val="single" w:sz="8" w:space="0" w:color="000000"/>
              <w:right w:val="nil"/>
            </w:tcBorders>
            <w:tcMar>
              <w:top w:w="100" w:type="dxa"/>
              <w:left w:w="100" w:type="dxa"/>
              <w:bottom w:w="100" w:type="dxa"/>
              <w:right w:w="100" w:type="dxa"/>
            </w:tcMar>
          </w:tcPr>
          <w:p w14:paraId="4939DAE6"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Drama</w:t>
            </w:r>
          </w:p>
        </w:tc>
        <w:tc>
          <w:tcPr>
            <w:tcW w:w="1515" w:type="dxa"/>
            <w:tcBorders>
              <w:top w:val="nil"/>
              <w:left w:val="nil"/>
              <w:bottom w:val="single" w:sz="8" w:space="0" w:color="000000"/>
              <w:right w:val="nil"/>
            </w:tcBorders>
            <w:tcMar>
              <w:top w:w="100" w:type="dxa"/>
              <w:left w:w="100" w:type="dxa"/>
              <w:bottom w:w="100" w:type="dxa"/>
              <w:right w:w="100" w:type="dxa"/>
            </w:tcMar>
          </w:tcPr>
          <w:p w14:paraId="4B8F8A5D"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Alejandro González </w:t>
            </w:r>
            <w:proofErr w:type="spellStart"/>
            <w:r w:rsidRPr="002451B6">
              <w:rPr>
                <w:rFonts w:ascii="Times New Roman" w:eastAsia="Times New Roman" w:hAnsi="Times New Roman" w:cs="Times New Roman"/>
                <w:sz w:val="20"/>
                <w:szCs w:val="20"/>
              </w:rPr>
              <w:t>Iñárritu</w:t>
            </w:r>
            <w:proofErr w:type="spellEnd"/>
          </w:p>
        </w:tc>
        <w:tc>
          <w:tcPr>
            <w:tcW w:w="1710" w:type="dxa"/>
            <w:tcBorders>
              <w:top w:val="nil"/>
              <w:left w:val="nil"/>
              <w:bottom w:val="single" w:sz="8" w:space="0" w:color="000000"/>
              <w:right w:val="nil"/>
            </w:tcBorders>
            <w:tcMar>
              <w:top w:w="100" w:type="dxa"/>
              <w:left w:w="100" w:type="dxa"/>
              <w:bottom w:w="100" w:type="dxa"/>
              <w:right w:w="100" w:type="dxa"/>
            </w:tcMar>
          </w:tcPr>
          <w:p w14:paraId="5CBBDF56"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Altavista/Zeta Films</w:t>
            </w:r>
          </w:p>
        </w:tc>
        <w:tc>
          <w:tcPr>
            <w:tcW w:w="1860" w:type="dxa"/>
            <w:tcBorders>
              <w:top w:val="nil"/>
              <w:left w:val="nil"/>
              <w:bottom w:val="single" w:sz="8" w:space="0" w:color="000000"/>
              <w:right w:val="nil"/>
            </w:tcBorders>
            <w:tcMar>
              <w:top w:w="100" w:type="dxa"/>
              <w:left w:w="100" w:type="dxa"/>
              <w:bottom w:w="100" w:type="dxa"/>
              <w:right w:w="100" w:type="dxa"/>
            </w:tcMar>
          </w:tcPr>
          <w:p w14:paraId="2E73C002" w14:textId="77777777" w:rsidR="00332C33" w:rsidRPr="002451B6" w:rsidRDefault="00000000">
            <w:pPr>
              <w:spacing w:before="240" w:after="240"/>
              <w:ind w:right="8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Guillermo Arriaga</w:t>
            </w:r>
          </w:p>
        </w:tc>
      </w:tr>
      <w:tr w:rsidR="002451B6" w:rsidRPr="002451B6" w14:paraId="5A494CF9" w14:textId="77777777">
        <w:trPr>
          <w:trHeight w:val="1155"/>
        </w:trPr>
        <w:tc>
          <w:tcPr>
            <w:tcW w:w="1245" w:type="dxa"/>
            <w:tcBorders>
              <w:top w:val="nil"/>
              <w:left w:val="nil"/>
              <w:bottom w:val="single" w:sz="8" w:space="0" w:color="000000"/>
              <w:right w:val="nil"/>
            </w:tcBorders>
            <w:tcMar>
              <w:top w:w="100" w:type="dxa"/>
              <w:left w:w="100" w:type="dxa"/>
              <w:bottom w:w="100" w:type="dxa"/>
              <w:right w:w="100" w:type="dxa"/>
            </w:tcMar>
          </w:tcPr>
          <w:p w14:paraId="0DEA747A"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Ella y </w:t>
            </w:r>
            <w:proofErr w:type="spellStart"/>
            <w:r w:rsidRPr="002451B6">
              <w:rPr>
                <w:rFonts w:ascii="Times New Roman" w:eastAsia="Times New Roman" w:hAnsi="Times New Roman" w:cs="Times New Roman"/>
                <w:sz w:val="20"/>
                <w:szCs w:val="20"/>
              </w:rPr>
              <w:t>él</w:t>
            </w:r>
            <w:proofErr w:type="spellEnd"/>
          </w:p>
        </w:tc>
        <w:tc>
          <w:tcPr>
            <w:tcW w:w="720" w:type="dxa"/>
            <w:tcBorders>
              <w:top w:val="nil"/>
              <w:left w:val="nil"/>
              <w:bottom w:val="single" w:sz="8" w:space="0" w:color="000000"/>
              <w:right w:val="nil"/>
            </w:tcBorders>
            <w:tcMar>
              <w:top w:w="100" w:type="dxa"/>
              <w:left w:w="100" w:type="dxa"/>
              <w:bottom w:w="100" w:type="dxa"/>
              <w:right w:w="100" w:type="dxa"/>
            </w:tcMar>
          </w:tcPr>
          <w:p w14:paraId="768313C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2015</w:t>
            </w:r>
          </w:p>
        </w:tc>
        <w:tc>
          <w:tcPr>
            <w:tcW w:w="930" w:type="dxa"/>
            <w:tcBorders>
              <w:top w:val="nil"/>
              <w:left w:val="nil"/>
              <w:bottom w:val="single" w:sz="8" w:space="0" w:color="000000"/>
              <w:right w:val="nil"/>
            </w:tcBorders>
            <w:tcMar>
              <w:top w:w="100" w:type="dxa"/>
              <w:left w:w="100" w:type="dxa"/>
              <w:bottom w:w="100" w:type="dxa"/>
              <w:right w:w="100" w:type="dxa"/>
            </w:tcMar>
          </w:tcPr>
          <w:p w14:paraId="1D9BBB7A"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Peru</w:t>
            </w:r>
          </w:p>
        </w:tc>
        <w:tc>
          <w:tcPr>
            <w:tcW w:w="945" w:type="dxa"/>
            <w:tcBorders>
              <w:top w:val="nil"/>
              <w:left w:val="nil"/>
              <w:bottom w:val="single" w:sz="8" w:space="0" w:color="000000"/>
              <w:right w:val="nil"/>
            </w:tcBorders>
            <w:tcMar>
              <w:top w:w="100" w:type="dxa"/>
              <w:left w:w="100" w:type="dxa"/>
              <w:bottom w:w="100" w:type="dxa"/>
              <w:right w:w="100" w:type="dxa"/>
            </w:tcMar>
          </w:tcPr>
          <w:p w14:paraId="7A73F1B0"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Drama</w:t>
            </w:r>
          </w:p>
        </w:tc>
        <w:tc>
          <w:tcPr>
            <w:tcW w:w="1515" w:type="dxa"/>
            <w:tcBorders>
              <w:top w:val="nil"/>
              <w:left w:val="nil"/>
              <w:bottom w:val="single" w:sz="8" w:space="0" w:color="000000"/>
              <w:right w:val="nil"/>
            </w:tcBorders>
            <w:tcMar>
              <w:top w:w="100" w:type="dxa"/>
              <w:left w:w="100" w:type="dxa"/>
              <w:bottom w:w="100" w:type="dxa"/>
              <w:right w:w="100" w:type="dxa"/>
            </w:tcMar>
          </w:tcPr>
          <w:p w14:paraId="4D0BD9E2" w14:textId="77777777" w:rsidR="00332C33" w:rsidRPr="002451B6" w:rsidRDefault="00332C33">
            <w:pPr>
              <w:spacing w:before="240" w:after="240"/>
              <w:rPr>
                <w:rFonts w:ascii="Times New Roman" w:eastAsia="Times New Roman" w:hAnsi="Times New Roman" w:cs="Times New Roman"/>
                <w:sz w:val="20"/>
                <w:szCs w:val="20"/>
                <w:highlight w:val="white"/>
              </w:rPr>
            </w:pPr>
            <w:hyperlink r:id="rId60">
              <w:r w:rsidRPr="002451B6">
                <w:rPr>
                  <w:rFonts w:ascii="Times New Roman" w:eastAsia="Times New Roman" w:hAnsi="Times New Roman" w:cs="Times New Roman"/>
                  <w:sz w:val="20"/>
                  <w:szCs w:val="20"/>
                  <w:highlight w:val="white"/>
                </w:rPr>
                <w:t>Frank Pérez-Garland</w:t>
              </w:r>
            </w:hyperlink>
          </w:p>
        </w:tc>
        <w:tc>
          <w:tcPr>
            <w:tcW w:w="1710" w:type="dxa"/>
            <w:tcBorders>
              <w:top w:val="nil"/>
              <w:left w:val="nil"/>
              <w:bottom w:val="single" w:sz="8" w:space="0" w:color="000000"/>
              <w:right w:val="nil"/>
            </w:tcBorders>
            <w:tcMar>
              <w:top w:w="100" w:type="dxa"/>
              <w:left w:w="100" w:type="dxa"/>
              <w:bottom w:w="100" w:type="dxa"/>
              <w:right w:w="100" w:type="dxa"/>
            </w:tcMar>
          </w:tcPr>
          <w:p w14:paraId="5AB29123"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 xml:space="preserve">La Soga / Elefante </w:t>
            </w:r>
            <w:proofErr w:type="spellStart"/>
            <w:r w:rsidRPr="002451B6">
              <w:rPr>
                <w:rFonts w:ascii="Times New Roman" w:eastAsia="Times New Roman" w:hAnsi="Times New Roman" w:cs="Times New Roman"/>
                <w:sz w:val="20"/>
                <w:szCs w:val="20"/>
                <w:highlight w:val="white"/>
              </w:rPr>
              <w:t>Miope</w:t>
            </w:r>
            <w:proofErr w:type="spellEnd"/>
          </w:p>
        </w:tc>
        <w:tc>
          <w:tcPr>
            <w:tcW w:w="1860" w:type="dxa"/>
            <w:tcBorders>
              <w:top w:val="nil"/>
              <w:left w:val="nil"/>
              <w:bottom w:val="single" w:sz="8" w:space="0" w:color="000000"/>
              <w:right w:val="nil"/>
            </w:tcBorders>
            <w:tcMar>
              <w:top w:w="100" w:type="dxa"/>
              <w:left w:w="100" w:type="dxa"/>
              <w:bottom w:w="100" w:type="dxa"/>
              <w:right w:w="100" w:type="dxa"/>
            </w:tcMar>
          </w:tcPr>
          <w:p w14:paraId="0F76C3FC"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Vanessa Saba e Frank Pérez-Garland</w:t>
            </w:r>
          </w:p>
        </w:tc>
      </w:tr>
      <w:tr w:rsidR="002451B6" w:rsidRPr="002451B6" w14:paraId="14FB5508" w14:textId="77777777">
        <w:trPr>
          <w:trHeight w:val="1155"/>
        </w:trPr>
        <w:tc>
          <w:tcPr>
            <w:tcW w:w="1245" w:type="dxa"/>
            <w:tcBorders>
              <w:top w:val="nil"/>
              <w:left w:val="nil"/>
              <w:bottom w:val="single" w:sz="8" w:space="0" w:color="000000"/>
              <w:right w:val="nil"/>
            </w:tcBorders>
            <w:tcMar>
              <w:top w:w="100" w:type="dxa"/>
              <w:left w:w="100" w:type="dxa"/>
              <w:bottom w:w="100" w:type="dxa"/>
              <w:right w:w="100" w:type="dxa"/>
            </w:tcMar>
          </w:tcPr>
          <w:p w14:paraId="491ACFA9" w14:textId="77777777" w:rsidR="00332C33" w:rsidRPr="002451B6" w:rsidRDefault="00000000">
            <w:pPr>
              <w:spacing w:before="240" w:after="240"/>
              <w:rPr>
                <w:rFonts w:ascii="Times New Roman" w:eastAsia="Times New Roman" w:hAnsi="Times New Roman" w:cs="Times New Roman"/>
                <w:sz w:val="20"/>
                <w:szCs w:val="20"/>
              </w:rPr>
            </w:pPr>
            <w:proofErr w:type="spellStart"/>
            <w:r w:rsidRPr="002451B6">
              <w:rPr>
                <w:rFonts w:ascii="Times New Roman" w:eastAsia="Times New Roman" w:hAnsi="Times New Roman" w:cs="Times New Roman"/>
                <w:sz w:val="20"/>
                <w:szCs w:val="20"/>
              </w:rPr>
              <w:t>Cicatrices</w:t>
            </w:r>
            <w:proofErr w:type="spellEnd"/>
          </w:p>
        </w:tc>
        <w:tc>
          <w:tcPr>
            <w:tcW w:w="720" w:type="dxa"/>
            <w:tcBorders>
              <w:top w:val="nil"/>
              <w:left w:val="nil"/>
              <w:bottom w:val="single" w:sz="8" w:space="0" w:color="000000"/>
              <w:right w:val="nil"/>
            </w:tcBorders>
            <w:tcMar>
              <w:top w:w="100" w:type="dxa"/>
              <w:left w:w="100" w:type="dxa"/>
              <w:bottom w:w="100" w:type="dxa"/>
              <w:right w:w="100" w:type="dxa"/>
            </w:tcMar>
          </w:tcPr>
          <w:p w14:paraId="249D731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2005</w:t>
            </w:r>
          </w:p>
        </w:tc>
        <w:tc>
          <w:tcPr>
            <w:tcW w:w="930" w:type="dxa"/>
            <w:tcBorders>
              <w:top w:val="nil"/>
              <w:left w:val="nil"/>
              <w:bottom w:val="single" w:sz="8" w:space="0" w:color="000000"/>
              <w:right w:val="nil"/>
            </w:tcBorders>
            <w:tcMar>
              <w:top w:w="100" w:type="dxa"/>
              <w:left w:w="100" w:type="dxa"/>
              <w:bottom w:w="100" w:type="dxa"/>
              <w:right w:w="100" w:type="dxa"/>
            </w:tcMar>
          </w:tcPr>
          <w:p w14:paraId="47560EE1"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México</w:t>
            </w:r>
          </w:p>
        </w:tc>
        <w:tc>
          <w:tcPr>
            <w:tcW w:w="945" w:type="dxa"/>
            <w:tcBorders>
              <w:top w:val="nil"/>
              <w:left w:val="nil"/>
              <w:bottom w:val="single" w:sz="8" w:space="0" w:color="000000"/>
              <w:right w:val="nil"/>
            </w:tcBorders>
            <w:tcMar>
              <w:top w:w="100" w:type="dxa"/>
              <w:left w:w="100" w:type="dxa"/>
              <w:bottom w:w="100" w:type="dxa"/>
              <w:right w:w="100" w:type="dxa"/>
            </w:tcMar>
          </w:tcPr>
          <w:p w14:paraId="4B85A46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Drama</w:t>
            </w:r>
          </w:p>
        </w:tc>
        <w:tc>
          <w:tcPr>
            <w:tcW w:w="1515" w:type="dxa"/>
            <w:tcBorders>
              <w:top w:val="nil"/>
              <w:left w:val="nil"/>
              <w:bottom w:val="single" w:sz="8" w:space="0" w:color="000000"/>
              <w:right w:val="nil"/>
            </w:tcBorders>
            <w:tcMar>
              <w:top w:w="100" w:type="dxa"/>
              <w:left w:w="100" w:type="dxa"/>
              <w:bottom w:w="100" w:type="dxa"/>
              <w:right w:w="100" w:type="dxa"/>
            </w:tcMar>
          </w:tcPr>
          <w:p w14:paraId="6101EFDE" w14:textId="77777777" w:rsidR="00332C33" w:rsidRPr="002451B6" w:rsidRDefault="00332C33">
            <w:pPr>
              <w:spacing w:before="240" w:after="240"/>
              <w:rPr>
                <w:rFonts w:ascii="Times New Roman" w:eastAsia="Times New Roman" w:hAnsi="Times New Roman" w:cs="Times New Roman"/>
                <w:sz w:val="20"/>
                <w:szCs w:val="20"/>
                <w:highlight w:val="white"/>
              </w:rPr>
            </w:pPr>
            <w:hyperlink r:id="rId61">
              <w:r w:rsidRPr="002451B6">
                <w:rPr>
                  <w:rFonts w:ascii="Times New Roman" w:eastAsia="Times New Roman" w:hAnsi="Times New Roman" w:cs="Times New Roman"/>
                  <w:sz w:val="20"/>
                  <w:szCs w:val="20"/>
                  <w:highlight w:val="white"/>
                </w:rPr>
                <w:t xml:space="preserve">Paco </w:t>
              </w:r>
              <w:proofErr w:type="spellStart"/>
              <w:r w:rsidRPr="002451B6">
                <w:rPr>
                  <w:rFonts w:ascii="Times New Roman" w:eastAsia="Times New Roman" w:hAnsi="Times New Roman" w:cs="Times New Roman"/>
                  <w:sz w:val="20"/>
                  <w:szCs w:val="20"/>
                  <w:highlight w:val="white"/>
                </w:rPr>
                <w:t>del</w:t>
              </w:r>
              <w:proofErr w:type="spellEnd"/>
              <w:r w:rsidRPr="002451B6">
                <w:rPr>
                  <w:rFonts w:ascii="Times New Roman" w:eastAsia="Times New Roman" w:hAnsi="Times New Roman" w:cs="Times New Roman"/>
                  <w:sz w:val="20"/>
                  <w:szCs w:val="20"/>
                  <w:highlight w:val="white"/>
                </w:rPr>
                <w:t xml:space="preserve"> Tor</w:t>
              </w:r>
            </w:hyperlink>
            <w:r w:rsidRPr="002451B6">
              <w:rPr>
                <w:rFonts w:ascii="Times New Roman" w:eastAsia="Times New Roman" w:hAnsi="Times New Roman" w:cs="Times New Roman"/>
                <w:sz w:val="20"/>
                <w:szCs w:val="20"/>
                <w:highlight w:val="white"/>
              </w:rPr>
              <w:t>o</w:t>
            </w:r>
          </w:p>
        </w:tc>
        <w:tc>
          <w:tcPr>
            <w:tcW w:w="1710" w:type="dxa"/>
            <w:tcBorders>
              <w:top w:val="nil"/>
              <w:left w:val="nil"/>
              <w:bottom w:val="single" w:sz="8" w:space="0" w:color="000000"/>
              <w:right w:val="nil"/>
            </w:tcBorders>
            <w:tcMar>
              <w:top w:w="100" w:type="dxa"/>
              <w:left w:w="100" w:type="dxa"/>
              <w:bottom w:w="100" w:type="dxa"/>
              <w:right w:w="100" w:type="dxa"/>
            </w:tcMar>
          </w:tcPr>
          <w:p w14:paraId="225C04AC"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 xml:space="preserve">Armagedon </w:t>
            </w:r>
            <w:proofErr w:type="spellStart"/>
            <w:r w:rsidRPr="002451B6">
              <w:rPr>
                <w:rFonts w:ascii="Times New Roman" w:eastAsia="Times New Roman" w:hAnsi="Times New Roman" w:cs="Times New Roman"/>
                <w:sz w:val="20"/>
                <w:szCs w:val="20"/>
                <w:highlight w:val="white"/>
              </w:rPr>
              <w:t>Producciones</w:t>
            </w:r>
            <w:proofErr w:type="spellEnd"/>
          </w:p>
        </w:tc>
        <w:tc>
          <w:tcPr>
            <w:tcW w:w="1860" w:type="dxa"/>
            <w:tcBorders>
              <w:top w:val="nil"/>
              <w:left w:val="nil"/>
              <w:bottom w:val="single" w:sz="8" w:space="0" w:color="000000"/>
              <w:right w:val="nil"/>
            </w:tcBorders>
            <w:tcMar>
              <w:top w:w="100" w:type="dxa"/>
              <w:left w:w="100" w:type="dxa"/>
              <w:bottom w:w="100" w:type="dxa"/>
              <w:right w:w="100" w:type="dxa"/>
            </w:tcMar>
          </w:tcPr>
          <w:p w14:paraId="3F2BF8FA" w14:textId="77777777" w:rsidR="00332C33" w:rsidRPr="002451B6" w:rsidRDefault="00332C33">
            <w:pPr>
              <w:spacing w:before="240" w:after="240"/>
              <w:rPr>
                <w:rFonts w:ascii="Times New Roman" w:eastAsia="Times New Roman" w:hAnsi="Times New Roman" w:cs="Times New Roman"/>
                <w:sz w:val="20"/>
                <w:szCs w:val="20"/>
                <w:highlight w:val="white"/>
              </w:rPr>
            </w:pPr>
            <w:hyperlink r:id="rId62">
              <w:r w:rsidRPr="002451B6">
                <w:rPr>
                  <w:rFonts w:ascii="Times New Roman" w:eastAsia="Times New Roman" w:hAnsi="Times New Roman" w:cs="Times New Roman"/>
                  <w:sz w:val="20"/>
                  <w:szCs w:val="20"/>
                  <w:highlight w:val="white"/>
                </w:rPr>
                <w:t xml:space="preserve">Paco </w:t>
              </w:r>
              <w:proofErr w:type="spellStart"/>
              <w:r w:rsidRPr="002451B6">
                <w:rPr>
                  <w:rFonts w:ascii="Times New Roman" w:eastAsia="Times New Roman" w:hAnsi="Times New Roman" w:cs="Times New Roman"/>
                  <w:sz w:val="20"/>
                  <w:szCs w:val="20"/>
                  <w:highlight w:val="white"/>
                </w:rPr>
                <w:t>del</w:t>
              </w:r>
              <w:proofErr w:type="spellEnd"/>
              <w:r w:rsidRPr="002451B6">
                <w:rPr>
                  <w:rFonts w:ascii="Times New Roman" w:eastAsia="Times New Roman" w:hAnsi="Times New Roman" w:cs="Times New Roman"/>
                  <w:sz w:val="20"/>
                  <w:szCs w:val="20"/>
                  <w:highlight w:val="white"/>
                </w:rPr>
                <w:t xml:space="preserve"> Tor</w:t>
              </w:r>
            </w:hyperlink>
            <w:r w:rsidRPr="002451B6">
              <w:rPr>
                <w:rFonts w:ascii="Times New Roman" w:eastAsia="Times New Roman" w:hAnsi="Times New Roman" w:cs="Times New Roman"/>
                <w:sz w:val="20"/>
                <w:szCs w:val="20"/>
                <w:highlight w:val="white"/>
              </w:rPr>
              <w:t>o e Verónica Maldonado.</w:t>
            </w:r>
          </w:p>
        </w:tc>
      </w:tr>
      <w:tr w:rsidR="002451B6" w:rsidRPr="002451B6" w14:paraId="3BB1FEB2" w14:textId="77777777">
        <w:trPr>
          <w:trHeight w:val="930"/>
        </w:trPr>
        <w:tc>
          <w:tcPr>
            <w:tcW w:w="1245" w:type="dxa"/>
            <w:tcBorders>
              <w:top w:val="nil"/>
              <w:left w:val="nil"/>
              <w:bottom w:val="single" w:sz="8" w:space="0" w:color="000000"/>
              <w:right w:val="nil"/>
            </w:tcBorders>
            <w:tcMar>
              <w:top w:w="100" w:type="dxa"/>
              <w:left w:w="100" w:type="dxa"/>
              <w:bottom w:w="100" w:type="dxa"/>
              <w:right w:w="100" w:type="dxa"/>
            </w:tcMar>
          </w:tcPr>
          <w:p w14:paraId="08F9CEF4"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Vidas partidas</w:t>
            </w:r>
          </w:p>
        </w:tc>
        <w:tc>
          <w:tcPr>
            <w:tcW w:w="720" w:type="dxa"/>
            <w:tcBorders>
              <w:top w:val="nil"/>
              <w:left w:val="nil"/>
              <w:bottom w:val="single" w:sz="8" w:space="0" w:color="000000"/>
              <w:right w:val="nil"/>
            </w:tcBorders>
            <w:tcMar>
              <w:top w:w="100" w:type="dxa"/>
              <w:left w:w="100" w:type="dxa"/>
              <w:bottom w:w="100" w:type="dxa"/>
              <w:right w:w="100" w:type="dxa"/>
            </w:tcMar>
          </w:tcPr>
          <w:p w14:paraId="72851F35"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2017</w:t>
            </w:r>
          </w:p>
        </w:tc>
        <w:tc>
          <w:tcPr>
            <w:tcW w:w="930" w:type="dxa"/>
            <w:tcBorders>
              <w:top w:val="nil"/>
              <w:left w:val="nil"/>
              <w:bottom w:val="single" w:sz="8" w:space="0" w:color="000000"/>
              <w:right w:val="nil"/>
            </w:tcBorders>
            <w:tcMar>
              <w:top w:w="100" w:type="dxa"/>
              <w:left w:w="100" w:type="dxa"/>
              <w:bottom w:w="100" w:type="dxa"/>
              <w:right w:w="100" w:type="dxa"/>
            </w:tcMar>
          </w:tcPr>
          <w:p w14:paraId="780B39C6"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Brasil</w:t>
            </w:r>
          </w:p>
        </w:tc>
        <w:tc>
          <w:tcPr>
            <w:tcW w:w="945" w:type="dxa"/>
            <w:tcBorders>
              <w:top w:val="nil"/>
              <w:left w:val="nil"/>
              <w:bottom w:val="single" w:sz="8" w:space="0" w:color="000000"/>
              <w:right w:val="nil"/>
            </w:tcBorders>
            <w:tcMar>
              <w:top w:w="100" w:type="dxa"/>
              <w:left w:w="100" w:type="dxa"/>
              <w:bottom w:w="100" w:type="dxa"/>
              <w:right w:w="100" w:type="dxa"/>
            </w:tcMar>
          </w:tcPr>
          <w:p w14:paraId="61B45524"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Drama</w:t>
            </w:r>
          </w:p>
        </w:tc>
        <w:tc>
          <w:tcPr>
            <w:tcW w:w="1515" w:type="dxa"/>
            <w:tcBorders>
              <w:top w:val="nil"/>
              <w:left w:val="nil"/>
              <w:bottom w:val="single" w:sz="8" w:space="0" w:color="000000"/>
              <w:right w:val="nil"/>
            </w:tcBorders>
            <w:tcMar>
              <w:top w:w="100" w:type="dxa"/>
              <w:left w:w="100" w:type="dxa"/>
              <w:bottom w:w="100" w:type="dxa"/>
              <w:right w:w="100" w:type="dxa"/>
            </w:tcMar>
          </w:tcPr>
          <w:p w14:paraId="5E333BCA" w14:textId="77777777" w:rsidR="00332C33" w:rsidRPr="002451B6" w:rsidRDefault="00000000">
            <w:pPr>
              <w:spacing w:before="240" w:after="240"/>
              <w:rPr>
                <w:rFonts w:ascii="Times New Roman" w:eastAsia="Times New Roman" w:hAnsi="Times New Roman" w:cs="Times New Roman"/>
                <w:sz w:val="20"/>
                <w:szCs w:val="20"/>
                <w:highlight w:val="white"/>
              </w:rPr>
            </w:pPr>
            <w:r w:rsidRPr="002451B6">
              <w:rPr>
                <w:rFonts w:ascii="Times New Roman" w:eastAsia="Times New Roman" w:hAnsi="Times New Roman" w:cs="Times New Roman"/>
                <w:sz w:val="20"/>
                <w:szCs w:val="20"/>
                <w:highlight w:val="white"/>
              </w:rPr>
              <w:t xml:space="preserve">Marcos </w:t>
            </w:r>
            <w:proofErr w:type="spellStart"/>
            <w:r w:rsidRPr="002451B6">
              <w:rPr>
                <w:rFonts w:ascii="Times New Roman" w:eastAsia="Times New Roman" w:hAnsi="Times New Roman" w:cs="Times New Roman"/>
                <w:sz w:val="20"/>
                <w:szCs w:val="20"/>
                <w:highlight w:val="white"/>
              </w:rPr>
              <w:t>Schetman</w:t>
            </w:r>
            <w:proofErr w:type="spellEnd"/>
          </w:p>
        </w:tc>
        <w:tc>
          <w:tcPr>
            <w:tcW w:w="1710" w:type="dxa"/>
            <w:tcBorders>
              <w:top w:val="nil"/>
              <w:left w:val="nil"/>
              <w:bottom w:val="single" w:sz="8" w:space="0" w:color="000000"/>
              <w:right w:val="nil"/>
            </w:tcBorders>
            <w:tcMar>
              <w:top w:w="100" w:type="dxa"/>
              <w:left w:w="100" w:type="dxa"/>
              <w:bottom w:w="100" w:type="dxa"/>
              <w:right w:w="100" w:type="dxa"/>
            </w:tcMar>
          </w:tcPr>
          <w:p w14:paraId="6E899BEE" w14:textId="77777777" w:rsidR="00332C33" w:rsidRPr="002451B6" w:rsidRDefault="00000000">
            <w:pPr>
              <w:spacing w:before="240" w:after="240"/>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Europa filmes</w:t>
            </w:r>
          </w:p>
        </w:tc>
        <w:tc>
          <w:tcPr>
            <w:tcW w:w="1860" w:type="dxa"/>
            <w:tcBorders>
              <w:top w:val="nil"/>
              <w:left w:val="nil"/>
              <w:bottom w:val="single" w:sz="8" w:space="0" w:color="000000"/>
              <w:right w:val="nil"/>
            </w:tcBorders>
            <w:tcMar>
              <w:top w:w="100" w:type="dxa"/>
              <w:left w:w="100" w:type="dxa"/>
              <w:bottom w:w="100" w:type="dxa"/>
              <w:right w:w="100" w:type="dxa"/>
            </w:tcMar>
          </w:tcPr>
          <w:p w14:paraId="302FFAB7" w14:textId="77777777" w:rsidR="00332C33" w:rsidRPr="002451B6" w:rsidRDefault="00000000">
            <w:pPr>
              <w:spacing w:before="240" w:after="240"/>
              <w:rPr>
                <w:rFonts w:ascii="Times New Roman" w:eastAsia="Times New Roman" w:hAnsi="Times New Roman" w:cs="Times New Roman"/>
                <w:sz w:val="20"/>
                <w:szCs w:val="20"/>
                <w:shd w:val="clear" w:color="auto" w:fill="F9F9F9"/>
              </w:rPr>
            </w:pPr>
            <w:proofErr w:type="spellStart"/>
            <w:r w:rsidRPr="002451B6">
              <w:rPr>
                <w:rFonts w:ascii="Times New Roman" w:eastAsia="Times New Roman" w:hAnsi="Times New Roman" w:cs="Times New Roman"/>
                <w:sz w:val="20"/>
                <w:szCs w:val="20"/>
                <w:shd w:val="clear" w:color="auto" w:fill="F9F9F9"/>
              </w:rPr>
              <w:t>Naura</w:t>
            </w:r>
            <w:proofErr w:type="spellEnd"/>
            <w:r w:rsidRPr="002451B6">
              <w:rPr>
                <w:rFonts w:ascii="Times New Roman" w:eastAsia="Times New Roman" w:hAnsi="Times New Roman" w:cs="Times New Roman"/>
                <w:sz w:val="20"/>
                <w:szCs w:val="20"/>
                <w:shd w:val="clear" w:color="auto" w:fill="F9F9F9"/>
              </w:rPr>
              <w:t xml:space="preserve"> Schneider e Flávio </w:t>
            </w:r>
            <w:proofErr w:type="spellStart"/>
            <w:r w:rsidRPr="002451B6">
              <w:rPr>
                <w:rFonts w:ascii="Times New Roman" w:eastAsia="Times New Roman" w:hAnsi="Times New Roman" w:cs="Times New Roman"/>
                <w:sz w:val="20"/>
                <w:szCs w:val="20"/>
                <w:shd w:val="clear" w:color="auto" w:fill="F9F9F9"/>
              </w:rPr>
              <w:t>Tambelini</w:t>
            </w:r>
            <w:proofErr w:type="spellEnd"/>
          </w:p>
        </w:tc>
      </w:tr>
    </w:tbl>
    <w:p w14:paraId="3684BFB1" w14:textId="77777777" w:rsidR="00332C33" w:rsidRPr="002451B6" w:rsidRDefault="00000000">
      <w:pPr>
        <w:spacing w:before="240" w:after="240"/>
        <w:jc w:val="both"/>
        <w:rPr>
          <w:rFonts w:ascii="Times New Roman" w:eastAsia="Times New Roman" w:hAnsi="Times New Roman" w:cs="Times New Roman"/>
          <w:i/>
          <w:iCs/>
          <w:sz w:val="20"/>
          <w:szCs w:val="20"/>
          <w:highlight w:val="white"/>
        </w:rPr>
      </w:pPr>
      <w:r w:rsidRPr="002451B6">
        <w:rPr>
          <w:rFonts w:ascii="Times New Roman" w:eastAsia="Times New Roman" w:hAnsi="Times New Roman" w:cs="Times New Roman"/>
          <w:i/>
          <w:iCs/>
          <w:sz w:val="20"/>
          <w:szCs w:val="20"/>
          <w:highlight w:val="white"/>
        </w:rPr>
        <w:t>Fonte: Elaborado pelas autoras.</w:t>
      </w:r>
    </w:p>
    <w:p w14:paraId="1DBAB8A7"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rPr>
        <w:tab/>
        <w:t xml:space="preserve">   Para fins de contextualização inicial dos enredos principais, que configuram as tramas retratadas nos filmes analisados, a seguir, apresenta-se a descrição geral de cada produção fílmica considerada no presente estudo:</w:t>
      </w:r>
    </w:p>
    <w:p w14:paraId="1F4A9FDC"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Amores perros (González, México, 2000):</w:t>
      </w:r>
      <w:r w:rsidRPr="002451B6">
        <w:rPr>
          <w:rFonts w:ascii="Times New Roman" w:eastAsia="Times New Roman" w:hAnsi="Times New Roman" w:cs="Times New Roman"/>
          <w:b/>
          <w:bCs/>
          <w:i/>
          <w:iCs/>
          <w:sz w:val="24"/>
          <w:szCs w:val="24"/>
        </w:rPr>
        <w:t xml:space="preserve"> </w:t>
      </w:r>
      <w:r w:rsidRPr="002451B6">
        <w:rPr>
          <w:rFonts w:ascii="Times New Roman" w:eastAsia="Times New Roman" w:hAnsi="Times New Roman" w:cs="Times New Roman"/>
          <w:sz w:val="24"/>
          <w:szCs w:val="24"/>
        </w:rPr>
        <w:t>o filme é composto por três histórias, que podem ser analisadas independentemente. Para a análise do presente estudo, a primeira história foi selecionada, porque tem a ver com a violência contra as mulheres nos relacionamentos amorosos. Ramiro e Susana são casados ​​e ele começa a agredir psicológica e fisicamente Susana. A família fica sabendo do comportamento violento por parte de Ramiro.</w:t>
      </w:r>
    </w:p>
    <w:p w14:paraId="0CE36F73"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proofErr w:type="spellStart"/>
      <w:r w:rsidRPr="002451B6">
        <w:rPr>
          <w:rFonts w:ascii="Times New Roman" w:eastAsia="Times New Roman" w:hAnsi="Times New Roman" w:cs="Times New Roman"/>
          <w:i/>
          <w:iCs/>
          <w:sz w:val="24"/>
          <w:szCs w:val="24"/>
        </w:rPr>
        <w:t>Cicatrices</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(Del Toro, México, 2005)</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b/>
          <w:bCs/>
          <w:i/>
          <w:iCs/>
          <w:sz w:val="24"/>
          <w:szCs w:val="24"/>
        </w:rPr>
        <w:t xml:space="preserve"> </w:t>
      </w:r>
      <w:r w:rsidRPr="002451B6">
        <w:rPr>
          <w:rFonts w:ascii="Times New Roman" w:eastAsia="Times New Roman" w:hAnsi="Times New Roman" w:cs="Times New Roman"/>
          <w:sz w:val="24"/>
          <w:szCs w:val="24"/>
          <w:highlight w:val="white"/>
        </w:rPr>
        <w:t xml:space="preserve">o enredo do filme tem como história central o relacionamento romântico entre Clara e Julián. Ocorrem episódios de violência psicológica e física. Eles moram junto com o filho </w:t>
      </w:r>
      <w:proofErr w:type="spellStart"/>
      <w:r w:rsidRPr="002451B6">
        <w:rPr>
          <w:rFonts w:ascii="Times New Roman" w:eastAsia="Times New Roman" w:hAnsi="Times New Roman" w:cs="Times New Roman"/>
          <w:sz w:val="24"/>
          <w:szCs w:val="24"/>
          <w:highlight w:val="white"/>
        </w:rPr>
        <w:t>Juliancito</w:t>
      </w:r>
      <w:proofErr w:type="spellEnd"/>
      <w:r w:rsidRPr="002451B6">
        <w:rPr>
          <w:rFonts w:ascii="Times New Roman" w:eastAsia="Times New Roman" w:hAnsi="Times New Roman" w:cs="Times New Roman"/>
          <w:sz w:val="24"/>
          <w:szCs w:val="24"/>
          <w:highlight w:val="white"/>
        </w:rPr>
        <w:t xml:space="preserve">, um menino em idade escolar. O processo de divórcio começa, porque os episódios de violência são graves. Convencidos de que a situação </w:t>
      </w:r>
      <w:r w:rsidRPr="002451B6">
        <w:rPr>
          <w:rFonts w:ascii="Times New Roman" w:eastAsia="Times New Roman" w:hAnsi="Times New Roman" w:cs="Times New Roman"/>
          <w:sz w:val="24"/>
          <w:szCs w:val="24"/>
          <w:highlight w:val="white"/>
        </w:rPr>
        <w:lastRenderedPageBreak/>
        <w:t>entre eles como casal não melhora, eles decidem se separar, mas depois de se converterem à religião evangélica, decidem continuar juntos.</w:t>
      </w:r>
    </w:p>
    <w:p w14:paraId="0C374EEB"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highlight w:val="white"/>
        </w:rPr>
        <w:t xml:space="preserve">Ella y </w:t>
      </w:r>
      <w:proofErr w:type="spellStart"/>
      <w:r w:rsidRPr="002451B6">
        <w:rPr>
          <w:rFonts w:ascii="Times New Roman" w:eastAsia="Times New Roman" w:hAnsi="Times New Roman" w:cs="Times New Roman"/>
          <w:i/>
          <w:iCs/>
          <w:sz w:val="24"/>
          <w:szCs w:val="24"/>
          <w:highlight w:val="white"/>
        </w:rPr>
        <w:t>él</w:t>
      </w:r>
      <w:proofErr w:type="spellEnd"/>
      <w:r w:rsidRPr="002451B6">
        <w:rPr>
          <w:rFonts w:ascii="Times New Roman" w:eastAsia="Times New Roman" w:hAnsi="Times New Roman" w:cs="Times New Roman"/>
          <w:i/>
          <w:iCs/>
          <w:sz w:val="24"/>
          <w:szCs w:val="24"/>
          <w:highlight w:val="white"/>
        </w:rPr>
        <w:t xml:space="preserve"> </w:t>
      </w:r>
      <w:r w:rsidRPr="002451B6">
        <w:rPr>
          <w:rFonts w:ascii="Times New Roman" w:eastAsia="Times New Roman" w:hAnsi="Times New Roman" w:cs="Times New Roman"/>
          <w:sz w:val="24"/>
          <w:szCs w:val="24"/>
          <w:highlight w:val="white"/>
        </w:rPr>
        <w:t xml:space="preserve">(Pérez-Garland, </w:t>
      </w:r>
      <w:proofErr w:type="spellStart"/>
      <w:r w:rsidRPr="002451B6">
        <w:rPr>
          <w:rFonts w:ascii="Times New Roman" w:eastAsia="Times New Roman" w:hAnsi="Times New Roman" w:cs="Times New Roman"/>
          <w:sz w:val="24"/>
          <w:szCs w:val="24"/>
          <w:highlight w:val="white"/>
        </w:rPr>
        <w:t>Perú</w:t>
      </w:r>
      <w:proofErr w:type="spellEnd"/>
      <w:r w:rsidRPr="002451B6">
        <w:rPr>
          <w:rFonts w:ascii="Times New Roman" w:eastAsia="Times New Roman" w:hAnsi="Times New Roman" w:cs="Times New Roman"/>
          <w:sz w:val="24"/>
          <w:szCs w:val="24"/>
          <w:highlight w:val="white"/>
        </w:rPr>
        <w:t>, 2015):</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O filme se desenvolve em Lima. Os protagonistas começam a namorar e têm um relacionamento cada vez mais formal e, ao mesmo tempo, há manifestações de violência psicológica. No entanto, o protagonista secretamente mantém um relacionamento, há anos, com sua melhor amiga, que é casada. Depois de certo tempo, ele decide encerrar esse relacionamento extraconjugal e continuar o relacionamento com sua parceira.</w:t>
      </w:r>
    </w:p>
    <w:p w14:paraId="40DB536E"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highlight w:val="white"/>
        </w:rPr>
        <w:t xml:space="preserve">Vidas partidas </w:t>
      </w:r>
      <w:r w:rsidRPr="002451B6">
        <w:rPr>
          <w:rFonts w:ascii="Times New Roman" w:eastAsia="Times New Roman" w:hAnsi="Times New Roman" w:cs="Times New Roman"/>
          <w:sz w:val="24"/>
          <w:szCs w:val="24"/>
          <w:highlight w:val="white"/>
        </w:rPr>
        <w:t>(</w:t>
      </w:r>
      <w:proofErr w:type="spellStart"/>
      <w:r w:rsidRPr="002451B6">
        <w:rPr>
          <w:rFonts w:ascii="Times New Roman" w:eastAsia="Times New Roman" w:hAnsi="Times New Roman" w:cs="Times New Roman"/>
          <w:sz w:val="24"/>
          <w:szCs w:val="24"/>
        </w:rPr>
        <w:t>Schetman</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sz w:val="24"/>
          <w:szCs w:val="24"/>
          <w:highlight w:val="white"/>
        </w:rPr>
        <w:t>Brasil, 2017):</w:t>
      </w:r>
      <w:r w:rsidRPr="002451B6">
        <w:rPr>
          <w:rFonts w:ascii="Times New Roman" w:eastAsia="Times New Roman" w:hAnsi="Times New Roman" w:cs="Times New Roman"/>
          <w:b/>
          <w:bCs/>
          <w:sz w:val="24"/>
          <w:szCs w:val="24"/>
          <w:highlight w:val="white"/>
        </w:rPr>
        <w:t xml:space="preserve"> </w:t>
      </w:r>
      <w:r w:rsidRPr="002451B6">
        <w:rPr>
          <w:rFonts w:ascii="Times New Roman" w:eastAsia="Times New Roman" w:hAnsi="Times New Roman" w:cs="Times New Roman"/>
          <w:sz w:val="24"/>
          <w:szCs w:val="24"/>
        </w:rPr>
        <w:t xml:space="preserve">Gracia e </w:t>
      </w:r>
      <w:proofErr w:type="spellStart"/>
      <w:r w:rsidRPr="002451B6">
        <w:rPr>
          <w:rFonts w:ascii="Times New Roman" w:eastAsia="Times New Roman" w:hAnsi="Times New Roman" w:cs="Times New Roman"/>
          <w:sz w:val="24"/>
          <w:szCs w:val="24"/>
        </w:rPr>
        <w:t>Raúl</w:t>
      </w:r>
      <w:proofErr w:type="spellEnd"/>
      <w:r w:rsidRPr="002451B6">
        <w:rPr>
          <w:rFonts w:ascii="Times New Roman" w:eastAsia="Times New Roman" w:hAnsi="Times New Roman" w:cs="Times New Roman"/>
          <w:sz w:val="24"/>
          <w:szCs w:val="24"/>
        </w:rPr>
        <w:t>, que são os protagonistas da trama, estão casados e moram com suas duas filhas. Raul fica desempregado por um tempo, as agressões psicológicas aumentam (ciúme e insegurança estão presentes), e ele agride fisicamente Gracia e tenta assassiná-la.</w:t>
      </w:r>
    </w:p>
    <w:p w14:paraId="391C766F"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seguir, são apresentadas duas seções, agrupadas em dois temas de análise: (i) justificação e culpabilidade feminina da violência (“Ele maltrata você porque você permite, a culpa é sua”: justificação e culpabilidade feminina da violência contra a mulher); e (</w:t>
      </w:r>
      <w:proofErr w:type="spellStart"/>
      <w:r w:rsidRPr="002451B6">
        <w:rPr>
          <w:rFonts w:ascii="Times New Roman" w:eastAsia="Times New Roman" w:hAnsi="Times New Roman" w:cs="Times New Roman"/>
          <w:sz w:val="24"/>
          <w:szCs w:val="24"/>
        </w:rPr>
        <w:t>ii</w:t>
      </w:r>
      <w:proofErr w:type="spellEnd"/>
      <w:r w:rsidRPr="002451B6">
        <w:rPr>
          <w:rFonts w:ascii="Times New Roman" w:eastAsia="Times New Roman" w:hAnsi="Times New Roman" w:cs="Times New Roman"/>
          <w:sz w:val="24"/>
          <w:szCs w:val="24"/>
        </w:rPr>
        <w:t>) justificação masculina da violência (“Eu sou assim”: justificação masculina da violência contra a mulher).</w:t>
      </w:r>
    </w:p>
    <w:p w14:paraId="13F84124" w14:textId="77777777" w:rsidR="00332C33" w:rsidRPr="002451B6" w:rsidRDefault="00000000">
      <w:pPr>
        <w:spacing w:before="240" w:after="24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“Ele maltrata você porque você permite, a culpa é sua”: justificação e culpabilidade feminina da violência contra a mulher</w:t>
      </w:r>
    </w:p>
    <w:p w14:paraId="35E7BA20"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partir do material analisado, constatou-se a dinâmica de “provocação feminina – agressão masculina”, que se apresenta como a origem da violência sofrida pelas mulheres nas narrativas construídas. O que é ainda mais grave nesse contexto, é o fato dessa dinâmica se tornar uma maneira de justificar sutilmente a violência praticada. Nesse sentido, as produções cinematográficas reforçam uma lógica simplista de </w:t>
      </w:r>
      <w:r w:rsidRPr="002451B6">
        <w:rPr>
          <w:rFonts w:ascii="Times New Roman" w:eastAsia="Times New Roman" w:hAnsi="Times New Roman" w:cs="Times New Roman"/>
          <w:i/>
          <w:iCs/>
          <w:sz w:val="24"/>
          <w:szCs w:val="24"/>
        </w:rPr>
        <w:t>causa e efeito</w:t>
      </w:r>
      <w:r w:rsidRPr="002451B6">
        <w:rPr>
          <w:rFonts w:ascii="Times New Roman" w:eastAsia="Times New Roman" w:hAnsi="Times New Roman" w:cs="Times New Roman"/>
          <w:sz w:val="24"/>
          <w:szCs w:val="24"/>
        </w:rPr>
        <w:t>, que insinua que as mulheres geram a violência que sofrem, transmitindo indiretamente a mensagem que interroga a própria vítima sobre “o que ela teria feito para que o homem a maltratasse”. Observa-se, desse modo, que as mulheres aparecem nos enredos sendo retratadas como aquelas que causam ou fazem com que o homem aja violentamente contra elas em reação à provocação. Ou seja, é transmitida a mensagem de que o homem é agressivo e violento no relacionamento porque ele está respondendo, corrigindo ou reagindo aos maus comportamentos da mulher.</w:t>
      </w:r>
    </w:p>
    <w:p w14:paraId="15DC325F"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Associada à dinâmica de “provocação feminina - agressão masculina", observou-se diferentes causas ou eventos disparadores por meio dos quais ocorrem os episódios de violência </w:t>
      </w:r>
      <w:r w:rsidRPr="002451B6">
        <w:rPr>
          <w:rFonts w:ascii="Times New Roman" w:eastAsia="Times New Roman" w:hAnsi="Times New Roman" w:cs="Times New Roman"/>
          <w:sz w:val="24"/>
          <w:szCs w:val="24"/>
        </w:rPr>
        <w:lastRenderedPageBreak/>
        <w:t>nos filmes. Considera-se pertinente detalhar essas representações devido ao impacto simbólico que geram, já que não são observáveis ​​à primeira vista; dentre elas, estão:</w:t>
      </w:r>
    </w:p>
    <w:p w14:paraId="3B852AB2"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1. Ridicularização do homem ou confronto público pela mulher, que consistem em reivindicações ou reclamações em público, de mulheres a homens, como, por exemplo: vergonha do homem por ser questionado em público pela sua parceira, com episódios de violência física grave. No filme </w:t>
      </w:r>
      <w:proofErr w:type="spellStart"/>
      <w:r w:rsidRPr="002451B6">
        <w:rPr>
          <w:rFonts w:ascii="Times New Roman" w:eastAsia="Times New Roman" w:hAnsi="Times New Roman" w:cs="Times New Roman"/>
          <w:i/>
          <w:iCs/>
          <w:sz w:val="24"/>
          <w:szCs w:val="24"/>
        </w:rPr>
        <w:t>Cicatrices</w:t>
      </w:r>
      <w:proofErr w:type="spellEnd"/>
      <w:r w:rsidRPr="002451B6">
        <w:rPr>
          <w:rFonts w:ascii="Times New Roman" w:eastAsia="Times New Roman" w:hAnsi="Times New Roman" w:cs="Times New Roman"/>
          <w:sz w:val="24"/>
          <w:szCs w:val="24"/>
        </w:rPr>
        <w:t xml:space="preserve"> esses eventos ocorrem depois que Clara confronta Julián em público, que afirma se sentir envergonhado. O mesmo acontece com o episódio de violência física grave no filme </w:t>
      </w:r>
      <w:r w:rsidRPr="002451B6">
        <w:rPr>
          <w:rFonts w:ascii="Times New Roman" w:eastAsia="Times New Roman" w:hAnsi="Times New Roman" w:cs="Times New Roman"/>
          <w:i/>
          <w:iCs/>
          <w:sz w:val="24"/>
          <w:szCs w:val="24"/>
        </w:rPr>
        <w:t>Vidas partidas</w:t>
      </w:r>
      <w:r w:rsidRPr="002451B6">
        <w:rPr>
          <w:rFonts w:ascii="Times New Roman" w:eastAsia="Times New Roman" w:hAnsi="Times New Roman" w:cs="Times New Roman"/>
          <w:sz w:val="24"/>
          <w:szCs w:val="24"/>
        </w:rPr>
        <w:t>, em que a violência aumenta quando Graça reclama de Raul por seu comportamento e diz que ele é um fracasso, e, então, ele bate fortemente na no rosto dela;</w:t>
      </w:r>
    </w:p>
    <w:p w14:paraId="7EC3D3BD"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2. Respostas defensivo-agressivas das mulheres em reação à violência que recebem do parceiro. Observou-se que, quando a mulher responde agressivamente ao homem, ele se torna ainda mais violento. Em </w:t>
      </w:r>
      <w:r w:rsidRPr="002451B6">
        <w:rPr>
          <w:rFonts w:ascii="Times New Roman" w:eastAsia="Times New Roman" w:hAnsi="Times New Roman" w:cs="Times New Roman"/>
          <w:i/>
          <w:iCs/>
          <w:sz w:val="24"/>
          <w:szCs w:val="24"/>
        </w:rPr>
        <w:t>Amores perros,</w:t>
      </w:r>
      <w:r w:rsidRPr="002451B6">
        <w:rPr>
          <w:rFonts w:ascii="Times New Roman" w:eastAsia="Times New Roman" w:hAnsi="Times New Roman" w:cs="Times New Roman"/>
          <w:sz w:val="24"/>
          <w:szCs w:val="24"/>
        </w:rPr>
        <w:t xml:space="preserve"> quando a protagonista reagiu agressivamente ao comportamento do marido, a violência aumentou, transmitindo a mensagem de que quanto maior a agressão da mulher, maior a agressão do homem; o que pode ser interpretado </w:t>
      </w:r>
      <w:proofErr w:type="gramStart"/>
      <w:r w:rsidRPr="002451B6">
        <w:rPr>
          <w:rFonts w:ascii="Times New Roman" w:eastAsia="Times New Roman" w:hAnsi="Times New Roman" w:cs="Times New Roman"/>
          <w:sz w:val="24"/>
          <w:szCs w:val="24"/>
        </w:rPr>
        <w:t>como  indicativo</w:t>
      </w:r>
      <w:proofErr w:type="gramEnd"/>
      <w:r w:rsidRPr="002451B6">
        <w:rPr>
          <w:rFonts w:ascii="Times New Roman" w:eastAsia="Times New Roman" w:hAnsi="Times New Roman" w:cs="Times New Roman"/>
          <w:sz w:val="24"/>
          <w:szCs w:val="24"/>
        </w:rPr>
        <w:t xml:space="preserve"> de que as mulheres devem ser submissas e não devem se defender da violência que recebem;</w:t>
      </w:r>
    </w:p>
    <w:p w14:paraId="399EFB23"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3. Sentimentos de posse - Ciúme. Diante da possibilidade de traição ou infidelidade, os homens agem de forma agressiva e violenta, e consideram que sua masculinidade está sendo ridicularizada. Em </w:t>
      </w:r>
      <w:r w:rsidRPr="002451B6">
        <w:rPr>
          <w:rFonts w:ascii="Times New Roman" w:eastAsia="Times New Roman" w:hAnsi="Times New Roman" w:cs="Times New Roman"/>
          <w:i/>
          <w:iCs/>
          <w:sz w:val="24"/>
          <w:szCs w:val="24"/>
        </w:rPr>
        <w:t>Vidas partidas</w:t>
      </w:r>
      <w:r w:rsidRPr="002451B6">
        <w:rPr>
          <w:rFonts w:ascii="Times New Roman" w:eastAsia="Times New Roman" w:hAnsi="Times New Roman" w:cs="Times New Roman"/>
          <w:sz w:val="24"/>
          <w:szCs w:val="24"/>
        </w:rPr>
        <w:t>, Raul manifesta ciúmes em relação ao ex-parceiro de Graça e agride-a, acusando-a de suposta infidelidade;</w:t>
      </w:r>
    </w:p>
    <w:p w14:paraId="231542C3"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4. Crescimento econômico ou desenvolvimento das mulheres, com independência econômica feminina. No filme </w:t>
      </w:r>
      <w:r w:rsidRPr="002451B6">
        <w:rPr>
          <w:rFonts w:ascii="Times New Roman" w:eastAsia="Times New Roman" w:hAnsi="Times New Roman" w:cs="Times New Roman"/>
          <w:i/>
          <w:iCs/>
          <w:sz w:val="24"/>
          <w:szCs w:val="24"/>
        </w:rPr>
        <w:t xml:space="preserve">Vidas partidas, </w:t>
      </w:r>
      <w:r w:rsidRPr="002451B6">
        <w:rPr>
          <w:rFonts w:ascii="Times New Roman" w:eastAsia="Times New Roman" w:hAnsi="Times New Roman" w:cs="Times New Roman"/>
          <w:sz w:val="24"/>
          <w:szCs w:val="24"/>
        </w:rPr>
        <w:t xml:space="preserve">a violência de Raul aumenta à medida que Graça melhora no trabalho, se torna independente e confiante, enquanto a insegurança de Raul aumenta. No filme </w:t>
      </w:r>
      <w:r w:rsidRPr="002451B6">
        <w:rPr>
          <w:rFonts w:ascii="Times New Roman" w:eastAsia="Times New Roman" w:hAnsi="Times New Roman" w:cs="Times New Roman"/>
          <w:i/>
          <w:iCs/>
          <w:sz w:val="24"/>
          <w:szCs w:val="24"/>
        </w:rPr>
        <w:t xml:space="preserve">Ella y </w:t>
      </w:r>
      <w:proofErr w:type="spellStart"/>
      <w:r w:rsidRPr="002451B6">
        <w:rPr>
          <w:rFonts w:ascii="Times New Roman" w:eastAsia="Times New Roman" w:hAnsi="Times New Roman" w:cs="Times New Roman"/>
          <w:i/>
          <w:iCs/>
          <w:sz w:val="24"/>
          <w:szCs w:val="24"/>
        </w:rPr>
        <w:t>él</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o protagonista também manifesta insegurança pelo desenvolvimento de sua parceira;</w:t>
      </w:r>
    </w:p>
    <w:p w14:paraId="01AEEC8A" w14:textId="77777777" w:rsidR="00332C33" w:rsidRPr="002451B6" w:rsidRDefault="00000000">
      <w:pPr>
        <w:spacing w:line="360" w:lineRule="auto"/>
        <w:ind w:firstLine="70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t xml:space="preserve">5. Perda do suposto “controle de autoridade” do homem. Pode-se ver que, quando o homem sente que está perdendo o domínio sobre a mulher, ele se torna mais violento e, às vezes, recorre à violência física, como pode ser visto nas cenas de </w:t>
      </w:r>
      <w:r w:rsidRPr="002451B6">
        <w:rPr>
          <w:rFonts w:ascii="Times New Roman" w:eastAsia="Times New Roman" w:hAnsi="Times New Roman" w:cs="Times New Roman"/>
          <w:i/>
          <w:iCs/>
          <w:sz w:val="24"/>
          <w:szCs w:val="24"/>
        </w:rPr>
        <w:t xml:space="preserve">Amores perros, e Ella y </w:t>
      </w:r>
      <w:proofErr w:type="spellStart"/>
      <w:r w:rsidRPr="002451B6">
        <w:rPr>
          <w:rFonts w:ascii="Times New Roman" w:eastAsia="Times New Roman" w:hAnsi="Times New Roman" w:cs="Times New Roman"/>
          <w:i/>
          <w:iCs/>
          <w:sz w:val="24"/>
          <w:szCs w:val="24"/>
        </w:rPr>
        <w:t>él</w:t>
      </w:r>
      <w:proofErr w:type="spellEnd"/>
      <w:r w:rsidRPr="002451B6">
        <w:rPr>
          <w:rFonts w:ascii="Times New Roman" w:eastAsia="Times New Roman" w:hAnsi="Times New Roman" w:cs="Times New Roman"/>
          <w:i/>
          <w:iCs/>
          <w:sz w:val="24"/>
          <w:szCs w:val="24"/>
        </w:rPr>
        <w:t>;</w:t>
      </w:r>
    </w:p>
    <w:p w14:paraId="2EB5185D"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6. Correção do comportamento feminino. Os homens consideram que precisam corrigir o comportamento das mulheres, sendo a violência concebida como uma medida corretiva disciplinar (do marido para a esposa ou do namorado para a namorada), o que coincide com a rotina diária de muitos relacionamentos. Em </w:t>
      </w:r>
      <w:proofErr w:type="spellStart"/>
      <w:r w:rsidRPr="002451B6">
        <w:rPr>
          <w:rFonts w:ascii="Times New Roman" w:eastAsia="Times New Roman" w:hAnsi="Times New Roman" w:cs="Times New Roman"/>
          <w:i/>
          <w:iCs/>
          <w:sz w:val="24"/>
          <w:szCs w:val="24"/>
        </w:rPr>
        <w:t>Cicatrices</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Julián, quando bate na esposa, diz: "Vou ensinar você a me respeitar". No entanto, várias cenas foram observadas onde a causa da </w:t>
      </w:r>
      <w:r w:rsidRPr="002451B6">
        <w:rPr>
          <w:rFonts w:ascii="Times New Roman" w:eastAsia="Times New Roman" w:hAnsi="Times New Roman" w:cs="Times New Roman"/>
          <w:sz w:val="24"/>
          <w:szCs w:val="24"/>
        </w:rPr>
        <w:lastRenderedPageBreak/>
        <w:t>violência não é evidente, principalmente a violência psicológica, que ocorre sem motivo aparente, apenas pelo desejo do homem de prejudicar a mulher.</w:t>
      </w:r>
    </w:p>
    <w:p w14:paraId="74748465"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Nos diferentes filmes selecionados, observou-se que os personagens masculinos ficam </w:t>
      </w:r>
      <w:r w:rsidRPr="002451B6">
        <w:rPr>
          <w:rFonts w:ascii="Times New Roman" w:eastAsia="Times New Roman" w:hAnsi="Times New Roman" w:cs="Times New Roman"/>
          <w:i/>
          <w:iCs/>
          <w:sz w:val="24"/>
          <w:szCs w:val="24"/>
        </w:rPr>
        <w:t>chateados</w:t>
      </w:r>
      <w:r w:rsidRPr="002451B6">
        <w:rPr>
          <w:rFonts w:ascii="Times New Roman" w:eastAsia="Times New Roman" w:hAnsi="Times New Roman" w:cs="Times New Roman"/>
          <w:sz w:val="24"/>
          <w:szCs w:val="24"/>
        </w:rPr>
        <w:t xml:space="preserve"> com a parceira por diferentes motivos, entre eles: porque consideram que “ela não sabe fazer bem as coisas”, principalmente, aquelas que "seriam de sua responsabilidade, porque são mulheres" (como atividades domésticas, e cuidados com os filhos e o marido), sendo a violência psicológica que geralmente ocorre nesses casos. Nos episódios de violência física grave, verifica-se que a provocação da mulher é diferente, porque se refere ao fato dela “desafiar o marido” ou “reivindicar alguma situação” (com a qual ela não concorda), eventos que acontecem em público e o homem reage de maneira fisicamente violenta.</w:t>
      </w:r>
    </w:p>
    <w:p w14:paraId="35081B04"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Aspectos cognitivos (como crenças e mitos do amor romântico) influenciam na justificativa da violência, assim como n</w:t>
      </w:r>
      <w:r w:rsidRPr="002451B6">
        <w:rPr>
          <w:rFonts w:ascii="Times New Roman" w:eastAsia="Times New Roman" w:hAnsi="Times New Roman" w:cs="Times New Roman"/>
          <w:sz w:val="24"/>
          <w:szCs w:val="24"/>
          <w:highlight w:val="white"/>
        </w:rPr>
        <w:t>o sexismo, pois têm componentes cognitivos, afetivos e comportamentais que se manifestam nos relacionamentos românticos e se expressam por meio da discriminação e da violência (</w:t>
      </w:r>
      <w:proofErr w:type="spellStart"/>
      <w:r w:rsidRPr="002451B6">
        <w:rPr>
          <w:rFonts w:ascii="Times New Roman" w:eastAsia="Times New Roman" w:hAnsi="Times New Roman" w:cs="Times New Roman"/>
          <w:sz w:val="24"/>
          <w:szCs w:val="24"/>
          <w:highlight w:val="white"/>
        </w:rPr>
        <w:t>Echeburúa</w:t>
      </w:r>
      <w:proofErr w:type="spellEnd"/>
      <w:r w:rsidRPr="002451B6">
        <w:rPr>
          <w:rFonts w:ascii="Times New Roman" w:eastAsia="Times New Roman" w:hAnsi="Times New Roman" w:cs="Times New Roman"/>
          <w:sz w:val="24"/>
          <w:szCs w:val="24"/>
          <w:highlight w:val="white"/>
        </w:rPr>
        <w:t xml:space="preserve"> et al., 2016; Belo, Gouveia, Raymundo &amp; Marques, 2005). </w:t>
      </w:r>
      <w:r w:rsidRPr="002451B6">
        <w:rPr>
          <w:rFonts w:ascii="Times New Roman" w:eastAsia="Times New Roman" w:hAnsi="Times New Roman" w:cs="Times New Roman"/>
          <w:sz w:val="24"/>
          <w:szCs w:val="24"/>
        </w:rPr>
        <w:t>O ciúme, o controle e o abuso de privacidade, por exemplo, são situações aceitas como não envolvendo nenhum dano; e isso pode ser devido ao fato de que esses comportamentos sejam percebidos como sintomas de amor e de preocupação, quando, na realidade, são ideias distorcidas sobre o amor (</w:t>
      </w:r>
      <w:proofErr w:type="spellStart"/>
      <w:r w:rsidRPr="002451B6">
        <w:rPr>
          <w:rFonts w:ascii="Times New Roman" w:eastAsia="Times New Roman" w:hAnsi="Times New Roman" w:cs="Times New Roman"/>
          <w:sz w:val="24"/>
          <w:szCs w:val="24"/>
        </w:rPr>
        <w:t>Algovia</w:t>
      </w:r>
      <w:proofErr w:type="spellEnd"/>
      <w:r w:rsidRPr="002451B6">
        <w:rPr>
          <w:rFonts w:ascii="Times New Roman" w:eastAsia="Times New Roman" w:hAnsi="Times New Roman" w:cs="Times New Roman"/>
          <w:sz w:val="24"/>
          <w:szCs w:val="24"/>
        </w:rPr>
        <w:t>, Rivero &amp; Cabrera, 2017).</w:t>
      </w:r>
    </w:p>
    <w:p w14:paraId="130139E7"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De fato, a principal manifestação da violência cultural é culpar as vítimas da violência que elas sofrem e acusá-las de agressoras (</w:t>
      </w:r>
      <w:proofErr w:type="spellStart"/>
      <w:r w:rsidRPr="002451B6">
        <w:rPr>
          <w:rFonts w:ascii="Times New Roman" w:eastAsia="Times New Roman" w:hAnsi="Times New Roman" w:cs="Times New Roman"/>
          <w:sz w:val="24"/>
          <w:szCs w:val="24"/>
        </w:rPr>
        <w:t>Galtung</w:t>
      </w:r>
      <w:proofErr w:type="spellEnd"/>
      <w:r w:rsidRPr="002451B6">
        <w:rPr>
          <w:rFonts w:ascii="Times New Roman" w:eastAsia="Times New Roman" w:hAnsi="Times New Roman" w:cs="Times New Roman"/>
          <w:sz w:val="24"/>
          <w:szCs w:val="24"/>
        </w:rPr>
        <w:t xml:space="preserve">, 2016). ‘Agressão </w:t>
      </w:r>
      <w:r w:rsidRPr="002451B6">
        <w:rPr>
          <w:rFonts w:ascii="Times New Roman" w:eastAsia="Times New Roman" w:hAnsi="Times New Roman" w:cs="Times New Roman"/>
          <w:i/>
          <w:iCs/>
          <w:sz w:val="24"/>
          <w:szCs w:val="24"/>
        </w:rPr>
        <w:t>versus</w:t>
      </w:r>
      <w:r w:rsidRPr="002451B6">
        <w:rPr>
          <w:rFonts w:ascii="Times New Roman" w:eastAsia="Times New Roman" w:hAnsi="Times New Roman" w:cs="Times New Roman"/>
          <w:sz w:val="24"/>
          <w:szCs w:val="24"/>
        </w:rPr>
        <w:t xml:space="preserve"> provocação’ também pode ser considerado um modelo perverso e inadequado de representação no cinema comercial, posto que, do ponto de vista social e afetivo, oferece uma imagem positiva ou minimamente justificável da violência masculina contra as mulheres. Duas associações evidentes são estabelecidas: “masculinidade e agressividade” e "feminilidade e provocação", em que a condenação moral recai sobre as mulheres (Hernández, 2014). Conforme dados apresentados na Tabela 2, podem ser visualizados alguns exemplos da dinâmica de “provocação feminina - agressão masculina", retratada em cenas dos filmes selecionados.</w:t>
      </w:r>
    </w:p>
    <w:p w14:paraId="31171767" w14:textId="77777777" w:rsidR="00332C33" w:rsidRPr="002451B6" w:rsidRDefault="00000000">
      <w:pPr>
        <w:spacing w:before="240" w:after="240" w:line="360" w:lineRule="auto"/>
        <w:jc w:val="both"/>
        <w:rPr>
          <w:rFonts w:ascii="Times New Roman" w:eastAsia="Times New Roman" w:hAnsi="Times New Roman" w:cs="Times New Roman"/>
          <w:b/>
          <w:bCs/>
          <w:sz w:val="16"/>
          <w:szCs w:val="16"/>
        </w:rPr>
      </w:pPr>
      <w:r w:rsidRPr="002451B6">
        <w:rPr>
          <w:rFonts w:ascii="Times New Roman" w:eastAsia="Times New Roman" w:hAnsi="Times New Roman" w:cs="Times New Roman"/>
          <w:sz w:val="24"/>
          <w:szCs w:val="24"/>
        </w:rPr>
        <w:t xml:space="preserve"> Tabela 2. </w:t>
      </w:r>
      <w:r w:rsidRPr="002451B6">
        <w:rPr>
          <w:rFonts w:ascii="Times New Roman" w:eastAsia="Times New Roman" w:hAnsi="Times New Roman" w:cs="Times New Roman"/>
          <w:i/>
          <w:iCs/>
          <w:sz w:val="24"/>
          <w:szCs w:val="24"/>
        </w:rPr>
        <w:t>Culpabilização feminina para os episódios de violência contra a mulher</w:t>
      </w:r>
    </w:p>
    <w:tbl>
      <w:tblPr>
        <w:tblStyle w:val="a0"/>
        <w:tblpPr w:leftFromText="180" w:rightFromText="180" w:topFromText="180" w:bottomFromText="180" w:vertAnchor="text"/>
        <w:tblW w:w="10206" w:type="dxa"/>
        <w:tblInd w:w="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843"/>
        <w:gridCol w:w="1701"/>
        <w:gridCol w:w="3119"/>
        <w:gridCol w:w="3543"/>
      </w:tblGrid>
      <w:tr w:rsidR="002451B6" w:rsidRPr="002451B6" w14:paraId="6A33343C" w14:textId="77777777">
        <w:tc>
          <w:tcPr>
            <w:tcW w:w="1843" w:type="dxa"/>
            <w:shd w:val="clear" w:color="auto" w:fill="F2F2F2"/>
          </w:tcPr>
          <w:p w14:paraId="5DE9A501" w14:textId="77777777" w:rsidR="00332C33" w:rsidRPr="002451B6" w:rsidRDefault="00000000">
            <w:pP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lastRenderedPageBreak/>
              <w:t>Filme / Cena selecionada</w:t>
            </w:r>
          </w:p>
        </w:tc>
        <w:tc>
          <w:tcPr>
            <w:tcW w:w="1701" w:type="dxa"/>
            <w:shd w:val="clear" w:color="auto" w:fill="F2F2F2"/>
          </w:tcPr>
          <w:p w14:paraId="676C085A"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Categorias temáticas</w:t>
            </w:r>
          </w:p>
        </w:tc>
        <w:tc>
          <w:tcPr>
            <w:tcW w:w="3119" w:type="dxa"/>
            <w:shd w:val="clear" w:color="auto" w:fill="F2F2F2"/>
          </w:tcPr>
          <w:p w14:paraId="3689619A"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Antes do episódio</w:t>
            </w:r>
          </w:p>
          <w:p w14:paraId="4F7222EB"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(violência psicológica encoberta)</w:t>
            </w:r>
          </w:p>
        </w:tc>
        <w:tc>
          <w:tcPr>
            <w:tcW w:w="3543" w:type="dxa"/>
            <w:shd w:val="clear" w:color="auto" w:fill="F2F2F2"/>
          </w:tcPr>
          <w:p w14:paraId="68B26045"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Durante o episódio</w:t>
            </w:r>
          </w:p>
          <w:p w14:paraId="1E241B2C"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(violência psicológica explícita)</w:t>
            </w:r>
          </w:p>
        </w:tc>
      </w:tr>
      <w:tr w:rsidR="002451B6" w:rsidRPr="002451B6" w14:paraId="105FA2F6" w14:textId="77777777">
        <w:trPr>
          <w:trHeight w:val="576"/>
        </w:trPr>
        <w:tc>
          <w:tcPr>
            <w:tcW w:w="1843" w:type="dxa"/>
            <w:vMerge w:val="restart"/>
          </w:tcPr>
          <w:p w14:paraId="4967C60D"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i/>
                <w:iCs/>
                <w:sz w:val="20"/>
                <w:szCs w:val="20"/>
              </w:rPr>
              <w:t>Amores perros</w:t>
            </w:r>
            <w:r w:rsidRPr="002451B6">
              <w:rPr>
                <w:rFonts w:ascii="Times New Roman" w:eastAsia="Times New Roman" w:hAnsi="Times New Roman" w:cs="Times New Roman"/>
                <w:sz w:val="20"/>
                <w:szCs w:val="20"/>
              </w:rPr>
              <w:t xml:space="preserve"> / Ramiro culpa Susana por não lavar bem o seu uniforme de trabalho. </w:t>
            </w:r>
          </w:p>
          <w:p w14:paraId="2D25BBE9" w14:textId="77777777" w:rsidR="00332C33" w:rsidRPr="002451B6" w:rsidRDefault="00332C33">
            <w:pPr>
              <w:jc w:val="both"/>
              <w:rPr>
                <w:rFonts w:ascii="Times New Roman" w:eastAsia="Times New Roman" w:hAnsi="Times New Roman" w:cs="Times New Roman"/>
                <w:b/>
                <w:bCs/>
                <w:sz w:val="20"/>
                <w:szCs w:val="20"/>
              </w:rPr>
            </w:pPr>
          </w:p>
        </w:tc>
        <w:tc>
          <w:tcPr>
            <w:tcW w:w="1701" w:type="dxa"/>
          </w:tcPr>
          <w:p w14:paraId="1BA6B5A9"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Descrição geral</w:t>
            </w:r>
          </w:p>
          <w:p w14:paraId="6593C9F7"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71B8040F"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O homem culpa a mulher por algo </w:t>
            </w:r>
            <w:proofErr w:type="gramStart"/>
            <w:r w:rsidRPr="002451B6">
              <w:rPr>
                <w:rFonts w:ascii="Times New Roman" w:eastAsia="Times New Roman" w:hAnsi="Times New Roman" w:cs="Times New Roman"/>
                <w:sz w:val="20"/>
                <w:szCs w:val="20"/>
              </w:rPr>
              <w:t>mal feito</w:t>
            </w:r>
            <w:proofErr w:type="gramEnd"/>
            <w:r w:rsidRPr="002451B6">
              <w:rPr>
                <w:rFonts w:ascii="Times New Roman" w:eastAsia="Times New Roman" w:hAnsi="Times New Roman" w:cs="Times New Roman"/>
                <w:sz w:val="20"/>
                <w:szCs w:val="20"/>
              </w:rPr>
              <w:t>, com base na lógica dele.</w:t>
            </w:r>
          </w:p>
          <w:p w14:paraId="3B80B2E7" w14:textId="77777777" w:rsidR="00332C33" w:rsidRPr="002451B6" w:rsidRDefault="00332C33">
            <w:pPr>
              <w:jc w:val="both"/>
              <w:rPr>
                <w:rFonts w:ascii="Times New Roman" w:eastAsia="Times New Roman" w:hAnsi="Times New Roman" w:cs="Times New Roman"/>
                <w:sz w:val="20"/>
                <w:szCs w:val="20"/>
              </w:rPr>
            </w:pPr>
          </w:p>
        </w:tc>
        <w:tc>
          <w:tcPr>
            <w:tcW w:w="3543" w:type="dxa"/>
          </w:tcPr>
          <w:p w14:paraId="535C20B5"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Desqualificações, insultos, reclamações, desvalorizações. Insulta Susana e coloca a camisa por cima, para que ela lave novamente.</w:t>
            </w:r>
          </w:p>
        </w:tc>
      </w:tr>
      <w:tr w:rsidR="002451B6" w:rsidRPr="002451B6" w14:paraId="770E5B78" w14:textId="77777777">
        <w:trPr>
          <w:trHeight w:val="576"/>
        </w:trPr>
        <w:tc>
          <w:tcPr>
            <w:tcW w:w="1843" w:type="dxa"/>
            <w:vMerge/>
          </w:tcPr>
          <w:p w14:paraId="3FFB7DBA"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2E13118D"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Dimensão verbal</w:t>
            </w:r>
          </w:p>
          <w:p w14:paraId="2C9524EB"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70B604EA"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Ramiro: </w:t>
            </w:r>
            <w:r w:rsidRPr="002451B6">
              <w:rPr>
                <w:rFonts w:ascii="Times New Roman" w:eastAsia="Times New Roman" w:hAnsi="Times New Roman" w:cs="Times New Roman"/>
                <w:i/>
                <w:iCs/>
                <w:sz w:val="20"/>
                <w:szCs w:val="20"/>
              </w:rPr>
              <w:t>“Susana você colocou água sanitária no meu uniforme”?</w:t>
            </w:r>
          </w:p>
        </w:tc>
        <w:tc>
          <w:tcPr>
            <w:tcW w:w="3543" w:type="dxa"/>
          </w:tcPr>
          <w:p w14:paraId="11E77208"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Ramiro: </w:t>
            </w:r>
            <w:r w:rsidRPr="002451B6">
              <w:rPr>
                <w:rFonts w:ascii="Times New Roman" w:eastAsia="Times New Roman" w:hAnsi="Times New Roman" w:cs="Times New Roman"/>
                <w:i/>
                <w:iCs/>
                <w:sz w:val="20"/>
                <w:szCs w:val="20"/>
              </w:rPr>
              <w:t xml:space="preserve">“Olha como ele ficou! E </w:t>
            </w:r>
            <w:proofErr w:type="spellStart"/>
            <w:r w:rsidRPr="002451B6">
              <w:rPr>
                <w:rFonts w:ascii="Times New Roman" w:eastAsia="Times New Roman" w:hAnsi="Times New Roman" w:cs="Times New Roman"/>
                <w:i/>
                <w:iCs/>
                <w:sz w:val="20"/>
                <w:szCs w:val="20"/>
              </w:rPr>
              <w:t>coffi</w:t>
            </w:r>
            <w:proofErr w:type="spellEnd"/>
            <w:r w:rsidRPr="002451B6">
              <w:rPr>
                <w:rFonts w:ascii="Times New Roman" w:eastAsia="Times New Roman" w:hAnsi="Times New Roman" w:cs="Times New Roman"/>
                <w:i/>
                <w:iCs/>
                <w:sz w:val="20"/>
                <w:szCs w:val="20"/>
              </w:rPr>
              <w:t>, onde está o cachorro?”.</w:t>
            </w:r>
          </w:p>
        </w:tc>
      </w:tr>
      <w:tr w:rsidR="002451B6" w:rsidRPr="002451B6" w14:paraId="00FF979F" w14:textId="77777777">
        <w:trPr>
          <w:trHeight w:val="576"/>
        </w:trPr>
        <w:tc>
          <w:tcPr>
            <w:tcW w:w="1843" w:type="dxa"/>
            <w:vMerge/>
          </w:tcPr>
          <w:p w14:paraId="7CD7FE21"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053D3BC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Mensagem</w:t>
            </w:r>
          </w:p>
          <w:p w14:paraId="192B7B58"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342792F8"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A mulher faz as coisas malfeitas e, por isso, o homem é violento.</w:t>
            </w:r>
          </w:p>
        </w:tc>
        <w:tc>
          <w:tcPr>
            <w:tcW w:w="3543" w:type="dxa"/>
          </w:tcPr>
          <w:p w14:paraId="6D3E102E"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O homem corrige a mulher por seu comportamento errado.</w:t>
            </w:r>
          </w:p>
        </w:tc>
      </w:tr>
      <w:tr w:rsidR="002451B6" w:rsidRPr="002451B6" w14:paraId="47E3627E" w14:textId="77777777">
        <w:trPr>
          <w:trHeight w:val="60"/>
        </w:trPr>
        <w:tc>
          <w:tcPr>
            <w:tcW w:w="1843" w:type="dxa"/>
            <w:vMerge/>
          </w:tcPr>
          <w:p w14:paraId="6868593E"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06349F5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Estereótipo</w:t>
            </w:r>
          </w:p>
        </w:tc>
        <w:tc>
          <w:tcPr>
            <w:tcW w:w="3119" w:type="dxa"/>
          </w:tcPr>
          <w:p w14:paraId="2BD2205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Mulher inútil.</w:t>
            </w:r>
          </w:p>
        </w:tc>
        <w:tc>
          <w:tcPr>
            <w:tcW w:w="3543" w:type="dxa"/>
          </w:tcPr>
          <w:p w14:paraId="373002AC"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Homem capaz.</w:t>
            </w:r>
          </w:p>
        </w:tc>
      </w:tr>
      <w:tr w:rsidR="002451B6" w:rsidRPr="002451B6" w14:paraId="5FE48292" w14:textId="77777777">
        <w:tc>
          <w:tcPr>
            <w:tcW w:w="1843" w:type="dxa"/>
            <w:shd w:val="clear" w:color="auto" w:fill="F2F2F2"/>
          </w:tcPr>
          <w:p w14:paraId="794645B9" w14:textId="77777777" w:rsidR="00332C33" w:rsidRPr="002451B6" w:rsidRDefault="00000000">
            <w:pP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Filme / Cena selecionada</w:t>
            </w:r>
          </w:p>
        </w:tc>
        <w:tc>
          <w:tcPr>
            <w:tcW w:w="1701" w:type="dxa"/>
            <w:shd w:val="clear" w:color="auto" w:fill="F2F2F2"/>
          </w:tcPr>
          <w:p w14:paraId="17EDD520"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Categorias temáticas</w:t>
            </w:r>
          </w:p>
        </w:tc>
        <w:tc>
          <w:tcPr>
            <w:tcW w:w="3119" w:type="dxa"/>
            <w:shd w:val="clear" w:color="auto" w:fill="F2F2F2"/>
          </w:tcPr>
          <w:p w14:paraId="1A15FD7A"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Antes do episódio</w:t>
            </w:r>
          </w:p>
          <w:p w14:paraId="58A9E46C"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(violência psicológica encoberta)</w:t>
            </w:r>
          </w:p>
        </w:tc>
        <w:tc>
          <w:tcPr>
            <w:tcW w:w="3543" w:type="dxa"/>
            <w:shd w:val="clear" w:color="auto" w:fill="F2F2F2"/>
          </w:tcPr>
          <w:p w14:paraId="08ACD86E"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Durante o episódio</w:t>
            </w:r>
          </w:p>
          <w:p w14:paraId="69F7BB97" w14:textId="77777777" w:rsidR="00332C33" w:rsidRPr="002451B6" w:rsidRDefault="00000000">
            <w:pPr>
              <w:jc w:val="center"/>
              <w:rPr>
                <w:rFonts w:ascii="Times New Roman" w:eastAsia="Times New Roman" w:hAnsi="Times New Roman" w:cs="Times New Roman"/>
                <w:b/>
                <w:bCs/>
                <w:sz w:val="20"/>
                <w:szCs w:val="20"/>
              </w:rPr>
            </w:pPr>
            <w:r w:rsidRPr="002451B6">
              <w:rPr>
                <w:rFonts w:ascii="Times New Roman" w:eastAsia="Times New Roman" w:hAnsi="Times New Roman" w:cs="Times New Roman"/>
                <w:b/>
                <w:bCs/>
                <w:sz w:val="20"/>
                <w:szCs w:val="20"/>
              </w:rPr>
              <w:t>(violência física e psicológica explícita)</w:t>
            </w:r>
          </w:p>
        </w:tc>
      </w:tr>
      <w:tr w:rsidR="002451B6" w:rsidRPr="002451B6" w14:paraId="5B3B723F" w14:textId="77777777">
        <w:trPr>
          <w:trHeight w:val="580"/>
        </w:trPr>
        <w:tc>
          <w:tcPr>
            <w:tcW w:w="1843" w:type="dxa"/>
            <w:vMerge w:val="restart"/>
          </w:tcPr>
          <w:p w14:paraId="5C71F866" w14:textId="77777777" w:rsidR="00332C33" w:rsidRPr="002451B6" w:rsidRDefault="00000000">
            <w:pPr>
              <w:jc w:val="both"/>
              <w:rPr>
                <w:rFonts w:ascii="Times New Roman" w:eastAsia="Times New Roman" w:hAnsi="Times New Roman" w:cs="Times New Roman"/>
                <w:sz w:val="20"/>
                <w:szCs w:val="20"/>
              </w:rPr>
            </w:pPr>
            <w:proofErr w:type="spellStart"/>
            <w:r w:rsidRPr="002451B6">
              <w:rPr>
                <w:rFonts w:ascii="Times New Roman" w:eastAsia="Times New Roman" w:hAnsi="Times New Roman" w:cs="Times New Roman"/>
                <w:i/>
                <w:iCs/>
                <w:sz w:val="20"/>
                <w:szCs w:val="20"/>
              </w:rPr>
              <w:t>Cicatrices</w:t>
            </w:r>
            <w:proofErr w:type="spellEnd"/>
            <w:r w:rsidRPr="002451B6">
              <w:rPr>
                <w:rFonts w:ascii="Times New Roman" w:eastAsia="Times New Roman" w:hAnsi="Times New Roman" w:cs="Times New Roman"/>
                <w:sz w:val="20"/>
                <w:szCs w:val="20"/>
              </w:rPr>
              <w:t xml:space="preserve"> / No carro, Julián agride Clara, física e psicologicamente.</w:t>
            </w:r>
          </w:p>
          <w:p w14:paraId="1B534756" w14:textId="77777777" w:rsidR="00332C33" w:rsidRPr="002451B6" w:rsidRDefault="00332C33">
            <w:pPr>
              <w:jc w:val="both"/>
              <w:rPr>
                <w:rFonts w:ascii="Times New Roman" w:eastAsia="Times New Roman" w:hAnsi="Times New Roman" w:cs="Times New Roman"/>
                <w:b/>
                <w:bCs/>
                <w:sz w:val="20"/>
                <w:szCs w:val="20"/>
              </w:rPr>
            </w:pPr>
          </w:p>
        </w:tc>
        <w:tc>
          <w:tcPr>
            <w:tcW w:w="1701" w:type="dxa"/>
          </w:tcPr>
          <w:p w14:paraId="64E45F65"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Descrição geral</w:t>
            </w:r>
          </w:p>
          <w:p w14:paraId="282C8587"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4F0B4BB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A mulher deixa o homem envergonhado em público.</w:t>
            </w:r>
          </w:p>
          <w:p w14:paraId="7F652DE8" w14:textId="77777777" w:rsidR="00332C33" w:rsidRPr="002451B6" w:rsidRDefault="00332C33">
            <w:pPr>
              <w:jc w:val="both"/>
              <w:rPr>
                <w:rFonts w:ascii="Times New Roman" w:eastAsia="Times New Roman" w:hAnsi="Times New Roman" w:cs="Times New Roman"/>
                <w:sz w:val="20"/>
                <w:szCs w:val="20"/>
              </w:rPr>
            </w:pPr>
          </w:p>
        </w:tc>
        <w:tc>
          <w:tcPr>
            <w:tcW w:w="3543" w:type="dxa"/>
          </w:tcPr>
          <w:p w14:paraId="679F097A"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Julián bate nela quando ela está no carro. Bate e puxa o cabelo. Desqualificações, insultos, reclamações, desvalorizações.</w:t>
            </w:r>
          </w:p>
        </w:tc>
      </w:tr>
      <w:tr w:rsidR="002451B6" w:rsidRPr="002451B6" w14:paraId="35354364" w14:textId="77777777">
        <w:trPr>
          <w:trHeight w:val="579"/>
        </w:trPr>
        <w:tc>
          <w:tcPr>
            <w:tcW w:w="1843" w:type="dxa"/>
            <w:vMerge/>
          </w:tcPr>
          <w:p w14:paraId="129ACE6E"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57EE08E2"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Dimensão verbal</w:t>
            </w:r>
          </w:p>
          <w:p w14:paraId="61D7A569"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28F188C9"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i/>
                <w:iCs/>
                <w:sz w:val="20"/>
                <w:szCs w:val="20"/>
              </w:rPr>
              <w:t>“Me deixe em paz!” -</w:t>
            </w:r>
            <w:r w:rsidRPr="002451B6">
              <w:rPr>
                <w:rFonts w:ascii="Times New Roman" w:eastAsia="Times New Roman" w:hAnsi="Times New Roman" w:cs="Times New Roman"/>
                <w:sz w:val="20"/>
                <w:szCs w:val="20"/>
              </w:rPr>
              <w:t xml:space="preserve"> Clara diz a Julián, na festa de um amigo.</w:t>
            </w:r>
          </w:p>
        </w:tc>
        <w:tc>
          <w:tcPr>
            <w:tcW w:w="3543" w:type="dxa"/>
          </w:tcPr>
          <w:p w14:paraId="5519401D"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Julián</w:t>
            </w:r>
            <w:r w:rsidRPr="002451B6">
              <w:rPr>
                <w:rFonts w:ascii="Times New Roman" w:eastAsia="Times New Roman" w:hAnsi="Times New Roman" w:cs="Times New Roman"/>
                <w:i/>
                <w:iCs/>
                <w:sz w:val="20"/>
                <w:szCs w:val="20"/>
              </w:rPr>
              <w:t>: “Clara, como é possível que você me faça parecer ridículo</w:t>
            </w:r>
            <w:r w:rsidRPr="002451B6">
              <w:rPr>
                <w:rFonts w:ascii="Times New Roman" w:eastAsia="Times New Roman" w:hAnsi="Times New Roman" w:cs="Times New Roman"/>
                <w:sz w:val="20"/>
                <w:szCs w:val="20"/>
              </w:rPr>
              <w:t xml:space="preserve"> </w:t>
            </w:r>
            <w:r w:rsidRPr="002451B6">
              <w:rPr>
                <w:rFonts w:ascii="Times New Roman" w:eastAsia="Times New Roman" w:hAnsi="Times New Roman" w:cs="Times New Roman"/>
                <w:i/>
                <w:iCs/>
                <w:sz w:val="20"/>
                <w:szCs w:val="20"/>
              </w:rPr>
              <w:t>assim? Que grande coisa você se jogou”.</w:t>
            </w:r>
          </w:p>
          <w:p w14:paraId="44BD821C"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Clara</w:t>
            </w:r>
            <w:r w:rsidRPr="002451B6">
              <w:rPr>
                <w:rFonts w:ascii="Times New Roman" w:eastAsia="Times New Roman" w:hAnsi="Times New Roman" w:cs="Times New Roman"/>
                <w:i/>
                <w:iCs/>
                <w:sz w:val="20"/>
                <w:szCs w:val="20"/>
              </w:rPr>
              <w:t>: “Cale a boca, pare de me insultar, eu não queria vir”.</w:t>
            </w:r>
          </w:p>
        </w:tc>
      </w:tr>
      <w:tr w:rsidR="002451B6" w:rsidRPr="002451B6" w14:paraId="16A20923" w14:textId="77777777">
        <w:trPr>
          <w:trHeight w:val="579"/>
        </w:trPr>
        <w:tc>
          <w:tcPr>
            <w:tcW w:w="1843" w:type="dxa"/>
            <w:vMerge/>
          </w:tcPr>
          <w:p w14:paraId="57671749"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28F5420F"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Mensagem</w:t>
            </w:r>
          </w:p>
          <w:p w14:paraId="63F3FA8F" w14:textId="77777777" w:rsidR="00332C33" w:rsidRPr="002451B6" w:rsidRDefault="00332C33">
            <w:pPr>
              <w:jc w:val="both"/>
              <w:rPr>
                <w:rFonts w:ascii="Times New Roman" w:eastAsia="Times New Roman" w:hAnsi="Times New Roman" w:cs="Times New Roman"/>
                <w:sz w:val="20"/>
                <w:szCs w:val="20"/>
              </w:rPr>
            </w:pPr>
          </w:p>
        </w:tc>
        <w:tc>
          <w:tcPr>
            <w:tcW w:w="3119" w:type="dxa"/>
          </w:tcPr>
          <w:p w14:paraId="21E03A3C"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A mulher reivindica algo e, por esse motivo, o homem é violento.</w:t>
            </w:r>
          </w:p>
        </w:tc>
        <w:tc>
          <w:tcPr>
            <w:tcW w:w="3543" w:type="dxa"/>
          </w:tcPr>
          <w:p w14:paraId="3226D40F"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O homem corrige a mulher por seu comportamento errado.</w:t>
            </w:r>
          </w:p>
        </w:tc>
      </w:tr>
      <w:tr w:rsidR="002451B6" w:rsidRPr="002451B6" w14:paraId="7DCB1CAD" w14:textId="77777777">
        <w:trPr>
          <w:trHeight w:val="60"/>
        </w:trPr>
        <w:tc>
          <w:tcPr>
            <w:tcW w:w="1843" w:type="dxa"/>
            <w:vMerge/>
          </w:tcPr>
          <w:p w14:paraId="61453457" w14:textId="77777777" w:rsidR="00332C33" w:rsidRPr="002451B6" w:rsidRDefault="00332C33">
            <w:pPr>
              <w:widowControl w:val="0"/>
              <w:spacing w:line="276" w:lineRule="auto"/>
              <w:rPr>
                <w:rFonts w:ascii="Times New Roman" w:eastAsia="Times New Roman" w:hAnsi="Times New Roman" w:cs="Times New Roman"/>
                <w:sz w:val="20"/>
                <w:szCs w:val="20"/>
              </w:rPr>
            </w:pPr>
          </w:p>
        </w:tc>
        <w:tc>
          <w:tcPr>
            <w:tcW w:w="1701" w:type="dxa"/>
          </w:tcPr>
          <w:p w14:paraId="36F5E963"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Estereótipo</w:t>
            </w:r>
          </w:p>
        </w:tc>
        <w:tc>
          <w:tcPr>
            <w:tcW w:w="3119" w:type="dxa"/>
          </w:tcPr>
          <w:p w14:paraId="13075781"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 xml:space="preserve"> Mulher submissa.</w:t>
            </w:r>
          </w:p>
        </w:tc>
        <w:tc>
          <w:tcPr>
            <w:tcW w:w="3543" w:type="dxa"/>
          </w:tcPr>
          <w:p w14:paraId="1BB4AFDB" w14:textId="77777777" w:rsidR="00332C33" w:rsidRPr="002451B6" w:rsidRDefault="00000000">
            <w:pPr>
              <w:jc w:val="both"/>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rPr>
              <w:t>Homem capaz.</w:t>
            </w:r>
          </w:p>
        </w:tc>
      </w:tr>
    </w:tbl>
    <w:p w14:paraId="74181AEC" w14:textId="77777777" w:rsidR="00332C33" w:rsidRPr="002451B6" w:rsidRDefault="00000000">
      <w:pPr>
        <w:spacing w:before="240" w:after="240"/>
        <w:jc w:val="both"/>
        <w:rPr>
          <w:rFonts w:ascii="Times New Roman" w:eastAsia="Times New Roman" w:hAnsi="Times New Roman" w:cs="Times New Roman"/>
          <w:b/>
          <w:bCs/>
          <w:sz w:val="16"/>
          <w:szCs w:val="16"/>
        </w:rPr>
      </w:pPr>
      <w:r w:rsidRPr="002451B6">
        <w:rPr>
          <w:rFonts w:ascii="Times New Roman" w:eastAsia="Times New Roman" w:hAnsi="Times New Roman" w:cs="Times New Roman"/>
          <w:i/>
          <w:iCs/>
          <w:sz w:val="16"/>
          <w:szCs w:val="16"/>
          <w:highlight w:val="white"/>
        </w:rPr>
        <w:t>Fonte: Elaborado pelos autores.</w:t>
      </w:r>
      <w:r w:rsidRPr="002451B6">
        <w:rPr>
          <w:rFonts w:ascii="Times New Roman" w:eastAsia="Times New Roman" w:hAnsi="Times New Roman" w:cs="Times New Roman"/>
          <w:b/>
          <w:bCs/>
          <w:sz w:val="16"/>
          <w:szCs w:val="16"/>
        </w:rPr>
        <w:t xml:space="preserve"> </w:t>
      </w:r>
    </w:p>
    <w:p w14:paraId="5BCDB629"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Essa dinâmica de provocação-agressão, se não aparece de maneira verbal evidente quando o homem reivindica ou culpa a mulher por algo, aparece indireta ou sutilmente quando o homem reage agressivamente, atingindo-a e passando a mensagem de que a responsabilidade pela violência recebida é da mulher. Essa construção tem um forte peso simbólico contra as mulheres, porque afirma que ela é a culpada ou responsável. A mulher é vítima, portanto, de violência de diferentes ordens (física, psicológica, verbal, sexual e economicamente), mas, ao mesmo tempo, é vista como responsável por causar tal violência.</w:t>
      </w:r>
    </w:p>
    <w:p w14:paraId="7DD2286B"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Constatou-se que essa dinâmica também ocorreu nos episódios de violência psicológica, demonstrando que há uma justificativa em que a mulher é culpada pelos comportamentos violentos que recebe. No filme </w:t>
      </w:r>
      <w:proofErr w:type="spellStart"/>
      <w:r w:rsidRPr="002451B6">
        <w:rPr>
          <w:rFonts w:ascii="Times New Roman" w:eastAsia="Times New Roman" w:hAnsi="Times New Roman" w:cs="Times New Roman"/>
          <w:i/>
          <w:iCs/>
          <w:sz w:val="24"/>
          <w:szCs w:val="24"/>
        </w:rPr>
        <w:t>Cicatrices</w:t>
      </w:r>
      <w:proofErr w:type="spellEnd"/>
      <w:r w:rsidRPr="002451B6">
        <w:rPr>
          <w:rFonts w:ascii="Times New Roman" w:eastAsia="Times New Roman" w:hAnsi="Times New Roman" w:cs="Times New Roman"/>
          <w:sz w:val="24"/>
          <w:szCs w:val="24"/>
        </w:rPr>
        <w:t xml:space="preserve">: a irmã de Clara a culpa pelos ataques que recebe de Julián, dizendo: </w:t>
      </w:r>
      <w:r w:rsidRPr="002451B6">
        <w:rPr>
          <w:rFonts w:ascii="Times New Roman" w:eastAsia="Times New Roman" w:hAnsi="Times New Roman" w:cs="Times New Roman"/>
          <w:i/>
          <w:iCs/>
          <w:sz w:val="24"/>
          <w:szCs w:val="24"/>
        </w:rPr>
        <w:t>“A culpa é sua, ele manda em você porque você permite, precisa enfiar as unhas, tem que enfrentá-lo. Caso contrário, ele continuará tratando você assim! É por isso que eu trato o meu marido como eu quero” (</w:t>
      </w:r>
      <w:r w:rsidRPr="002451B6">
        <w:rPr>
          <w:rFonts w:ascii="Times New Roman" w:eastAsia="Times New Roman" w:hAnsi="Times New Roman" w:cs="Times New Roman"/>
          <w:sz w:val="24"/>
          <w:szCs w:val="24"/>
        </w:rPr>
        <w:t>Del Toro, México, 2005)</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Mudar o vetor da culpa ao responsabilizar as mulheres minimiza a responsabilidade do agressor, descriminaliza o fato removendo o peso moral da agressão e nega a existência de violência, pois é vista predominantemente como ação corretiva, educacional, merecida e até necessária. Ao culpar a </w:t>
      </w:r>
      <w:r w:rsidRPr="002451B6">
        <w:rPr>
          <w:rFonts w:ascii="Times New Roman" w:eastAsia="Times New Roman" w:hAnsi="Times New Roman" w:cs="Times New Roman"/>
          <w:sz w:val="24"/>
          <w:szCs w:val="24"/>
        </w:rPr>
        <w:lastRenderedPageBreak/>
        <w:t>vítima, a violência é tolerada e a probabilidade de que ela procure ajuda é reduzida (Alencar-Rodrigues, 2016).</w:t>
      </w:r>
    </w:p>
    <w:p w14:paraId="026595CC"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agressões contra as mulheres, geralmente, são retratadas no cinema de maneira trivial, inconsequente, inexistente, divertida e até cômica, raramente a instância do narrador tendo um olhar de desaprovação ou rejeição (Aguilar, 2012). Na maioria das cenas em que a violência ocorre entre o casal, é transmitida a mensagem de que os homens que amam ou amaram mulheres são os que cometem atos de violência porque tiveram um relacionamento romântico. Acontece também que, após a agressão, o amor surge e o relacionamento afetivo começa. Em outras palavras, “o cinema justifica o fato de que os parceiros românticos agridem suas parceiras e que ambos mantêm um relacionamento apesar do conflito, ou seja, que os atos violentos não diminuem sua paixão por eles ou vice-versa” (Hernández, 2014, p. 10). Observa-se que muitas pessoas culpam a mulher abusada por sua situação e por continuar o relacionamento com o agressor, o que é terrível, porque o vínculo emocional que o próprio abuso implica está sendo ignorado (Domínguez &amp; Rodríguez, 2012).</w:t>
      </w:r>
    </w:p>
    <w:p w14:paraId="0E306F94"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 xml:space="preserve">A percepção que as pessoas têm da violência de gênero está muito ligada ao tratamento que esse fenômeno recebe pela mídia, e, ainda que não sejam diretamente responsáveis ​​pela violência de gênero, contribuem para gerar estados de opinião e avaliação sobre ela (Herrera &amp; Expósito, </w:t>
      </w:r>
      <w:r w:rsidRPr="002451B6">
        <w:rPr>
          <w:rFonts w:ascii="Times New Roman" w:eastAsia="Times New Roman" w:hAnsi="Times New Roman" w:cs="Times New Roman"/>
          <w:sz w:val="24"/>
          <w:szCs w:val="24"/>
          <w:highlight w:val="white"/>
        </w:rPr>
        <w:t xml:space="preserve">2009).  </w:t>
      </w:r>
      <w:r w:rsidRPr="002451B6">
        <w:rPr>
          <w:rFonts w:ascii="Times New Roman" w:eastAsia="Times New Roman" w:hAnsi="Times New Roman" w:cs="Times New Roman"/>
          <w:sz w:val="24"/>
          <w:szCs w:val="24"/>
        </w:rPr>
        <w:t>As atitudes sexistas e tolerantes ao uso da violência são um importante fator de risco para o surgimento da violência contra as mulheres, bem como as crenças distorcidas sobre o amor, que servem de justificativa para sua ocorrência (</w:t>
      </w:r>
      <w:r w:rsidRPr="002451B6">
        <w:rPr>
          <w:rFonts w:ascii="Times New Roman" w:eastAsia="Times New Roman" w:hAnsi="Times New Roman" w:cs="Times New Roman"/>
          <w:sz w:val="24"/>
          <w:szCs w:val="24"/>
          <w:highlight w:val="white"/>
        </w:rPr>
        <w:t xml:space="preserve">Pérez, Moura &amp; Garcia, 2024). </w:t>
      </w:r>
      <w:r w:rsidRPr="002451B6">
        <w:rPr>
          <w:rFonts w:ascii="Times New Roman" w:eastAsia="Times New Roman" w:hAnsi="Times New Roman" w:cs="Times New Roman"/>
          <w:sz w:val="24"/>
          <w:szCs w:val="24"/>
        </w:rPr>
        <w:t xml:space="preserve"> Aparecem justificativas ou motivos (como uso de álcool, ciúme, brigas, transtorno psicológico do </w:t>
      </w:r>
      <w:proofErr w:type="gramStart"/>
      <w:r w:rsidRPr="002451B6">
        <w:rPr>
          <w:rFonts w:ascii="Times New Roman" w:eastAsia="Times New Roman" w:hAnsi="Times New Roman" w:cs="Times New Roman"/>
          <w:sz w:val="24"/>
          <w:szCs w:val="24"/>
        </w:rPr>
        <w:t>agressor, etc.</w:t>
      </w:r>
      <w:proofErr w:type="gramEnd"/>
      <w:r w:rsidRPr="002451B6">
        <w:rPr>
          <w:rFonts w:ascii="Times New Roman" w:eastAsia="Times New Roman" w:hAnsi="Times New Roman" w:cs="Times New Roman"/>
          <w:sz w:val="24"/>
          <w:szCs w:val="24"/>
        </w:rPr>
        <w:t>) que se apresentam como possíveis causas e motivações para o ato violento (</w:t>
      </w:r>
      <w:proofErr w:type="spellStart"/>
      <w:r w:rsidRPr="002451B6">
        <w:rPr>
          <w:rFonts w:ascii="Times New Roman" w:eastAsia="Times New Roman" w:hAnsi="Times New Roman" w:cs="Times New Roman"/>
          <w:sz w:val="24"/>
          <w:szCs w:val="24"/>
        </w:rPr>
        <w:t>Algovia</w:t>
      </w:r>
      <w:proofErr w:type="spellEnd"/>
      <w:r w:rsidRPr="002451B6">
        <w:rPr>
          <w:rFonts w:ascii="Times New Roman" w:eastAsia="Times New Roman" w:hAnsi="Times New Roman" w:cs="Times New Roman"/>
          <w:sz w:val="24"/>
          <w:szCs w:val="24"/>
        </w:rPr>
        <w:t xml:space="preserve">, Rivero &amp; Cabrera, 2017). </w:t>
      </w:r>
      <w:r w:rsidRPr="002451B6">
        <w:rPr>
          <w:rFonts w:ascii="Times New Roman" w:eastAsia="Times New Roman" w:hAnsi="Times New Roman" w:cs="Times New Roman"/>
          <w:sz w:val="24"/>
          <w:szCs w:val="24"/>
          <w:highlight w:val="white"/>
        </w:rPr>
        <w:t>Também os papéis tradicionais de gênero na relação do casal podem constituir-se como fator para justificativa à violência, maior atribuição de culpa às vítimas (e vitimização do agressor), minimização da gravidade da violência e sexismos</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highlight w:val="white"/>
        </w:rPr>
        <w:t>Garaigordobil</w:t>
      </w:r>
      <w:proofErr w:type="spellEnd"/>
      <w:r w:rsidRPr="002451B6">
        <w:rPr>
          <w:rFonts w:ascii="Times New Roman" w:eastAsia="Times New Roman" w:hAnsi="Times New Roman" w:cs="Times New Roman"/>
          <w:sz w:val="24"/>
          <w:szCs w:val="24"/>
          <w:highlight w:val="white"/>
        </w:rPr>
        <w:t xml:space="preserve"> &amp; </w:t>
      </w:r>
      <w:proofErr w:type="spellStart"/>
      <w:r w:rsidRPr="002451B6">
        <w:rPr>
          <w:rFonts w:ascii="Times New Roman" w:eastAsia="Times New Roman" w:hAnsi="Times New Roman" w:cs="Times New Roman"/>
          <w:sz w:val="24"/>
          <w:szCs w:val="24"/>
          <w:highlight w:val="white"/>
        </w:rPr>
        <w:t>Aliri</w:t>
      </w:r>
      <w:proofErr w:type="spellEnd"/>
      <w:r w:rsidRPr="002451B6">
        <w:rPr>
          <w:rFonts w:ascii="Times New Roman" w:eastAsia="Times New Roman" w:hAnsi="Times New Roman" w:cs="Times New Roman"/>
          <w:sz w:val="24"/>
          <w:szCs w:val="24"/>
          <w:highlight w:val="white"/>
        </w:rPr>
        <w:t>, 2013).</w:t>
      </w:r>
    </w:p>
    <w:p w14:paraId="73354AA5" w14:textId="77777777" w:rsidR="00332C33" w:rsidRPr="002451B6" w:rsidRDefault="00000000">
      <w:pPr>
        <w:spacing w:before="240" w:after="240"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Da mesma forma, essa construção midiática transmite mensagens ocultas em relação às mulheres, tais como: (i) "as mulheres precisam ser passivas e submissas, porque, se não forem, elas receberão violência quando discordarem de seus parceiros" - coloca as mulheres como seres que têm que suportar a violência, porque desafiam a vontade masculina; (</w:t>
      </w:r>
      <w:proofErr w:type="spellStart"/>
      <w:r w:rsidRPr="002451B6">
        <w:rPr>
          <w:rFonts w:ascii="Times New Roman" w:eastAsia="Times New Roman" w:hAnsi="Times New Roman" w:cs="Times New Roman"/>
          <w:sz w:val="24"/>
          <w:szCs w:val="24"/>
        </w:rPr>
        <w:t>ii</w:t>
      </w:r>
      <w:proofErr w:type="spellEnd"/>
      <w:r w:rsidRPr="002451B6">
        <w:rPr>
          <w:rFonts w:ascii="Times New Roman" w:eastAsia="Times New Roman" w:hAnsi="Times New Roman" w:cs="Times New Roman"/>
          <w:sz w:val="24"/>
          <w:szCs w:val="24"/>
        </w:rPr>
        <w:t>) “É culpa das mulheres que o homem seja violento com ela” ou “as mulheres não sabem ou não podem fazer bem as coisas” - associam às mulheres representadas a ideia de deficiência, inferioridade e incapacidade. E em relação aos homens: (</w:t>
      </w:r>
      <w:proofErr w:type="spellStart"/>
      <w:r w:rsidRPr="002451B6">
        <w:rPr>
          <w:rFonts w:ascii="Times New Roman" w:eastAsia="Times New Roman" w:hAnsi="Times New Roman" w:cs="Times New Roman"/>
          <w:sz w:val="24"/>
          <w:szCs w:val="24"/>
        </w:rPr>
        <w:t>iii</w:t>
      </w:r>
      <w:proofErr w:type="spellEnd"/>
      <w:r w:rsidRPr="002451B6">
        <w:rPr>
          <w:rFonts w:ascii="Times New Roman" w:eastAsia="Times New Roman" w:hAnsi="Times New Roman" w:cs="Times New Roman"/>
          <w:sz w:val="24"/>
          <w:szCs w:val="24"/>
        </w:rPr>
        <w:t xml:space="preserve">) "o homem está certo; então, ele corrige a mulher </w:t>
      </w:r>
      <w:r w:rsidRPr="002451B6">
        <w:rPr>
          <w:rFonts w:ascii="Times New Roman" w:eastAsia="Times New Roman" w:hAnsi="Times New Roman" w:cs="Times New Roman"/>
          <w:sz w:val="24"/>
          <w:szCs w:val="24"/>
        </w:rPr>
        <w:lastRenderedPageBreak/>
        <w:t xml:space="preserve">sendo violento" ou "O homem sabe ou pode fazer as coisas corretamente" - deixa o homem em posição de vantagem ou superioridade sobre a mulher e projeta a visão de um casal em que a mulher aparece como a esposa ou namorada que não sabe como se comportar. Como sintetiza </w:t>
      </w:r>
      <w:r w:rsidRPr="002451B6">
        <w:rPr>
          <w:rFonts w:ascii="Times New Roman" w:eastAsia="Times New Roman" w:hAnsi="Times New Roman" w:cs="Times New Roman"/>
          <w:sz w:val="24"/>
          <w:szCs w:val="24"/>
          <w:highlight w:val="white"/>
        </w:rPr>
        <w:t>Martín-Fernández, Gracia e Lila (2018), as atitudes que culpam as vítimas são aquelas que refletem a tolerância pública e a aceitação da violência, e costumam ser usadas para explicar essa justificativa</w:t>
      </w:r>
      <w:r w:rsidRPr="002451B6">
        <w:rPr>
          <w:rFonts w:ascii="Times New Roman" w:eastAsia="Times New Roman" w:hAnsi="Times New Roman" w:cs="Times New Roman"/>
          <w:sz w:val="28"/>
          <w:szCs w:val="28"/>
          <w:highlight w:val="white"/>
        </w:rPr>
        <w:t>.</w:t>
      </w:r>
    </w:p>
    <w:p w14:paraId="5E7D9087" w14:textId="77777777" w:rsidR="00332C33" w:rsidRPr="002451B6" w:rsidRDefault="00000000">
      <w:pPr>
        <w:spacing w:before="240" w:after="240"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“Eu sou assim”: justificação masculina da violência contra a mulher</w:t>
      </w:r>
    </w:p>
    <w:p w14:paraId="121E7D29" w14:textId="77777777" w:rsidR="00332C33" w:rsidRPr="002451B6" w:rsidRDefault="00000000">
      <w:pPr>
        <w:spacing w:before="240" w:after="240"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As justificativas masculinas para a violência manifestas nos filmes também foram encontradas em expressões, tais como, "Eu sou assim" ou "É assim que corrigimos nossos problemas", o que contribui para a naturalização da violência e reafirma crenças sexistas e machistas que justificam sua ocorrência. No filme </w:t>
      </w:r>
      <w:r w:rsidRPr="002451B6">
        <w:rPr>
          <w:rFonts w:ascii="Times New Roman" w:eastAsia="Times New Roman" w:hAnsi="Times New Roman" w:cs="Times New Roman"/>
          <w:i/>
          <w:iCs/>
          <w:sz w:val="24"/>
          <w:szCs w:val="24"/>
        </w:rPr>
        <w:t xml:space="preserve">Ella y </w:t>
      </w:r>
      <w:proofErr w:type="spellStart"/>
      <w:r w:rsidRPr="002451B6">
        <w:rPr>
          <w:rFonts w:ascii="Times New Roman" w:eastAsia="Times New Roman" w:hAnsi="Times New Roman" w:cs="Times New Roman"/>
          <w:i/>
          <w:iCs/>
          <w:sz w:val="24"/>
          <w:szCs w:val="24"/>
        </w:rPr>
        <w:t>él</w:t>
      </w:r>
      <w:proofErr w:type="spellEnd"/>
      <w:r w:rsidRPr="002451B6">
        <w:rPr>
          <w:rFonts w:ascii="Times New Roman" w:eastAsia="Times New Roman" w:hAnsi="Times New Roman" w:cs="Times New Roman"/>
          <w:sz w:val="24"/>
          <w:szCs w:val="24"/>
        </w:rPr>
        <w:t xml:space="preserve"> (Pérez-Garland, Peru, 2015), na varanda, </w:t>
      </w:r>
      <w:r w:rsidRPr="002451B6">
        <w:rPr>
          <w:rFonts w:ascii="Times New Roman" w:eastAsia="Times New Roman" w:hAnsi="Times New Roman" w:cs="Times New Roman"/>
          <w:i/>
          <w:iCs/>
          <w:sz w:val="24"/>
          <w:szCs w:val="24"/>
        </w:rPr>
        <w:t>ela</w:t>
      </w:r>
      <w:r w:rsidRPr="002451B6">
        <w:rPr>
          <w:rFonts w:ascii="Times New Roman" w:eastAsia="Times New Roman" w:hAnsi="Times New Roman" w:cs="Times New Roman"/>
          <w:sz w:val="24"/>
          <w:szCs w:val="24"/>
        </w:rPr>
        <w:t xml:space="preserve"> está fumando lá fora, e, então, </w:t>
      </w:r>
      <w:r w:rsidRPr="002451B6">
        <w:rPr>
          <w:rFonts w:ascii="Times New Roman" w:eastAsia="Times New Roman" w:hAnsi="Times New Roman" w:cs="Times New Roman"/>
          <w:i/>
          <w:iCs/>
          <w:sz w:val="24"/>
          <w:szCs w:val="24"/>
        </w:rPr>
        <w:t>ele</w:t>
      </w:r>
      <w:r w:rsidRPr="002451B6">
        <w:rPr>
          <w:rFonts w:ascii="Times New Roman" w:eastAsia="Times New Roman" w:hAnsi="Times New Roman" w:cs="Times New Roman"/>
          <w:sz w:val="24"/>
          <w:szCs w:val="24"/>
        </w:rPr>
        <w:t xml:space="preserve"> se aproxima.</w:t>
      </w:r>
    </w:p>
    <w:p w14:paraId="36B459DF"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Ela: Eu não entendo o que eu fiz de errado agora? Eu sei que você não gosta de comemorar, mas apenas você e eu, eu sou sua namorada! Por que você está me fazendo sentir como se estivesse te machucando tanto? Você poderia me explicar isso?</w:t>
      </w:r>
    </w:p>
    <w:p w14:paraId="3FE8A0E5"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Ele: O que você quer que eu explique? Não há nada para explicar.</w:t>
      </w:r>
    </w:p>
    <w:p w14:paraId="5A7145B6"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Ela: Nós não estamos bem.</w:t>
      </w:r>
    </w:p>
    <w:p w14:paraId="468C2CC3"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Ele: Isso vai acontecer?</w:t>
      </w:r>
    </w:p>
    <w:p w14:paraId="0A9DFFEC"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Ela: Como isso vai acontecer? Magicamente, por que você tem tanto medo de falar sobre coisas importantes?</w:t>
      </w:r>
    </w:p>
    <w:p w14:paraId="6A6FB45C" w14:textId="77777777" w:rsidR="00332C33" w:rsidRPr="002451B6" w:rsidRDefault="00000000">
      <w:pPr>
        <w:spacing w:before="240" w:after="2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 xml:space="preserve">Ele: Não tenho medo, não sinto vontade, é assim que sou; é o que há; </w:t>
      </w:r>
      <w:proofErr w:type="gramStart"/>
      <w:r w:rsidRPr="002451B6">
        <w:rPr>
          <w:rFonts w:ascii="Times New Roman" w:eastAsia="Times New Roman" w:hAnsi="Times New Roman" w:cs="Times New Roman"/>
          <w:i/>
          <w:iCs/>
          <w:sz w:val="24"/>
          <w:szCs w:val="24"/>
        </w:rPr>
        <w:t>Se</w:t>
      </w:r>
      <w:proofErr w:type="gramEnd"/>
      <w:r w:rsidRPr="002451B6">
        <w:rPr>
          <w:rFonts w:ascii="Times New Roman" w:eastAsia="Times New Roman" w:hAnsi="Times New Roman" w:cs="Times New Roman"/>
          <w:i/>
          <w:iCs/>
          <w:sz w:val="24"/>
          <w:szCs w:val="24"/>
        </w:rPr>
        <w:t xml:space="preserve"> você não gostar, o que posso fazer?</w:t>
      </w:r>
    </w:p>
    <w:p w14:paraId="3E6BBD0E" w14:textId="297AE623" w:rsidR="00332C33" w:rsidRPr="002451B6" w:rsidRDefault="00000000" w:rsidP="00BE677D">
      <w:pPr>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 xml:space="preserve">Ela: Quero me desculpar, para que possamos dormir no andar de cima na cama, como de costume; mas estou cansada de sempre ser culpada por tudo, só quero ficar com você, mas você não me deixa, não sei mais o que fazer para te fazer feliz! Tenho medo de dizer isso; </w:t>
      </w:r>
      <w:proofErr w:type="gramStart"/>
      <w:r w:rsidRPr="002451B6">
        <w:rPr>
          <w:rFonts w:ascii="Times New Roman" w:eastAsia="Times New Roman" w:hAnsi="Times New Roman" w:cs="Times New Roman"/>
          <w:i/>
          <w:iCs/>
          <w:sz w:val="24"/>
          <w:szCs w:val="24"/>
        </w:rPr>
        <w:t>Eu</w:t>
      </w:r>
      <w:proofErr w:type="gramEnd"/>
      <w:r w:rsidRPr="002451B6">
        <w:rPr>
          <w:rFonts w:ascii="Times New Roman" w:eastAsia="Times New Roman" w:hAnsi="Times New Roman" w:cs="Times New Roman"/>
          <w:i/>
          <w:iCs/>
          <w:sz w:val="24"/>
          <w:szCs w:val="24"/>
        </w:rPr>
        <w:t xml:space="preserve"> já estou cansada. (continua fumando) (Ella y </w:t>
      </w:r>
      <w:proofErr w:type="spellStart"/>
      <w:r w:rsidRPr="002451B6">
        <w:rPr>
          <w:rFonts w:ascii="Times New Roman" w:eastAsia="Times New Roman" w:hAnsi="Times New Roman" w:cs="Times New Roman"/>
          <w:i/>
          <w:iCs/>
          <w:sz w:val="24"/>
          <w:szCs w:val="24"/>
        </w:rPr>
        <w:t>él</w:t>
      </w:r>
      <w:proofErr w:type="spellEnd"/>
      <w:r w:rsidRPr="002451B6">
        <w:rPr>
          <w:rFonts w:ascii="Times New Roman" w:eastAsia="Times New Roman" w:hAnsi="Times New Roman" w:cs="Times New Roman"/>
          <w:sz w:val="24"/>
          <w:szCs w:val="24"/>
        </w:rPr>
        <w:t xml:space="preserve">, Pérez-Garland, Peru, 2015. Cena: 56:11). </w:t>
      </w:r>
    </w:p>
    <w:p w14:paraId="4640910F"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Como pode ser visto, para justificar sua reação e não dar uma explicação para seu comportamento incoerente, o protagonista do filme </w:t>
      </w:r>
      <w:r w:rsidRPr="002451B6">
        <w:rPr>
          <w:rFonts w:ascii="Times New Roman" w:eastAsia="Times New Roman" w:hAnsi="Times New Roman" w:cs="Times New Roman"/>
          <w:i/>
          <w:iCs/>
          <w:sz w:val="24"/>
          <w:szCs w:val="24"/>
        </w:rPr>
        <w:t xml:space="preserve">Ella y </w:t>
      </w:r>
      <w:proofErr w:type="spellStart"/>
      <w:r w:rsidRPr="002451B6">
        <w:rPr>
          <w:rFonts w:ascii="Times New Roman" w:eastAsia="Times New Roman" w:hAnsi="Times New Roman" w:cs="Times New Roman"/>
          <w:i/>
          <w:iCs/>
          <w:sz w:val="24"/>
          <w:szCs w:val="24"/>
        </w:rPr>
        <w:t>él</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responde com a afirmação </w:t>
      </w:r>
      <w:r w:rsidRPr="002451B6">
        <w:rPr>
          <w:rFonts w:ascii="Times New Roman" w:eastAsia="Times New Roman" w:hAnsi="Times New Roman" w:cs="Times New Roman"/>
          <w:i/>
          <w:iCs/>
          <w:sz w:val="24"/>
          <w:szCs w:val="24"/>
        </w:rPr>
        <w:t>"Eu sou assim, é isso o que há</w:t>
      </w:r>
      <w:r w:rsidRPr="002451B6">
        <w:rPr>
          <w:rFonts w:ascii="Times New Roman" w:eastAsia="Times New Roman" w:hAnsi="Times New Roman" w:cs="Times New Roman"/>
          <w:sz w:val="24"/>
          <w:szCs w:val="24"/>
        </w:rPr>
        <w:t>", quando ela espera que ele comemore o aniversário dele. Ela prepara uma surpresa e a reação dele é agressiva e violenta, indicando que ele não quer comemorar nada.</w:t>
      </w:r>
    </w:p>
    <w:p w14:paraId="3609D786"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Se esse tipo de expressão não é </w:t>
      </w:r>
      <w:proofErr w:type="gramStart"/>
      <w:r w:rsidRPr="002451B6">
        <w:rPr>
          <w:rFonts w:ascii="Times New Roman" w:eastAsia="Times New Roman" w:hAnsi="Times New Roman" w:cs="Times New Roman"/>
          <w:sz w:val="24"/>
          <w:szCs w:val="24"/>
        </w:rPr>
        <w:t>dita</w:t>
      </w:r>
      <w:proofErr w:type="gramEnd"/>
      <w:r w:rsidRPr="002451B6">
        <w:rPr>
          <w:rFonts w:ascii="Times New Roman" w:eastAsia="Times New Roman" w:hAnsi="Times New Roman" w:cs="Times New Roman"/>
          <w:sz w:val="24"/>
          <w:szCs w:val="24"/>
        </w:rPr>
        <w:t xml:space="preserve"> pelo agressor, é apontada por um personagem que pertence ao seu ambiente mais próximo (família, amigos, colegas de trabalho) e, em alguns casos, a própria vítima pode justificar a violência que recebe, como é o caso da protagonista do filme </w:t>
      </w:r>
      <w:r w:rsidRPr="002451B6">
        <w:rPr>
          <w:rFonts w:ascii="Times New Roman" w:eastAsia="Times New Roman" w:hAnsi="Times New Roman" w:cs="Times New Roman"/>
          <w:i/>
          <w:iCs/>
          <w:sz w:val="24"/>
          <w:szCs w:val="24"/>
        </w:rPr>
        <w:t>Amores Perros:</w:t>
      </w:r>
      <w:r w:rsidRPr="002451B6">
        <w:rPr>
          <w:rFonts w:ascii="Times New Roman" w:eastAsia="Times New Roman" w:hAnsi="Times New Roman" w:cs="Times New Roman"/>
          <w:sz w:val="24"/>
          <w:szCs w:val="24"/>
        </w:rPr>
        <w:t xml:space="preserve"> Susana, justifica a violência que ela recebe usando frases como </w:t>
      </w:r>
      <w:r w:rsidRPr="002451B6">
        <w:rPr>
          <w:rFonts w:ascii="Times New Roman" w:eastAsia="Times New Roman" w:hAnsi="Times New Roman" w:cs="Times New Roman"/>
          <w:i/>
          <w:iCs/>
          <w:sz w:val="24"/>
          <w:szCs w:val="24"/>
        </w:rPr>
        <w:t>"ele é assim, não foi intencional, não é o tempo todo, você sabe como ele é".</w:t>
      </w:r>
      <w:r w:rsidRPr="002451B6">
        <w:rPr>
          <w:rFonts w:ascii="Times New Roman" w:eastAsia="Times New Roman" w:hAnsi="Times New Roman" w:cs="Times New Roman"/>
          <w:sz w:val="24"/>
          <w:szCs w:val="24"/>
        </w:rPr>
        <w:t xml:space="preserve"> Essa dinâmica pode ser identificada na cena descrita a seguir, em que Susana entra no quarto de Octavio e conversa com ele. Octavio está deitado na cama conversando, olha para a orelha dela machucada e com sangue.</w:t>
      </w:r>
    </w:p>
    <w:p w14:paraId="329DF8D0"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Octavio: O que aconteceu com você lá? (sai da cama e checa a orelha machucada).</w:t>
      </w:r>
    </w:p>
    <w:p w14:paraId="715F01D3"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Susana: Não é nada.</w:t>
      </w:r>
    </w:p>
    <w:p w14:paraId="64D5F9AE"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Octavio: Ramiro fez isso com você.</w:t>
      </w:r>
    </w:p>
    <w:p w14:paraId="7FD87621"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Susana: Sim, mas não foi intencional.</w:t>
      </w:r>
    </w:p>
    <w:p w14:paraId="2E38BBBD"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Octavio: Sem querer?</w:t>
      </w:r>
    </w:p>
    <w:p w14:paraId="5186FCED"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Susana: Sim, você sabe como é seu irmão.</w:t>
      </w:r>
    </w:p>
    <w:p w14:paraId="42A203F0"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Octavio: Você deveria desistir, esse boi está te tratando como o inferno.</w:t>
      </w:r>
    </w:p>
    <w:p w14:paraId="5C7DE0FB" w14:textId="77777777" w:rsidR="00332C33" w:rsidRPr="002451B6" w:rsidRDefault="00000000">
      <w:pPr>
        <w:spacing w:before="240" w:after="240"/>
        <w:ind w:left="740"/>
        <w:jc w:val="both"/>
        <w:rPr>
          <w:rFonts w:ascii="Times New Roman" w:eastAsia="Times New Roman" w:hAnsi="Times New Roman" w:cs="Times New Roman"/>
          <w:i/>
          <w:iCs/>
          <w:sz w:val="24"/>
          <w:szCs w:val="24"/>
        </w:rPr>
      </w:pPr>
      <w:r w:rsidRPr="002451B6">
        <w:rPr>
          <w:rFonts w:ascii="Times New Roman" w:eastAsia="Times New Roman" w:hAnsi="Times New Roman" w:cs="Times New Roman"/>
          <w:i/>
          <w:iCs/>
          <w:sz w:val="24"/>
          <w:szCs w:val="24"/>
        </w:rPr>
        <w:t>Susana: Nem sempre é.</w:t>
      </w:r>
    </w:p>
    <w:p w14:paraId="642CF25F" w14:textId="77777777" w:rsidR="00332C33" w:rsidRPr="002451B6" w:rsidRDefault="00000000">
      <w:pPr>
        <w:spacing w:before="240" w:after="240" w:line="360" w:lineRule="auto"/>
        <w:ind w:left="740"/>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Octavio: Não sei se você é estúpida ou se é. (Ele se vira, vira as costas para Susana). (Amores Perros</w:t>
      </w:r>
      <w:r w:rsidRPr="002451B6">
        <w:rPr>
          <w:rFonts w:ascii="Times New Roman" w:eastAsia="Times New Roman" w:hAnsi="Times New Roman" w:cs="Times New Roman"/>
          <w:sz w:val="24"/>
          <w:szCs w:val="24"/>
        </w:rPr>
        <w:t xml:space="preserve">, González, México, 2000. Cena: 10:32). </w:t>
      </w:r>
    </w:p>
    <w:p w14:paraId="2B5B03A6"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Conforme exemplo apresentado, tem-se uma espécie de determinismo biológico manifestado em crenças sexistas e machistas que justificam a violência contra as mulheres, como se os homens não tivessem a possibilidade de assumir a responsabilidade pelas ações que realizam, anulando a possibilidade de mudar o comportamento. É importante questionar alguns dos mitos e crenças socialmente aceitos de que as mulheres gostam de abuso ou são simplesmente masoquistas, além da crença geral de que isso só acontece em função de condicionantes socioculturais (</w:t>
      </w:r>
      <w:proofErr w:type="spellStart"/>
      <w:r w:rsidRPr="002451B6">
        <w:rPr>
          <w:rFonts w:ascii="Times New Roman" w:eastAsia="Times New Roman" w:hAnsi="Times New Roman" w:cs="Times New Roman"/>
          <w:sz w:val="24"/>
          <w:szCs w:val="24"/>
        </w:rPr>
        <w:t>Etayo</w:t>
      </w:r>
      <w:proofErr w:type="spellEnd"/>
      <w:r w:rsidRPr="002451B6">
        <w:rPr>
          <w:rFonts w:ascii="Times New Roman" w:eastAsia="Times New Roman" w:hAnsi="Times New Roman" w:cs="Times New Roman"/>
          <w:sz w:val="24"/>
          <w:szCs w:val="24"/>
        </w:rPr>
        <w:t>, 2016).</w:t>
      </w:r>
    </w:p>
    <w:p w14:paraId="5DA7C8AD"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Os episódios evidenciados também são acompanhados por uma espécie de frustração masculina, que é gerada pela raiva-agressão por parte dos homens, com atitudes de hostilidade em vários dos filmes. Isso pode ser resultado de estereótipos machistas-sexistas em relação à necessidade de submissão das mulheres, da existência de ciúmes patológicos e da legitimação subjetiva da violência como estratégia de solução de problemas (</w:t>
      </w:r>
      <w:proofErr w:type="spellStart"/>
      <w:r w:rsidRPr="002451B6">
        <w:rPr>
          <w:rFonts w:ascii="Times New Roman" w:eastAsia="Times New Roman" w:hAnsi="Times New Roman" w:cs="Times New Roman"/>
          <w:sz w:val="24"/>
          <w:szCs w:val="24"/>
        </w:rPr>
        <w:t>Oderich</w:t>
      </w:r>
      <w:proofErr w:type="spellEnd"/>
      <w:r w:rsidRPr="002451B6">
        <w:rPr>
          <w:rFonts w:ascii="Times New Roman" w:eastAsia="Times New Roman" w:hAnsi="Times New Roman" w:cs="Times New Roman"/>
          <w:sz w:val="24"/>
          <w:szCs w:val="24"/>
        </w:rPr>
        <w:t xml:space="preserve"> &amp; Baldi, 2017). Em </w:t>
      </w:r>
      <w:r w:rsidRPr="002451B6">
        <w:rPr>
          <w:rFonts w:ascii="Times New Roman" w:eastAsia="Times New Roman" w:hAnsi="Times New Roman" w:cs="Times New Roman"/>
          <w:i/>
          <w:iCs/>
          <w:sz w:val="24"/>
          <w:szCs w:val="24"/>
        </w:rPr>
        <w:lastRenderedPageBreak/>
        <w:t>Vidas partidas</w:t>
      </w:r>
      <w:r w:rsidRPr="002451B6">
        <w:rPr>
          <w:rFonts w:ascii="Times New Roman" w:eastAsia="Times New Roman" w:hAnsi="Times New Roman" w:cs="Times New Roman"/>
          <w:sz w:val="24"/>
          <w:szCs w:val="24"/>
        </w:rPr>
        <w:t>, por exemplo,</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o protagonista manifesta frustração por não encontrar emprego, que se reflete em atitudes agressivas em relação à Graça.</w:t>
      </w:r>
    </w:p>
    <w:p w14:paraId="08CA78BB"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Através de mensagens que nem sempre são diretas, visíveis e evidentes, mas, muitas vezes, sutis, disfarçadas e ocultas, tem-se a construção do feminino a partir da ideia de condição de inferioridade das mulheres. São ideias e imagens forjadas e, sem dúvida, adotadas, aceitas e assimiladas consciente ou inconscientemente por homens e mulheres, através de piadas, conversas, cartazes, publicidade, meios de comunicação de massa, imprensa, rádio, televisão e cinema (De Alvarenga, 2018). Pode-se dizer que a perpetuação da violência e da dominação masculina é vista como algo normal e aceitável devido à sua prática frequente, expressa em relações de domínio-submissão. Esse contexto sociocultural funciona como um poderoso mecanismo de controle, como vigilante e depositário de normas, violando as mulheres de diferentes formas (De Alvarenga, 2018, Domínguez &amp; Rodríguez, 2012).</w:t>
      </w:r>
    </w:p>
    <w:p w14:paraId="5A865647"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realidade social em análise também mostra uma dicotomia em relação aos relacionamentos românticos, já que seus membros são definidos em oposições binárias, que foram historicamente destacadas pelos diferentes espaços e contextos. Essa parece ser a elaboração, por exemplo, na imagem do homem como um </w:t>
      </w:r>
      <w:r w:rsidRPr="002451B6">
        <w:rPr>
          <w:rFonts w:ascii="Times New Roman" w:eastAsia="Times New Roman" w:hAnsi="Times New Roman" w:cs="Times New Roman"/>
          <w:i/>
          <w:iCs/>
          <w:sz w:val="24"/>
          <w:szCs w:val="24"/>
        </w:rPr>
        <w:t>Don Juan</w:t>
      </w:r>
      <w:r w:rsidRPr="002451B6">
        <w:rPr>
          <w:rFonts w:ascii="Times New Roman" w:eastAsia="Times New Roman" w:hAnsi="Times New Roman" w:cs="Times New Roman"/>
          <w:sz w:val="24"/>
          <w:szCs w:val="24"/>
        </w:rPr>
        <w:t>, em que todos os homens são iguais, sendo a mulher da casa e o homem da rua. Isso está intrinsecamente associado e relacionado à representação de relacionamentos de casal de maneira estereotipada e rígida, o que torna essas representações fortalecidas e perpetuadas na atualidade (</w:t>
      </w:r>
      <w:proofErr w:type="spellStart"/>
      <w:r w:rsidRPr="002451B6">
        <w:rPr>
          <w:rFonts w:ascii="Times New Roman" w:eastAsia="Times New Roman" w:hAnsi="Times New Roman" w:cs="Times New Roman"/>
          <w:sz w:val="24"/>
          <w:szCs w:val="24"/>
        </w:rPr>
        <w:t>Allport</w:t>
      </w:r>
      <w:proofErr w:type="spellEnd"/>
      <w:r w:rsidRPr="002451B6">
        <w:rPr>
          <w:rFonts w:ascii="Times New Roman" w:eastAsia="Times New Roman" w:hAnsi="Times New Roman" w:cs="Times New Roman"/>
          <w:sz w:val="24"/>
          <w:szCs w:val="24"/>
        </w:rPr>
        <w:t>, 1971), posto que existe uma divisão arbitrária das coisas - atividades (sexuais ou não) de acordo com diferentes oposições binárias, como feminino e masculino. Bourdieu (2000, p. 21</w:t>
      </w:r>
      <w:proofErr w:type="gramStart"/>
      <w:r w:rsidRPr="002451B6">
        <w:rPr>
          <w:rFonts w:ascii="Times New Roman" w:eastAsia="Times New Roman" w:hAnsi="Times New Roman" w:cs="Times New Roman"/>
          <w:sz w:val="24"/>
          <w:szCs w:val="24"/>
        </w:rPr>
        <w:t>)  indica</w:t>
      </w:r>
      <w:proofErr w:type="gramEnd"/>
      <w:r w:rsidRPr="002451B6">
        <w:rPr>
          <w:rFonts w:ascii="Times New Roman" w:eastAsia="Times New Roman" w:hAnsi="Times New Roman" w:cs="Times New Roman"/>
          <w:sz w:val="24"/>
          <w:szCs w:val="24"/>
        </w:rPr>
        <w:t xml:space="preserve"> que a “divisão entre os sexos parece estar ‘na ordem das coisas</w:t>
      </w:r>
      <w:proofErr w:type="gramStart"/>
      <w:r w:rsidRPr="002451B6">
        <w:rPr>
          <w:rFonts w:ascii="Times New Roman" w:eastAsia="Times New Roman" w:hAnsi="Times New Roman" w:cs="Times New Roman"/>
          <w:sz w:val="24"/>
          <w:szCs w:val="24"/>
        </w:rPr>
        <w:t>’,  é</w:t>
      </w:r>
      <w:proofErr w:type="gramEnd"/>
      <w:r w:rsidRPr="002451B6">
        <w:rPr>
          <w:rFonts w:ascii="Times New Roman" w:eastAsia="Times New Roman" w:hAnsi="Times New Roman" w:cs="Times New Roman"/>
          <w:sz w:val="24"/>
          <w:szCs w:val="24"/>
        </w:rPr>
        <w:t xml:space="preserve"> normal e natural, a ponto de ser inevitável: aparece ao mesmo tempo, em seu estado objetivo, nas coisas (na casa, por exemplo, com todas as suas partes ‘sexuadas’), como no mundo social e, em um estado incorporado, nos corpos e hábitos de seus agentes, que funcionam como sistemas esquemáticos de percepções, pensamento e ação”.</w:t>
      </w:r>
    </w:p>
    <w:p w14:paraId="6EA8D268" w14:textId="77777777" w:rsidR="00332C33" w:rsidRPr="002451B6" w:rsidRDefault="00000000">
      <w:pPr>
        <w:spacing w:before="240" w:after="240" w:line="360" w:lineRule="auto"/>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Considerações finais</w:t>
      </w:r>
    </w:p>
    <w:p w14:paraId="5D9CE035"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 xml:space="preserve">Um elemento importante a destacar, ao investigar a violência contra as mulheres presente nas diferentes produções cinematográficas latino-americanas selecionadas, é que </w:t>
      </w:r>
      <w:proofErr w:type="gramStart"/>
      <w:r w:rsidRPr="002451B6">
        <w:rPr>
          <w:rFonts w:ascii="Times New Roman" w:eastAsia="Times New Roman" w:hAnsi="Times New Roman" w:cs="Times New Roman"/>
          <w:sz w:val="24"/>
          <w:szCs w:val="24"/>
        </w:rPr>
        <w:t>busca-se</w:t>
      </w:r>
      <w:proofErr w:type="gramEnd"/>
      <w:r w:rsidRPr="002451B6">
        <w:rPr>
          <w:rFonts w:ascii="Times New Roman" w:eastAsia="Times New Roman" w:hAnsi="Times New Roman" w:cs="Times New Roman"/>
          <w:sz w:val="24"/>
          <w:szCs w:val="24"/>
        </w:rPr>
        <w:t xml:space="preserve"> representar a violência de acordo com a vida real, com diferentes ações e conflitos que ocorrem no cotidiano do casal, e as ações são desenvolvidas no espaço privado e doméstico. Assim, nos filmes, de forma geral, é evidente que existe uma assimetria nos relacionamentos </w:t>
      </w:r>
      <w:r w:rsidRPr="002451B6">
        <w:rPr>
          <w:rFonts w:ascii="Times New Roman" w:eastAsia="Times New Roman" w:hAnsi="Times New Roman" w:cs="Times New Roman"/>
          <w:sz w:val="24"/>
          <w:szCs w:val="24"/>
        </w:rPr>
        <w:lastRenderedPageBreak/>
        <w:t>românticos em que se destaca a subordinação das mulheres, o que legitima, em grande medida, as diferentes expressões e manifestações da violência e agressões que sofrem (</w:t>
      </w:r>
      <w:r w:rsidRPr="002451B6">
        <w:rPr>
          <w:rFonts w:ascii="Times New Roman" w:eastAsia="Times New Roman" w:hAnsi="Times New Roman" w:cs="Times New Roman"/>
          <w:sz w:val="24"/>
          <w:szCs w:val="24"/>
          <w:highlight w:val="white"/>
        </w:rPr>
        <w:t>Cisne, Medeiros &amp; Castro, 2020).</w:t>
      </w:r>
    </w:p>
    <w:p w14:paraId="665237FB" w14:textId="77777777" w:rsidR="00332C33" w:rsidRPr="002451B6" w:rsidRDefault="00000000">
      <w:pPr>
        <w:spacing w:line="360" w:lineRule="auto"/>
        <w:ind w:firstLine="70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rPr>
        <w:t>A partir dos resultados analisados, é possível verificar que, seja focando nas narrativas do homem ou da mulher, o homem não é visto como responsável pelo comportamento agressivo. Essas construções contribuem para a manutenção da situação de desigualdade entre a vítima e o agressor. No entanto, o que se considera mais grave é que essas manifestações são justificadas;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ou seja, nas condições que aparecem como desencadeadoras da violência, na maioria das cenas, a mulher é representada como responsável e é punida por seu comportamento, tornando-se</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 xml:space="preserve">culpada pelas ações realizadas. Esse mecanismo contribui para o desenvolvimento da representação da violência a partir de concepções e perspectivas misóginas e sexistas. A misoginia está presente na vida social e realidade cotidiana, nas diferentes agressões e violências que as mulheres sofrem, e, ao mesmo tempo, é observada nas representações cinematográficas, resultando em vítimas em dupla condição - vítimas de violência no contexto social real e no plano simbólico nas representações e produções </w:t>
      </w:r>
      <w:proofErr w:type="gramStart"/>
      <w:r w:rsidRPr="002451B6">
        <w:rPr>
          <w:rFonts w:ascii="Times New Roman" w:eastAsia="Times New Roman" w:hAnsi="Times New Roman" w:cs="Times New Roman"/>
          <w:sz w:val="24"/>
          <w:szCs w:val="24"/>
        </w:rPr>
        <w:t>culturais;  e</w:t>
      </w:r>
      <w:proofErr w:type="gramEnd"/>
      <w:r w:rsidRPr="002451B6">
        <w:rPr>
          <w:rFonts w:ascii="Times New Roman" w:eastAsia="Times New Roman" w:hAnsi="Times New Roman" w:cs="Times New Roman"/>
          <w:sz w:val="24"/>
          <w:szCs w:val="24"/>
        </w:rPr>
        <w:t xml:space="preserve"> ainda atribuição da violência recebida com a consequente culpabilização.  Qualquer justificativa para um episódio de violência é uma atitude preconceituosa, mais ou menos velada, das pessoas em geral para com as mulheres, e, por isso, é necessário trabalhar na desconstrução desses padrões culturais transmitidos por gerações (Herrera &amp; Expósito, </w:t>
      </w:r>
      <w:r w:rsidRPr="002451B6">
        <w:rPr>
          <w:rFonts w:ascii="Times New Roman" w:eastAsia="Times New Roman" w:hAnsi="Times New Roman" w:cs="Times New Roman"/>
          <w:sz w:val="24"/>
          <w:szCs w:val="24"/>
          <w:highlight w:val="white"/>
        </w:rPr>
        <w:t>2009).</w:t>
      </w:r>
    </w:p>
    <w:p w14:paraId="7B3A7325"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Foi possível confirmar a importância de trabalhar com as teorias feministas críticas do cinema, porque elas servem como uma lente para descobrir os significados velados e ocultos que estão nas produções cinematográficas. É o peso simbólico das imagens que estão na reprodução de estereótipos que circulam naturalizados na sociedade e contribuem para o machismo, a violência e a misoginia (Burgos Hernández, 2017). Nesse sentido, as diferentes expressões ou manifestações da violência psicológica, física, sexual ou </w:t>
      </w:r>
      <w:proofErr w:type="gramStart"/>
      <w:r w:rsidRPr="002451B6">
        <w:rPr>
          <w:rFonts w:ascii="Times New Roman" w:eastAsia="Times New Roman" w:hAnsi="Times New Roman" w:cs="Times New Roman"/>
          <w:sz w:val="24"/>
          <w:szCs w:val="24"/>
        </w:rPr>
        <w:t>patrimonial  observados</w:t>
      </w:r>
      <w:proofErr w:type="gramEnd"/>
      <w:r w:rsidRPr="002451B6">
        <w:rPr>
          <w:rFonts w:ascii="Times New Roman" w:eastAsia="Times New Roman" w:hAnsi="Times New Roman" w:cs="Times New Roman"/>
          <w:sz w:val="24"/>
          <w:szCs w:val="24"/>
        </w:rPr>
        <w:t xml:space="preserve"> nos filmes selecionados podem servir para chamar a atenção e suscitar reflexão, se forem observados criticamente, para que não se </w:t>
      </w:r>
      <w:proofErr w:type="gramStart"/>
      <w:r w:rsidRPr="002451B6">
        <w:rPr>
          <w:rFonts w:ascii="Times New Roman" w:eastAsia="Times New Roman" w:hAnsi="Times New Roman" w:cs="Times New Roman"/>
          <w:sz w:val="24"/>
          <w:szCs w:val="24"/>
        </w:rPr>
        <w:t>convertam  em</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insumo  para</w:t>
      </w:r>
      <w:proofErr w:type="gramEnd"/>
      <w:r w:rsidRPr="002451B6">
        <w:rPr>
          <w:rFonts w:ascii="Times New Roman" w:eastAsia="Times New Roman" w:hAnsi="Times New Roman" w:cs="Times New Roman"/>
          <w:sz w:val="24"/>
          <w:szCs w:val="24"/>
        </w:rPr>
        <w:t xml:space="preserve"> perpetuar a violência contra as mulheres (</w:t>
      </w:r>
      <w:r w:rsidRPr="002451B6">
        <w:rPr>
          <w:rFonts w:ascii="Times New Roman" w:eastAsia="Times New Roman" w:hAnsi="Times New Roman" w:cs="Times New Roman"/>
          <w:sz w:val="24"/>
          <w:szCs w:val="24"/>
          <w:highlight w:val="white"/>
        </w:rPr>
        <w:t>Pérez; Bonomo; Garcia, 2021).</w:t>
      </w:r>
      <w:r w:rsidRPr="002451B6">
        <w:rPr>
          <w:rFonts w:ascii="Times New Roman" w:eastAsia="Times New Roman" w:hAnsi="Times New Roman" w:cs="Times New Roman"/>
          <w:sz w:val="24"/>
          <w:szCs w:val="24"/>
        </w:rPr>
        <w:t xml:space="preserve"> É necessário analisar as representações de acordo com a lógica binária ocidental de imagens positivas versus imagens negativas: mãe / prostituta, a </w:t>
      </w:r>
      <w:proofErr w:type="spellStart"/>
      <w:r w:rsidRPr="002451B6">
        <w:rPr>
          <w:rFonts w:ascii="Times New Roman" w:eastAsia="Times New Roman" w:hAnsi="Times New Roman" w:cs="Times New Roman"/>
          <w:sz w:val="24"/>
          <w:szCs w:val="24"/>
        </w:rPr>
        <w:t>femme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fatale</w:t>
      </w:r>
      <w:proofErr w:type="spellEnd"/>
      <w:r w:rsidRPr="002451B6">
        <w:rPr>
          <w:rFonts w:ascii="Times New Roman" w:eastAsia="Times New Roman" w:hAnsi="Times New Roman" w:cs="Times New Roman"/>
          <w:sz w:val="24"/>
          <w:szCs w:val="24"/>
        </w:rPr>
        <w:t xml:space="preserve"> / a boa menina, posto que o “discurso do cinema narrativo clássico tende a dividir o papel da mulher em: mães, filhas, esposas ou, por outro lado, prostitutas, vampiros e coloca o primeiro acima do segundo, estabelecendo assim uma hierarquia de valores nos papéis concedidos socialmente” (Sánchez, 2016, p. 4).</w:t>
      </w:r>
    </w:p>
    <w:p w14:paraId="0C603FEA"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Embora atualmente exista uma preocupação maior em relação à violência contra as mulheres, muito resta a ser feito para sensibilizar a população espectadora sobre este problema (Hernández &amp; </w:t>
      </w:r>
      <w:proofErr w:type="spellStart"/>
      <w:r w:rsidRPr="002451B6">
        <w:rPr>
          <w:rFonts w:ascii="Times New Roman" w:eastAsia="Times New Roman" w:hAnsi="Times New Roman" w:cs="Times New Roman"/>
          <w:sz w:val="24"/>
          <w:szCs w:val="24"/>
        </w:rPr>
        <w:t>Marañón</w:t>
      </w:r>
      <w:proofErr w:type="spellEnd"/>
      <w:r w:rsidRPr="002451B6">
        <w:rPr>
          <w:rFonts w:ascii="Times New Roman" w:eastAsia="Times New Roman" w:hAnsi="Times New Roman" w:cs="Times New Roman"/>
          <w:sz w:val="24"/>
          <w:szCs w:val="24"/>
        </w:rPr>
        <w:t>, 2016). Aos poucos, alguns esquemas de representação foram mudando e foram incluídos novos modelos de mulheres, mais independentes e ativas, com capacidade de responder à violência. No entanto, esses novos modelos de representação da mulher são estigmatizados, sendo um desafio que essas representações continuem a surgir para quebrar o sistema patriarcal (Hernández, 2014).</w:t>
      </w:r>
    </w:p>
    <w:p w14:paraId="6380B605"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Igualmente, destacamos a importância de analisar as representações cinematográficas tomando em consideração as teorias decoloniais e interseccionais para desvendar os regimes de poder, saber e imagens, herdados da modernidade e colonialidade para identificar como as imagens podem tanto reproduzir quanto desafiar as hierarquias raciais, de gênero e de classe social - entendendo que as diferentes representações reproduzem estruturas históricas de poder patriarcais, raciais, coloniais e capitalistas que influenciam e moldam tanto as narrativas e histórias quanto as formas de olhar e filmar (</w:t>
      </w:r>
      <w:proofErr w:type="spellStart"/>
      <w:r w:rsidRPr="002451B6">
        <w:rPr>
          <w:rFonts w:ascii="Times New Roman" w:eastAsia="Times New Roman" w:hAnsi="Times New Roman" w:cs="Times New Roman"/>
          <w:sz w:val="24"/>
          <w:szCs w:val="24"/>
        </w:rPr>
        <w:t>Barriendo</w:t>
      </w:r>
      <w:proofErr w:type="spellEnd"/>
      <w:r w:rsidRPr="002451B6">
        <w:rPr>
          <w:rFonts w:ascii="Times New Roman" w:eastAsia="Times New Roman" w:hAnsi="Times New Roman" w:cs="Times New Roman"/>
          <w:sz w:val="24"/>
          <w:szCs w:val="24"/>
        </w:rPr>
        <w:t>, 2011, Lugones, 2010).</w:t>
      </w:r>
    </w:p>
    <w:p w14:paraId="5BD3B8A1" w14:textId="77777777" w:rsidR="00332C33" w:rsidRPr="002451B6" w:rsidRDefault="00000000">
      <w:pPr>
        <w:spacing w:line="360" w:lineRule="auto"/>
        <w:ind w:firstLine="70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É necessário, portanto, tomar iniciativas e ações para apresentar alternativas ao cinema patriarcal, racista e machista dominante a fim de mostrar e questionar os crimes de violência contra as mulheres. Existem diferentes expressões de um cinema alternativo ao dominante, que vão no sentido de se tornar uma arte política contra a estética misógina do cinema comercial, fazendo produções que proporcionem maior visibilidade às mulheres reais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(Pereira, 2016). Nessa perspectiva de mudanças, o cinema feminino ou cinema feito por mulheres é visto como uma nova forma de expressão e representação (</w:t>
      </w:r>
      <w:proofErr w:type="spellStart"/>
      <w:r w:rsidRPr="002451B6">
        <w:rPr>
          <w:rFonts w:ascii="Times New Roman" w:eastAsia="Times New Roman" w:hAnsi="Times New Roman" w:cs="Times New Roman"/>
          <w:sz w:val="24"/>
          <w:szCs w:val="24"/>
        </w:rPr>
        <w:t>Rodal</w:t>
      </w:r>
      <w:proofErr w:type="spellEnd"/>
      <w:r w:rsidRPr="002451B6">
        <w:rPr>
          <w:rFonts w:ascii="Times New Roman" w:eastAsia="Times New Roman" w:hAnsi="Times New Roman" w:cs="Times New Roman"/>
          <w:sz w:val="24"/>
          <w:szCs w:val="24"/>
        </w:rPr>
        <w:t>, 2001), com</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a construção de novas formas de representação das mulheres – como, por exemplo, a criação de expressões artísticas feministas alternativas, personagens femininas ativas e fortes</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sz w:val="24"/>
          <w:szCs w:val="24"/>
        </w:rPr>
        <w:t>no cinema e na televisão. O feminismo, portanto, como crítica às representações de mulheres existentes na cultura dominante, pode dar impulso a representações alternativas sobre as mulheres e seus diferentes modos de ser e de estar no mundo (</w:t>
      </w:r>
      <w:proofErr w:type="spellStart"/>
      <w:r w:rsidRPr="002451B6">
        <w:rPr>
          <w:rFonts w:ascii="Times New Roman" w:eastAsia="Times New Roman" w:hAnsi="Times New Roman" w:cs="Times New Roman"/>
          <w:sz w:val="24"/>
          <w:szCs w:val="24"/>
        </w:rPr>
        <w:t>Mulvey</w:t>
      </w:r>
      <w:proofErr w:type="spellEnd"/>
      <w:r w:rsidRPr="002451B6">
        <w:rPr>
          <w:rFonts w:ascii="Times New Roman" w:eastAsia="Times New Roman" w:hAnsi="Times New Roman" w:cs="Times New Roman"/>
          <w:sz w:val="24"/>
          <w:szCs w:val="24"/>
        </w:rPr>
        <w:t>, 1988).</w:t>
      </w:r>
    </w:p>
    <w:p w14:paraId="645ED805" w14:textId="77777777" w:rsidR="00332C33" w:rsidRPr="002451B6" w:rsidRDefault="00000000">
      <w:pPr>
        <w:spacing w:before="240" w:after="240" w:line="360" w:lineRule="auto"/>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 Referências </w:t>
      </w:r>
    </w:p>
    <w:p w14:paraId="2592285C"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AGUILLAR, P. La </w:t>
      </w:r>
      <w:proofErr w:type="spellStart"/>
      <w:r w:rsidRPr="002451B6">
        <w:rPr>
          <w:rFonts w:ascii="Times New Roman" w:eastAsia="Times New Roman" w:hAnsi="Times New Roman" w:cs="Times New Roman"/>
          <w:sz w:val="24"/>
          <w:szCs w:val="24"/>
        </w:rPr>
        <w:t>ficción</w:t>
      </w:r>
      <w:proofErr w:type="spellEnd"/>
      <w:r w:rsidRPr="002451B6">
        <w:rPr>
          <w:rFonts w:ascii="Times New Roman" w:eastAsia="Times New Roman" w:hAnsi="Times New Roman" w:cs="Times New Roman"/>
          <w:sz w:val="24"/>
          <w:szCs w:val="24"/>
        </w:rPr>
        <w:t xml:space="preserve"> audiovisual y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contra </w:t>
      </w:r>
      <w:proofErr w:type="spellStart"/>
      <w:r w:rsidRPr="002451B6">
        <w:rPr>
          <w:rFonts w:ascii="Times New Roman" w:eastAsia="Times New Roman" w:hAnsi="Times New Roman" w:cs="Times New Roman"/>
          <w:sz w:val="24"/>
          <w:szCs w:val="24"/>
        </w:rPr>
        <w:t>las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mujeres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i/>
          <w:iCs/>
          <w:sz w:val="24"/>
          <w:szCs w:val="24"/>
        </w:rPr>
        <w:t>Mientras</w:t>
      </w:r>
      <w:proofErr w:type="spellEnd"/>
      <w:r w:rsidRPr="002451B6">
        <w:rPr>
          <w:rFonts w:ascii="Times New Roman" w:eastAsia="Times New Roman" w:hAnsi="Times New Roman" w:cs="Times New Roman"/>
          <w:i/>
          <w:iCs/>
          <w:sz w:val="24"/>
          <w:szCs w:val="24"/>
        </w:rPr>
        <w:t xml:space="preserve"> Tanto</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108</w:t>
      </w:r>
      <w:r w:rsidRPr="002451B6">
        <w:rPr>
          <w:rFonts w:ascii="Times New Roman" w:eastAsia="Times New Roman" w:hAnsi="Times New Roman" w:cs="Times New Roman"/>
          <w:sz w:val="24"/>
          <w:szCs w:val="24"/>
        </w:rPr>
        <w:t>, 2012.</w:t>
      </w:r>
    </w:p>
    <w:p w14:paraId="73232484"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ALENCAR-RODRIGUES, R. de; LEONOR. La </w:t>
      </w:r>
      <w:proofErr w:type="spellStart"/>
      <w:r w:rsidRPr="002451B6">
        <w:rPr>
          <w:rFonts w:ascii="Times New Roman" w:eastAsia="Times New Roman" w:hAnsi="Times New Roman" w:cs="Times New Roman"/>
          <w:sz w:val="24"/>
          <w:szCs w:val="24"/>
        </w:rPr>
        <w:t>fotointervención</w:t>
      </w:r>
      <w:proofErr w:type="spellEnd"/>
      <w:r w:rsidRPr="002451B6">
        <w:rPr>
          <w:rFonts w:ascii="Times New Roman" w:eastAsia="Times New Roman" w:hAnsi="Times New Roman" w:cs="Times New Roman"/>
          <w:sz w:val="24"/>
          <w:szCs w:val="24"/>
        </w:rPr>
        <w:t xml:space="preserve"> como instrumento de </w:t>
      </w:r>
      <w:proofErr w:type="spellStart"/>
      <w:r w:rsidRPr="002451B6">
        <w:rPr>
          <w:rFonts w:ascii="Times New Roman" w:eastAsia="Times New Roman" w:hAnsi="Times New Roman" w:cs="Times New Roman"/>
          <w:sz w:val="24"/>
          <w:szCs w:val="24"/>
        </w:rPr>
        <w:t>reflexión</w:t>
      </w:r>
      <w:proofErr w:type="spellEnd"/>
      <w:r w:rsidRPr="002451B6">
        <w:rPr>
          <w:rFonts w:ascii="Times New Roman" w:eastAsia="Times New Roman" w:hAnsi="Times New Roman" w:cs="Times New Roman"/>
          <w:sz w:val="24"/>
          <w:szCs w:val="24"/>
        </w:rPr>
        <w:t xml:space="preserve"> sobre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de género e </w:t>
      </w:r>
      <w:proofErr w:type="spellStart"/>
      <w:r w:rsidRPr="002451B6">
        <w:rPr>
          <w:rFonts w:ascii="Times New Roman" w:eastAsia="Times New Roman" w:hAnsi="Times New Roman" w:cs="Times New Roman"/>
          <w:sz w:val="24"/>
          <w:szCs w:val="24"/>
        </w:rPr>
        <w:t>inmigración</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Temas psicol.</w:t>
      </w:r>
      <w:proofErr w:type="gramStart"/>
      <w:r w:rsidRPr="002451B6">
        <w:rPr>
          <w:rFonts w:ascii="Times New Roman" w:eastAsia="Times New Roman" w:hAnsi="Times New Roman" w:cs="Times New Roman"/>
          <w:sz w:val="24"/>
          <w:szCs w:val="24"/>
        </w:rPr>
        <w:t>,  Ribeirão</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Preto,  v.</w:t>
      </w:r>
      <w:proofErr w:type="gramEnd"/>
      <w:r w:rsidRPr="002451B6">
        <w:rPr>
          <w:rFonts w:ascii="Times New Roman" w:eastAsia="Times New Roman" w:hAnsi="Times New Roman" w:cs="Times New Roman"/>
          <w:sz w:val="24"/>
          <w:szCs w:val="24"/>
        </w:rPr>
        <w:t xml:space="preserve"> 24, n. 3, p. 927-</w:t>
      </w:r>
      <w:proofErr w:type="gramStart"/>
      <w:r w:rsidRPr="002451B6">
        <w:rPr>
          <w:rFonts w:ascii="Times New Roman" w:eastAsia="Times New Roman" w:hAnsi="Times New Roman" w:cs="Times New Roman"/>
          <w:sz w:val="24"/>
          <w:szCs w:val="24"/>
        </w:rPr>
        <w:t>945,  set.</w:t>
      </w:r>
      <w:proofErr w:type="gramEnd"/>
      <w:r w:rsidRPr="002451B6">
        <w:rPr>
          <w:rFonts w:ascii="Times New Roman" w:eastAsia="Times New Roman" w:hAnsi="Times New Roman" w:cs="Times New Roman"/>
          <w:sz w:val="24"/>
          <w:szCs w:val="24"/>
        </w:rPr>
        <w:t xml:space="preserve">  2016.</w:t>
      </w:r>
    </w:p>
    <w:p w14:paraId="263CC6A7"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lastRenderedPageBreak/>
        <w:t xml:space="preserve">ABONILLA ALGOVIA, E.; RIVAS RIVERO, E.; VÁZQUEZ CABRERA, J. J. </w:t>
      </w:r>
      <w:proofErr w:type="spellStart"/>
      <w:r w:rsidRPr="002451B6">
        <w:rPr>
          <w:rFonts w:ascii="Times New Roman" w:eastAsia="Times New Roman" w:hAnsi="Times New Roman" w:cs="Times New Roman"/>
          <w:sz w:val="24"/>
          <w:szCs w:val="24"/>
          <w:highlight w:val="white"/>
        </w:rPr>
        <w:t>Tolerancia</w:t>
      </w:r>
      <w:proofErr w:type="spellEnd"/>
      <w:r w:rsidRPr="002451B6">
        <w:rPr>
          <w:rFonts w:ascii="Times New Roman" w:eastAsia="Times New Roman" w:hAnsi="Times New Roman" w:cs="Times New Roman"/>
          <w:sz w:val="24"/>
          <w:szCs w:val="24"/>
          <w:highlight w:val="white"/>
        </w:rPr>
        <w:t xml:space="preserve"> y </w:t>
      </w:r>
      <w:proofErr w:type="spellStart"/>
      <w:r w:rsidRPr="002451B6">
        <w:rPr>
          <w:rFonts w:ascii="Times New Roman" w:eastAsia="Times New Roman" w:hAnsi="Times New Roman" w:cs="Times New Roman"/>
          <w:sz w:val="24"/>
          <w:szCs w:val="24"/>
          <w:highlight w:val="white"/>
        </w:rPr>
        <w:t>justificación</w:t>
      </w:r>
      <w:proofErr w:type="spellEnd"/>
      <w:r w:rsidRPr="002451B6">
        <w:rPr>
          <w:rFonts w:ascii="Times New Roman" w:eastAsia="Times New Roman" w:hAnsi="Times New Roman" w:cs="Times New Roman"/>
          <w:sz w:val="24"/>
          <w:szCs w:val="24"/>
          <w:highlight w:val="white"/>
        </w:rPr>
        <w:t xml:space="preserve"> de </w:t>
      </w:r>
      <w:proofErr w:type="spellStart"/>
      <w:r w:rsidRPr="002451B6">
        <w:rPr>
          <w:rFonts w:ascii="Times New Roman" w:eastAsia="Times New Roman" w:hAnsi="Times New Roman" w:cs="Times New Roman"/>
          <w:sz w:val="24"/>
          <w:szCs w:val="24"/>
          <w:highlight w:val="white"/>
        </w:rPr>
        <w:t>la</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violencia</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en</w:t>
      </w:r>
      <w:proofErr w:type="spellEnd"/>
      <w:r w:rsidRPr="002451B6">
        <w:rPr>
          <w:rFonts w:ascii="Times New Roman" w:eastAsia="Times New Roman" w:hAnsi="Times New Roman" w:cs="Times New Roman"/>
          <w:sz w:val="24"/>
          <w:szCs w:val="24"/>
          <w:highlight w:val="white"/>
        </w:rPr>
        <w:t xml:space="preserve"> relaciones de </w:t>
      </w:r>
      <w:proofErr w:type="spellStart"/>
      <w:r w:rsidRPr="002451B6">
        <w:rPr>
          <w:rFonts w:ascii="Times New Roman" w:eastAsia="Times New Roman" w:hAnsi="Times New Roman" w:cs="Times New Roman"/>
          <w:sz w:val="24"/>
          <w:szCs w:val="24"/>
          <w:highlight w:val="white"/>
        </w:rPr>
        <w:t>pareja</w:t>
      </w:r>
      <w:proofErr w:type="spellEnd"/>
      <w:r w:rsidRPr="002451B6">
        <w:rPr>
          <w:rFonts w:ascii="Times New Roman" w:eastAsia="Times New Roman" w:hAnsi="Times New Roman" w:cs="Times New Roman"/>
          <w:sz w:val="24"/>
          <w:szCs w:val="24"/>
          <w:highlight w:val="white"/>
        </w:rPr>
        <w:t xml:space="preserve"> adolescentes. </w:t>
      </w:r>
      <w:proofErr w:type="spellStart"/>
      <w:r w:rsidRPr="002451B6">
        <w:rPr>
          <w:rFonts w:ascii="Times New Roman" w:eastAsia="Times New Roman" w:hAnsi="Times New Roman" w:cs="Times New Roman"/>
          <w:i/>
          <w:iCs/>
          <w:sz w:val="24"/>
          <w:szCs w:val="24"/>
          <w:highlight w:val="white"/>
        </w:rPr>
        <w:t>Apuntes</w:t>
      </w:r>
      <w:proofErr w:type="spellEnd"/>
      <w:r w:rsidRPr="002451B6">
        <w:rPr>
          <w:rFonts w:ascii="Times New Roman" w:eastAsia="Times New Roman" w:hAnsi="Times New Roman" w:cs="Times New Roman"/>
          <w:i/>
          <w:iCs/>
          <w:sz w:val="24"/>
          <w:szCs w:val="24"/>
          <w:highlight w:val="white"/>
        </w:rPr>
        <w:t xml:space="preserve"> de </w:t>
      </w:r>
      <w:proofErr w:type="spellStart"/>
      <w:r w:rsidRPr="002451B6">
        <w:rPr>
          <w:rFonts w:ascii="Times New Roman" w:eastAsia="Times New Roman" w:hAnsi="Times New Roman" w:cs="Times New Roman"/>
          <w:i/>
          <w:iCs/>
          <w:sz w:val="24"/>
          <w:szCs w:val="24"/>
          <w:highlight w:val="white"/>
        </w:rPr>
        <w:t>Psicología</w:t>
      </w:r>
      <w:proofErr w:type="spellEnd"/>
      <w:r w:rsidRPr="002451B6">
        <w:rPr>
          <w:rFonts w:ascii="Times New Roman" w:eastAsia="Times New Roman" w:hAnsi="Times New Roman" w:cs="Times New Roman"/>
          <w:i/>
          <w:iCs/>
          <w:sz w:val="24"/>
          <w:szCs w:val="24"/>
          <w:highlight w:val="white"/>
        </w:rPr>
        <w:t>, [</w:t>
      </w:r>
      <w:r w:rsidRPr="002451B6">
        <w:rPr>
          <w:rFonts w:ascii="Times New Roman" w:eastAsia="Times New Roman" w:hAnsi="Times New Roman" w:cs="Times New Roman"/>
          <w:sz w:val="24"/>
          <w:szCs w:val="24"/>
          <w:highlight w:val="white"/>
        </w:rPr>
        <w:t>S. l.], v. 35, n. 1, p. 55–61, 2017.</w:t>
      </w:r>
    </w:p>
    <w:p w14:paraId="049DC153"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ALLEGUE, R., C., E., K., V., &amp; T., S.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doméstica y </w:t>
      </w:r>
      <w:proofErr w:type="spellStart"/>
      <w:r w:rsidRPr="002451B6">
        <w:rPr>
          <w:rFonts w:ascii="Times New Roman" w:eastAsia="Times New Roman" w:hAnsi="Times New Roman" w:cs="Times New Roman"/>
          <w:sz w:val="24"/>
          <w:szCs w:val="24"/>
        </w:rPr>
        <w:t>psicoanálisis</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 xml:space="preserve">Revista de Psicoterapia </w:t>
      </w:r>
      <w:proofErr w:type="spellStart"/>
      <w:r w:rsidRPr="002451B6">
        <w:rPr>
          <w:rFonts w:ascii="Times New Roman" w:eastAsia="Times New Roman" w:hAnsi="Times New Roman" w:cs="Times New Roman"/>
          <w:i/>
          <w:iCs/>
          <w:sz w:val="24"/>
          <w:szCs w:val="24"/>
        </w:rPr>
        <w:t>Psicoanalítica</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8</w:t>
      </w:r>
      <w:r w:rsidRPr="002451B6">
        <w:rPr>
          <w:rFonts w:ascii="Times New Roman" w:eastAsia="Times New Roman" w:hAnsi="Times New Roman" w:cs="Times New Roman"/>
          <w:sz w:val="24"/>
          <w:szCs w:val="24"/>
        </w:rPr>
        <w:t>(3), 2014.</w:t>
      </w:r>
    </w:p>
    <w:p w14:paraId="330E39A9" w14:textId="77777777" w:rsidR="00332C33" w:rsidRPr="002451B6" w:rsidRDefault="00000000">
      <w:pPr>
        <w:shd w:val="clear" w:color="auto" w:fill="FFFFFF"/>
        <w:spacing w:before="240" w:after="240"/>
        <w:jc w:val="both"/>
      </w:pPr>
      <w:r w:rsidRPr="002451B6">
        <w:rPr>
          <w:rFonts w:ascii="Times New Roman" w:eastAsia="Times New Roman" w:hAnsi="Times New Roman" w:cs="Times New Roman"/>
          <w:sz w:val="24"/>
          <w:szCs w:val="24"/>
        </w:rPr>
        <w:t xml:space="preserve">ALLPORT. La </w:t>
      </w:r>
      <w:proofErr w:type="spellStart"/>
      <w:r w:rsidRPr="002451B6">
        <w:rPr>
          <w:rFonts w:ascii="Times New Roman" w:eastAsia="Times New Roman" w:hAnsi="Times New Roman" w:cs="Times New Roman"/>
          <w:sz w:val="24"/>
          <w:szCs w:val="24"/>
        </w:rPr>
        <w:t>naturaleza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del</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prejuicio</w:t>
      </w:r>
      <w:proofErr w:type="spellEnd"/>
      <w:r w:rsidRPr="002451B6">
        <w:rPr>
          <w:rFonts w:ascii="Times New Roman" w:eastAsia="Times New Roman" w:hAnsi="Times New Roman" w:cs="Times New Roman"/>
          <w:sz w:val="24"/>
          <w:szCs w:val="24"/>
        </w:rPr>
        <w:t xml:space="preserve">. Editorial Universitária de Buenos aires. 4ta </w:t>
      </w:r>
      <w:proofErr w:type="spellStart"/>
      <w:r w:rsidRPr="002451B6">
        <w:rPr>
          <w:rFonts w:ascii="Times New Roman" w:eastAsia="Times New Roman" w:hAnsi="Times New Roman" w:cs="Times New Roman"/>
          <w:sz w:val="24"/>
          <w:szCs w:val="24"/>
        </w:rPr>
        <w:t>edición</w:t>
      </w:r>
      <w:proofErr w:type="spellEnd"/>
      <w:r w:rsidRPr="002451B6">
        <w:rPr>
          <w:rFonts w:ascii="Times New Roman" w:eastAsia="Times New Roman" w:hAnsi="Times New Roman" w:cs="Times New Roman"/>
          <w:sz w:val="24"/>
          <w:szCs w:val="24"/>
        </w:rPr>
        <w:t>. Argentina.</w:t>
      </w:r>
      <w:hyperlink r:id="rId63">
        <w:r w:rsidR="00332C33" w:rsidRPr="002451B6">
          <w:rPr>
            <w:rFonts w:ascii="Times New Roman" w:eastAsia="Times New Roman" w:hAnsi="Times New Roman" w:cs="Times New Roman"/>
            <w:sz w:val="24"/>
            <w:szCs w:val="24"/>
          </w:rPr>
          <w:t xml:space="preserve"> 1971.</w:t>
        </w:r>
      </w:hyperlink>
    </w:p>
    <w:p w14:paraId="43C6DE30" w14:textId="77777777" w:rsidR="00332C33" w:rsidRPr="002451B6" w:rsidRDefault="00000000">
      <w:pPr>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ARENDT, A. </w:t>
      </w:r>
      <w:proofErr w:type="spellStart"/>
      <w:r w:rsidRPr="002451B6">
        <w:rPr>
          <w:rFonts w:ascii="Times New Roman" w:eastAsia="Times New Roman" w:hAnsi="Times New Roman" w:cs="Times New Roman"/>
          <w:i/>
          <w:iCs/>
          <w:sz w:val="24"/>
          <w:szCs w:val="24"/>
        </w:rPr>
        <w:t>Sulla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violenza</w:t>
      </w:r>
      <w:proofErr w:type="spellEnd"/>
      <w:r w:rsidRPr="002451B6">
        <w:rPr>
          <w:rFonts w:ascii="Times New Roman" w:eastAsia="Times New Roman" w:hAnsi="Times New Roman" w:cs="Times New Roman"/>
          <w:sz w:val="24"/>
          <w:szCs w:val="24"/>
        </w:rPr>
        <w:t xml:space="preserve">. Parma: Ugo </w:t>
      </w:r>
      <w:proofErr w:type="spellStart"/>
      <w:r w:rsidRPr="002451B6">
        <w:rPr>
          <w:rFonts w:ascii="Times New Roman" w:eastAsia="Times New Roman" w:hAnsi="Times New Roman" w:cs="Times New Roman"/>
          <w:sz w:val="24"/>
          <w:szCs w:val="24"/>
        </w:rPr>
        <w:t>Guanda</w:t>
      </w:r>
      <w:proofErr w:type="spellEnd"/>
      <w:r w:rsidRPr="002451B6">
        <w:rPr>
          <w:rFonts w:ascii="Times New Roman" w:eastAsia="Times New Roman" w:hAnsi="Times New Roman" w:cs="Times New Roman"/>
          <w:sz w:val="24"/>
          <w:szCs w:val="24"/>
        </w:rPr>
        <w:t xml:space="preserve"> Editore,2008.</w:t>
      </w:r>
    </w:p>
    <w:p w14:paraId="3F46B074" w14:textId="77777777" w:rsidR="00332C33" w:rsidRPr="002451B6" w:rsidRDefault="00000000">
      <w:pPr>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BARRIENDOS, J. La </w:t>
      </w:r>
      <w:proofErr w:type="spellStart"/>
      <w:r w:rsidRPr="002451B6">
        <w:rPr>
          <w:rFonts w:ascii="Times New Roman" w:eastAsia="Times New Roman" w:hAnsi="Times New Roman" w:cs="Times New Roman"/>
          <w:sz w:val="24"/>
          <w:szCs w:val="24"/>
        </w:rPr>
        <w:t>colonialidad</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del</w:t>
      </w:r>
      <w:proofErr w:type="spellEnd"/>
      <w:r w:rsidRPr="002451B6">
        <w:rPr>
          <w:rFonts w:ascii="Times New Roman" w:eastAsia="Times New Roman" w:hAnsi="Times New Roman" w:cs="Times New Roman"/>
          <w:sz w:val="24"/>
          <w:szCs w:val="24"/>
        </w:rPr>
        <w:t xml:space="preserve"> ver. </w:t>
      </w:r>
      <w:proofErr w:type="spellStart"/>
      <w:r w:rsidRPr="002451B6">
        <w:rPr>
          <w:rFonts w:ascii="Times New Roman" w:eastAsia="Times New Roman" w:hAnsi="Times New Roman" w:cs="Times New Roman"/>
          <w:sz w:val="24"/>
          <w:szCs w:val="24"/>
        </w:rPr>
        <w:t>Hacia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un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nuevo</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diálogo</w:t>
      </w:r>
      <w:proofErr w:type="spellEnd"/>
      <w:r w:rsidRPr="002451B6">
        <w:rPr>
          <w:rFonts w:ascii="Times New Roman" w:eastAsia="Times New Roman" w:hAnsi="Times New Roman" w:cs="Times New Roman"/>
          <w:sz w:val="24"/>
          <w:szCs w:val="24"/>
        </w:rPr>
        <w:t xml:space="preserve"> visual </w:t>
      </w:r>
      <w:proofErr w:type="spellStart"/>
      <w:r w:rsidRPr="002451B6">
        <w:rPr>
          <w:rFonts w:ascii="Times New Roman" w:eastAsia="Times New Roman" w:hAnsi="Times New Roman" w:cs="Times New Roman"/>
          <w:sz w:val="24"/>
          <w:szCs w:val="24"/>
        </w:rPr>
        <w:t>interepistémico</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Nómadas</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Colombia</w:t>
      </w:r>
      <w:proofErr w:type="spellEnd"/>
      <w:r w:rsidRPr="002451B6">
        <w:rPr>
          <w:rFonts w:ascii="Times New Roman" w:eastAsia="Times New Roman" w:hAnsi="Times New Roman" w:cs="Times New Roman"/>
          <w:sz w:val="24"/>
          <w:szCs w:val="24"/>
        </w:rPr>
        <w:t xml:space="preserve">, n. 35, 13-29, 2011. </w:t>
      </w:r>
    </w:p>
    <w:p w14:paraId="15EC23E4" w14:textId="77777777" w:rsidR="00332C33" w:rsidRPr="002451B6" w:rsidRDefault="00000000">
      <w:pPr>
        <w:spacing w:before="240" w:after="240"/>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BELO, R. P., GOUVEIA, V. V., RAYMUNDO, J. D. S., &amp; MARQUES, C. M. C. Correlatos valorativos do sexismo ambivalente. </w:t>
      </w:r>
      <w:r w:rsidRPr="002451B6">
        <w:rPr>
          <w:rFonts w:ascii="Times New Roman" w:eastAsia="Times New Roman" w:hAnsi="Times New Roman" w:cs="Times New Roman"/>
          <w:i/>
          <w:iCs/>
          <w:sz w:val="24"/>
          <w:szCs w:val="24"/>
        </w:rPr>
        <w:t>Psicologia: Reflexão e Crítica</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18</w:t>
      </w:r>
      <w:r w:rsidRPr="002451B6">
        <w:rPr>
          <w:rFonts w:ascii="Times New Roman" w:eastAsia="Times New Roman" w:hAnsi="Times New Roman" w:cs="Times New Roman"/>
          <w:sz w:val="24"/>
          <w:szCs w:val="24"/>
        </w:rPr>
        <w:t xml:space="preserve">(1), 7-15, 2005. </w:t>
      </w:r>
      <w:hyperlink r:id="rId64">
        <w:r w:rsidR="00332C33" w:rsidRPr="002451B6">
          <w:rPr>
            <w:rFonts w:ascii="Times New Roman" w:eastAsia="Times New Roman" w:hAnsi="Times New Roman" w:cs="Times New Roman"/>
            <w:sz w:val="24"/>
            <w:szCs w:val="24"/>
          </w:rPr>
          <w:t xml:space="preserve"> </w:t>
        </w:r>
      </w:hyperlink>
    </w:p>
    <w:p w14:paraId="1F299BD3" w14:textId="77777777" w:rsidR="00332C33" w:rsidRPr="002451B6" w:rsidRDefault="00000000">
      <w:pPr>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BOURDIEU, P. </w:t>
      </w:r>
      <w:r w:rsidRPr="002451B6">
        <w:rPr>
          <w:rFonts w:ascii="Times New Roman" w:eastAsia="Times New Roman" w:hAnsi="Times New Roman" w:cs="Times New Roman"/>
          <w:i/>
          <w:iCs/>
          <w:sz w:val="24"/>
          <w:szCs w:val="24"/>
        </w:rPr>
        <w:t xml:space="preserve">La </w:t>
      </w:r>
      <w:proofErr w:type="spellStart"/>
      <w:r w:rsidRPr="002451B6">
        <w:rPr>
          <w:rFonts w:ascii="Times New Roman" w:eastAsia="Times New Roman" w:hAnsi="Times New Roman" w:cs="Times New Roman"/>
          <w:i/>
          <w:iCs/>
          <w:sz w:val="24"/>
          <w:szCs w:val="24"/>
        </w:rPr>
        <w:t>dominación</w:t>
      </w:r>
      <w:proofErr w:type="spellEnd"/>
      <w:r w:rsidRPr="002451B6">
        <w:rPr>
          <w:rFonts w:ascii="Times New Roman" w:eastAsia="Times New Roman" w:hAnsi="Times New Roman" w:cs="Times New Roman"/>
          <w:i/>
          <w:iCs/>
          <w:sz w:val="24"/>
          <w:szCs w:val="24"/>
        </w:rPr>
        <w:t xml:space="preserve"> masculina.</w:t>
      </w:r>
      <w:r w:rsidRPr="002451B6">
        <w:rPr>
          <w:rFonts w:ascii="Times New Roman" w:eastAsia="Times New Roman" w:hAnsi="Times New Roman" w:cs="Times New Roman"/>
          <w:sz w:val="24"/>
          <w:szCs w:val="24"/>
        </w:rPr>
        <w:t xml:space="preserve"> Editorial Anagrama, S.A. Barcelona, </w:t>
      </w:r>
      <w:proofErr w:type="spellStart"/>
      <w:r w:rsidRPr="002451B6">
        <w:rPr>
          <w:rFonts w:ascii="Times New Roman" w:eastAsia="Times New Roman" w:hAnsi="Times New Roman" w:cs="Times New Roman"/>
          <w:sz w:val="24"/>
          <w:szCs w:val="24"/>
        </w:rPr>
        <w:t>España</w:t>
      </w:r>
      <w:proofErr w:type="spellEnd"/>
      <w:r w:rsidRPr="002451B6">
        <w:rPr>
          <w:rFonts w:ascii="Times New Roman" w:eastAsia="Times New Roman" w:hAnsi="Times New Roman" w:cs="Times New Roman"/>
          <w:sz w:val="24"/>
          <w:szCs w:val="24"/>
        </w:rPr>
        <w:t>, 2000.</w:t>
      </w:r>
    </w:p>
    <w:p w14:paraId="1A4BB7C2"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BRAUN, V.; CLARCKE, V. </w:t>
      </w:r>
      <w:proofErr w:type="spellStart"/>
      <w:r w:rsidRPr="002451B6">
        <w:rPr>
          <w:rFonts w:ascii="Times New Roman" w:eastAsia="Times New Roman" w:hAnsi="Times New Roman" w:cs="Times New Roman"/>
          <w:sz w:val="24"/>
          <w:szCs w:val="24"/>
        </w:rPr>
        <w:t>Using</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thematic</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analysis</w:t>
      </w:r>
      <w:proofErr w:type="spellEnd"/>
      <w:r w:rsidRPr="002451B6">
        <w:rPr>
          <w:rFonts w:ascii="Times New Roman" w:eastAsia="Times New Roman" w:hAnsi="Times New Roman" w:cs="Times New Roman"/>
          <w:sz w:val="24"/>
          <w:szCs w:val="24"/>
        </w:rPr>
        <w:t xml:space="preserve"> in </w:t>
      </w:r>
      <w:proofErr w:type="spellStart"/>
      <w:r w:rsidRPr="002451B6">
        <w:rPr>
          <w:rFonts w:ascii="Times New Roman" w:eastAsia="Times New Roman" w:hAnsi="Times New Roman" w:cs="Times New Roman"/>
          <w:sz w:val="24"/>
          <w:szCs w:val="24"/>
        </w:rPr>
        <w:t>psychology</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Qualitative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Research</w:t>
      </w:r>
      <w:proofErr w:type="spellEnd"/>
      <w:r w:rsidRPr="002451B6">
        <w:rPr>
          <w:rFonts w:ascii="Times New Roman" w:eastAsia="Times New Roman" w:hAnsi="Times New Roman" w:cs="Times New Roman"/>
          <w:sz w:val="24"/>
          <w:szCs w:val="24"/>
        </w:rPr>
        <w:t xml:space="preserve"> in </w:t>
      </w:r>
      <w:proofErr w:type="spellStart"/>
      <w:r w:rsidRPr="002451B6">
        <w:rPr>
          <w:rFonts w:ascii="Times New Roman" w:eastAsia="Times New Roman" w:hAnsi="Times New Roman" w:cs="Times New Roman"/>
          <w:sz w:val="24"/>
          <w:szCs w:val="24"/>
        </w:rPr>
        <w:t>Psychology</w:t>
      </w:r>
      <w:proofErr w:type="spellEnd"/>
      <w:r w:rsidRPr="002451B6">
        <w:rPr>
          <w:rFonts w:ascii="Times New Roman" w:eastAsia="Times New Roman" w:hAnsi="Times New Roman" w:cs="Times New Roman"/>
          <w:sz w:val="24"/>
          <w:szCs w:val="24"/>
        </w:rPr>
        <w:t xml:space="preserve">, 3 (2). pp. 77-101, 2006. </w:t>
      </w:r>
    </w:p>
    <w:p w14:paraId="65D5599A"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BURGOS HERNANDEZ, V. La </w:t>
      </w:r>
      <w:proofErr w:type="spellStart"/>
      <w:r w:rsidRPr="002451B6">
        <w:rPr>
          <w:rFonts w:ascii="Times New Roman" w:eastAsia="Times New Roman" w:hAnsi="Times New Roman" w:cs="Times New Roman"/>
          <w:sz w:val="24"/>
          <w:szCs w:val="24"/>
        </w:rPr>
        <w:t>representación</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de género </w:t>
      </w:r>
      <w:proofErr w:type="spellStart"/>
      <w:r w:rsidRPr="002451B6">
        <w:rPr>
          <w:rFonts w:ascii="Times New Roman" w:eastAsia="Times New Roman" w:hAnsi="Times New Roman" w:cs="Times New Roman"/>
          <w:sz w:val="24"/>
          <w:szCs w:val="24"/>
        </w:rPr>
        <w:t>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el</w:t>
      </w:r>
      <w:proofErr w:type="spellEnd"/>
      <w:r w:rsidRPr="002451B6">
        <w:rPr>
          <w:rFonts w:ascii="Times New Roman" w:eastAsia="Times New Roman" w:hAnsi="Times New Roman" w:cs="Times New Roman"/>
          <w:sz w:val="24"/>
          <w:szCs w:val="24"/>
        </w:rPr>
        <w:t xml:space="preserve"> cine </w:t>
      </w:r>
      <w:proofErr w:type="spellStart"/>
      <w:r w:rsidRPr="002451B6">
        <w:rPr>
          <w:rFonts w:ascii="Times New Roman" w:eastAsia="Times New Roman" w:hAnsi="Times New Roman" w:cs="Times New Roman"/>
          <w:sz w:val="24"/>
          <w:szCs w:val="24"/>
        </w:rPr>
        <w:t>español</w:t>
      </w:r>
      <w:proofErr w:type="spellEnd"/>
      <w:r w:rsidRPr="002451B6">
        <w:rPr>
          <w:rFonts w:ascii="Times New Roman" w:eastAsia="Times New Roman" w:hAnsi="Times New Roman" w:cs="Times New Roman"/>
          <w:sz w:val="24"/>
          <w:szCs w:val="24"/>
        </w:rPr>
        <w:t xml:space="preserve"> (1997-2011): </w:t>
      </w:r>
      <w:proofErr w:type="spellStart"/>
      <w:r w:rsidRPr="002451B6">
        <w:rPr>
          <w:rFonts w:ascii="Times New Roman" w:eastAsia="Times New Roman" w:hAnsi="Times New Roman" w:cs="Times New Roman"/>
          <w:sz w:val="24"/>
          <w:szCs w:val="24"/>
        </w:rPr>
        <w:t>Procesos</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victimización</w:t>
      </w:r>
      <w:proofErr w:type="spellEnd"/>
      <w:r w:rsidRPr="002451B6">
        <w:rPr>
          <w:rFonts w:ascii="Times New Roman" w:eastAsia="Times New Roman" w:hAnsi="Times New Roman" w:cs="Times New Roman"/>
          <w:sz w:val="24"/>
          <w:szCs w:val="24"/>
        </w:rPr>
        <w:t xml:space="preserve">, marcos de </w:t>
      </w:r>
      <w:proofErr w:type="spellStart"/>
      <w:r w:rsidRPr="002451B6">
        <w:rPr>
          <w:rFonts w:ascii="Times New Roman" w:eastAsia="Times New Roman" w:hAnsi="Times New Roman" w:cs="Times New Roman"/>
          <w:sz w:val="24"/>
          <w:szCs w:val="24"/>
        </w:rPr>
        <w:t>reconocimiento</w:t>
      </w:r>
      <w:proofErr w:type="spellEnd"/>
      <w:r w:rsidRPr="002451B6">
        <w:rPr>
          <w:rFonts w:ascii="Times New Roman" w:eastAsia="Times New Roman" w:hAnsi="Times New Roman" w:cs="Times New Roman"/>
          <w:sz w:val="24"/>
          <w:szCs w:val="24"/>
        </w:rPr>
        <w:t xml:space="preserve"> y </w:t>
      </w:r>
      <w:proofErr w:type="spellStart"/>
      <w:r w:rsidRPr="002451B6">
        <w:rPr>
          <w:rFonts w:ascii="Times New Roman" w:eastAsia="Times New Roman" w:hAnsi="Times New Roman" w:cs="Times New Roman"/>
          <w:sz w:val="24"/>
          <w:szCs w:val="24"/>
        </w:rPr>
        <w:t>estrategias</w:t>
      </w:r>
      <w:proofErr w:type="spellEnd"/>
      <w:r w:rsidRPr="002451B6">
        <w:rPr>
          <w:rFonts w:ascii="Times New Roman" w:eastAsia="Times New Roman" w:hAnsi="Times New Roman" w:cs="Times New Roman"/>
          <w:sz w:val="24"/>
          <w:szCs w:val="24"/>
        </w:rPr>
        <w:t xml:space="preserve"> narrativas (</w:t>
      </w:r>
      <w:proofErr w:type="spellStart"/>
      <w:r w:rsidRPr="002451B6">
        <w:rPr>
          <w:rFonts w:ascii="Times New Roman" w:eastAsia="Times New Roman" w:hAnsi="Times New Roman" w:cs="Times New Roman"/>
          <w:sz w:val="24"/>
          <w:szCs w:val="24"/>
        </w:rPr>
        <w:t>Doctoral</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dissertation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Universitat</w:t>
      </w:r>
      <w:proofErr w:type="spellEnd"/>
      <w:r w:rsidRPr="002451B6">
        <w:rPr>
          <w:rFonts w:ascii="Times New Roman" w:eastAsia="Times New Roman" w:hAnsi="Times New Roman" w:cs="Times New Roman"/>
          <w:sz w:val="24"/>
          <w:szCs w:val="24"/>
        </w:rPr>
        <w:t xml:space="preserve"> Jaume I), 2017..</w:t>
      </w:r>
      <w:hyperlink r:id="rId65">
        <w:r w:rsidR="00332C33" w:rsidRPr="002451B6">
          <w:rPr>
            <w:rFonts w:ascii="Times New Roman" w:eastAsia="Times New Roman" w:hAnsi="Times New Roman" w:cs="Times New Roman"/>
            <w:sz w:val="24"/>
            <w:szCs w:val="24"/>
          </w:rPr>
          <w:t xml:space="preserve"> </w:t>
        </w:r>
      </w:hyperlink>
      <w:hyperlink r:id="rId66">
        <w:r w:rsidR="00332C33" w:rsidRPr="002451B6">
          <w:rPr>
            <w:rFonts w:ascii="Times New Roman" w:eastAsia="Times New Roman" w:hAnsi="Times New Roman" w:cs="Times New Roman"/>
            <w:sz w:val="24"/>
            <w:szCs w:val="24"/>
            <w:u w:val="single"/>
          </w:rPr>
          <w:t>https://www.tdx.cat/handle/10803/418640</w:t>
        </w:r>
      </w:hyperlink>
    </w:p>
    <w:p w14:paraId="44DB57C4"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CASSETTI, F. </w:t>
      </w:r>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Análisis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del</w:t>
      </w:r>
      <w:proofErr w:type="spellEnd"/>
      <w:r w:rsidRPr="002451B6">
        <w:rPr>
          <w:rFonts w:ascii="Times New Roman" w:eastAsia="Times New Roman" w:hAnsi="Times New Roman" w:cs="Times New Roman"/>
          <w:i/>
          <w:iCs/>
          <w:sz w:val="24"/>
          <w:szCs w:val="24"/>
        </w:rPr>
        <w:t xml:space="preserve"> filme.</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Ediciones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Paidós</w:t>
      </w:r>
      <w:proofErr w:type="spellEnd"/>
      <w:r w:rsidRPr="002451B6">
        <w:rPr>
          <w:rFonts w:ascii="Times New Roman" w:eastAsia="Times New Roman" w:hAnsi="Times New Roman" w:cs="Times New Roman"/>
          <w:sz w:val="24"/>
          <w:szCs w:val="24"/>
        </w:rPr>
        <w:t xml:space="preserve"> Ibérica, S.A., 08021 Barcelona, 1990. </w:t>
      </w:r>
    </w:p>
    <w:p w14:paraId="2DC2C67B"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CISNE, M.; MEDEIROS, L. G.; CASTRO, V. V. Por trás da tela de cinema, há violência contra as mulheres: uma análise da importância do movimento #MeToo. O Público e o Privado, Fortaleza, v. 18, n. 37 set/dez, 2020.</w:t>
      </w:r>
      <w:hyperlink r:id="rId67">
        <w:r w:rsidR="00332C33" w:rsidRPr="002451B6">
          <w:rPr>
            <w:rFonts w:ascii="Times New Roman" w:eastAsia="Times New Roman" w:hAnsi="Times New Roman" w:cs="Times New Roman"/>
            <w:sz w:val="24"/>
            <w:szCs w:val="24"/>
            <w:u w:val="single"/>
          </w:rPr>
          <w:t>https://revistas.uece.br/index.php/opublicoeoprivado/article/view/3861/3689</w:t>
        </w:r>
      </w:hyperlink>
    </w:p>
    <w:p w14:paraId="24453314"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DA SILVA, F. M. </w:t>
      </w:r>
      <w:proofErr w:type="gramStart"/>
      <w:r w:rsidRPr="002451B6">
        <w:rPr>
          <w:rFonts w:ascii="Times New Roman" w:eastAsia="Times New Roman" w:hAnsi="Times New Roman" w:cs="Times New Roman"/>
          <w:sz w:val="24"/>
          <w:szCs w:val="24"/>
        </w:rPr>
        <w:t>L..</w:t>
      </w:r>
      <w:proofErr w:type="gramEnd"/>
      <w:r w:rsidRPr="002451B6">
        <w:rPr>
          <w:rFonts w:ascii="Times New Roman" w:eastAsia="Times New Roman" w:hAnsi="Times New Roman" w:cs="Times New Roman"/>
          <w:sz w:val="24"/>
          <w:szCs w:val="24"/>
        </w:rPr>
        <w:t xml:space="preserve"> Tendências do Cinema Latino-Americano Contemporâneo. Inicia com, 1(2), 2007. </w:t>
      </w:r>
      <w:hyperlink r:id="rId68">
        <w:r w:rsidR="00332C33" w:rsidRPr="002451B6">
          <w:rPr>
            <w:rFonts w:ascii="Times New Roman" w:eastAsia="Times New Roman" w:hAnsi="Times New Roman" w:cs="Times New Roman"/>
            <w:sz w:val="24"/>
            <w:szCs w:val="24"/>
          </w:rPr>
          <w:t xml:space="preserve"> </w:t>
        </w:r>
      </w:hyperlink>
      <w:hyperlink r:id="rId69">
        <w:r w:rsidR="00332C33" w:rsidRPr="002451B6">
          <w:rPr>
            <w:rFonts w:ascii="Times New Roman" w:eastAsia="Times New Roman" w:hAnsi="Times New Roman" w:cs="Times New Roman"/>
            <w:sz w:val="24"/>
            <w:szCs w:val="24"/>
            <w:u w:val="single"/>
          </w:rPr>
          <w:t>http://portcom.intercom.org.br/revistas/index.php/iniciacom/article/view/377</w:t>
        </w:r>
      </w:hyperlink>
    </w:p>
    <w:p w14:paraId="0DC54A4E" w14:textId="77777777" w:rsidR="00332C33" w:rsidRPr="002451B6" w:rsidRDefault="00000000">
      <w:pPr>
        <w:spacing w:before="240" w:after="240"/>
        <w:ind w:left="2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DA SILVA, C. C., &amp; BORGES, F. T. Análise Temática Dialógica como método de análise de dados verbais em pesquisas qualitativas. </w:t>
      </w:r>
      <w:r w:rsidRPr="002451B6">
        <w:rPr>
          <w:rFonts w:ascii="Times New Roman" w:eastAsia="Times New Roman" w:hAnsi="Times New Roman" w:cs="Times New Roman"/>
          <w:i/>
          <w:iCs/>
          <w:sz w:val="24"/>
          <w:szCs w:val="24"/>
          <w:highlight w:val="white"/>
        </w:rPr>
        <w:t xml:space="preserve">Linhas Críticas, </w:t>
      </w:r>
      <w:r w:rsidRPr="002451B6">
        <w:rPr>
          <w:rFonts w:ascii="Times New Roman" w:eastAsia="Times New Roman" w:hAnsi="Times New Roman" w:cs="Times New Roman"/>
          <w:sz w:val="24"/>
          <w:szCs w:val="24"/>
          <w:highlight w:val="white"/>
        </w:rPr>
        <w:t xml:space="preserve">vol. 23, núm. 51, </w:t>
      </w:r>
      <w:proofErr w:type="spellStart"/>
      <w:r w:rsidRPr="002451B6">
        <w:rPr>
          <w:rFonts w:ascii="Times New Roman" w:eastAsia="Times New Roman" w:hAnsi="Times New Roman" w:cs="Times New Roman"/>
          <w:sz w:val="24"/>
          <w:szCs w:val="24"/>
          <w:highlight w:val="white"/>
        </w:rPr>
        <w:t>junio-septiembre</w:t>
      </w:r>
      <w:proofErr w:type="spellEnd"/>
      <w:r w:rsidRPr="002451B6">
        <w:rPr>
          <w:rFonts w:ascii="Times New Roman" w:eastAsia="Times New Roman" w:hAnsi="Times New Roman" w:cs="Times New Roman"/>
          <w:sz w:val="24"/>
          <w:szCs w:val="24"/>
          <w:highlight w:val="white"/>
        </w:rPr>
        <w:t>, 2017, pp. 245-267.</w:t>
      </w:r>
    </w:p>
    <w:p w14:paraId="64C0431D"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 LAURETIS, T. </w:t>
      </w:r>
      <w:r w:rsidRPr="002451B6">
        <w:rPr>
          <w:rFonts w:ascii="Times New Roman" w:eastAsia="Times New Roman" w:hAnsi="Times New Roman" w:cs="Times New Roman"/>
          <w:i/>
          <w:iCs/>
          <w:sz w:val="24"/>
          <w:szCs w:val="24"/>
        </w:rPr>
        <w:t xml:space="preserve">Alicia </w:t>
      </w:r>
      <w:proofErr w:type="spellStart"/>
      <w:r w:rsidRPr="002451B6">
        <w:rPr>
          <w:rFonts w:ascii="Times New Roman" w:eastAsia="Times New Roman" w:hAnsi="Times New Roman" w:cs="Times New Roman"/>
          <w:i/>
          <w:iCs/>
          <w:sz w:val="24"/>
          <w:szCs w:val="24"/>
        </w:rPr>
        <w:t>ya</w:t>
      </w:r>
      <w:proofErr w:type="spellEnd"/>
      <w:r w:rsidRPr="002451B6">
        <w:rPr>
          <w:rFonts w:ascii="Times New Roman" w:eastAsia="Times New Roman" w:hAnsi="Times New Roman" w:cs="Times New Roman"/>
          <w:i/>
          <w:iCs/>
          <w:sz w:val="24"/>
          <w:szCs w:val="24"/>
        </w:rPr>
        <w:t xml:space="preserve"> no: </w:t>
      </w:r>
      <w:r w:rsidRPr="002451B6">
        <w:rPr>
          <w:rFonts w:ascii="Times New Roman" w:eastAsia="Times New Roman" w:hAnsi="Times New Roman" w:cs="Times New Roman"/>
          <w:sz w:val="24"/>
          <w:szCs w:val="24"/>
        </w:rPr>
        <w:t xml:space="preserve">feminismo, semiótica, cine (Vol. 9). </w:t>
      </w:r>
      <w:proofErr w:type="spellStart"/>
      <w:r w:rsidRPr="002451B6">
        <w:rPr>
          <w:rFonts w:ascii="Times New Roman" w:eastAsia="Times New Roman" w:hAnsi="Times New Roman" w:cs="Times New Roman"/>
          <w:sz w:val="24"/>
          <w:szCs w:val="24"/>
        </w:rPr>
        <w:t>Universitat</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València</w:t>
      </w:r>
      <w:proofErr w:type="spellEnd"/>
      <w:r w:rsidRPr="002451B6">
        <w:rPr>
          <w:rFonts w:ascii="Times New Roman" w:eastAsia="Times New Roman" w:hAnsi="Times New Roman" w:cs="Times New Roman"/>
          <w:sz w:val="24"/>
          <w:szCs w:val="24"/>
        </w:rPr>
        <w:t>, 1992.</w:t>
      </w:r>
    </w:p>
    <w:p w14:paraId="3EDB92E4"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DE ALVARENGA, L. B. </w:t>
      </w:r>
      <w:proofErr w:type="gramStart"/>
      <w:r w:rsidRPr="002451B6">
        <w:rPr>
          <w:rFonts w:ascii="Times New Roman" w:eastAsia="Times New Roman" w:hAnsi="Times New Roman" w:cs="Times New Roman"/>
          <w:sz w:val="24"/>
          <w:szCs w:val="24"/>
        </w:rPr>
        <w:t>F..</w:t>
      </w:r>
      <w:proofErr w:type="gram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Discriminación</w:t>
      </w:r>
      <w:proofErr w:type="spellEnd"/>
      <w:r w:rsidRPr="002451B6">
        <w:rPr>
          <w:rFonts w:ascii="Times New Roman" w:eastAsia="Times New Roman" w:hAnsi="Times New Roman" w:cs="Times New Roman"/>
          <w:sz w:val="24"/>
          <w:szCs w:val="24"/>
        </w:rPr>
        <w:t xml:space="preserve"> y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Estructural</w:t>
      </w:r>
      <w:proofErr w:type="spellEnd"/>
      <w:r w:rsidRPr="002451B6">
        <w:rPr>
          <w:rFonts w:ascii="Times New Roman" w:eastAsia="Times New Roman" w:hAnsi="Times New Roman" w:cs="Times New Roman"/>
          <w:sz w:val="24"/>
          <w:szCs w:val="24"/>
        </w:rPr>
        <w:t xml:space="preserve"> e Institucional Contra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Mujer</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Cadernos de Gênero e Diversidade</w:t>
      </w:r>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4</w:t>
      </w:r>
      <w:r w:rsidRPr="002451B6">
        <w:rPr>
          <w:rFonts w:ascii="Times New Roman" w:eastAsia="Times New Roman" w:hAnsi="Times New Roman" w:cs="Times New Roman"/>
          <w:sz w:val="24"/>
          <w:szCs w:val="24"/>
        </w:rPr>
        <w:t xml:space="preserve">(1), 107-121, </w:t>
      </w:r>
      <w:proofErr w:type="gramStart"/>
      <w:r w:rsidRPr="002451B6">
        <w:rPr>
          <w:rFonts w:ascii="Times New Roman" w:eastAsia="Times New Roman" w:hAnsi="Times New Roman" w:cs="Times New Roman"/>
          <w:sz w:val="24"/>
          <w:szCs w:val="24"/>
        </w:rPr>
        <w:t>2018..</w:t>
      </w:r>
      <w:proofErr w:type="gramEnd"/>
      <w:r w:rsidR="00332C33">
        <w:fldChar w:fldCharType="begin"/>
      </w:r>
      <w:r w:rsidR="00332C33">
        <w:instrText>HYPERLINK "https://cienciasmedicasbiologicas.ufba.br/index.php/cadgendiv/article/view/25554" \h</w:instrText>
      </w:r>
      <w:r w:rsidR="00332C33">
        <w:fldChar w:fldCharType="separate"/>
      </w:r>
      <w:r w:rsidR="00332C33" w:rsidRPr="002451B6">
        <w:rPr>
          <w:rFonts w:ascii="Times New Roman" w:eastAsia="Times New Roman" w:hAnsi="Times New Roman" w:cs="Times New Roman"/>
          <w:sz w:val="24"/>
          <w:szCs w:val="24"/>
          <w:u w:val="single"/>
        </w:rPr>
        <w:t>https://cienciasmedicasbiologicas.ufba.br/index.php/cadgendiv/article/view/25554</w:t>
      </w:r>
      <w:r w:rsidR="00332C33">
        <w:fldChar w:fldCharType="end"/>
      </w:r>
    </w:p>
    <w:p w14:paraId="089F0920"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lastRenderedPageBreak/>
        <w:t xml:space="preserve">DOMÍNGUEZ, T. N., &amp; TROYANO-RODRIGUEZ, </w:t>
      </w:r>
      <w:proofErr w:type="gramStart"/>
      <w:r w:rsidRPr="002451B6">
        <w:rPr>
          <w:rFonts w:ascii="Times New Roman" w:eastAsia="Times New Roman" w:hAnsi="Times New Roman" w:cs="Times New Roman"/>
          <w:sz w:val="24"/>
          <w:szCs w:val="24"/>
        </w:rPr>
        <w:t>Y..</w:t>
      </w:r>
      <w:proofErr w:type="gramEnd"/>
      <w:r w:rsidRPr="002451B6">
        <w:rPr>
          <w:rFonts w:ascii="Times New Roman" w:eastAsia="Times New Roman" w:hAnsi="Times New Roman" w:cs="Times New Roman"/>
          <w:sz w:val="24"/>
          <w:szCs w:val="24"/>
        </w:rPr>
        <w:t xml:space="preserve"> La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machista </w:t>
      </w:r>
      <w:proofErr w:type="spellStart"/>
      <w:r w:rsidRPr="002451B6">
        <w:rPr>
          <w:rFonts w:ascii="Times New Roman" w:eastAsia="Times New Roman" w:hAnsi="Times New Roman" w:cs="Times New Roman"/>
          <w:sz w:val="24"/>
          <w:szCs w:val="24"/>
        </w:rPr>
        <w:t>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el</w:t>
      </w:r>
      <w:proofErr w:type="spellEnd"/>
      <w:r w:rsidRPr="002451B6">
        <w:rPr>
          <w:rFonts w:ascii="Times New Roman" w:eastAsia="Times New Roman" w:hAnsi="Times New Roman" w:cs="Times New Roman"/>
          <w:sz w:val="24"/>
          <w:szCs w:val="24"/>
        </w:rPr>
        <w:t xml:space="preserve"> cine.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revisión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videométrica</w:t>
      </w:r>
      <w:proofErr w:type="spellEnd"/>
      <w:r w:rsidRPr="002451B6">
        <w:rPr>
          <w:rFonts w:ascii="Times New Roman" w:eastAsia="Times New Roman" w:hAnsi="Times New Roman" w:cs="Times New Roman"/>
          <w:sz w:val="24"/>
          <w:szCs w:val="24"/>
        </w:rPr>
        <w:t xml:space="preserve"> a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intervención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psicosocial</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 xml:space="preserve">Revista </w:t>
      </w:r>
      <w:proofErr w:type="spellStart"/>
      <w:r w:rsidRPr="002451B6">
        <w:rPr>
          <w:rFonts w:ascii="Times New Roman" w:eastAsia="Times New Roman" w:hAnsi="Times New Roman" w:cs="Times New Roman"/>
          <w:i/>
          <w:iCs/>
          <w:sz w:val="24"/>
          <w:szCs w:val="24"/>
        </w:rPr>
        <w:t>europea</w:t>
      </w:r>
      <w:proofErr w:type="spellEnd"/>
      <w:r w:rsidRPr="002451B6">
        <w:rPr>
          <w:rFonts w:ascii="Times New Roman" w:eastAsia="Times New Roman" w:hAnsi="Times New Roman" w:cs="Times New Roman"/>
          <w:i/>
          <w:iCs/>
          <w:sz w:val="24"/>
          <w:szCs w:val="24"/>
        </w:rPr>
        <w:t xml:space="preserve"> de </w:t>
      </w:r>
      <w:proofErr w:type="spellStart"/>
      <w:r w:rsidRPr="002451B6">
        <w:rPr>
          <w:rFonts w:ascii="Times New Roman" w:eastAsia="Times New Roman" w:hAnsi="Times New Roman" w:cs="Times New Roman"/>
          <w:i/>
          <w:iCs/>
          <w:sz w:val="24"/>
          <w:szCs w:val="24"/>
        </w:rPr>
        <w:t>derechos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fundamentales</w:t>
      </w:r>
      <w:proofErr w:type="spellEnd"/>
      <w:r w:rsidRPr="002451B6">
        <w:rPr>
          <w:rFonts w:ascii="Times New Roman" w:eastAsia="Times New Roman" w:hAnsi="Times New Roman" w:cs="Times New Roman"/>
          <w:sz w:val="24"/>
          <w:szCs w:val="24"/>
        </w:rPr>
        <w:t xml:space="preserve">, (19), 295-318, 2012. </w:t>
      </w:r>
      <w:hyperlink r:id="rId70">
        <w:r w:rsidR="00332C33" w:rsidRPr="002451B6">
          <w:rPr>
            <w:rFonts w:ascii="Times New Roman" w:eastAsia="Times New Roman" w:hAnsi="Times New Roman" w:cs="Times New Roman"/>
            <w:sz w:val="24"/>
            <w:szCs w:val="24"/>
            <w:u w:val="single"/>
          </w:rPr>
          <w:t>https://dialnet.unirioja.es/descarga/articulo/4055508.pdf</w:t>
        </w:r>
      </w:hyperlink>
    </w:p>
    <w:p w14:paraId="582DD15D"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ECHEBURÚA, E., AMOR, P. J., SARASUA, B., ZUBIZARRETA, I., &amp; HOLGADO-TELLO, F. P. Inventário de Pensamentos Distorcidos sobre Mulheres e o Uso da Violência - Revisado (IPDMUV-R): Propriedades psicométricas.</w:t>
      </w:r>
      <w:r w:rsidRPr="002451B6">
        <w:rPr>
          <w:rFonts w:ascii="Times New Roman" w:eastAsia="Times New Roman" w:hAnsi="Times New Roman" w:cs="Times New Roman"/>
          <w:i/>
          <w:iCs/>
          <w:sz w:val="24"/>
          <w:szCs w:val="24"/>
        </w:rPr>
        <w:t xml:space="preserve"> An. psicol</w:t>
      </w:r>
      <w:r w:rsidRPr="002451B6">
        <w:rPr>
          <w:rFonts w:ascii="Times New Roman" w:eastAsia="Times New Roman" w:hAnsi="Times New Roman" w:cs="Times New Roman"/>
          <w:sz w:val="24"/>
          <w:szCs w:val="24"/>
        </w:rPr>
        <w:t>. [Internet]. 28 de julho de 2016.</w:t>
      </w:r>
      <w:hyperlink r:id="rId71">
        <w:r w:rsidR="00332C33" w:rsidRPr="002451B6">
          <w:rPr>
            <w:rFonts w:ascii="Times New Roman" w:eastAsia="Times New Roman" w:hAnsi="Times New Roman" w:cs="Times New Roman"/>
            <w:sz w:val="24"/>
            <w:szCs w:val="24"/>
          </w:rPr>
          <w:t xml:space="preserve"> </w:t>
        </w:r>
      </w:hyperlink>
      <w:hyperlink r:id="rId72">
        <w:r w:rsidR="00332C33" w:rsidRPr="002451B6">
          <w:rPr>
            <w:rFonts w:ascii="Times New Roman" w:eastAsia="Times New Roman" w:hAnsi="Times New Roman" w:cs="Times New Roman"/>
            <w:sz w:val="24"/>
            <w:szCs w:val="24"/>
            <w:u w:val="single"/>
          </w:rPr>
          <w:t>https://revistas.um.es/analesps/article/view/analesps.32.3.231901</w:t>
        </w:r>
      </w:hyperlink>
    </w:p>
    <w:p w14:paraId="70C5B439"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ETAYO E. G. Entre amores y </w:t>
      </w:r>
      <w:proofErr w:type="spellStart"/>
      <w:r w:rsidRPr="002451B6">
        <w:rPr>
          <w:rFonts w:ascii="Times New Roman" w:eastAsia="Times New Roman" w:hAnsi="Times New Roman" w:cs="Times New Roman"/>
          <w:sz w:val="24"/>
          <w:szCs w:val="24"/>
        </w:rPr>
        <w:t>moretones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física contra </w:t>
      </w:r>
      <w:proofErr w:type="spellStart"/>
      <w:r w:rsidRPr="002451B6">
        <w:rPr>
          <w:rFonts w:ascii="Times New Roman" w:eastAsia="Times New Roman" w:hAnsi="Times New Roman" w:cs="Times New Roman"/>
          <w:sz w:val="24"/>
          <w:szCs w:val="24"/>
        </w:rPr>
        <w:t>mujeres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el</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ámbito</w:t>
      </w:r>
      <w:proofErr w:type="spellEnd"/>
      <w:r w:rsidRPr="002451B6">
        <w:rPr>
          <w:rFonts w:ascii="Times New Roman" w:eastAsia="Times New Roman" w:hAnsi="Times New Roman" w:cs="Times New Roman"/>
          <w:sz w:val="24"/>
          <w:szCs w:val="24"/>
        </w:rPr>
        <w:t xml:space="preserve"> intrafamiliar. </w:t>
      </w:r>
      <w:r w:rsidRPr="002451B6">
        <w:rPr>
          <w:rFonts w:ascii="Times New Roman" w:eastAsia="Times New Roman" w:hAnsi="Times New Roman" w:cs="Times New Roman"/>
          <w:i/>
          <w:iCs/>
          <w:sz w:val="24"/>
          <w:szCs w:val="24"/>
        </w:rPr>
        <w:t xml:space="preserve">La </w:t>
      </w:r>
      <w:proofErr w:type="spellStart"/>
      <w:r w:rsidRPr="002451B6">
        <w:rPr>
          <w:rFonts w:ascii="Times New Roman" w:eastAsia="Times New Roman" w:hAnsi="Times New Roman" w:cs="Times New Roman"/>
          <w:i/>
          <w:iCs/>
          <w:sz w:val="24"/>
          <w:szCs w:val="24"/>
        </w:rPr>
        <w:t>Manzana</w:t>
      </w:r>
      <w:proofErr w:type="spellEnd"/>
      <w:r w:rsidRPr="002451B6">
        <w:rPr>
          <w:rFonts w:ascii="Times New Roman" w:eastAsia="Times New Roman" w:hAnsi="Times New Roman" w:cs="Times New Roman"/>
          <w:i/>
          <w:iCs/>
          <w:sz w:val="24"/>
          <w:szCs w:val="24"/>
        </w:rPr>
        <w:t xml:space="preserve"> de </w:t>
      </w:r>
      <w:proofErr w:type="spellStart"/>
      <w:r w:rsidRPr="002451B6">
        <w:rPr>
          <w:rFonts w:ascii="Times New Roman" w:eastAsia="Times New Roman" w:hAnsi="Times New Roman" w:cs="Times New Roman"/>
          <w:i/>
          <w:iCs/>
          <w:sz w:val="24"/>
          <w:szCs w:val="24"/>
        </w:rPr>
        <w:t>la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discordia</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1</w:t>
      </w:r>
      <w:r w:rsidRPr="002451B6">
        <w:rPr>
          <w:rFonts w:ascii="Times New Roman" w:eastAsia="Times New Roman" w:hAnsi="Times New Roman" w:cs="Times New Roman"/>
          <w:sz w:val="24"/>
          <w:szCs w:val="24"/>
        </w:rPr>
        <w:t xml:space="preserve">(1), 71-89, 2016. </w:t>
      </w:r>
      <w:hyperlink r:id="rId73">
        <w:r w:rsidR="00332C33" w:rsidRPr="002451B6">
          <w:rPr>
            <w:rFonts w:ascii="Times New Roman" w:eastAsia="Times New Roman" w:hAnsi="Times New Roman" w:cs="Times New Roman"/>
            <w:sz w:val="24"/>
            <w:szCs w:val="24"/>
            <w:u w:val="single"/>
          </w:rPr>
          <w:t>http://manzanadiscordia.univalle.edu.co/index.php/la_manzana_de_la_discordia/article/view/1439</w:t>
        </w:r>
      </w:hyperlink>
    </w:p>
    <w:p w14:paraId="6B9FEDEF"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GALTUNG, J. La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cultural, </w:t>
      </w:r>
      <w:proofErr w:type="spellStart"/>
      <w:r w:rsidRPr="002451B6">
        <w:rPr>
          <w:rFonts w:ascii="Times New Roman" w:eastAsia="Times New Roman" w:hAnsi="Times New Roman" w:cs="Times New Roman"/>
          <w:sz w:val="24"/>
          <w:szCs w:val="24"/>
        </w:rPr>
        <w:t>estructural</w:t>
      </w:r>
      <w:proofErr w:type="spellEnd"/>
      <w:r w:rsidRPr="002451B6">
        <w:rPr>
          <w:rFonts w:ascii="Times New Roman" w:eastAsia="Times New Roman" w:hAnsi="Times New Roman" w:cs="Times New Roman"/>
          <w:sz w:val="24"/>
          <w:szCs w:val="24"/>
        </w:rPr>
        <w:t xml:space="preserve"> y </w:t>
      </w:r>
      <w:proofErr w:type="spellStart"/>
      <w:r w:rsidRPr="002451B6">
        <w:rPr>
          <w:rFonts w:ascii="Times New Roman" w:eastAsia="Times New Roman" w:hAnsi="Times New Roman" w:cs="Times New Roman"/>
          <w:sz w:val="24"/>
          <w:szCs w:val="24"/>
        </w:rPr>
        <w:t>directa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i/>
          <w:iCs/>
          <w:sz w:val="24"/>
          <w:szCs w:val="24"/>
        </w:rPr>
        <w:t>Cuadernos</w:t>
      </w:r>
      <w:proofErr w:type="spellEnd"/>
      <w:r w:rsidRPr="002451B6">
        <w:rPr>
          <w:rFonts w:ascii="Times New Roman" w:eastAsia="Times New Roman" w:hAnsi="Times New Roman" w:cs="Times New Roman"/>
          <w:i/>
          <w:iCs/>
          <w:sz w:val="24"/>
          <w:szCs w:val="24"/>
        </w:rPr>
        <w:t xml:space="preserve"> de </w:t>
      </w:r>
      <w:proofErr w:type="spellStart"/>
      <w:r w:rsidRPr="002451B6">
        <w:rPr>
          <w:rFonts w:ascii="Times New Roman" w:eastAsia="Times New Roman" w:hAnsi="Times New Roman" w:cs="Times New Roman"/>
          <w:i/>
          <w:iCs/>
          <w:sz w:val="24"/>
          <w:szCs w:val="24"/>
        </w:rPr>
        <w:t>estrategia</w:t>
      </w:r>
      <w:proofErr w:type="spellEnd"/>
      <w:r w:rsidRPr="002451B6">
        <w:rPr>
          <w:rFonts w:ascii="Times New Roman" w:eastAsia="Times New Roman" w:hAnsi="Times New Roman" w:cs="Times New Roman"/>
          <w:sz w:val="24"/>
          <w:szCs w:val="24"/>
        </w:rPr>
        <w:t xml:space="preserve">, (183), 147-168, 2016. </w:t>
      </w:r>
      <w:hyperlink r:id="rId74">
        <w:r w:rsidR="00332C33" w:rsidRPr="002451B6">
          <w:rPr>
            <w:rFonts w:ascii="Times New Roman" w:eastAsia="Times New Roman" w:hAnsi="Times New Roman" w:cs="Times New Roman"/>
            <w:sz w:val="24"/>
            <w:szCs w:val="24"/>
          </w:rPr>
          <w:t xml:space="preserve"> </w:t>
        </w:r>
      </w:hyperlink>
      <w:hyperlink r:id="rId75">
        <w:r w:rsidR="00332C33" w:rsidRPr="002451B6">
          <w:rPr>
            <w:rFonts w:ascii="Times New Roman" w:eastAsia="Times New Roman" w:hAnsi="Times New Roman" w:cs="Times New Roman"/>
            <w:sz w:val="24"/>
            <w:szCs w:val="24"/>
            <w:u w:val="single"/>
          </w:rPr>
          <w:t>https://dialnet.unirioja.es/servlet/articulo?codigo=5832797</w:t>
        </w:r>
      </w:hyperlink>
    </w:p>
    <w:p w14:paraId="7177D425"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GÁLVEZ, A. A. C., &amp; HERNANDÉZ, F. A. Z. Machos violentos y </w:t>
      </w:r>
      <w:proofErr w:type="spellStart"/>
      <w:r w:rsidRPr="002451B6">
        <w:rPr>
          <w:rFonts w:ascii="Times New Roman" w:eastAsia="Times New Roman" w:hAnsi="Times New Roman" w:cs="Times New Roman"/>
          <w:sz w:val="24"/>
          <w:szCs w:val="24"/>
        </w:rPr>
        <w:t>peligrosos</w:t>
      </w:r>
      <w:proofErr w:type="spellEnd"/>
      <w:r w:rsidRPr="002451B6">
        <w:rPr>
          <w:rFonts w:ascii="Times New Roman" w:eastAsia="Times New Roman" w:hAnsi="Times New Roman" w:cs="Times New Roman"/>
          <w:sz w:val="24"/>
          <w:szCs w:val="24"/>
        </w:rPr>
        <w:t xml:space="preserve">. La figura </w:t>
      </w:r>
      <w:proofErr w:type="spellStart"/>
      <w:r w:rsidRPr="002451B6">
        <w:rPr>
          <w:rFonts w:ascii="Times New Roman" w:eastAsia="Times New Roman" w:hAnsi="Times New Roman" w:cs="Times New Roman"/>
          <w:sz w:val="24"/>
          <w:szCs w:val="24"/>
        </w:rPr>
        <w:t>del</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maltratador</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el</w:t>
      </w:r>
      <w:proofErr w:type="spellEnd"/>
      <w:r w:rsidRPr="002451B6">
        <w:rPr>
          <w:rFonts w:ascii="Times New Roman" w:eastAsia="Times New Roman" w:hAnsi="Times New Roman" w:cs="Times New Roman"/>
          <w:sz w:val="24"/>
          <w:szCs w:val="24"/>
        </w:rPr>
        <w:t xml:space="preserve"> cine </w:t>
      </w:r>
      <w:proofErr w:type="spellStart"/>
      <w:r w:rsidRPr="002451B6">
        <w:rPr>
          <w:rFonts w:ascii="Times New Roman" w:eastAsia="Times New Roman" w:hAnsi="Times New Roman" w:cs="Times New Roman"/>
          <w:sz w:val="24"/>
          <w:szCs w:val="24"/>
        </w:rPr>
        <w:t>almodovariano</w:t>
      </w:r>
      <w:proofErr w:type="spellEnd"/>
      <w:r w:rsidRPr="002451B6">
        <w:rPr>
          <w:rFonts w:ascii="Times New Roman" w:eastAsia="Times New Roman" w:hAnsi="Times New Roman" w:cs="Times New Roman"/>
          <w:sz w:val="24"/>
          <w:szCs w:val="24"/>
        </w:rPr>
        <w:t xml:space="preserve">. </w:t>
      </w:r>
      <w:r w:rsidRPr="002451B6">
        <w:rPr>
          <w:rFonts w:ascii="Times New Roman" w:eastAsia="Times New Roman" w:hAnsi="Times New Roman" w:cs="Times New Roman"/>
          <w:i/>
          <w:iCs/>
          <w:sz w:val="24"/>
          <w:szCs w:val="24"/>
        </w:rPr>
        <w:t xml:space="preserve">Revista Latina de </w:t>
      </w:r>
      <w:proofErr w:type="spellStart"/>
      <w:r w:rsidRPr="002451B6">
        <w:rPr>
          <w:rFonts w:ascii="Times New Roman" w:eastAsia="Times New Roman" w:hAnsi="Times New Roman" w:cs="Times New Roman"/>
          <w:i/>
          <w:iCs/>
          <w:sz w:val="24"/>
          <w:szCs w:val="24"/>
        </w:rPr>
        <w:t>Comunicación</w:t>
      </w:r>
      <w:proofErr w:type="spellEnd"/>
      <w:r w:rsidRPr="002451B6">
        <w:rPr>
          <w:rFonts w:ascii="Times New Roman" w:eastAsia="Times New Roman" w:hAnsi="Times New Roman" w:cs="Times New Roman"/>
          <w:i/>
          <w:iCs/>
          <w:sz w:val="24"/>
          <w:szCs w:val="24"/>
        </w:rPr>
        <w:t xml:space="preserve"> Social</w:t>
      </w:r>
      <w:r w:rsidRPr="002451B6">
        <w:rPr>
          <w:rFonts w:ascii="Times New Roman" w:eastAsia="Times New Roman" w:hAnsi="Times New Roman" w:cs="Times New Roman"/>
          <w:sz w:val="24"/>
          <w:szCs w:val="24"/>
        </w:rPr>
        <w:t>, (71), 853-873, 2016.</w:t>
      </w:r>
      <w:hyperlink r:id="rId76">
        <w:r w:rsidR="00332C33" w:rsidRPr="002451B6">
          <w:rPr>
            <w:rFonts w:ascii="Times New Roman" w:eastAsia="Times New Roman" w:hAnsi="Times New Roman" w:cs="Times New Roman"/>
            <w:sz w:val="24"/>
            <w:szCs w:val="24"/>
          </w:rPr>
          <w:t xml:space="preserve"> </w:t>
        </w:r>
      </w:hyperlink>
      <w:hyperlink r:id="rId77">
        <w:r w:rsidR="00332C33" w:rsidRPr="002451B6">
          <w:rPr>
            <w:rFonts w:ascii="Times New Roman" w:eastAsia="Times New Roman" w:hAnsi="Times New Roman" w:cs="Times New Roman"/>
            <w:sz w:val="24"/>
            <w:szCs w:val="24"/>
            <w:u w:val="single"/>
          </w:rPr>
          <w:t>https://dialnet.unirioja.es/servlet/articulo?codigo=5637181</w:t>
        </w:r>
      </w:hyperlink>
    </w:p>
    <w:p w14:paraId="1D12860E" w14:textId="77777777" w:rsidR="00332C33" w:rsidRPr="002451B6" w:rsidRDefault="00000000">
      <w:pPr>
        <w:spacing w:before="240" w:after="24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GARAIGORDOBIL, M. &amp; ALIRI, J. Relaciones </w:t>
      </w:r>
      <w:proofErr w:type="spellStart"/>
      <w:r w:rsidRPr="002451B6">
        <w:rPr>
          <w:rFonts w:ascii="Times New Roman" w:eastAsia="Times New Roman" w:hAnsi="Times New Roman" w:cs="Times New Roman"/>
          <w:sz w:val="24"/>
          <w:szCs w:val="24"/>
          <w:highlight w:val="white"/>
        </w:rPr>
        <w:t>del</w:t>
      </w:r>
      <w:proofErr w:type="spellEnd"/>
      <w:r w:rsidRPr="002451B6">
        <w:rPr>
          <w:rFonts w:ascii="Times New Roman" w:eastAsia="Times New Roman" w:hAnsi="Times New Roman" w:cs="Times New Roman"/>
          <w:sz w:val="24"/>
          <w:szCs w:val="24"/>
          <w:highlight w:val="white"/>
        </w:rPr>
        <w:t xml:space="preserve"> sexismo </w:t>
      </w:r>
      <w:proofErr w:type="spellStart"/>
      <w:r w:rsidRPr="002451B6">
        <w:rPr>
          <w:rFonts w:ascii="Times New Roman" w:eastAsia="Times New Roman" w:hAnsi="Times New Roman" w:cs="Times New Roman"/>
          <w:sz w:val="24"/>
          <w:szCs w:val="24"/>
          <w:highlight w:val="white"/>
        </w:rPr>
        <w:t>con</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justificación</w:t>
      </w:r>
      <w:proofErr w:type="spellEnd"/>
      <w:r w:rsidRPr="002451B6">
        <w:rPr>
          <w:rFonts w:ascii="Times New Roman" w:eastAsia="Times New Roman" w:hAnsi="Times New Roman" w:cs="Times New Roman"/>
          <w:sz w:val="24"/>
          <w:szCs w:val="24"/>
          <w:highlight w:val="white"/>
        </w:rPr>
        <w:t xml:space="preserve"> de </w:t>
      </w:r>
      <w:proofErr w:type="spellStart"/>
      <w:r w:rsidRPr="002451B6">
        <w:rPr>
          <w:rFonts w:ascii="Times New Roman" w:eastAsia="Times New Roman" w:hAnsi="Times New Roman" w:cs="Times New Roman"/>
          <w:sz w:val="24"/>
          <w:szCs w:val="24"/>
          <w:highlight w:val="white"/>
        </w:rPr>
        <w:t>la</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violencia</w:t>
      </w:r>
      <w:proofErr w:type="spellEnd"/>
      <w:r w:rsidRPr="002451B6">
        <w:rPr>
          <w:rFonts w:ascii="Times New Roman" w:eastAsia="Times New Roman" w:hAnsi="Times New Roman" w:cs="Times New Roman"/>
          <w:sz w:val="24"/>
          <w:szCs w:val="24"/>
          <w:highlight w:val="white"/>
        </w:rPr>
        <w:t xml:space="preserve">, y </w:t>
      </w:r>
      <w:proofErr w:type="spellStart"/>
      <w:r w:rsidRPr="002451B6">
        <w:rPr>
          <w:rFonts w:ascii="Times New Roman" w:eastAsia="Times New Roman" w:hAnsi="Times New Roman" w:cs="Times New Roman"/>
          <w:sz w:val="24"/>
          <w:szCs w:val="24"/>
          <w:highlight w:val="white"/>
        </w:rPr>
        <w:t>con</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otras</w:t>
      </w:r>
      <w:proofErr w:type="spellEnd"/>
      <w:r w:rsidRPr="002451B6">
        <w:rPr>
          <w:rFonts w:ascii="Times New Roman" w:eastAsia="Times New Roman" w:hAnsi="Times New Roman" w:cs="Times New Roman"/>
          <w:sz w:val="24"/>
          <w:szCs w:val="24"/>
          <w:highlight w:val="white"/>
        </w:rPr>
        <w:t xml:space="preserve"> formas de </w:t>
      </w:r>
      <w:proofErr w:type="spellStart"/>
      <w:r w:rsidRPr="002451B6">
        <w:rPr>
          <w:rFonts w:ascii="Times New Roman" w:eastAsia="Times New Roman" w:hAnsi="Times New Roman" w:cs="Times New Roman"/>
          <w:sz w:val="24"/>
          <w:szCs w:val="24"/>
          <w:highlight w:val="white"/>
        </w:rPr>
        <w:t>prejuicio</w:t>
      </w:r>
      <w:proofErr w:type="spellEnd"/>
      <w:r w:rsidRPr="002451B6">
        <w:rPr>
          <w:rFonts w:ascii="Times New Roman" w:eastAsia="Times New Roman" w:hAnsi="Times New Roman" w:cs="Times New Roman"/>
          <w:sz w:val="24"/>
          <w:szCs w:val="24"/>
          <w:highlight w:val="white"/>
        </w:rPr>
        <w:t xml:space="preserve"> como </w:t>
      </w:r>
      <w:proofErr w:type="spellStart"/>
      <w:r w:rsidRPr="002451B6">
        <w:rPr>
          <w:rFonts w:ascii="Times New Roman" w:eastAsia="Times New Roman" w:hAnsi="Times New Roman" w:cs="Times New Roman"/>
          <w:sz w:val="24"/>
          <w:szCs w:val="24"/>
          <w:highlight w:val="white"/>
        </w:rPr>
        <w:t>la</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dominancia</w:t>
      </w:r>
      <w:proofErr w:type="spellEnd"/>
      <w:r w:rsidRPr="002451B6">
        <w:rPr>
          <w:rFonts w:ascii="Times New Roman" w:eastAsia="Times New Roman" w:hAnsi="Times New Roman" w:cs="Times New Roman"/>
          <w:sz w:val="24"/>
          <w:szCs w:val="24"/>
          <w:highlight w:val="white"/>
        </w:rPr>
        <w:t xml:space="preserve"> social y </w:t>
      </w:r>
      <w:proofErr w:type="spellStart"/>
      <w:r w:rsidRPr="002451B6">
        <w:rPr>
          <w:rFonts w:ascii="Times New Roman" w:eastAsia="Times New Roman" w:hAnsi="Times New Roman" w:cs="Times New Roman"/>
          <w:sz w:val="24"/>
          <w:szCs w:val="24"/>
          <w:highlight w:val="white"/>
        </w:rPr>
        <w:t>el</w:t>
      </w:r>
      <w:proofErr w:type="spellEnd"/>
      <w:r w:rsidRPr="002451B6">
        <w:rPr>
          <w:rFonts w:ascii="Times New Roman" w:eastAsia="Times New Roman" w:hAnsi="Times New Roman" w:cs="Times New Roman"/>
          <w:sz w:val="24"/>
          <w:szCs w:val="24"/>
          <w:highlight w:val="white"/>
        </w:rPr>
        <w:t xml:space="preserve"> autoritarismo. </w:t>
      </w:r>
      <w:proofErr w:type="spellStart"/>
      <w:r w:rsidRPr="002451B6">
        <w:rPr>
          <w:rFonts w:ascii="Times New Roman" w:eastAsia="Times New Roman" w:hAnsi="Times New Roman" w:cs="Times New Roman"/>
          <w:i/>
          <w:iCs/>
          <w:sz w:val="24"/>
          <w:szCs w:val="24"/>
          <w:highlight w:val="white"/>
        </w:rPr>
        <w:t>Estudios</w:t>
      </w:r>
      <w:proofErr w:type="spellEnd"/>
      <w:r w:rsidRPr="002451B6">
        <w:rPr>
          <w:rFonts w:ascii="Times New Roman" w:eastAsia="Times New Roman" w:hAnsi="Times New Roman" w:cs="Times New Roman"/>
          <w:i/>
          <w:iCs/>
          <w:sz w:val="24"/>
          <w:szCs w:val="24"/>
          <w:highlight w:val="white"/>
        </w:rPr>
        <w:t xml:space="preserve"> de </w:t>
      </w:r>
      <w:proofErr w:type="spellStart"/>
      <w:r w:rsidRPr="002451B6">
        <w:rPr>
          <w:rFonts w:ascii="Times New Roman" w:eastAsia="Times New Roman" w:hAnsi="Times New Roman" w:cs="Times New Roman"/>
          <w:i/>
          <w:iCs/>
          <w:sz w:val="24"/>
          <w:szCs w:val="24"/>
          <w:highlight w:val="white"/>
        </w:rPr>
        <w:t>Psicología</w:t>
      </w:r>
      <w:proofErr w:type="spellEnd"/>
      <w:r w:rsidRPr="002451B6">
        <w:rPr>
          <w:rFonts w:ascii="Times New Roman" w:eastAsia="Times New Roman" w:hAnsi="Times New Roman" w:cs="Times New Roman"/>
          <w:sz w:val="24"/>
          <w:szCs w:val="24"/>
          <w:highlight w:val="white"/>
        </w:rPr>
        <w:t xml:space="preserve">, </w:t>
      </w:r>
      <w:r w:rsidRPr="002451B6">
        <w:rPr>
          <w:rFonts w:ascii="Times New Roman" w:eastAsia="Times New Roman" w:hAnsi="Times New Roman" w:cs="Times New Roman"/>
          <w:i/>
          <w:iCs/>
          <w:sz w:val="24"/>
          <w:szCs w:val="24"/>
          <w:highlight w:val="white"/>
        </w:rPr>
        <w:t>34</w:t>
      </w:r>
      <w:r w:rsidRPr="002451B6">
        <w:rPr>
          <w:rFonts w:ascii="Times New Roman" w:eastAsia="Times New Roman" w:hAnsi="Times New Roman" w:cs="Times New Roman"/>
          <w:sz w:val="24"/>
          <w:szCs w:val="24"/>
          <w:highlight w:val="white"/>
        </w:rPr>
        <w:t xml:space="preserve">(2), 127-139, 2013. </w:t>
      </w:r>
    </w:p>
    <w:p w14:paraId="6AAD8F3D"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HÉRNANDEZ, C. M. (2014). </w:t>
      </w:r>
      <w:proofErr w:type="spellStart"/>
      <w:r w:rsidRPr="002451B6">
        <w:rPr>
          <w:rFonts w:ascii="Times New Roman" w:eastAsia="Times New Roman" w:hAnsi="Times New Roman" w:cs="Times New Roman"/>
          <w:sz w:val="24"/>
          <w:szCs w:val="24"/>
        </w:rPr>
        <w:t>Mujer</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violencia</w:t>
      </w:r>
      <w:proofErr w:type="spellEnd"/>
      <w:r w:rsidRPr="002451B6">
        <w:rPr>
          <w:rFonts w:ascii="Times New Roman" w:eastAsia="Times New Roman" w:hAnsi="Times New Roman" w:cs="Times New Roman"/>
          <w:sz w:val="24"/>
          <w:szCs w:val="24"/>
        </w:rPr>
        <w:t xml:space="preserve"> y cine: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agresión</w:t>
      </w:r>
      <w:proofErr w:type="spellEnd"/>
      <w:r w:rsidRPr="002451B6">
        <w:rPr>
          <w:rFonts w:ascii="Times New Roman" w:eastAsia="Times New Roman" w:hAnsi="Times New Roman" w:cs="Times New Roman"/>
          <w:sz w:val="24"/>
          <w:szCs w:val="24"/>
        </w:rPr>
        <w:t xml:space="preserve"> masculina como </w:t>
      </w:r>
      <w:proofErr w:type="spellStart"/>
      <w:r w:rsidRPr="002451B6">
        <w:rPr>
          <w:rFonts w:ascii="Times New Roman" w:eastAsia="Times New Roman" w:hAnsi="Times New Roman" w:cs="Times New Roman"/>
          <w:sz w:val="24"/>
          <w:szCs w:val="24"/>
        </w:rPr>
        <w:t>estrategia</w:t>
      </w:r>
      <w:proofErr w:type="spellEnd"/>
      <w:r w:rsidRPr="002451B6">
        <w:rPr>
          <w:rFonts w:ascii="Times New Roman" w:eastAsia="Times New Roman" w:hAnsi="Times New Roman" w:cs="Times New Roman"/>
          <w:sz w:val="24"/>
          <w:szCs w:val="24"/>
        </w:rPr>
        <w:t xml:space="preserve"> narrativa. </w:t>
      </w:r>
      <w:r w:rsidRPr="002451B6">
        <w:rPr>
          <w:rFonts w:ascii="Times New Roman" w:eastAsia="Times New Roman" w:hAnsi="Times New Roman" w:cs="Times New Roman"/>
          <w:i/>
          <w:iCs/>
          <w:sz w:val="24"/>
          <w:szCs w:val="24"/>
        </w:rPr>
        <w:t xml:space="preserve">Prisma Social, núm. </w:t>
      </w:r>
      <w:r w:rsidRPr="002451B6">
        <w:rPr>
          <w:rFonts w:ascii="Times New Roman" w:eastAsia="Times New Roman" w:hAnsi="Times New Roman" w:cs="Times New Roman"/>
          <w:sz w:val="24"/>
          <w:szCs w:val="24"/>
        </w:rPr>
        <w:t xml:space="preserve">13, </w:t>
      </w:r>
      <w:proofErr w:type="spellStart"/>
      <w:r w:rsidRPr="002451B6">
        <w:rPr>
          <w:rFonts w:ascii="Times New Roman" w:eastAsia="Times New Roman" w:hAnsi="Times New Roman" w:cs="Times New Roman"/>
          <w:sz w:val="24"/>
          <w:szCs w:val="24"/>
        </w:rPr>
        <w:t>diciembre</w:t>
      </w:r>
      <w:proofErr w:type="spellEnd"/>
      <w:r w:rsidRPr="002451B6">
        <w:rPr>
          <w:rFonts w:ascii="Times New Roman" w:eastAsia="Times New Roman" w:hAnsi="Times New Roman" w:cs="Times New Roman"/>
          <w:sz w:val="24"/>
          <w:szCs w:val="24"/>
        </w:rPr>
        <w:t>, 2014, p. 257-287.</w:t>
      </w:r>
      <w:hyperlink r:id="rId78">
        <w:r w:rsidR="00332C33" w:rsidRPr="002451B6">
          <w:rPr>
            <w:rFonts w:ascii="Times New Roman" w:eastAsia="Times New Roman" w:hAnsi="Times New Roman" w:cs="Times New Roman"/>
            <w:sz w:val="24"/>
            <w:szCs w:val="24"/>
            <w:u w:val="single"/>
          </w:rPr>
          <w:t xml:space="preserve"> https://www.redalyc.org/pdf/3537/353744532008.pdf</w:t>
        </w:r>
      </w:hyperlink>
    </w:p>
    <w:p w14:paraId="1F5D144B"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t xml:space="preserve">HERRERA, M. &amp; EXPOSITO, F. </w:t>
      </w:r>
      <w:proofErr w:type="spellStart"/>
      <w:r w:rsidRPr="002451B6">
        <w:rPr>
          <w:rFonts w:ascii="Times New Roman" w:eastAsia="Times New Roman" w:hAnsi="Times New Roman" w:cs="Times New Roman"/>
          <w:sz w:val="24"/>
          <w:szCs w:val="24"/>
          <w:highlight w:val="white"/>
        </w:rPr>
        <w:t>Responsabilidad</w:t>
      </w:r>
      <w:proofErr w:type="spellEnd"/>
      <w:r w:rsidRPr="002451B6">
        <w:rPr>
          <w:rFonts w:ascii="Times New Roman" w:eastAsia="Times New Roman" w:hAnsi="Times New Roman" w:cs="Times New Roman"/>
          <w:sz w:val="24"/>
          <w:szCs w:val="24"/>
          <w:highlight w:val="white"/>
        </w:rPr>
        <w:t xml:space="preserve"> compartida: </w:t>
      </w:r>
      <w:proofErr w:type="gramStart"/>
      <w:r w:rsidRPr="002451B6">
        <w:rPr>
          <w:rFonts w:ascii="Times New Roman" w:eastAsia="Times New Roman" w:hAnsi="Times New Roman" w:cs="Times New Roman"/>
          <w:sz w:val="24"/>
          <w:szCs w:val="24"/>
          <w:highlight w:val="white"/>
        </w:rPr>
        <w:t>influencia</w:t>
      </w:r>
      <w:proofErr w:type="gramEnd"/>
      <w:r w:rsidRPr="002451B6">
        <w:rPr>
          <w:rFonts w:ascii="Times New Roman" w:eastAsia="Times New Roman" w:hAnsi="Times New Roman" w:cs="Times New Roman"/>
          <w:sz w:val="24"/>
          <w:szCs w:val="24"/>
          <w:highlight w:val="white"/>
        </w:rPr>
        <w:t xml:space="preserve"> de </w:t>
      </w:r>
      <w:proofErr w:type="spellStart"/>
      <w:r w:rsidRPr="002451B6">
        <w:rPr>
          <w:rFonts w:ascii="Times New Roman" w:eastAsia="Times New Roman" w:hAnsi="Times New Roman" w:cs="Times New Roman"/>
          <w:sz w:val="24"/>
          <w:szCs w:val="24"/>
          <w:highlight w:val="white"/>
        </w:rPr>
        <w:t>los</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medios</w:t>
      </w:r>
      <w:proofErr w:type="spellEnd"/>
      <w:r w:rsidRPr="002451B6">
        <w:rPr>
          <w:rFonts w:ascii="Times New Roman" w:eastAsia="Times New Roman" w:hAnsi="Times New Roman" w:cs="Times New Roman"/>
          <w:sz w:val="24"/>
          <w:szCs w:val="24"/>
          <w:highlight w:val="white"/>
        </w:rPr>
        <w:t xml:space="preserve"> de </w:t>
      </w:r>
      <w:proofErr w:type="spellStart"/>
      <w:r w:rsidRPr="002451B6">
        <w:rPr>
          <w:rFonts w:ascii="Times New Roman" w:eastAsia="Times New Roman" w:hAnsi="Times New Roman" w:cs="Times New Roman"/>
          <w:sz w:val="24"/>
          <w:szCs w:val="24"/>
          <w:highlight w:val="white"/>
        </w:rPr>
        <w:t>comunicación</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en</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la</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atribución</w:t>
      </w:r>
      <w:proofErr w:type="spellEnd"/>
      <w:r w:rsidRPr="002451B6">
        <w:rPr>
          <w:rFonts w:ascii="Times New Roman" w:eastAsia="Times New Roman" w:hAnsi="Times New Roman" w:cs="Times New Roman"/>
          <w:sz w:val="24"/>
          <w:szCs w:val="24"/>
          <w:highlight w:val="white"/>
        </w:rPr>
        <w:t xml:space="preserve"> de </w:t>
      </w:r>
      <w:proofErr w:type="spellStart"/>
      <w:r w:rsidRPr="002451B6">
        <w:rPr>
          <w:rFonts w:ascii="Times New Roman" w:eastAsia="Times New Roman" w:hAnsi="Times New Roman" w:cs="Times New Roman"/>
          <w:sz w:val="24"/>
          <w:szCs w:val="24"/>
          <w:highlight w:val="white"/>
        </w:rPr>
        <w:t>culpabilidad</w:t>
      </w:r>
      <w:proofErr w:type="spellEnd"/>
      <w:r w:rsidRPr="002451B6">
        <w:rPr>
          <w:rFonts w:ascii="Times New Roman" w:eastAsia="Times New Roman" w:hAnsi="Times New Roman" w:cs="Times New Roman"/>
          <w:sz w:val="24"/>
          <w:szCs w:val="24"/>
          <w:highlight w:val="white"/>
        </w:rPr>
        <w:t xml:space="preserve"> y </w:t>
      </w:r>
      <w:proofErr w:type="spellStart"/>
      <w:r w:rsidRPr="002451B6">
        <w:rPr>
          <w:rFonts w:ascii="Times New Roman" w:eastAsia="Times New Roman" w:hAnsi="Times New Roman" w:cs="Times New Roman"/>
          <w:sz w:val="24"/>
          <w:szCs w:val="24"/>
          <w:highlight w:val="white"/>
        </w:rPr>
        <w:t>justificación</w:t>
      </w:r>
      <w:proofErr w:type="spellEnd"/>
      <w:r w:rsidRPr="002451B6">
        <w:rPr>
          <w:rFonts w:ascii="Times New Roman" w:eastAsia="Times New Roman" w:hAnsi="Times New Roman" w:cs="Times New Roman"/>
          <w:sz w:val="24"/>
          <w:szCs w:val="24"/>
          <w:highlight w:val="white"/>
        </w:rPr>
        <w:t xml:space="preserve"> de </w:t>
      </w:r>
      <w:proofErr w:type="spellStart"/>
      <w:r w:rsidRPr="002451B6">
        <w:rPr>
          <w:rFonts w:ascii="Times New Roman" w:eastAsia="Times New Roman" w:hAnsi="Times New Roman" w:cs="Times New Roman"/>
          <w:sz w:val="24"/>
          <w:szCs w:val="24"/>
          <w:highlight w:val="white"/>
        </w:rPr>
        <w:t>la</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violencia</w:t>
      </w:r>
      <w:proofErr w:type="spellEnd"/>
      <w:r w:rsidRPr="002451B6">
        <w:rPr>
          <w:rFonts w:ascii="Times New Roman" w:eastAsia="Times New Roman" w:hAnsi="Times New Roman" w:cs="Times New Roman"/>
          <w:sz w:val="24"/>
          <w:szCs w:val="24"/>
          <w:highlight w:val="white"/>
        </w:rPr>
        <w:t xml:space="preserve"> de género. </w:t>
      </w:r>
      <w:proofErr w:type="spellStart"/>
      <w:r w:rsidRPr="002451B6">
        <w:rPr>
          <w:rFonts w:ascii="Times New Roman" w:eastAsia="Times New Roman" w:hAnsi="Times New Roman" w:cs="Times New Roman"/>
          <w:i/>
          <w:iCs/>
          <w:sz w:val="24"/>
          <w:szCs w:val="24"/>
          <w:highlight w:val="white"/>
        </w:rPr>
        <w:t>Anuario</w:t>
      </w:r>
      <w:proofErr w:type="spellEnd"/>
      <w:r w:rsidRPr="002451B6">
        <w:rPr>
          <w:rFonts w:ascii="Times New Roman" w:eastAsia="Times New Roman" w:hAnsi="Times New Roman" w:cs="Times New Roman"/>
          <w:i/>
          <w:iCs/>
          <w:sz w:val="24"/>
          <w:szCs w:val="24"/>
          <w:highlight w:val="white"/>
        </w:rPr>
        <w:t xml:space="preserve"> de </w:t>
      </w:r>
      <w:proofErr w:type="spellStart"/>
      <w:r w:rsidRPr="002451B6">
        <w:rPr>
          <w:rFonts w:ascii="Times New Roman" w:eastAsia="Times New Roman" w:hAnsi="Times New Roman" w:cs="Times New Roman"/>
          <w:i/>
          <w:iCs/>
          <w:sz w:val="24"/>
          <w:szCs w:val="24"/>
          <w:highlight w:val="white"/>
        </w:rPr>
        <w:t>psicología</w:t>
      </w:r>
      <w:proofErr w:type="spellEnd"/>
      <w:r w:rsidRPr="002451B6">
        <w:rPr>
          <w:rFonts w:ascii="Times New Roman" w:eastAsia="Times New Roman" w:hAnsi="Times New Roman" w:cs="Times New Roman"/>
          <w:i/>
          <w:iCs/>
          <w:sz w:val="24"/>
          <w:szCs w:val="24"/>
          <w:highlight w:val="white"/>
        </w:rPr>
        <w:t xml:space="preserve"> jurídica</w:t>
      </w:r>
      <w:r w:rsidRPr="002451B6">
        <w:rPr>
          <w:rFonts w:ascii="Times New Roman" w:eastAsia="Times New Roman" w:hAnsi="Times New Roman" w:cs="Times New Roman"/>
          <w:sz w:val="24"/>
          <w:szCs w:val="24"/>
          <w:highlight w:val="white"/>
        </w:rPr>
        <w:t xml:space="preserve">, </w:t>
      </w:r>
      <w:r w:rsidRPr="002451B6">
        <w:rPr>
          <w:rFonts w:ascii="Times New Roman" w:eastAsia="Times New Roman" w:hAnsi="Times New Roman" w:cs="Times New Roman"/>
          <w:i/>
          <w:iCs/>
          <w:sz w:val="24"/>
          <w:szCs w:val="24"/>
          <w:highlight w:val="white"/>
        </w:rPr>
        <w:t>19</w:t>
      </w:r>
      <w:r w:rsidRPr="002451B6">
        <w:rPr>
          <w:rFonts w:ascii="Times New Roman" w:eastAsia="Times New Roman" w:hAnsi="Times New Roman" w:cs="Times New Roman"/>
          <w:sz w:val="24"/>
          <w:szCs w:val="24"/>
          <w:highlight w:val="white"/>
        </w:rPr>
        <w:t>, 103-110, 2009.</w:t>
      </w:r>
      <w:hyperlink r:id="rId79">
        <w:r w:rsidR="00332C33" w:rsidRPr="002451B6">
          <w:rPr>
            <w:rFonts w:ascii="Times New Roman" w:eastAsia="Times New Roman" w:hAnsi="Times New Roman" w:cs="Times New Roman"/>
            <w:sz w:val="24"/>
            <w:szCs w:val="24"/>
            <w:highlight w:val="white"/>
          </w:rPr>
          <w:t xml:space="preserve"> </w:t>
        </w:r>
      </w:hyperlink>
      <w:hyperlink r:id="rId80">
        <w:r w:rsidR="00332C33" w:rsidRPr="002451B6">
          <w:rPr>
            <w:rFonts w:ascii="Times New Roman" w:eastAsia="Times New Roman" w:hAnsi="Times New Roman" w:cs="Times New Roman"/>
            <w:sz w:val="24"/>
            <w:szCs w:val="24"/>
            <w:highlight w:val="white"/>
            <w:u w:val="single"/>
          </w:rPr>
          <w:t>https://www.redalyc.org/pdf/3150/315025340009.pdf</w:t>
        </w:r>
      </w:hyperlink>
    </w:p>
    <w:p w14:paraId="50E041C2"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ITURBE, Rodrigo, </w:t>
      </w:r>
      <w:proofErr w:type="gramStart"/>
      <w:r w:rsidRPr="002451B6">
        <w:rPr>
          <w:rFonts w:ascii="Times New Roman" w:eastAsia="Times New Roman" w:hAnsi="Times New Roman" w:cs="Times New Roman"/>
          <w:sz w:val="24"/>
          <w:szCs w:val="24"/>
        </w:rPr>
        <w:t>R..</w:t>
      </w:r>
      <w:proofErr w:type="gram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i/>
          <w:iCs/>
          <w:sz w:val="24"/>
          <w:szCs w:val="24"/>
        </w:rPr>
        <w:t>Utopía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romántica</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contemporánea</w:t>
      </w:r>
      <w:proofErr w:type="spellEnd"/>
      <w:r w:rsidRPr="002451B6">
        <w:rPr>
          <w:rFonts w:ascii="Times New Roman" w:eastAsia="Times New Roman" w:hAnsi="Times New Roman" w:cs="Times New Roman"/>
          <w:i/>
          <w:iCs/>
          <w:sz w:val="24"/>
          <w:szCs w:val="24"/>
        </w:rPr>
        <w:t xml:space="preserve">, género y </w:t>
      </w:r>
      <w:proofErr w:type="spellStart"/>
      <w:r w:rsidRPr="002451B6">
        <w:rPr>
          <w:rFonts w:ascii="Times New Roman" w:eastAsia="Times New Roman" w:hAnsi="Times New Roman" w:cs="Times New Roman"/>
          <w:i/>
          <w:iCs/>
          <w:sz w:val="24"/>
          <w:szCs w:val="24"/>
        </w:rPr>
        <w:t>ficción</w:t>
      </w:r>
      <w:proofErr w:type="spellEnd"/>
      <w:r w:rsidRPr="002451B6">
        <w:rPr>
          <w:rFonts w:ascii="Times New Roman" w:eastAsia="Times New Roman" w:hAnsi="Times New Roman" w:cs="Times New Roman"/>
          <w:i/>
          <w:iCs/>
          <w:sz w:val="24"/>
          <w:szCs w:val="24"/>
        </w:rPr>
        <w:t xml:space="preserve"> audiovisual. Un </w:t>
      </w:r>
      <w:proofErr w:type="spellStart"/>
      <w:r w:rsidRPr="002451B6">
        <w:rPr>
          <w:rFonts w:ascii="Times New Roman" w:eastAsia="Times New Roman" w:hAnsi="Times New Roman" w:cs="Times New Roman"/>
          <w:i/>
          <w:iCs/>
          <w:sz w:val="24"/>
          <w:szCs w:val="24"/>
        </w:rPr>
        <w:t>estudio</w:t>
      </w:r>
      <w:proofErr w:type="spellEnd"/>
      <w:r w:rsidRPr="002451B6">
        <w:rPr>
          <w:rFonts w:ascii="Times New Roman" w:eastAsia="Times New Roman" w:hAnsi="Times New Roman" w:cs="Times New Roman"/>
          <w:i/>
          <w:iCs/>
          <w:sz w:val="24"/>
          <w:szCs w:val="24"/>
        </w:rPr>
        <w:t xml:space="preserve"> de caso:" El Barco".</w:t>
      </w:r>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Tesis</w:t>
      </w:r>
      <w:proofErr w:type="spellEnd"/>
      <w:r w:rsidRPr="002451B6">
        <w:rPr>
          <w:rFonts w:ascii="Times New Roman" w:eastAsia="Times New Roman" w:hAnsi="Times New Roman" w:cs="Times New Roman"/>
          <w:sz w:val="24"/>
          <w:szCs w:val="24"/>
        </w:rPr>
        <w:t xml:space="preserve"> de </w:t>
      </w:r>
      <w:proofErr w:type="spellStart"/>
      <w:r w:rsidRPr="002451B6">
        <w:rPr>
          <w:rFonts w:ascii="Times New Roman" w:eastAsia="Times New Roman" w:hAnsi="Times New Roman" w:cs="Times New Roman"/>
          <w:sz w:val="24"/>
          <w:szCs w:val="24"/>
        </w:rPr>
        <w:t>Doctorado</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Universidad</w:t>
      </w:r>
      <w:proofErr w:type="spellEnd"/>
      <w:r w:rsidRPr="002451B6">
        <w:rPr>
          <w:rFonts w:ascii="Times New Roman" w:eastAsia="Times New Roman" w:hAnsi="Times New Roman" w:cs="Times New Roman"/>
          <w:sz w:val="24"/>
          <w:szCs w:val="24"/>
        </w:rPr>
        <w:t xml:space="preserve"> pública de Navarra, 2016.</w:t>
      </w:r>
      <w:hyperlink r:id="rId81">
        <w:r w:rsidR="00332C33" w:rsidRPr="002451B6">
          <w:rPr>
            <w:rFonts w:ascii="Times New Roman" w:eastAsia="Times New Roman" w:hAnsi="Times New Roman" w:cs="Times New Roman"/>
            <w:sz w:val="24"/>
            <w:szCs w:val="24"/>
          </w:rPr>
          <w:t xml:space="preserve"> </w:t>
        </w:r>
      </w:hyperlink>
      <w:hyperlink r:id="rId82">
        <w:r w:rsidR="00332C33" w:rsidRPr="002451B6">
          <w:rPr>
            <w:rFonts w:ascii="Times New Roman" w:eastAsia="Times New Roman" w:hAnsi="Times New Roman" w:cs="Times New Roman"/>
            <w:sz w:val="24"/>
            <w:szCs w:val="24"/>
            <w:u w:val="single"/>
          </w:rPr>
          <w:t>https://academica-e.unavarra.es/handle/2454/20009</w:t>
        </w:r>
      </w:hyperlink>
    </w:p>
    <w:p w14:paraId="46479860"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KUHN, A. </w:t>
      </w:r>
      <w:r w:rsidRPr="002451B6">
        <w:rPr>
          <w:rFonts w:ascii="Times New Roman" w:eastAsia="Times New Roman" w:hAnsi="Times New Roman" w:cs="Times New Roman"/>
          <w:i/>
          <w:iCs/>
          <w:sz w:val="24"/>
          <w:szCs w:val="24"/>
        </w:rPr>
        <w:t xml:space="preserve">Cine de </w:t>
      </w:r>
      <w:proofErr w:type="spellStart"/>
      <w:r w:rsidRPr="002451B6">
        <w:rPr>
          <w:rFonts w:ascii="Times New Roman" w:eastAsia="Times New Roman" w:hAnsi="Times New Roman" w:cs="Times New Roman"/>
          <w:i/>
          <w:iCs/>
          <w:sz w:val="24"/>
          <w:szCs w:val="24"/>
        </w:rPr>
        <w:t>mujeres</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feminismo y cine. Madrid: Cátedra., 1991.</w:t>
      </w:r>
    </w:p>
    <w:p w14:paraId="43AD801A"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LUGONES, M. </w:t>
      </w:r>
      <w:proofErr w:type="spellStart"/>
      <w:r w:rsidRPr="002451B6">
        <w:rPr>
          <w:rFonts w:ascii="Times New Roman" w:eastAsia="Times New Roman" w:hAnsi="Times New Roman" w:cs="Times New Roman"/>
          <w:sz w:val="24"/>
          <w:szCs w:val="24"/>
          <w:highlight w:val="white"/>
        </w:rPr>
        <w:t>Hacia</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un</w:t>
      </w:r>
      <w:proofErr w:type="spellEnd"/>
      <w:r w:rsidRPr="002451B6">
        <w:rPr>
          <w:rFonts w:ascii="Times New Roman" w:eastAsia="Times New Roman" w:hAnsi="Times New Roman" w:cs="Times New Roman"/>
          <w:sz w:val="24"/>
          <w:szCs w:val="24"/>
          <w:highlight w:val="white"/>
        </w:rPr>
        <w:t xml:space="preserve"> feminismo decolonial. </w:t>
      </w:r>
      <w:proofErr w:type="spellStart"/>
      <w:r w:rsidRPr="002451B6">
        <w:rPr>
          <w:rFonts w:ascii="Times New Roman" w:eastAsia="Times New Roman" w:hAnsi="Times New Roman" w:cs="Times New Roman"/>
          <w:i/>
          <w:iCs/>
          <w:sz w:val="24"/>
          <w:szCs w:val="24"/>
          <w:highlight w:val="white"/>
        </w:rPr>
        <w:t>Hypatia</w:t>
      </w:r>
      <w:proofErr w:type="spellEnd"/>
      <w:r w:rsidRPr="002451B6">
        <w:rPr>
          <w:rFonts w:ascii="Times New Roman" w:eastAsia="Times New Roman" w:hAnsi="Times New Roman" w:cs="Times New Roman"/>
          <w:i/>
          <w:iCs/>
          <w:sz w:val="24"/>
          <w:szCs w:val="24"/>
          <w:highlight w:val="white"/>
        </w:rPr>
        <w:t>,</w:t>
      </w:r>
      <w:r w:rsidRPr="002451B6">
        <w:rPr>
          <w:rFonts w:ascii="Times New Roman" w:eastAsia="Times New Roman" w:hAnsi="Times New Roman" w:cs="Times New Roman"/>
          <w:sz w:val="24"/>
          <w:szCs w:val="24"/>
          <w:highlight w:val="white"/>
        </w:rPr>
        <w:t xml:space="preserve"> 5(24), 105-119, 2010.</w:t>
      </w:r>
      <w:hyperlink r:id="rId83">
        <w:r w:rsidR="00332C33" w:rsidRPr="002451B6">
          <w:rPr>
            <w:rFonts w:ascii="Times New Roman" w:eastAsia="Times New Roman" w:hAnsi="Times New Roman" w:cs="Times New Roman"/>
            <w:sz w:val="24"/>
            <w:szCs w:val="24"/>
            <w:highlight w:val="white"/>
          </w:rPr>
          <w:t xml:space="preserve"> </w:t>
        </w:r>
      </w:hyperlink>
      <w:hyperlink r:id="rId84">
        <w:r w:rsidR="00332C33" w:rsidRPr="002451B6">
          <w:rPr>
            <w:rFonts w:ascii="Times New Roman" w:eastAsia="Times New Roman" w:hAnsi="Times New Roman" w:cs="Times New Roman"/>
            <w:sz w:val="24"/>
            <w:szCs w:val="24"/>
            <w:highlight w:val="white"/>
            <w:u w:val="single"/>
          </w:rPr>
          <w:t>https://hum.unne.edu.ar/generoysex/seminario1/s1_18.pdf</w:t>
        </w:r>
      </w:hyperlink>
      <w:r w:rsidRPr="002451B6">
        <w:rPr>
          <w:rFonts w:ascii="Times New Roman" w:eastAsia="Times New Roman" w:hAnsi="Times New Roman" w:cs="Times New Roman"/>
          <w:sz w:val="24"/>
          <w:szCs w:val="24"/>
          <w:highlight w:val="white"/>
        </w:rPr>
        <w:t xml:space="preserve">.  </w:t>
      </w:r>
    </w:p>
    <w:p w14:paraId="72184E7E"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t xml:space="preserve">MARTIN-FERNANDEZ, M.; GRACIA, E.; LILA, </w:t>
      </w:r>
      <w:proofErr w:type="gramStart"/>
      <w:r w:rsidRPr="002451B6">
        <w:rPr>
          <w:rFonts w:ascii="Times New Roman" w:eastAsia="Times New Roman" w:hAnsi="Times New Roman" w:cs="Times New Roman"/>
          <w:sz w:val="24"/>
          <w:szCs w:val="24"/>
          <w:highlight w:val="white"/>
        </w:rPr>
        <w:t>M..</w:t>
      </w:r>
      <w:proofErr w:type="gram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Assessing</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victim-blaming</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attitudes</w:t>
      </w:r>
      <w:proofErr w:type="spellEnd"/>
      <w:r w:rsidRPr="002451B6">
        <w:rPr>
          <w:rFonts w:ascii="Times New Roman" w:eastAsia="Times New Roman" w:hAnsi="Times New Roman" w:cs="Times New Roman"/>
          <w:sz w:val="24"/>
          <w:szCs w:val="24"/>
          <w:highlight w:val="white"/>
        </w:rPr>
        <w:t xml:space="preserve"> in cases </w:t>
      </w:r>
      <w:proofErr w:type="spellStart"/>
      <w:r w:rsidRPr="002451B6">
        <w:rPr>
          <w:rFonts w:ascii="Times New Roman" w:eastAsia="Times New Roman" w:hAnsi="Times New Roman" w:cs="Times New Roman"/>
          <w:sz w:val="24"/>
          <w:szCs w:val="24"/>
          <w:highlight w:val="white"/>
        </w:rPr>
        <w:t>of</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intimate</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partner</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violence</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against</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women</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development</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and</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validation</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of</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the</w:t>
      </w:r>
      <w:proofErr w:type="spellEnd"/>
      <w:r w:rsidRPr="002451B6">
        <w:rPr>
          <w:rFonts w:ascii="Times New Roman" w:eastAsia="Times New Roman" w:hAnsi="Times New Roman" w:cs="Times New Roman"/>
          <w:sz w:val="24"/>
          <w:szCs w:val="24"/>
          <w:highlight w:val="white"/>
        </w:rPr>
        <w:t xml:space="preserve"> VB-</w:t>
      </w:r>
      <w:r w:rsidRPr="002451B6">
        <w:rPr>
          <w:rFonts w:ascii="Times New Roman" w:eastAsia="Times New Roman" w:hAnsi="Times New Roman" w:cs="Times New Roman"/>
          <w:sz w:val="24"/>
          <w:szCs w:val="24"/>
          <w:highlight w:val="white"/>
        </w:rPr>
        <w:lastRenderedPageBreak/>
        <w:t xml:space="preserve">IPVAW </w:t>
      </w:r>
      <w:proofErr w:type="spellStart"/>
      <w:r w:rsidRPr="002451B6">
        <w:rPr>
          <w:rFonts w:ascii="Times New Roman" w:eastAsia="Times New Roman" w:hAnsi="Times New Roman" w:cs="Times New Roman"/>
          <w:sz w:val="24"/>
          <w:szCs w:val="24"/>
          <w:highlight w:val="white"/>
        </w:rPr>
        <w:t>scale</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i/>
          <w:iCs/>
          <w:sz w:val="24"/>
          <w:szCs w:val="24"/>
          <w:highlight w:val="white"/>
        </w:rPr>
        <w:t>Psychosocial</w:t>
      </w:r>
      <w:proofErr w:type="spellEnd"/>
      <w:r w:rsidRPr="002451B6">
        <w:rPr>
          <w:rFonts w:ascii="Times New Roman" w:eastAsia="Times New Roman" w:hAnsi="Times New Roman" w:cs="Times New Roman"/>
          <w:i/>
          <w:iCs/>
          <w:sz w:val="24"/>
          <w:szCs w:val="24"/>
          <w:highlight w:val="white"/>
        </w:rPr>
        <w:t xml:space="preserve"> </w:t>
      </w:r>
      <w:proofErr w:type="spellStart"/>
      <w:proofErr w:type="gramStart"/>
      <w:r w:rsidRPr="002451B6">
        <w:rPr>
          <w:rFonts w:ascii="Times New Roman" w:eastAsia="Times New Roman" w:hAnsi="Times New Roman" w:cs="Times New Roman"/>
          <w:i/>
          <w:iCs/>
          <w:sz w:val="24"/>
          <w:szCs w:val="24"/>
          <w:highlight w:val="white"/>
        </w:rPr>
        <w:t>Intervention</w:t>
      </w:r>
      <w:proofErr w:type="spellEnd"/>
      <w:r w:rsidRPr="002451B6">
        <w:rPr>
          <w:rFonts w:ascii="Times New Roman" w:eastAsia="Times New Roman" w:hAnsi="Times New Roman" w:cs="Times New Roman"/>
          <w:i/>
          <w:iCs/>
          <w:sz w:val="24"/>
          <w:szCs w:val="24"/>
          <w:highlight w:val="white"/>
        </w:rPr>
        <w:t xml:space="preserve">, </w:t>
      </w:r>
      <w:r w:rsidRPr="002451B6">
        <w:rPr>
          <w:rFonts w:ascii="Times New Roman" w:eastAsia="Times New Roman" w:hAnsi="Times New Roman" w:cs="Times New Roman"/>
          <w:sz w:val="24"/>
          <w:szCs w:val="24"/>
          <w:highlight w:val="white"/>
        </w:rPr>
        <w:t xml:space="preserve"> Madrid,  v.</w:t>
      </w:r>
      <w:proofErr w:type="gramEnd"/>
      <w:r w:rsidRPr="002451B6">
        <w:rPr>
          <w:rFonts w:ascii="Times New Roman" w:eastAsia="Times New Roman" w:hAnsi="Times New Roman" w:cs="Times New Roman"/>
          <w:sz w:val="24"/>
          <w:szCs w:val="24"/>
          <w:highlight w:val="white"/>
        </w:rPr>
        <w:t xml:space="preserve"> 27, n. 3, p. 133-143, 2018. </w:t>
      </w:r>
      <w:hyperlink r:id="rId85">
        <w:r w:rsidR="00332C33" w:rsidRPr="002451B6">
          <w:rPr>
            <w:rFonts w:ascii="Times New Roman" w:eastAsia="Times New Roman" w:hAnsi="Times New Roman" w:cs="Times New Roman"/>
            <w:sz w:val="24"/>
            <w:szCs w:val="24"/>
            <w:highlight w:val="white"/>
            <w:u w:val="single"/>
          </w:rPr>
          <w:t>http://scielo.isciii.es/scielo.php?script=sci_arttext&amp;pid=S1132-05592018000300003</w:t>
        </w:r>
      </w:hyperlink>
    </w:p>
    <w:p w14:paraId="29882AF1"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MULVEY, L. </w:t>
      </w:r>
      <w:proofErr w:type="spellStart"/>
      <w:r w:rsidRPr="002451B6">
        <w:rPr>
          <w:rFonts w:ascii="Times New Roman" w:eastAsia="Times New Roman" w:hAnsi="Times New Roman" w:cs="Times New Roman"/>
          <w:i/>
          <w:iCs/>
          <w:sz w:val="24"/>
          <w:szCs w:val="24"/>
        </w:rPr>
        <w:t>Placer</w:t>
      </w:r>
      <w:proofErr w:type="spellEnd"/>
      <w:r w:rsidRPr="002451B6">
        <w:rPr>
          <w:rFonts w:ascii="Times New Roman" w:eastAsia="Times New Roman" w:hAnsi="Times New Roman" w:cs="Times New Roman"/>
          <w:i/>
          <w:iCs/>
          <w:sz w:val="24"/>
          <w:szCs w:val="24"/>
        </w:rPr>
        <w:t xml:space="preserve"> visual y cine narrativo</w:t>
      </w:r>
      <w:r w:rsidRPr="002451B6">
        <w:rPr>
          <w:rFonts w:ascii="Times New Roman" w:eastAsia="Times New Roman" w:hAnsi="Times New Roman" w:cs="Times New Roman"/>
          <w:sz w:val="24"/>
          <w:szCs w:val="24"/>
        </w:rPr>
        <w:t xml:space="preserve">. Valencia: Episteme, 1988. </w:t>
      </w:r>
    </w:p>
    <w:p w14:paraId="67E41A11"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ODERICH, C. L., &amp; BALDI, M. A força do cinema para a massificação ou para a promoção da diversidade cultural. </w:t>
      </w:r>
      <w:proofErr w:type="spellStart"/>
      <w:r w:rsidRPr="002451B6">
        <w:rPr>
          <w:rFonts w:ascii="Times New Roman" w:eastAsia="Times New Roman" w:hAnsi="Times New Roman" w:cs="Times New Roman"/>
          <w:i/>
          <w:iCs/>
          <w:sz w:val="24"/>
          <w:szCs w:val="24"/>
        </w:rPr>
        <w:t>RELACult</w:t>
      </w:r>
      <w:proofErr w:type="spellEnd"/>
      <w:r w:rsidRPr="002451B6">
        <w:rPr>
          <w:rFonts w:ascii="Times New Roman" w:eastAsia="Times New Roman" w:hAnsi="Times New Roman" w:cs="Times New Roman"/>
          <w:i/>
          <w:iCs/>
          <w:sz w:val="24"/>
          <w:szCs w:val="24"/>
        </w:rPr>
        <w:t xml:space="preserve"> - Revista Latino-Americana de Estudos em Cultura e Sociedade</w:t>
      </w:r>
      <w:r w:rsidRPr="002451B6">
        <w:rPr>
          <w:rFonts w:ascii="Times New Roman" w:eastAsia="Times New Roman" w:hAnsi="Times New Roman" w:cs="Times New Roman"/>
          <w:sz w:val="24"/>
          <w:szCs w:val="24"/>
        </w:rPr>
        <w:t xml:space="preserve">, [S. l.], v. 3, n. 3, 2017. </w:t>
      </w:r>
      <w:hyperlink r:id="rId86">
        <w:r w:rsidR="00332C33" w:rsidRPr="002451B6">
          <w:rPr>
            <w:rFonts w:ascii="Times New Roman" w:eastAsia="Times New Roman" w:hAnsi="Times New Roman" w:cs="Times New Roman"/>
            <w:sz w:val="24"/>
            <w:szCs w:val="24"/>
            <w:u w:val="single"/>
          </w:rPr>
          <w:t>http://periodicos.claec.org/index.php/relacult/article/view/501</w:t>
        </w:r>
      </w:hyperlink>
    </w:p>
    <w:p w14:paraId="34C8F90F"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t xml:space="preserve">ORGANIZACIÓN DE ESTADOS AMERICANOS, OEA. </w:t>
      </w:r>
      <w:proofErr w:type="spellStart"/>
      <w:r w:rsidRPr="002451B6">
        <w:rPr>
          <w:rFonts w:ascii="Times New Roman" w:eastAsia="Times New Roman" w:hAnsi="Times New Roman" w:cs="Times New Roman"/>
          <w:sz w:val="24"/>
          <w:szCs w:val="24"/>
          <w:highlight w:val="white"/>
        </w:rPr>
        <w:t>Convención</w:t>
      </w:r>
      <w:proofErr w:type="spellEnd"/>
      <w:r w:rsidRPr="002451B6">
        <w:rPr>
          <w:rFonts w:ascii="Times New Roman" w:eastAsia="Times New Roman" w:hAnsi="Times New Roman" w:cs="Times New Roman"/>
          <w:sz w:val="24"/>
          <w:szCs w:val="24"/>
          <w:highlight w:val="white"/>
        </w:rPr>
        <w:t xml:space="preserve"> Interamericana para Prevenir, </w:t>
      </w:r>
      <w:proofErr w:type="gramStart"/>
      <w:r w:rsidRPr="002451B6">
        <w:rPr>
          <w:rFonts w:ascii="Times New Roman" w:eastAsia="Times New Roman" w:hAnsi="Times New Roman" w:cs="Times New Roman"/>
          <w:sz w:val="24"/>
          <w:szCs w:val="24"/>
          <w:highlight w:val="white"/>
        </w:rPr>
        <w:t>Sancionar</w:t>
      </w:r>
      <w:proofErr w:type="gramEnd"/>
      <w:r w:rsidRPr="002451B6">
        <w:rPr>
          <w:rFonts w:ascii="Times New Roman" w:eastAsia="Times New Roman" w:hAnsi="Times New Roman" w:cs="Times New Roman"/>
          <w:sz w:val="24"/>
          <w:szCs w:val="24"/>
          <w:highlight w:val="white"/>
        </w:rPr>
        <w:t xml:space="preserve"> y Erradicar </w:t>
      </w:r>
      <w:proofErr w:type="spellStart"/>
      <w:r w:rsidRPr="002451B6">
        <w:rPr>
          <w:rFonts w:ascii="Times New Roman" w:eastAsia="Times New Roman" w:hAnsi="Times New Roman" w:cs="Times New Roman"/>
          <w:sz w:val="24"/>
          <w:szCs w:val="24"/>
          <w:highlight w:val="white"/>
        </w:rPr>
        <w:t>la</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Violencia</w:t>
      </w:r>
      <w:proofErr w:type="spellEnd"/>
      <w:r w:rsidRPr="002451B6">
        <w:rPr>
          <w:rFonts w:ascii="Times New Roman" w:eastAsia="Times New Roman" w:hAnsi="Times New Roman" w:cs="Times New Roman"/>
          <w:sz w:val="24"/>
          <w:szCs w:val="24"/>
          <w:highlight w:val="white"/>
        </w:rPr>
        <w:t xml:space="preserve"> Contra </w:t>
      </w:r>
      <w:proofErr w:type="spellStart"/>
      <w:r w:rsidRPr="002451B6">
        <w:rPr>
          <w:rFonts w:ascii="Times New Roman" w:eastAsia="Times New Roman" w:hAnsi="Times New Roman" w:cs="Times New Roman"/>
          <w:sz w:val="24"/>
          <w:szCs w:val="24"/>
          <w:highlight w:val="white"/>
        </w:rPr>
        <w:t>la</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Mujer</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Convención</w:t>
      </w:r>
      <w:proofErr w:type="spellEnd"/>
      <w:r w:rsidRPr="002451B6">
        <w:rPr>
          <w:rFonts w:ascii="Times New Roman" w:eastAsia="Times New Roman" w:hAnsi="Times New Roman" w:cs="Times New Roman"/>
          <w:sz w:val="24"/>
          <w:szCs w:val="24"/>
          <w:highlight w:val="white"/>
        </w:rPr>
        <w:t xml:space="preserve"> de Belém do Pará”, 1995. </w:t>
      </w:r>
      <w:hyperlink r:id="rId87">
        <w:r w:rsidR="00332C33" w:rsidRPr="002451B6">
          <w:rPr>
            <w:rFonts w:ascii="Times New Roman" w:eastAsia="Times New Roman" w:hAnsi="Times New Roman" w:cs="Times New Roman"/>
            <w:sz w:val="24"/>
            <w:szCs w:val="24"/>
            <w:highlight w:val="white"/>
            <w:u w:val="single"/>
          </w:rPr>
          <w:t>https://www.oas.org/es/mesecvi/docs/BelemDoPara-PORTUGUES.pdf</w:t>
        </w:r>
      </w:hyperlink>
    </w:p>
    <w:p w14:paraId="1D078A18" w14:textId="77777777" w:rsidR="00332C33" w:rsidRPr="002451B6" w:rsidRDefault="00000000">
      <w:pPr>
        <w:shd w:val="clear" w:color="auto" w:fill="FFFFFF"/>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PÉREZ ANGARITA, D. M.; MOURA DA SILVA, O. R.; GARCIA, A. “O QUE VOCÊ FEZ COM O DINHEIRO QUE EU TE DEI?”: MICROMACHISMOS NOS RELACIONAMENTOS ROMÂNTICOS NO CINEMA LATINO-AMERICANO. Revista Feminismos, [S. l.], v. 12, n. 2, 2024.</w:t>
      </w:r>
    </w:p>
    <w:p w14:paraId="454985CC" w14:textId="77777777" w:rsidR="00332C33" w:rsidRPr="002451B6" w:rsidRDefault="00000000">
      <w:pPr>
        <w:spacing w:before="240" w:after="240"/>
        <w:jc w:val="both"/>
        <w:rPr>
          <w:rFonts w:ascii="Times New Roman" w:eastAsia="Times New Roman" w:hAnsi="Times New Roman" w:cs="Times New Roman"/>
          <w:sz w:val="24"/>
          <w:szCs w:val="24"/>
          <w:highlight w:val="white"/>
        </w:rPr>
      </w:pPr>
      <w:r w:rsidRPr="002451B6">
        <w:rPr>
          <w:rFonts w:ascii="Times New Roman" w:eastAsia="Times New Roman" w:hAnsi="Times New Roman" w:cs="Times New Roman"/>
          <w:sz w:val="24"/>
          <w:szCs w:val="24"/>
          <w:highlight w:val="white"/>
        </w:rPr>
        <w:t xml:space="preserve">PÉREZ, D., BONOMO, M. GARCIA, A. Violência contra a mulher por parceiro íntimo no cinema </w:t>
      </w:r>
      <w:proofErr w:type="spellStart"/>
      <w:r w:rsidRPr="002451B6">
        <w:rPr>
          <w:rFonts w:ascii="Times New Roman" w:eastAsia="Times New Roman" w:hAnsi="Times New Roman" w:cs="Times New Roman"/>
          <w:sz w:val="24"/>
          <w:szCs w:val="24"/>
          <w:highlight w:val="white"/>
        </w:rPr>
        <w:t>latinoamericano</w:t>
      </w:r>
      <w:proofErr w:type="spellEnd"/>
      <w:r w:rsidRPr="002451B6">
        <w:rPr>
          <w:rFonts w:ascii="Times New Roman" w:eastAsia="Times New Roman" w:hAnsi="Times New Roman" w:cs="Times New Roman"/>
          <w:sz w:val="24"/>
          <w:szCs w:val="24"/>
          <w:highlight w:val="white"/>
        </w:rPr>
        <w:t xml:space="preserve">. </w:t>
      </w:r>
      <w:r w:rsidRPr="002451B6">
        <w:rPr>
          <w:rFonts w:ascii="Times New Roman" w:eastAsia="Times New Roman" w:hAnsi="Times New Roman" w:cs="Times New Roman"/>
          <w:i/>
          <w:iCs/>
          <w:sz w:val="24"/>
          <w:szCs w:val="24"/>
          <w:highlight w:val="white"/>
        </w:rPr>
        <w:t xml:space="preserve">Revista de Educação, Cultura e Comunicação </w:t>
      </w:r>
      <w:r w:rsidRPr="002451B6">
        <w:rPr>
          <w:rFonts w:ascii="Times New Roman" w:eastAsia="Times New Roman" w:hAnsi="Times New Roman" w:cs="Times New Roman"/>
          <w:sz w:val="24"/>
          <w:szCs w:val="24"/>
          <w:highlight w:val="white"/>
        </w:rPr>
        <w:t xml:space="preserve">– ECCOM, 12 (24), 2021. </w:t>
      </w:r>
    </w:p>
    <w:p w14:paraId="309EBD19" w14:textId="77777777" w:rsidR="00332C33" w:rsidRPr="002451B6" w:rsidRDefault="00000000">
      <w:pPr>
        <w:spacing w:before="240" w:after="240"/>
        <w:jc w:val="both"/>
        <w:rPr>
          <w:rFonts w:ascii="Times New Roman" w:eastAsia="Times New Roman" w:hAnsi="Times New Roman" w:cs="Times New Roman"/>
          <w:sz w:val="24"/>
          <w:szCs w:val="24"/>
          <w:highlight w:val="white"/>
          <w:u w:val="single"/>
        </w:rPr>
      </w:pPr>
      <w:r w:rsidRPr="002451B6">
        <w:rPr>
          <w:rFonts w:ascii="Times New Roman" w:eastAsia="Times New Roman" w:hAnsi="Times New Roman" w:cs="Times New Roman"/>
          <w:sz w:val="24"/>
          <w:szCs w:val="24"/>
          <w:highlight w:val="white"/>
        </w:rPr>
        <w:t xml:space="preserve">SÁNCHEZ, E. M. S. La </w:t>
      </w:r>
      <w:proofErr w:type="spellStart"/>
      <w:r w:rsidRPr="002451B6">
        <w:rPr>
          <w:rFonts w:ascii="Times New Roman" w:eastAsia="Times New Roman" w:hAnsi="Times New Roman" w:cs="Times New Roman"/>
          <w:sz w:val="24"/>
          <w:szCs w:val="24"/>
          <w:highlight w:val="white"/>
        </w:rPr>
        <w:t>mujer</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en</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el</w:t>
      </w:r>
      <w:proofErr w:type="spellEnd"/>
      <w:r w:rsidRPr="002451B6">
        <w:rPr>
          <w:rFonts w:ascii="Times New Roman" w:eastAsia="Times New Roman" w:hAnsi="Times New Roman" w:cs="Times New Roman"/>
          <w:sz w:val="24"/>
          <w:szCs w:val="24"/>
          <w:highlight w:val="white"/>
        </w:rPr>
        <w:t xml:space="preserve"> cine: de objeto sexual a </w:t>
      </w:r>
      <w:proofErr w:type="spellStart"/>
      <w:r w:rsidRPr="002451B6">
        <w:rPr>
          <w:rFonts w:ascii="Times New Roman" w:eastAsia="Times New Roman" w:hAnsi="Times New Roman" w:cs="Times New Roman"/>
          <w:sz w:val="24"/>
          <w:szCs w:val="24"/>
          <w:highlight w:val="white"/>
        </w:rPr>
        <w:t>necesaria</w:t>
      </w:r>
      <w:proofErr w:type="spellEnd"/>
      <w:r w:rsidRPr="002451B6">
        <w:rPr>
          <w:rFonts w:ascii="Times New Roman" w:eastAsia="Times New Roman" w:hAnsi="Times New Roman" w:cs="Times New Roman"/>
          <w:sz w:val="24"/>
          <w:szCs w:val="24"/>
          <w:highlight w:val="white"/>
        </w:rPr>
        <w:t xml:space="preserve"> protagonista de </w:t>
      </w:r>
      <w:proofErr w:type="spellStart"/>
      <w:r w:rsidRPr="002451B6">
        <w:rPr>
          <w:rFonts w:ascii="Times New Roman" w:eastAsia="Times New Roman" w:hAnsi="Times New Roman" w:cs="Times New Roman"/>
          <w:sz w:val="24"/>
          <w:szCs w:val="24"/>
          <w:highlight w:val="white"/>
        </w:rPr>
        <w:t>cambios</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sz w:val="24"/>
          <w:szCs w:val="24"/>
          <w:highlight w:val="white"/>
        </w:rPr>
        <w:t>sociales</w:t>
      </w:r>
      <w:proofErr w:type="spellEnd"/>
      <w:r w:rsidRPr="002451B6">
        <w:rPr>
          <w:rFonts w:ascii="Times New Roman" w:eastAsia="Times New Roman" w:hAnsi="Times New Roman" w:cs="Times New Roman"/>
          <w:sz w:val="24"/>
          <w:szCs w:val="24"/>
          <w:highlight w:val="white"/>
        </w:rPr>
        <w:t xml:space="preserve">. </w:t>
      </w:r>
      <w:proofErr w:type="spellStart"/>
      <w:r w:rsidRPr="002451B6">
        <w:rPr>
          <w:rFonts w:ascii="Times New Roman" w:eastAsia="Times New Roman" w:hAnsi="Times New Roman" w:cs="Times New Roman"/>
          <w:i/>
          <w:iCs/>
          <w:sz w:val="24"/>
          <w:szCs w:val="24"/>
          <w:highlight w:val="white"/>
        </w:rPr>
        <w:t>Aularia</w:t>
      </w:r>
      <w:proofErr w:type="spellEnd"/>
      <w:r w:rsidRPr="002451B6">
        <w:rPr>
          <w:rFonts w:ascii="Times New Roman" w:eastAsia="Times New Roman" w:hAnsi="Times New Roman" w:cs="Times New Roman"/>
          <w:i/>
          <w:iCs/>
          <w:sz w:val="24"/>
          <w:szCs w:val="24"/>
          <w:highlight w:val="white"/>
        </w:rPr>
        <w:t xml:space="preserve">: Revista Digital de </w:t>
      </w:r>
      <w:proofErr w:type="spellStart"/>
      <w:r w:rsidRPr="002451B6">
        <w:rPr>
          <w:rFonts w:ascii="Times New Roman" w:eastAsia="Times New Roman" w:hAnsi="Times New Roman" w:cs="Times New Roman"/>
          <w:i/>
          <w:iCs/>
          <w:sz w:val="24"/>
          <w:szCs w:val="24"/>
          <w:highlight w:val="white"/>
        </w:rPr>
        <w:t>Comunicación</w:t>
      </w:r>
      <w:proofErr w:type="spellEnd"/>
      <w:r w:rsidRPr="002451B6">
        <w:rPr>
          <w:rFonts w:ascii="Times New Roman" w:eastAsia="Times New Roman" w:hAnsi="Times New Roman" w:cs="Times New Roman"/>
          <w:i/>
          <w:iCs/>
          <w:sz w:val="24"/>
          <w:szCs w:val="24"/>
          <w:highlight w:val="white"/>
        </w:rPr>
        <w:t>,</w:t>
      </w:r>
      <w:r w:rsidRPr="002451B6">
        <w:rPr>
          <w:rFonts w:ascii="Times New Roman" w:eastAsia="Times New Roman" w:hAnsi="Times New Roman" w:cs="Times New Roman"/>
          <w:sz w:val="24"/>
          <w:szCs w:val="24"/>
          <w:highlight w:val="white"/>
        </w:rPr>
        <w:t xml:space="preserve"> 5(1), 1-10, 2016.</w:t>
      </w:r>
      <w:hyperlink r:id="rId88">
        <w:r w:rsidR="00332C33" w:rsidRPr="002451B6">
          <w:rPr>
            <w:rFonts w:ascii="Times New Roman" w:eastAsia="Times New Roman" w:hAnsi="Times New Roman" w:cs="Times New Roman"/>
            <w:sz w:val="24"/>
            <w:szCs w:val="24"/>
            <w:highlight w:val="white"/>
          </w:rPr>
          <w:t xml:space="preserve"> </w:t>
        </w:r>
      </w:hyperlink>
      <w:hyperlink r:id="rId89">
        <w:r w:rsidR="00332C33" w:rsidRPr="002451B6">
          <w:rPr>
            <w:rFonts w:ascii="Times New Roman" w:eastAsia="Times New Roman" w:hAnsi="Times New Roman" w:cs="Times New Roman"/>
            <w:sz w:val="24"/>
            <w:szCs w:val="24"/>
            <w:highlight w:val="white"/>
            <w:u w:val="single"/>
          </w:rPr>
          <w:t>https://www.aularia.org/Articulo.php?idart=227&amp;idsec=1</w:t>
        </w:r>
      </w:hyperlink>
    </w:p>
    <w:p w14:paraId="54C947B1" w14:textId="77777777" w:rsidR="00332C33" w:rsidRPr="002451B6" w:rsidRDefault="00000000">
      <w:pPr>
        <w:spacing w:before="240" w:after="240"/>
        <w:jc w:val="both"/>
        <w:rPr>
          <w:rFonts w:ascii="Times New Roman" w:eastAsia="Times New Roman" w:hAnsi="Times New Roman" w:cs="Times New Roman"/>
          <w:sz w:val="24"/>
          <w:szCs w:val="24"/>
          <w:u w:val="single"/>
        </w:rPr>
      </w:pPr>
      <w:r w:rsidRPr="002451B6">
        <w:rPr>
          <w:rFonts w:ascii="Times New Roman" w:eastAsia="Times New Roman" w:hAnsi="Times New Roman" w:cs="Times New Roman"/>
          <w:sz w:val="24"/>
          <w:szCs w:val="24"/>
        </w:rPr>
        <w:t xml:space="preserve">ZAVALA, L. La </w:t>
      </w:r>
      <w:proofErr w:type="spellStart"/>
      <w:r w:rsidRPr="002451B6">
        <w:rPr>
          <w:rFonts w:ascii="Times New Roman" w:eastAsia="Times New Roman" w:hAnsi="Times New Roman" w:cs="Times New Roman"/>
          <w:sz w:val="24"/>
          <w:szCs w:val="24"/>
        </w:rPr>
        <w:t>teoría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del</w:t>
      </w:r>
      <w:proofErr w:type="spellEnd"/>
      <w:r w:rsidRPr="002451B6">
        <w:rPr>
          <w:rFonts w:ascii="Times New Roman" w:eastAsia="Times New Roman" w:hAnsi="Times New Roman" w:cs="Times New Roman"/>
          <w:sz w:val="24"/>
          <w:szCs w:val="24"/>
        </w:rPr>
        <w:t xml:space="preserve"> cine </w:t>
      </w:r>
      <w:proofErr w:type="spellStart"/>
      <w:r w:rsidRPr="002451B6">
        <w:rPr>
          <w:rFonts w:ascii="Times New Roman" w:eastAsia="Times New Roman" w:hAnsi="Times New Roman" w:cs="Times New Roman"/>
          <w:sz w:val="24"/>
          <w:szCs w:val="24"/>
        </w:rPr>
        <w:t>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región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latinoamericana</w:t>
      </w:r>
      <w:proofErr w:type="spellEnd"/>
      <w:r w:rsidRPr="002451B6">
        <w:rPr>
          <w:rFonts w:ascii="Times New Roman" w:eastAsia="Times New Roman" w:hAnsi="Times New Roman" w:cs="Times New Roman"/>
          <w:sz w:val="24"/>
          <w:szCs w:val="24"/>
        </w:rPr>
        <w:t xml:space="preserve"> y </w:t>
      </w:r>
      <w:proofErr w:type="spellStart"/>
      <w:r w:rsidRPr="002451B6">
        <w:rPr>
          <w:rFonts w:ascii="Times New Roman" w:eastAsia="Times New Roman" w:hAnsi="Times New Roman" w:cs="Times New Roman"/>
          <w:sz w:val="24"/>
          <w:szCs w:val="24"/>
        </w:rPr>
        <w:t>las</w:t>
      </w:r>
      <w:proofErr w:type="spellEnd"/>
      <w:r w:rsidRPr="002451B6">
        <w:rPr>
          <w:rFonts w:ascii="Times New Roman" w:eastAsia="Times New Roman" w:hAnsi="Times New Roman" w:cs="Times New Roman"/>
          <w:sz w:val="24"/>
          <w:szCs w:val="24"/>
        </w:rPr>
        <w:t xml:space="preserve"> políticas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investigación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i/>
          <w:iCs/>
          <w:sz w:val="24"/>
          <w:szCs w:val="24"/>
        </w:rPr>
        <w:t>Comunicación</w:t>
      </w:r>
      <w:proofErr w:type="spellEnd"/>
      <w:r w:rsidRPr="002451B6">
        <w:rPr>
          <w:rFonts w:ascii="Times New Roman" w:eastAsia="Times New Roman" w:hAnsi="Times New Roman" w:cs="Times New Roman"/>
          <w:i/>
          <w:iCs/>
          <w:sz w:val="24"/>
          <w:szCs w:val="24"/>
        </w:rPr>
        <w:t xml:space="preserve"> y </w:t>
      </w:r>
      <w:proofErr w:type="spellStart"/>
      <w:r w:rsidRPr="002451B6">
        <w:rPr>
          <w:rFonts w:ascii="Times New Roman" w:eastAsia="Times New Roman" w:hAnsi="Times New Roman" w:cs="Times New Roman"/>
          <w:i/>
          <w:iCs/>
          <w:sz w:val="24"/>
          <w:szCs w:val="24"/>
        </w:rPr>
        <w:t>medios</w:t>
      </w:r>
      <w:proofErr w:type="spellEnd"/>
      <w:r w:rsidRPr="002451B6">
        <w:rPr>
          <w:rFonts w:ascii="Times New Roman" w:eastAsia="Times New Roman" w:hAnsi="Times New Roman" w:cs="Times New Roman"/>
          <w:i/>
          <w:iCs/>
          <w:sz w:val="24"/>
          <w:szCs w:val="24"/>
        </w:rPr>
        <w:t xml:space="preserve"> n. 24</w:t>
      </w:r>
      <w:r w:rsidRPr="002451B6">
        <w:rPr>
          <w:rFonts w:ascii="Times New Roman" w:eastAsia="Times New Roman" w:hAnsi="Times New Roman" w:cs="Times New Roman"/>
          <w:sz w:val="24"/>
          <w:szCs w:val="24"/>
        </w:rPr>
        <w:t xml:space="preserve">.p. 8-24. Instituto de </w:t>
      </w:r>
      <w:proofErr w:type="spellStart"/>
      <w:r w:rsidRPr="002451B6">
        <w:rPr>
          <w:rFonts w:ascii="Times New Roman" w:eastAsia="Times New Roman" w:hAnsi="Times New Roman" w:cs="Times New Roman"/>
          <w:sz w:val="24"/>
          <w:szCs w:val="24"/>
        </w:rPr>
        <w:t>la</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comunicación</w:t>
      </w:r>
      <w:proofErr w:type="spellEnd"/>
      <w:r w:rsidRPr="002451B6">
        <w:rPr>
          <w:rFonts w:ascii="Times New Roman" w:eastAsia="Times New Roman" w:hAnsi="Times New Roman" w:cs="Times New Roman"/>
          <w:sz w:val="24"/>
          <w:szCs w:val="24"/>
        </w:rPr>
        <w:t xml:space="preserve"> e </w:t>
      </w:r>
      <w:proofErr w:type="spellStart"/>
      <w:r w:rsidRPr="002451B6">
        <w:rPr>
          <w:rFonts w:ascii="Times New Roman" w:eastAsia="Times New Roman" w:hAnsi="Times New Roman" w:cs="Times New Roman"/>
          <w:sz w:val="24"/>
          <w:szCs w:val="24"/>
        </w:rPr>
        <w:t>imagen</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Universidad</w:t>
      </w:r>
      <w:proofErr w:type="spellEnd"/>
      <w:r w:rsidRPr="002451B6">
        <w:rPr>
          <w:rFonts w:ascii="Times New Roman" w:eastAsia="Times New Roman" w:hAnsi="Times New Roman" w:cs="Times New Roman"/>
          <w:sz w:val="24"/>
          <w:szCs w:val="24"/>
        </w:rPr>
        <w:t xml:space="preserve"> de Chile, 2011. </w:t>
      </w:r>
      <w:hyperlink r:id="rId90">
        <w:r w:rsidR="00332C33" w:rsidRPr="002451B6">
          <w:rPr>
            <w:rFonts w:ascii="Times New Roman" w:eastAsia="Times New Roman" w:hAnsi="Times New Roman" w:cs="Times New Roman"/>
            <w:sz w:val="24"/>
            <w:szCs w:val="24"/>
            <w:u w:val="single"/>
          </w:rPr>
          <w:t>https://revistachilenahumanidades.uchile.cl/index.php/RCM/article/view/19891</w:t>
        </w:r>
      </w:hyperlink>
    </w:p>
    <w:p w14:paraId="48D02273" w14:textId="77777777" w:rsidR="00332C33" w:rsidRPr="002451B6" w:rsidRDefault="00000000">
      <w:pPr>
        <w:spacing w:before="240" w:after="240"/>
        <w:jc w:val="both"/>
        <w:rPr>
          <w:sz w:val="20"/>
          <w:szCs w:val="20"/>
          <w:highlight w:val="white"/>
        </w:rPr>
      </w:pPr>
      <w:r w:rsidRPr="002451B6">
        <w:rPr>
          <w:sz w:val="20"/>
          <w:szCs w:val="20"/>
          <w:highlight w:val="white"/>
        </w:rPr>
        <w:t xml:space="preserve"> </w:t>
      </w:r>
    </w:p>
    <w:p w14:paraId="2409DBDC" w14:textId="77777777" w:rsidR="00332C33" w:rsidRPr="002451B6" w:rsidRDefault="00332C33" w:rsidP="00BE677D">
      <w:pPr>
        <w:rPr>
          <w:rFonts w:ascii="Times New Roman" w:eastAsia="Times New Roman" w:hAnsi="Times New Roman" w:cs="Times New Roman"/>
          <w:b/>
          <w:bCs/>
          <w:sz w:val="24"/>
          <w:szCs w:val="24"/>
        </w:rPr>
      </w:pPr>
      <w:bookmarkStart w:id="15" w:name="_skl574r6krn" w:colFirst="0" w:colLast="0"/>
      <w:bookmarkStart w:id="16" w:name="_pizwzh8520ob" w:colFirst="0" w:colLast="0"/>
      <w:bookmarkStart w:id="17" w:name="_pk8jjoc6utns" w:colFirst="0" w:colLast="0"/>
      <w:bookmarkEnd w:id="15"/>
      <w:bookmarkEnd w:id="16"/>
      <w:bookmarkEnd w:id="17"/>
    </w:p>
    <w:p w14:paraId="29444C28" w14:textId="77777777" w:rsidR="00332C33" w:rsidRPr="002451B6" w:rsidRDefault="00332C33">
      <w:pPr>
        <w:jc w:val="center"/>
        <w:rPr>
          <w:rFonts w:ascii="Times New Roman" w:eastAsia="Times New Roman" w:hAnsi="Times New Roman" w:cs="Times New Roman"/>
          <w:b/>
          <w:bCs/>
          <w:sz w:val="24"/>
          <w:szCs w:val="24"/>
        </w:rPr>
      </w:pPr>
      <w:bookmarkStart w:id="18" w:name="_ce4y1hhksa8q" w:colFirst="0" w:colLast="0"/>
      <w:bookmarkEnd w:id="18"/>
    </w:p>
    <w:p w14:paraId="3C2A6E14" w14:textId="77777777" w:rsidR="00332C33" w:rsidRPr="002451B6" w:rsidRDefault="00332C33">
      <w:pPr>
        <w:jc w:val="center"/>
        <w:rPr>
          <w:rFonts w:ascii="Times New Roman" w:eastAsia="Times New Roman" w:hAnsi="Times New Roman" w:cs="Times New Roman"/>
          <w:b/>
          <w:bCs/>
          <w:sz w:val="24"/>
          <w:szCs w:val="24"/>
        </w:rPr>
      </w:pPr>
      <w:bookmarkStart w:id="19" w:name="_n6e9mvnntxpi" w:colFirst="0" w:colLast="0"/>
      <w:bookmarkEnd w:id="19"/>
    </w:p>
    <w:p w14:paraId="42CDBD0C" w14:textId="77777777" w:rsidR="00332C33" w:rsidRPr="002451B6" w:rsidRDefault="00332C33">
      <w:pPr>
        <w:jc w:val="center"/>
        <w:rPr>
          <w:rFonts w:ascii="Times New Roman" w:eastAsia="Times New Roman" w:hAnsi="Times New Roman" w:cs="Times New Roman"/>
          <w:b/>
          <w:bCs/>
          <w:sz w:val="24"/>
          <w:szCs w:val="24"/>
        </w:rPr>
      </w:pPr>
      <w:bookmarkStart w:id="20" w:name="_355prp911xlj" w:colFirst="0" w:colLast="0"/>
      <w:bookmarkEnd w:id="20"/>
    </w:p>
    <w:p w14:paraId="69DA4FA5" w14:textId="77777777" w:rsidR="00332C33" w:rsidRPr="002451B6" w:rsidRDefault="00332C33">
      <w:pPr>
        <w:jc w:val="center"/>
        <w:rPr>
          <w:rFonts w:ascii="Times New Roman" w:eastAsia="Times New Roman" w:hAnsi="Times New Roman" w:cs="Times New Roman"/>
          <w:b/>
          <w:bCs/>
          <w:sz w:val="24"/>
          <w:szCs w:val="24"/>
        </w:rPr>
      </w:pPr>
      <w:bookmarkStart w:id="21" w:name="_j34a538mjef7" w:colFirst="0" w:colLast="0"/>
      <w:bookmarkEnd w:id="21"/>
    </w:p>
    <w:p w14:paraId="772E686C" w14:textId="77777777" w:rsidR="00332C33" w:rsidRPr="002451B6" w:rsidRDefault="00332C33">
      <w:pPr>
        <w:jc w:val="center"/>
        <w:rPr>
          <w:rFonts w:ascii="Times New Roman" w:eastAsia="Times New Roman" w:hAnsi="Times New Roman" w:cs="Times New Roman"/>
          <w:b/>
          <w:bCs/>
          <w:sz w:val="24"/>
          <w:szCs w:val="24"/>
        </w:rPr>
      </w:pPr>
      <w:bookmarkStart w:id="22" w:name="_d1l80hnym17w" w:colFirst="0" w:colLast="0"/>
      <w:bookmarkEnd w:id="22"/>
    </w:p>
    <w:p w14:paraId="4A68DE43" w14:textId="77777777" w:rsidR="00332C33" w:rsidRPr="002451B6" w:rsidRDefault="00332C33" w:rsidP="00BE677D">
      <w:pPr>
        <w:rPr>
          <w:rFonts w:ascii="Times New Roman" w:eastAsia="Times New Roman" w:hAnsi="Times New Roman" w:cs="Times New Roman"/>
          <w:b/>
          <w:bCs/>
          <w:sz w:val="24"/>
          <w:szCs w:val="24"/>
        </w:rPr>
      </w:pPr>
      <w:bookmarkStart w:id="23" w:name="_xhll1qvwdcal" w:colFirst="0" w:colLast="0"/>
      <w:bookmarkEnd w:id="23"/>
    </w:p>
    <w:p w14:paraId="342380E4" w14:textId="77777777" w:rsidR="00332C33" w:rsidRPr="002451B6" w:rsidRDefault="00332C33">
      <w:pPr>
        <w:jc w:val="center"/>
        <w:rPr>
          <w:rFonts w:ascii="Times New Roman" w:eastAsia="Times New Roman" w:hAnsi="Times New Roman" w:cs="Times New Roman"/>
          <w:b/>
          <w:bCs/>
          <w:sz w:val="24"/>
          <w:szCs w:val="24"/>
        </w:rPr>
      </w:pPr>
      <w:bookmarkStart w:id="24" w:name="_4r1w35i7q9tt" w:colFirst="0" w:colLast="0"/>
      <w:bookmarkEnd w:id="24"/>
    </w:p>
    <w:p w14:paraId="5114686B" w14:textId="77777777" w:rsidR="00332C33" w:rsidRPr="002451B6" w:rsidRDefault="00332C33">
      <w:pPr>
        <w:jc w:val="center"/>
        <w:rPr>
          <w:rFonts w:ascii="Times New Roman" w:eastAsia="Times New Roman" w:hAnsi="Times New Roman" w:cs="Times New Roman"/>
          <w:b/>
          <w:bCs/>
          <w:sz w:val="24"/>
          <w:szCs w:val="24"/>
        </w:rPr>
      </w:pPr>
      <w:bookmarkStart w:id="25" w:name="_iw70cs516rur" w:colFirst="0" w:colLast="0"/>
      <w:bookmarkEnd w:id="25"/>
    </w:p>
    <w:p w14:paraId="16F6B68D" w14:textId="77777777" w:rsidR="00332C33" w:rsidRPr="002451B6" w:rsidRDefault="00332C33">
      <w:pPr>
        <w:jc w:val="center"/>
        <w:rPr>
          <w:rFonts w:ascii="Times New Roman" w:eastAsia="Times New Roman" w:hAnsi="Times New Roman" w:cs="Times New Roman"/>
          <w:b/>
          <w:bCs/>
          <w:sz w:val="24"/>
          <w:szCs w:val="24"/>
        </w:rPr>
      </w:pPr>
      <w:bookmarkStart w:id="26" w:name="_ucn128tf0wc7" w:colFirst="0" w:colLast="0"/>
      <w:bookmarkEnd w:id="26"/>
    </w:p>
    <w:p w14:paraId="542D7F31" w14:textId="77777777" w:rsidR="00332C33" w:rsidRPr="002451B6" w:rsidRDefault="00332C33" w:rsidP="00BE677D">
      <w:pPr>
        <w:rPr>
          <w:rFonts w:ascii="Times New Roman" w:eastAsia="Times New Roman" w:hAnsi="Times New Roman" w:cs="Times New Roman"/>
          <w:b/>
          <w:bCs/>
          <w:sz w:val="24"/>
          <w:szCs w:val="24"/>
        </w:rPr>
      </w:pPr>
      <w:bookmarkStart w:id="27" w:name="_m2vaqhdmzxjt" w:colFirst="0" w:colLast="0"/>
      <w:bookmarkStart w:id="28" w:name="_4hp6uyegme27" w:colFirst="0" w:colLast="0"/>
      <w:bookmarkStart w:id="29" w:name="_82vhwb51kz5o" w:colFirst="0" w:colLast="0"/>
      <w:bookmarkStart w:id="30" w:name="_xe193s5mcc7k" w:colFirst="0" w:colLast="0"/>
      <w:bookmarkStart w:id="31" w:name="_5rm2dvz18ovf" w:colFirst="0" w:colLast="0"/>
      <w:bookmarkStart w:id="32" w:name="_p82l4iebibvi" w:colFirst="0" w:colLast="0"/>
      <w:bookmarkStart w:id="33" w:name="_45qewehfu8kh" w:colFirst="0" w:colLast="0"/>
      <w:bookmarkStart w:id="34" w:name="_r1j3stegvvt1" w:colFirst="0" w:colLast="0"/>
      <w:bookmarkStart w:id="35" w:name="_ywjcls6ft7gx" w:colFirst="0" w:colLast="0"/>
      <w:bookmarkStart w:id="36" w:name="_lz3awhapp7hd" w:colFirst="0" w:colLast="0"/>
      <w:bookmarkStart w:id="37" w:name="_3r1kgh95rh48" w:colFirst="0" w:colLast="0"/>
      <w:bookmarkStart w:id="38" w:name="_fgsz8q5umwma" w:colFirst="0" w:colLast="0"/>
      <w:bookmarkStart w:id="39" w:name="_v1qoxvq3b5g6" w:colFirst="0" w:colLast="0"/>
      <w:bookmarkStart w:id="40" w:name="_yddlc3frfu0q" w:colFirst="0" w:colLast="0"/>
      <w:bookmarkStart w:id="41" w:name="_l6ehdkolwovx" w:colFirst="0" w:colLast="0"/>
      <w:bookmarkStart w:id="42" w:name="_yl97sm3sfzob" w:colFirst="0" w:colLast="0"/>
      <w:bookmarkStart w:id="43" w:name="_ci0905imy93q" w:colFirst="0" w:colLast="0"/>
      <w:bookmarkStart w:id="44" w:name="_hx3nd2x6y2fm" w:colFirst="0" w:colLast="0"/>
      <w:bookmarkStart w:id="45" w:name="_yjcj0v5iy50k" w:colFirst="0" w:colLast="0"/>
      <w:bookmarkStart w:id="46" w:name="_st21memb87z3" w:colFirst="0" w:colLast="0"/>
      <w:bookmarkStart w:id="47" w:name="_2hnnyshonadd" w:colFirst="0" w:colLast="0"/>
      <w:bookmarkStart w:id="48" w:name="_7gvk3xcylc53" w:colFirst="0" w:colLast="0"/>
      <w:bookmarkStart w:id="49" w:name="_of2o7xltjw4h" w:colFirst="0" w:colLast="0"/>
      <w:bookmarkStart w:id="50" w:name="_7xtq2t2qksjh" w:colFirst="0" w:colLast="0"/>
      <w:bookmarkStart w:id="51" w:name="_pu17b2o539f4" w:colFirst="0" w:colLast="0"/>
      <w:bookmarkStart w:id="52" w:name="_3qk2mbftwth7" w:colFirst="0" w:colLast="0"/>
      <w:bookmarkStart w:id="53" w:name="_g1mtgu27ash7" w:colFirst="0" w:colLast="0"/>
      <w:bookmarkStart w:id="54" w:name="_2nifhahvxfru" w:colFirst="0" w:colLast="0"/>
      <w:bookmarkStart w:id="55" w:name="_i8zb67auub25" w:colFirst="0" w:colLast="0"/>
      <w:bookmarkStart w:id="56" w:name="_qoiv9wr0rx51" w:colFirst="0" w:colLast="0"/>
      <w:bookmarkStart w:id="57" w:name="_c7u0lw3qr76b" w:colFirst="0" w:colLast="0"/>
      <w:bookmarkStart w:id="58" w:name="_gy7qxlg1i5cl" w:colFirst="0" w:colLast="0"/>
      <w:bookmarkStart w:id="59" w:name="_dq0qgmvizi0a" w:colFirst="0" w:colLast="0"/>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7075511E" w14:textId="77777777" w:rsidR="00332C33" w:rsidRPr="002451B6" w:rsidRDefault="00332C33">
      <w:pPr>
        <w:rPr>
          <w:rFonts w:ascii="Times New Roman" w:eastAsia="Times New Roman" w:hAnsi="Times New Roman" w:cs="Times New Roman"/>
          <w:b/>
          <w:bCs/>
          <w:sz w:val="24"/>
          <w:szCs w:val="24"/>
        </w:rPr>
      </w:pPr>
      <w:bookmarkStart w:id="60" w:name="_n9wsu6trdj6r" w:colFirst="0" w:colLast="0"/>
      <w:bookmarkEnd w:id="60"/>
    </w:p>
    <w:p w14:paraId="5FB5CF54" w14:textId="77777777" w:rsidR="00332C33" w:rsidRPr="002451B6" w:rsidRDefault="00000000">
      <w:pPr>
        <w:jc w:val="center"/>
        <w:rPr>
          <w:rFonts w:ascii="Times New Roman" w:eastAsia="Times New Roman" w:hAnsi="Times New Roman" w:cs="Times New Roman"/>
          <w:b/>
          <w:bCs/>
          <w:sz w:val="24"/>
          <w:szCs w:val="24"/>
        </w:rPr>
      </w:pPr>
      <w:bookmarkStart w:id="61" w:name="_uyb81b4y0zqj" w:colFirst="0" w:colLast="0"/>
      <w:bookmarkEnd w:id="61"/>
      <w:r w:rsidRPr="002451B6">
        <w:rPr>
          <w:rFonts w:ascii="Times New Roman" w:eastAsia="Times New Roman" w:hAnsi="Times New Roman" w:cs="Times New Roman"/>
          <w:b/>
          <w:bCs/>
          <w:sz w:val="24"/>
          <w:szCs w:val="24"/>
        </w:rPr>
        <w:lastRenderedPageBreak/>
        <w:t>Narrativas ficcionais dos contos de fadas e narrativas factuais das mídias: quando uma imagem fala mais que mil palavras na trajetória de uma pesquisa</w:t>
      </w:r>
    </w:p>
    <w:p w14:paraId="5CDFA4DA" w14:textId="77777777" w:rsidR="00332C33" w:rsidRPr="002451B6" w:rsidRDefault="00332C33">
      <w:pPr>
        <w:jc w:val="center"/>
        <w:rPr>
          <w:rFonts w:ascii="Times New Roman" w:eastAsia="Times New Roman" w:hAnsi="Times New Roman" w:cs="Times New Roman"/>
          <w:b/>
          <w:bCs/>
          <w:sz w:val="24"/>
          <w:szCs w:val="24"/>
        </w:rPr>
      </w:pPr>
      <w:bookmarkStart w:id="62" w:name="_eowssfwrdmq" w:colFirst="0" w:colLast="0"/>
      <w:bookmarkEnd w:id="62"/>
    </w:p>
    <w:p w14:paraId="0821C870" w14:textId="77777777" w:rsidR="00332C33" w:rsidRPr="002451B6" w:rsidRDefault="00332C33">
      <w:pPr>
        <w:jc w:val="right"/>
        <w:rPr>
          <w:rFonts w:ascii="Times New Roman" w:eastAsia="Times New Roman" w:hAnsi="Times New Roman" w:cs="Times New Roman"/>
        </w:rPr>
      </w:pPr>
    </w:p>
    <w:p w14:paraId="13131C60"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5F343E61"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Introdução </w:t>
      </w:r>
    </w:p>
    <w:p w14:paraId="7249EF38" w14:textId="77777777" w:rsidR="00332C33" w:rsidRPr="002451B6" w:rsidRDefault="00000000">
      <w:pPr>
        <w:widowControl w:val="0"/>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Nossa pesquisa busca identificar conexões entre as narrativas ficcionais dos contos de fadas e as narrativas factuais das mídias, tanto do passado quanto do presente. Tal iniciativa visa refletir sobre representações simbólicas presentes nas narrativas factuais das mídias que se espelham de alguma forma nas narrativas ficcionais dos contos de fadas (Bourdieu, 1998). Deste modo, esperamos contribuir com a quebra de paradigmas de assuntos sensíveis, como feminicídios, homofobia, sexismo, etarismos, entre outros, na luta contra a desinformação.</w:t>
      </w:r>
    </w:p>
    <w:p w14:paraId="196B2B56" w14:textId="77777777" w:rsidR="00332C33" w:rsidRPr="002451B6" w:rsidRDefault="00000000">
      <w:pPr>
        <w:widowControl w:val="0"/>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 tanto, iniciamos uma pesquisa por imagens que corroboram nosso estudo para consubstanciar a materialidade da pesquisa com achados sobre os contos de fadas a partir de Charles </w:t>
      </w:r>
      <w:proofErr w:type="spellStart"/>
      <w:r w:rsidRPr="002451B6">
        <w:rPr>
          <w:rFonts w:ascii="Times New Roman" w:eastAsia="Times New Roman" w:hAnsi="Times New Roman" w:cs="Times New Roman"/>
          <w:sz w:val="24"/>
          <w:szCs w:val="24"/>
        </w:rPr>
        <w:t>Perrault</w:t>
      </w:r>
      <w:proofErr w:type="spellEnd"/>
      <w:r w:rsidRPr="002451B6">
        <w:rPr>
          <w:rFonts w:ascii="Times New Roman" w:eastAsia="Times New Roman" w:hAnsi="Times New Roman" w:cs="Times New Roman"/>
          <w:sz w:val="24"/>
          <w:szCs w:val="24"/>
        </w:rPr>
        <w:t xml:space="preserve"> em sua primeira publicação francesa de 1697 e mídias dos séculos XVI e XVII.</w:t>
      </w:r>
    </w:p>
    <w:p w14:paraId="3F6A3C9D" w14:textId="77777777" w:rsidR="00332C33" w:rsidRPr="002451B6" w:rsidRDefault="00000000">
      <w:pPr>
        <w:widowControl w:val="0"/>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próximo tópico vamos iniciar a apresentação dos processos de busca dos materiais. </w:t>
      </w:r>
    </w:p>
    <w:p w14:paraId="69A4199E" w14:textId="77777777" w:rsidR="00332C33" w:rsidRPr="002451B6" w:rsidRDefault="00332C33">
      <w:pPr>
        <w:widowControl w:val="0"/>
        <w:spacing w:line="360" w:lineRule="auto"/>
        <w:jc w:val="both"/>
        <w:rPr>
          <w:rFonts w:ascii="Times New Roman" w:eastAsia="Times New Roman" w:hAnsi="Times New Roman" w:cs="Times New Roman"/>
          <w:sz w:val="24"/>
          <w:szCs w:val="24"/>
        </w:rPr>
      </w:pPr>
    </w:p>
    <w:p w14:paraId="5777A048" w14:textId="77777777" w:rsidR="00332C33" w:rsidRPr="002451B6" w:rsidRDefault="00000000">
      <w:pPr>
        <w:widowControl w:val="0"/>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 xml:space="preserve">Primeiros passos: a busca </w:t>
      </w:r>
    </w:p>
    <w:p w14:paraId="234CDADA" w14:textId="77777777" w:rsidR="00332C33" w:rsidRPr="002451B6" w:rsidRDefault="00332C33">
      <w:pPr>
        <w:widowControl w:val="0"/>
        <w:spacing w:line="360" w:lineRule="auto"/>
        <w:jc w:val="both"/>
        <w:rPr>
          <w:rFonts w:ascii="Times New Roman" w:eastAsia="Times New Roman" w:hAnsi="Times New Roman" w:cs="Times New Roman"/>
          <w:b/>
          <w:bCs/>
          <w:sz w:val="24"/>
          <w:szCs w:val="24"/>
        </w:rPr>
      </w:pPr>
    </w:p>
    <w:p w14:paraId="567497DD" w14:textId="77777777" w:rsidR="00332C33" w:rsidRPr="002451B6" w:rsidRDefault="00000000">
      <w:pPr>
        <w:spacing w:line="360" w:lineRule="auto"/>
        <w:ind w:firstLine="360"/>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Ressaltamos que os contos de fadas que utilizamos, em um primeiro momento, são do autor Charles </w:t>
      </w:r>
      <w:proofErr w:type="spellStart"/>
      <w:r w:rsidRPr="002451B6">
        <w:rPr>
          <w:rFonts w:ascii="Times New Roman" w:eastAsia="Times New Roman" w:hAnsi="Times New Roman" w:cs="Times New Roman"/>
          <w:sz w:val="24"/>
          <w:szCs w:val="24"/>
        </w:rPr>
        <w:t>Perrault</w:t>
      </w:r>
      <w:proofErr w:type="spellEnd"/>
      <w:r w:rsidRPr="002451B6">
        <w:rPr>
          <w:rFonts w:ascii="Times New Roman" w:eastAsia="Times New Roman" w:hAnsi="Times New Roman" w:cs="Times New Roman"/>
          <w:sz w:val="24"/>
          <w:szCs w:val="24"/>
        </w:rPr>
        <w:t xml:space="preserve">. Portanto, a pesquisa não inclui autores nacionais em sua primeira fase, já que o autor mencionado é francês do século XVII. Buscamos compará-lo inicialmente com mídias francesas dos séculos XVI e/ou XVII.  </w:t>
      </w:r>
    </w:p>
    <w:p w14:paraId="51F2DBBD"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Destacamos que os materiais estão disponíveis em sites estrangeiros europeus para acesso em modo </w:t>
      </w:r>
      <w:r w:rsidRPr="002451B6">
        <w:rPr>
          <w:rFonts w:ascii="Times New Roman" w:eastAsia="Times New Roman" w:hAnsi="Times New Roman" w:cs="Times New Roman"/>
          <w:i/>
          <w:iCs/>
          <w:sz w:val="24"/>
          <w:szCs w:val="24"/>
        </w:rPr>
        <w:t xml:space="preserve">open </w:t>
      </w:r>
      <w:proofErr w:type="spellStart"/>
      <w:r w:rsidRPr="002451B6">
        <w:rPr>
          <w:rFonts w:ascii="Times New Roman" w:eastAsia="Times New Roman" w:hAnsi="Times New Roman" w:cs="Times New Roman"/>
          <w:i/>
          <w:iCs/>
          <w:sz w:val="24"/>
          <w:szCs w:val="24"/>
        </w:rPr>
        <w:t>source</w:t>
      </w:r>
      <w:proofErr w:type="spellEnd"/>
      <w:r w:rsidRPr="002451B6">
        <w:rPr>
          <w:rFonts w:ascii="Times New Roman" w:eastAsia="Times New Roman" w:hAnsi="Times New Roman" w:cs="Times New Roman"/>
          <w:sz w:val="24"/>
          <w:szCs w:val="24"/>
        </w:rPr>
        <w:t xml:space="preserve"> (livre acesso)</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acesso privado ou em acervos de colecionadores, e serão informados de acordo com cada achado, disponibilidade e possibilidade de acesso. Alguns casos podem exigir pagamento em euro ou impossibilidade de acesso devido às condições dos arquivos conforme o tempo de existência de cada material. </w:t>
      </w:r>
    </w:p>
    <w:p w14:paraId="6CE4D56C"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Além da questão dos custos, quando encontramos materiais de qualidade para análise, há ainda a dificuldade de encontrar respostas em formato de imagem em um trajeto de pesquisa como o aqui exposto. Temos a barreira do tempo, já que são quase quatro séculos de distância que nos separam do objeto inicial procurado.</w:t>
      </w:r>
    </w:p>
    <w:p w14:paraId="21DC826D"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Também é necessário verificar a procedência dos sites e a confiabilidade dos materiais disponíveis na web, já que nem todos os locais pesquisados apresentam materiais confiáveis, o </w:t>
      </w:r>
      <w:r w:rsidRPr="002451B6">
        <w:rPr>
          <w:rFonts w:ascii="Times New Roman" w:eastAsia="Times New Roman" w:hAnsi="Times New Roman" w:cs="Times New Roman"/>
          <w:sz w:val="24"/>
          <w:szCs w:val="24"/>
        </w:rPr>
        <w:lastRenderedPageBreak/>
        <w:t>que dificulta e atrasa o trajeto</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As palavras de Arlette </w:t>
      </w:r>
      <w:proofErr w:type="spellStart"/>
      <w:r w:rsidRPr="002451B6">
        <w:rPr>
          <w:rFonts w:ascii="Times New Roman" w:eastAsia="Times New Roman" w:hAnsi="Times New Roman" w:cs="Times New Roman"/>
          <w:sz w:val="24"/>
          <w:szCs w:val="24"/>
        </w:rPr>
        <w:t>Farge</w:t>
      </w:r>
      <w:proofErr w:type="spellEnd"/>
      <w:r w:rsidRPr="002451B6">
        <w:rPr>
          <w:rFonts w:ascii="Times New Roman" w:eastAsia="Times New Roman" w:hAnsi="Times New Roman" w:cs="Times New Roman"/>
          <w:sz w:val="24"/>
          <w:szCs w:val="24"/>
        </w:rPr>
        <w:t xml:space="preserve"> em sua obra </w:t>
      </w:r>
      <w:r w:rsidRPr="002451B6">
        <w:rPr>
          <w:rFonts w:ascii="Times New Roman" w:eastAsia="Times New Roman" w:hAnsi="Times New Roman" w:cs="Times New Roman"/>
          <w:i/>
          <w:iCs/>
          <w:sz w:val="24"/>
          <w:szCs w:val="24"/>
        </w:rPr>
        <w:t xml:space="preserve">Le </w:t>
      </w:r>
      <w:proofErr w:type="spellStart"/>
      <w:r w:rsidRPr="002451B6">
        <w:rPr>
          <w:rFonts w:ascii="Times New Roman" w:eastAsia="Times New Roman" w:hAnsi="Times New Roman" w:cs="Times New Roman"/>
          <w:i/>
          <w:iCs/>
          <w:sz w:val="24"/>
          <w:szCs w:val="24"/>
        </w:rPr>
        <w:t>Goût</w:t>
      </w:r>
      <w:proofErr w:type="spellEnd"/>
      <w:r w:rsidRPr="002451B6">
        <w:rPr>
          <w:rFonts w:ascii="Times New Roman" w:eastAsia="Times New Roman" w:hAnsi="Times New Roman" w:cs="Times New Roman"/>
          <w:i/>
          <w:iCs/>
          <w:sz w:val="24"/>
          <w:szCs w:val="24"/>
        </w:rPr>
        <w:t xml:space="preserve"> de </w:t>
      </w:r>
      <w:proofErr w:type="spellStart"/>
      <w:r w:rsidRPr="002451B6">
        <w:rPr>
          <w:rFonts w:ascii="Times New Roman" w:eastAsia="Times New Roman" w:hAnsi="Times New Roman" w:cs="Times New Roman"/>
          <w:i/>
          <w:iCs/>
          <w:sz w:val="24"/>
          <w:szCs w:val="24"/>
        </w:rPr>
        <w:t>l’archive</w:t>
      </w:r>
      <w:proofErr w:type="spellEnd"/>
      <w:r w:rsidRPr="002451B6">
        <w:rPr>
          <w:rFonts w:ascii="Times New Roman" w:eastAsia="Times New Roman" w:hAnsi="Times New Roman" w:cs="Times New Roman"/>
          <w:sz w:val="24"/>
          <w:szCs w:val="24"/>
        </w:rPr>
        <w:t xml:space="preserve"> (1989, p. 10, 19, 70 e 97) elucida o que queremos dizer:</w:t>
      </w:r>
    </w:p>
    <w:p w14:paraId="2384628C" w14:textId="77777777" w:rsidR="00332C33" w:rsidRPr="002451B6" w:rsidRDefault="00332C33">
      <w:pPr>
        <w:spacing w:line="240" w:lineRule="auto"/>
        <w:ind w:left="2268"/>
        <w:jc w:val="both"/>
        <w:rPr>
          <w:rFonts w:ascii="Times New Roman" w:eastAsia="Times New Roman" w:hAnsi="Times New Roman" w:cs="Times New Roman"/>
          <w:sz w:val="24"/>
          <w:szCs w:val="24"/>
        </w:rPr>
      </w:pPr>
    </w:p>
    <w:p w14:paraId="28C54B42" w14:textId="77777777" w:rsidR="00332C33" w:rsidRPr="002451B6" w:rsidRDefault="00000000">
      <w:pPr>
        <w:spacing w:line="240" w:lineRule="auto"/>
        <w:ind w:left="2268"/>
        <w:jc w:val="both"/>
        <w:rPr>
          <w:rFonts w:ascii="Calibri" w:eastAsia="Calibri" w:hAnsi="Calibri" w:cs="Calibri"/>
          <w:sz w:val="24"/>
          <w:szCs w:val="24"/>
        </w:rPr>
      </w:pPr>
      <w:r w:rsidRPr="002451B6">
        <w:rPr>
          <w:rFonts w:ascii="Times New Roman" w:eastAsia="Times New Roman" w:hAnsi="Times New Roman" w:cs="Times New Roman"/>
        </w:rPr>
        <w:t xml:space="preserve">Certamente, “nada é hoje menos seguro ou menos claro do que a noção de arquivo”. O que é mais uma razão para nos aproximarmos e observarmos de perto, concretamente, em vez de qualificar simplesmente como “vacuidade </w:t>
      </w:r>
      <w:proofErr w:type="spellStart"/>
      <w:r w:rsidRPr="002451B6">
        <w:rPr>
          <w:rFonts w:ascii="Times New Roman" w:eastAsia="Times New Roman" w:hAnsi="Times New Roman" w:cs="Times New Roman"/>
        </w:rPr>
        <w:t>tecnicizante</w:t>
      </w:r>
      <w:proofErr w:type="spellEnd"/>
      <w:r w:rsidRPr="002451B6">
        <w:rPr>
          <w:rFonts w:ascii="Times New Roman" w:eastAsia="Times New Roman" w:hAnsi="Times New Roman" w:cs="Times New Roman"/>
        </w:rPr>
        <w:t xml:space="preserve">” a minúcia das tentativas de reconstituição documental. Na sua magnífica fenomenologia do arquivo, Arlette </w:t>
      </w:r>
      <w:proofErr w:type="spellStart"/>
      <w:r w:rsidRPr="002451B6">
        <w:rPr>
          <w:rFonts w:ascii="Times New Roman" w:eastAsia="Times New Roman" w:hAnsi="Times New Roman" w:cs="Times New Roman"/>
        </w:rPr>
        <w:t>Farge</w:t>
      </w:r>
      <w:proofErr w:type="spellEnd"/>
      <w:r w:rsidRPr="002451B6">
        <w:rPr>
          <w:rFonts w:ascii="Times New Roman" w:eastAsia="Times New Roman" w:hAnsi="Times New Roman" w:cs="Times New Roman"/>
        </w:rPr>
        <w:t xml:space="preserve"> evoca a desmesura dos acertadamente chamados “fundos” de arquivo, a sua “difícil materialidade”, a sua natureza essencialmente lacunar – “o arquivo não é um </w:t>
      </w:r>
      <w:r w:rsidRPr="002451B6">
        <w:rPr>
          <w:rFonts w:ascii="Times New Roman" w:eastAsia="Times New Roman" w:hAnsi="Times New Roman" w:cs="Times New Roman"/>
          <w:i/>
          <w:iCs/>
        </w:rPr>
        <w:t xml:space="preserve">stock </w:t>
      </w:r>
      <w:r w:rsidRPr="002451B6">
        <w:rPr>
          <w:rFonts w:ascii="Times New Roman" w:eastAsia="Times New Roman" w:hAnsi="Times New Roman" w:cs="Times New Roman"/>
        </w:rPr>
        <w:t>de que se retirariam as coisas por prazer; ele é constantemente uma falta” – e até, por vezes, “a impotência de não saber o que fazer deles” (</w:t>
      </w:r>
      <w:proofErr w:type="spellStart"/>
      <w:r w:rsidRPr="002451B6">
        <w:rPr>
          <w:rFonts w:ascii="Times New Roman" w:eastAsia="Times New Roman" w:hAnsi="Times New Roman" w:cs="Times New Roman"/>
        </w:rPr>
        <w:t>Farge</w:t>
      </w:r>
      <w:proofErr w:type="spellEnd"/>
      <w:r w:rsidRPr="002451B6">
        <w:rPr>
          <w:rFonts w:ascii="Times New Roman" w:eastAsia="Times New Roman" w:hAnsi="Times New Roman" w:cs="Times New Roman"/>
        </w:rPr>
        <w:t xml:space="preserve">, 1989, p. 10, 19, 70 e 97). </w:t>
      </w:r>
    </w:p>
    <w:p w14:paraId="33E4F7DF" w14:textId="77777777" w:rsidR="00332C33" w:rsidRPr="002451B6" w:rsidRDefault="00332C33">
      <w:pPr>
        <w:spacing w:line="360" w:lineRule="auto"/>
        <w:jc w:val="both"/>
        <w:rPr>
          <w:rFonts w:ascii="Times New Roman" w:eastAsia="Times New Roman" w:hAnsi="Times New Roman" w:cs="Times New Roman"/>
        </w:rPr>
      </w:pPr>
    </w:p>
    <w:p w14:paraId="7205F82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Esta falta de imagens nos afrontou quando buscávamos as mídias de nosso interesse e definiu certo momento da pesquisa. Salientamos ainda que ao compreender o sentido lacunar que expõe a autora, compreendemos que esta lacuna é justamente o âmbito de uma pesquisa e a razão de sua existência nessa possibilidade que surgiu para além do que pesquisávamos.</w:t>
      </w:r>
    </w:p>
    <w:p w14:paraId="6A0D0D2F"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Foi uma única imagem encontrada que nos fez refletir. Apesar de a imagem encontrada estar além de nossa pesquisa, ela se encaixava no que se propunha dentro de uma realidade maior da pesquisa do doutorado em relação à desinformação em si: ela dava sentido à busca pela verdade sobre a construção feminina da figura da bruxa. </w:t>
      </w:r>
    </w:p>
    <w:p w14:paraId="11BFC66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Cabe dizer que enquanto tradutores e pesquisadores que somos, sabemos que as palavras mudam ao sabor do vento da cultura e o que parecia originalidade para uma pesquisa como a nossa, mudou de direção. E por que não mudaria as imagens? Elas mudam também ao longo do tempo em seu sentido ou significado? Inferimos que sim. </w:t>
      </w:r>
    </w:p>
    <w:p w14:paraId="052A25D9"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Não tratamos de um material estanque. Tratamos sim de um material que se moldou àquele tempo passado e precisa de nossa consciência e imaginação no tempo e no espaço para sua compreensão e interpretação adequadas de acordo com os fatos e acontecimentos de ontem e de hoje para se moldar ao nosso tempo e à nossa compreensão, hoje, de certo, mais ampla. </w:t>
      </w:r>
    </w:p>
    <w:p w14:paraId="3CFAA88F"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Portanto, para compreender as pesquisas por imagens e nossa busca em relação às mídias é também preciso compreender os contos de </w:t>
      </w:r>
      <w:proofErr w:type="spellStart"/>
      <w:r w:rsidRPr="002451B6">
        <w:rPr>
          <w:rFonts w:ascii="Times New Roman" w:eastAsia="Times New Roman" w:hAnsi="Times New Roman" w:cs="Times New Roman"/>
          <w:sz w:val="24"/>
          <w:szCs w:val="24"/>
        </w:rPr>
        <w:t>Perrault</w:t>
      </w:r>
      <w:proofErr w:type="spellEnd"/>
      <w:r w:rsidRPr="002451B6">
        <w:rPr>
          <w:rFonts w:ascii="Times New Roman" w:eastAsia="Times New Roman" w:hAnsi="Times New Roman" w:cs="Times New Roman"/>
          <w:sz w:val="24"/>
          <w:szCs w:val="24"/>
        </w:rPr>
        <w:t xml:space="preserve">. O destaque que estávamos dando aos contos do autor estava na violência em relação à mulher expressa nas obras publicadas no século XVII. Em seus contos encontramos, em sua maioria, uma mulher frágil, quase sempre representada pela figura de uma </w:t>
      </w:r>
      <w:r w:rsidRPr="002451B6">
        <w:rPr>
          <w:rFonts w:ascii="Times New Roman" w:eastAsia="Times New Roman" w:hAnsi="Times New Roman" w:cs="Times New Roman"/>
          <w:i/>
          <w:iCs/>
          <w:sz w:val="24"/>
          <w:szCs w:val="24"/>
        </w:rPr>
        <w:t>princesa</w:t>
      </w:r>
      <w:r w:rsidRPr="002451B6">
        <w:rPr>
          <w:rFonts w:ascii="Times New Roman" w:eastAsia="Times New Roman" w:hAnsi="Times New Roman" w:cs="Times New Roman"/>
          <w:sz w:val="24"/>
          <w:szCs w:val="24"/>
        </w:rPr>
        <w:t xml:space="preserve"> frágil. </w:t>
      </w:r>
    </w:p>
    <w:p w14:paraId="77214EA9"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Ela era agredida pela figura de uma mulher superior e forte, representada por uma </w:t>
      </w:r>
      <w:r w:rsidRPr="002451B6">
        <w:rPr>
          <w:rFonts w:ascii="Times New Roman" w:eastAsia="Times New Roman" w:hAnsi="Times New Roman" w:cs="Times New Roman"/>
          <w:i/>
          <w:iCs/>
          <w:sz w:val="24"/>
          <w:szCs w:val="24"/>
        </w:rPr>
        <w:t>bruxa</w:t>
      </w:r>
      <w:r w:rsidRPr="002451B6">
        <w:rPr>
          <w:rFonts w:ascii="Times New Roman" w:eastAsia="Times New Roman" w:hAnsi="Times New Roman" w:cs="Times New Roman"/>
          <w:sz w:val="24"/>
          <w:szCs w:val="24"/>
        </w:rPr>
        <w:t xml:space="preserve"> má. Essa figura má, quase sempre, é castigada, banida ou morta. Nesse sentido, buscávamos compreender a violência contra a mulher vivida naquele tempo pela princesa, o que nos ajudaria </w:t>
      </w:r>
      <w:r w:rsidRPr="002451B6">
        <w:rPr>
          <w:rFonts w:ascii="Times New Roman" w:eastAsia="Times New Roman" w:hAnsi="Times New Roman" w:cs="Times New Roman"/>
          <w:sz w:val="24"/>
          <w:szCs w:val="24"/>
        </w:rPr>
        <w:lastRenderedPageBreak/>
        <w:t xml:space="preserve">a compreender como a mulher era vista de forma tão frágil pelo olhar literário de </w:t>
      </w:r>
      <w:proofErr w:type="spellStart"/>
      <w:r w:rsidRPr="002451B6">
        <w:rPr>
          <w:rFonts w:ascii="Times New Roman" w:eastAsia="Times New Roman" w:hAnsi="Times New Roman" w:cs="Times New Roman"/>
          <w:sz w:val="24"/>
          <w:szCs w:val="24"/>
        </w:rPr>
        <w:t>Perrault</w:t>
      </w:r>
      <w:proofErr w:type="spellEnd"/>
      <w:r w:rsidRPr="002451B6">
        <w:rPr>
          <w:rFonts w:ascii="Times New Roman" w:eastAsia="Times New Roman" w:hAnsi="Times New Roman" w:cs="Times New Roman"/>
          <w:sz w:val="24"/>
          <w:szCs w:val="24"/>
        </w:rPr>
        <w:t xml:space="preserve"> e espelhada nos panfletos do tempo em questão. </w:t>
      </w:r>
    </w:p>
    <w:p w14:paraId="53D3ABFE"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Seguindo a pista deste imaginário de fragilidade, para a pesquisa, apenas os contos com finais felizes e a imagem de princesas e rainhas sendo salvas por homens representados por príncipes e sendo “felizes para sempre” eram os que nos interessavam. Esse foi o nosso pensamento e busca em todo tempo da pesquisa e se concentrava tão somente na realeza e sua influência no ontem e no hoje. </w:t>
      </w:r>
    </w:p>
    <w:p w14:paraId="7A7A2030"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Observem a pressão hegemônica do olhar branco masculino europeu exercido sobre nosso olhar de pesquisadoras, sendo tão determinante que ofuscava nossa pesquisa e impedia e silenciava o que estava por trás do que ocorreu e ainda ocorre nos dias de hoje com as mulheres. Desse modo, contudo, estávamos, na verdade, omitindo uma verdade silenciada há tempos. Mas este silenciamento não ocorreu apenas por nossa parte. Ocorreu e ocorre por todo uma sociedade global. </w:t>
      </w:r>
    </w:p>
    <w:p w14:paraId="3A31C760" w14:textId="77777777" w:rsidR="00332C33" w:rsidRPr="002451B6" w:rsidRDefault="00000000">
      <w:pPr>
        <w:spacing w:line="360" w:lineRule="auto"/>
        <w:ind w:firstLine="720"/>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Ao compreender que tal silenciamento ocorria sobre a persona representada pela mulher na forma de bruxa, compreendemos que esquecíamos esse elemento importante, essa personagem medonha e que traz ainda hoje uma pergunta que (talvez) possa ser elucidada através de um (ou vários) importante achado. Antes de chegarmos a essa personagem da bruxa, cabe-nos citar a trajetória em busca das mídias do século XVII.</w:t>
      </w:r>
    </w:p>
    <w:p w14:paraId="22BA841F" w14:textId="77777777" w:rsidR="00332C33" w:rsidRPr="002451B6" w:rsidRDefault="00332C33">
      <w:pPr>
        <w:spacing w:line="360" w:lineRule="auto"/>
        <w:jc w:val="both"/>
        <w:rPr>
          <w:rFonts w:ascii="Times New Roman" w:eastAsia="Times New Roman" w:hAnsi="Times New Roman" w:cs="Times New Roman"/>
          <w:sz w:val="24"/>
          <w:szCs w:val="24"/>
        </w:rPr>
      </w:pPr>
    </w:p>
    <w:p w14:paraId="686B4F5C"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E retomamos a busca, agora com um foco real</w:t>
      </w:r>
    </w:p>
    <w:p w14:paraId="77D05BCD"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0F5ED072"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Nossa busca inicial era encontrar nos contos de fadas a relação entre realeza, nas narrativas voltadas aos príncipes, princesas e finais felizes em suas jornadas de amor sem fim. Ainda que com alguns contratempos, queríamos encontrar nas narrativas factuais, encontros felizes da realeza através de possíveis espelhamentos e deslizamentos nesse sentido, não idênticos aos contos, mas que tivessem semelhanças. Se não fossem felizes, que denotassem alguma violência contra a mulher que fosse salva por um excelente príncipe ao menos. </w:t>
      </w:r>
    </w:p>
    <w:p w14:paraId="436F5A63"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nosso imaginário, esperávamos encontrar noticiada uma violência contra a mulher (estupro) realizada por homem em que outro homem estaria salvando a mulher? Isso em um mundo extremamente machista? No qual quem escreveria o panfleto (mídia mais comum da época) era outro homem? </w:t>
      </w:r>
    </w:p>
    <w:p w14:paraId="21EB71EA"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Impossível! Por mais que procurássemos, nada encontramos....</w:t>
      </w:r>
    </w:p>
    <w:p w14:paraId="607DF1B3"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Contudo, ao buscar imagens de mídia do século XVII que espelhassem esse imaginário em panfletos típicos da época, encontramos uma imagem de caça às bruxas deflagrada pela </w:t>
      </w:r>
      <w:r w:rsidRPr="002451B6">
        <w:rPr>
          <w:rFonts w:ascii="Times New Roman" w:eastAsia="Times New Roman" w:hAnsi="Times New Roman" w:cs="Times New Roman"/>
          <w:sz w:val="24"/>
          <w:szCs w:val="24"/>
        </w:rPr>
        <w:lastRenderedPageBreak/>
        <w:t xml:space="preserve">Inquisição imposta pela Igreja Católica desde o século II. Tal achado muito nos inquietou, principalmente no que tange aos arquétipos e às alegorias que se firmaram há tempos. Ressaltamos que tal imagem está fixada no imaginário coletivo até os dias de hoje, prejudicando as minorias femininas, principalmente. Retomando, a imagem do panfleto era impactante o suficiente para nos fazer refletir teoricamente sobre a figura feminina da bruxa também presente nos contos de fadas. </w:t>
      </w:r>
    </w:p>
    <w:p w14:paraId="5AAE5C1B" w14:textId="77777777" w:rsidR="00332C33" w:rsidRPr="002451B6" w:rsidRDefault="00000000">
      <w:pPr>
        <w:spacing w:line="360" w:lineRule="auto"/>
        <w:ind w:firstLine="708"/>
        <w:jc w:val="both"/>
        <w:rPr>
          <w:rFonts w:ascii="Times New Roman" w:eastAsia="Times New Roman" w:hAnsi="Times New Roman" w:cs="Times New Roman"/>
          <w:sz w:val="24"/>
          <w:szCs w:val="24"/>
        </w:rPr>
      </w:pPr>
      <w:bookmarkStart w:id="63" w:name="_lgqtynnpxric" w:colFirst="0" w:colLast="0"/>
      <w:bookmarkEnd w:id="63"/>
      <w:r w:rsidRPr="002451B6">
        <w:rPr>
          <w:rFonts w:ascii="Times New Roman" w:eastAsia="Times New Roman" w:hAnsi="Times New Roman" w:cs="Times New Roman"/>
          <w:sz w:val="24"/>
          <w:szCs w:val="24"/>
        </w:rPr>
        <w:t>Assim, com o objetivo de pousar o olhar naquela imagem por um momento e pensar sobre a construção da imagem das mulheres que eram torturadas e condenadas como</w:t>
      </w:r>
      <w:r w:rsidRPr="002451B6">
        <w:rPr>
          <w:rFonts w:ascii="Times New Roman" w:eastAsia="Times New Roman" w:hAnsi="Times New Roman" w:cs="Times New Roman"/>
          <w:b/>
          <w:bCs/>
          <w:sz w:val="24"/>
          <w:szCs w:val="24"/>
        </w:rPr>
        <w:t xml:space="preserve"> </w:t>
      </w:r>
      <w:r w:rsidRPr="002451B6">
        <w:rPr>
          <w:rFonts w:ascii="Times New Roman" w:eastAsia="Times New Roman" w:hAnsi="Times New Roman" w:cs="Times New Roman"/>
          <w:i/>
          <w:iCs/>
          <w:sz w:val="24"/>
          <w:szCs w:val="24"/>
        </w:rPr>
        <w:t>bruxas</w:t>
      </w:r>
      <w:r w:rsidRPr="002451B6">
        <w:rPr>
          <w:rFonts w:ascii="Times New Roman" w:eastAsia="Times New Roman" w:hAnsi="Times New Roman" w:cs="Times New Roman"/>
          <w:sz w:val="24"/>
          <w:szCs w:val="24"/>
        </w:rPr>
        <w:t>, vimo-nos obrigadas a refletir sobre as mulheres silenciadas, torturadas, tiradas de suas famílias e mortas. Surgia então uma pergunta latente: como foi construída a figura feminina da bruxa?</w:t>
      </w:r>
    </w:p>
    <w:p w14:paraId="6E107037" w14:textId="77777777" w:rsidR="00332C33" w:rsidRPr="002451B6" w:rsidRDefault="00000000">
      <w:pPr>
        <w:spacing w:line="360" w:lineRule="auto"/>
        <w:ind w:firstLine="709"/>
        <w:jc w:val="both"/>
        <w:rPr>
          <w:rFonts w:ascii="Times New Roman" w:eastAsia="Times New Roman" w:hAnsi="Times New Roman" w:cs="Times New Roman"/>
          <w:sz w:val="24"/>
          <w:szCs w:val="24"/>
        </w:rPr>
      </w:pPr>
      <w:bookmarkStart w:id="64" w:name="_rso1qanvhj8s" w:colFirst="0" w:colLast="0"/>
      <w:bookmarkEnd w:id="64"/>
      <w:r w:rsidRPr="002451B6">
        <w:rPr>
          <w:rFonts w:ascii="Times New Roman" w:eastAsia="Times New Roman" w:hAnsi="Times New Roman" w:cs="Times New Roman"/>
          <w:sz w:val="24"/>
          <w:szCs w:val="24"/>
        </w:rPr>
        <w:t>Para responder a essa pergunta, elencamos quatro objetivos que nos auxiliarão a respondê-la: (1) apresentar o olhar devastador da Inquisição sobre a mulher - que permanece até hoje quando se fala em bruxas, mesmo com o fim do processo inquisidor católico e a retratação de muitos países pelo horror causado à população; (2) destacar como exemplo Eva Furnari, autora de literatura infantil, que em suas narrativas busca mudar a figura feminina da bruxa;  (3)* destacar narrativas fílmicas que demonstrem a construção da figura feminina da bruxa; (4) apresentar  a figura feminina da mulher bruxa como apelo de mudança e resistência.</w:t>
      </w:r>
    </w:p>
    <w:p w14:paraId="07ADEA37" w14:textId="77777777" w:rsidR="00332C33" w:rsidRPr="002451B6" w:rsidRDefault="00000000">
      <w:pPr>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próximo tópico, tratamos da Inquisição e seu rastro de horror na construção da figura feminina da bruxa.</w:t>
      </w:r>
    </w:p>
    <w:p w14:paraId="35FEF9C0" w14:textId="77777777" w:rsidR="00332C33" w:rsidRPr="002451B6" w:rsidRDefault="00332C33">
      <w:pPr>
        <w:tabs>
          <w:tab w:val="left" w:pos="720"/>
        </w:tabs>
        <w:spacing w:line="360" w:lineRule="auto"/>
        <w:jc w:val="both"/>
        <w:rPr>
          <w:rFonts w:ascii="Times New Roman" w:eastAsia="Times New Roman" w:hAnsi="Times New Roman" w:cs="Times New Roman"/>
          <w:b/>
          <w:bCs/>
          <w:sz w:val="24"/>
          <w:szCs w:val="24"/>
        </w:rPr>
      </w:pPr>
    </w:p>
    <w:p w14:paraId="11C01651" w14:textId="77777777" w:rsidR="00332C33" w:rsidRPr="002451B6" w:rsidRDefault="00000000">
      <w:pPr>
        <w:tabs>
          <w:tab w:val="left" w:pos="720"/>
        </w:tabs>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A construção da figura feminina da bruxa pela Inquisição</w:t>
      </w:r>
    </w:p>
    <w:p w14:paraId="1124D38E" w14:textId="77777777" w:rsidR="00332C33" w:rsidRPr="002451B6" w:rsidRDefault="00332C33">
      <w:pPr>
        <w:tabs>
          <w:tab w:val="left" w:pos="720"/>
        </w:tabs>
        <w:spacing w:line="360" w:lineRule="auto"/>
        <w:jc w:val="both"/>
        <w:rPr>
          <w:rFonts w:ascii="Times New Roman" w:eastAsia="Times New Roman" w:hAnsi="Times New Roman" w:cs="Times New Roman"/>
          <w:b/>
          <w:bCs/>
          <w:sz w:val="24"/>
          <w:szCs w:val="24"/>
        </w:rPr>
      </w:pPr>
    </w:p>
    <w:p w14:paraId="4CD4B5EB" w14:textId="77777777" w:rsidR="00332C33" w:rsidRPr="002451B6" w:rsidRDefault="00000000">
      <w:pPr>
        <w:tabs>
          <w:tab w:val="left" w:pos="720"/>
        </w:tabs>
        <w:spacing w:line="360" w:lineRule="auto"/>
        <w:ind w:firstLine="360"/>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A partir da pergunta de pesquisa que nos inquietou, buscamos vislumbrar o imaginário da Inquisição Católica sobre a imagem feminina da bruxa e sua repercussão no mundo daquela época em que a igreja agiu tão amargamente. </w:t>
      </w:r>
    </w:p>
    <w:p w14:paraId="1753CF37" w14:textId="77777777" w:rsidR="00332C33" w:rsidRPr="002451B6" w:rsidRDefault="00000000">
      <w:pPr>
        <w:tabs>
          <w:tab w:val="left" w:pos="720"/>
        </w:tabs>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Para tanto, é importante mencionar um dos livros que mais impactou o meio católico à época da Inquisição: o </w:t>
      </w:r>
      <w:proofErr w:type="spellStart"/>
      <w:r w:rsidRPr="002451B6">
        <w:rPr>
          <w:rFonts w:ascii="Times New Roman" w:eastAsia="Times New Roman" w:hAnsi="Times New Roman" w:cs="Times New Roman"/>
          <w:i/>
          <w:iCs/>
          <w:sz w:val="24"/>
          <w:szCs w:val="24"/>
        </w:rPr>
        <w:t>Malleus</w:t>
      </w:r>
      <w:proofErr w:type="spellEnd"/>
      <w:r w:rsidRPr="002451B6">
        <w:rPr>
          <w:rFonts w:ascii="Times New Roman" w:eastAsia="Times New Roman" w:hAnsi="Times New Roman" w:cs="Times New Roman"/>
          <w:i/>
          <w:iCs/>
          <w:sz w:val="24"/>
          <w:szCs w:val="24"/>
        </w:rPr>
        <w:t xml:space="preserve"> </w:t>
      </w:r>
      <w:proofErr w:type="spellStart"/>
      <w:r w:rsidRPr="002451B6">
        <w:rPr>
          <w:rFonts w:ascii="Times New Roman" w:eastAsia="Times New Roman" w:hAnsi="Times New Roman" w:cs="Times New Roman"/>
          <w:i/>
          <w:iCs/>
          <w:sz w:val="24"/>
          <w:szCs w:val="24"/>
        </w:rPr>
        <w:t>Maleficarum</w:t>
      </w:r>
      <w:proofErr w:type="spellEnd"/>
      <w:r w:rsidRPr="002451B6">
        <w:rPr>
          <w:rFonts w:ascii="Times New Roman" w:eastAsia="Times New Roman" w:hAnsi="Times New Roman" w:cs="Times New Roman"/>
          <w:sz w:val="24"/>
          <w:szCs w:val="24"/>
        </w:rPr>
        <w:t xml:space="preserve"> (Martelo das Bruxas ou Martelo das Feiticeiras). Este livro é uma espécie de manual inquisitorial escrito em 1487 pelo clérigo católico Heinrich Kramer e pelo monge dominicano James </w:t>
      </w:r>
      <w:proofErr w:type="spellStart"/>
      <w:r w:rsidRPr="002451B6">
        <w:rPr>
          <w:rFonts w:ascii="Times New Roman" w:eastAsia="Times New Roman" w:hAnsi="Times New Roman" w:cs="Times New Roman"/>
          <w:sz w:val="24"/>
          <w:szCs w:val="24"/>
        </w:rPr>
        <w:t>Sprenger</w:t>
      </w:r>
      <w:proofErr w:type="spellEnd"/>
      <w:r w:rsidRPr="002451B6">
        <w:rPr>
          <w:rFonts w:ascii="Times New Roman" w:eastAsia="Times New Roman" w:hAnsi="Times New Roman" w:cs="Times New Roman"/>
          <w:sz w:val="24"/>
          <w:szCs w:val="24"/>
        </w:rPr>
        <w:t xml:space="preserve">. Era um livro indispensável para todos os que lutavam contra a bruxaria na Europa. Recusado em um primeiro momento, ele é considerado uma das fontes mais importantes para entender a história e a natureza da bruxaria e do satanismo. O livro aborda os poderes e práticas das bruxas, suas relações com o demônio e como eram descobertos. </w:t>
      </w:r>
    </w:p>
    <w:p w14:paraId="05413877" w14:textId="77777777" w:rsidR="00332C33" w:rsidRPr="002451B6" w:rsidRDefault="00332C33">
      <w:pPr>
        <w:jc w:val="center"/>
        <w:rPr>
          <w:rFonts w:ascii="Times New Roman" w:eastAsia="Times New Roman" w:hAnsi="Times New Roman" w:cs="Times New Roman"/>
          <w:sz w:val="20"/>
          <w:szCs w:val="20"/>
        </w:rPr>
      </w:pPr>
      <w:bookmarkStart w:id="65" w:name="_3xx9tti9kwi0" w:colFirst="0" w:colLast="0"/>
      <w:bookmarkEnd w:id="65"/>
    </w:p>
    <w:p w14:paraId="321FEBA6" w14:textId="77777777" w:rsidR="00332C33" w:rsidRPr="002451B6" w:rsidRDefault="00000000">
      <w:pPr>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lastRenderedPageBreak/>
        <w:t>Figura 1 – Frontispício do Martelo das Bruxas</w:t>
      </w:r>
    </w:p>
    <w:p w14:paraId="0D9FFE8C" w14:textId="6ADBA67A" w:rsidR="00332C33" w:rsidRPr="002451B6" w:rsidRDefault="00332C33">
      <w:pPr>
        <w:jc w:val="center"/>
        <w:rPr>
          <w:rFonts w:ascii="Calibri" w:eastAsia="Calibri" w:hAnsi="Calibri" w:cs="Calibri"/>
          <w:sz w:val="24"/>
          <w:szCs w:val="24"/>
        </w:rPr>
      </w:pPr>
    </w:p>
    <w:p w14:paraId="4B0EC4BD" w14:textId="77777777" w:rsidR="00332C33" w:rsidRPr="002451B6" w:rsidRDefault="00332C33">
      <w:pPr>
        <w:rPr>
          <w:rFonts w:ascii="Times New Roman" w:eastAsia="Times New Roman" w:hAnsi="Times New Roman" w:cs="Times New Roman"/>
          <w:sz w:val="20"/>
          <w:szCs w:val="20"/>
        </w:rPr>
      </w:pPr>
    </w:p>
    <w:p w14:paraId="109E6958"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olhar masculino da Inquisição, o diabo era o promotor do mal e sua entrada no mundo era oportunizada corporalmente através da mulher. Isso era oportunizado devido ao fato de a mulher não possuir os mesmos órgãos sexuais que o homem. Portanto, ela cedia ao mal com maior facilidade através do sexo. O diabo, por ser do sexo masculino, a fazia ceder facilmente. Já o homem não cedia ao mal com facilidade pois, anatomicamente, ele resistia ao mal, ao Satã, com maior robustez. Essas eram informações que constam no manual. </w:t>
      </w:r>
    </w:p>
    <w:p w14:paraId="283C10EA"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Principalmente por esta razão, a mulher foi a mais atacada e morta durante a Inquisição, sendo o símbolo de sua resistência, ainda hoje, a bruxa. Ademais, continua sendo difundido desta forma na atualidade, segundo uma ótica masculina segregadora e castradora que ainda reifica a figura masculina do diabo e desmerece a figura feminina da bruxa. Ou seja, que não pode ter poder, nem por merecimento, nem por glória, nem por valor na sociedade, devido, principalmente, à falta do falo, em oposição ao homem. De uma forma geral, mesmo não sendo bruxa, a mulher é vista como fraca, inconsequente, sanguínea, aquela que não pode ter poder (Butler, 2024). </w:t>
      </w:r>
    </w:p>
    <w:p w14:paraId="2361A079"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Foi uma única imagem encontrada que nos fez refletir, apesar de estar além de nossa pesquisa, ela se encaixava no que se propunha dentro de uma realidade maior da pesquisa do doutorado em relação à desinformação em si: ela dava sentido à busca pela verdade sobre a construção feminina da figura da bruxa. </w:t>
      </w:r>
    </w:p>
    <w:p w14:paraId="73561606"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Retomando às pesquisas por imagens que comprovassem de alguma forma a relação entre ficcional e factual, após buscar em outras línguas, primeiramente, encontramos na plataforma da Wikipedia da Suécia a página de rosto de um panfleto londrino de 1643.</w:t>
      </w:r>
    </w:p>
    <w:p w14:paraId="4897DCBD"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04FC228B" w14:textId="77777777" w:rsidR="00332C33" w:rsidRPr="002451B6" w:rsidRDefault="00000000">
      <w:pPr>
        <w:spacing w:line="360" w:lineRule="auto"/>
        <w:jc w:val="center"/>
        <w:rPr>
          <w:rFonts w:ascii="Calibri" w:eastAsia="Calibri" w:hAnsi="Calibri" w:cs="Calibri"/>
          <w:sz w:val="24"/>
          <w:szCs w:val="24"/>
        </w:rPr>
      </w:pPr>
      <w:bookmarkStart w:id="66" w:name="_akt23gh8mbeh" w:colFirst="0" w:colLast="0"/>
      <w:bookmarkEnd w:id="66"/>
      <w:r w:rsidRPr="002451B6">
        <w:rPr>
          <w:rFonts w:ascii="Times New Roman" w:eastAsia="Times New Roman" w:hAnsi="Times New Roman" w:cs="Times New Roman"/>
          <w:sz w:val="20"/>
          <w:szCs w:val="20"/>
          <w:highlight w:val="yellow"/>
        </w:rPr>
        <w:t>Figura 2 – Panfleto de Londres 1643.</w:t>
      </w:r>
    </w:p>
    <w:p w14:paraId="57C5E6D7" w14:textId="078E8764" w:rsidR="00332C33" w:rsidRPr="002451B6" w:rsidRDefault="00332C33">
      <w:pPr>
        <w:spacing w:line="360" w:lineRule="auto"/>
        <w:jc w:val="center"/>
        <w:rPr>
          <w:rFonts w:ascii="Times New Roman" w:eastAsia="Times New Roman" w:hAnsi="Times New Roman" w:cs="Times New Roman"/>
          <w:sz w:val="20"/>
          <w:szCs w:val="20"/>
        </w:rPr>
      </w:pPr>
    </w:p>
    <w:p w14:paraId="68308AA4"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A Figura 2 traz o panfleto que mudou nosso olhar para constituir esse estudo. Ele foi encontrado por acaso quando pesquisávamos uma mídia que pudesse corroborar alguns achados originais sobre os contos de fadas; foi encontrado na página da Wikipedia da Suécia, não constava origem, tampouco o conteúdo interno do panfleto, apenas a página de rosto da publicação, conforme a figura 2. </w:t>
      </w:r>
    </w:p>
    <w:p w14:paraId="2943A8F8"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Esse foi o primeiro panfleto. Refletimos naquele instante se era um caso isolado ou se existiam mais arquivos sobre a situação encontrada sobre a Inquisição e o tratamento dado à mulher bruxa. Pesquisamos um pouco mais sobre esse assunto. Deparamo-nos com alguns </w:t>
      </w:r>
      <w:r w:rsidRPr="002451B6">
        <w:rPr>
          <w:rFonts w:ascii="Times New Roman" w:eastAsia="Times New Roman" w:hAnsi="Times New Roman" w:cs="Times New Roman"/>
          <w:sz w:val="24"/>
          <w:szCs w:val="24"/>
        </w:rPr>
        <w:lastRenderedPageBreak/>
        <w:t xml:space="preserve">panfletos do século XVI e resolvemos dar atenção ao que se nos apresentava. Qual não foi nossa surpresa ao encontrarmos inúmeros panfletos sobre o mesmo assunto. Apesar disso, atentamos que muito ainda estava escondido, apagado, silenciado. </w:t>
      </w:r>
    </w:p>
    <w:p w14:paraId="23B60172"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É importante mencionar que o trabalho de pesquisa em imagens de arquivo nos fez perceber o quanto invisível é o arquivo (Lissovsky, 2004, p.47) e a história que com ele se invisibiliza também. O caso das bruxas tão comentado é pouco documentado de fato, de forma séria e registrada institucionalmente.</w:t>
      </w:r>
    </w:p>
    <w:p w14:paraId="1862339B"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Além do registro, há também uma riqueza encontrada nesses panfletos dos séculos XVI e XVII que trazem informações sobre a tortura e o caos vivenciado naqueles séculos. São marcas indeléveis de um tempo que não se apaga! Entre os muitos panfletos encontrados, destacamos e comentamos dois deles.</w:t>
      </w:r>
    </w:p>
    <w:p w14:paraId="0A6275D6" w14:textId="77777777" w:rsidR="00332C33" w:rsidRPr="002451B6" w:rsidRDefault="00332C33">
      <w:pPr>
        <w:spacing w:line="360" w:lineRule="auto"/>
        <w:jc w:val="center"/>
        <w:rPr>
          <w:rFonts w:ascii="Times New Roman" w:eastAsia="Times New Roman" w:hAnsi="Times New Roman" w:cs="Times New Roman"/>
          <w:sz w:val="20"/>
          <w:szCs w:val="20"/>
        </w:rPr>
      </w:pPr>
    </w:p>
    <w:p w14:paraId="7E4F52E1" w14:textId="77777777" w:rsidR="00332C33" w:rsidRPr="002451B6" w:rsidRDefault="00000000">
      <w:pPr>
        <w:spacing w:line="360" w:lineRule="auto"/>
        <w:jc w:val="center"/>
        <w:rPr>
          <w:rFonts w:ascii="Times New Roman" w:eastAsia="Times New Roman" w:hAnsi="Times New Roman" w:cs="Times New Roman"/>
          <w:sz w:val="20"/>
          <w:szCs w:val="20"/>
        </w:rPr>
      </w:pPr>
      <w:bookmarkStart w:id="67" w:name="_j25v4n1xc7fr" w:colFirst="0" w:colLast="0"/>
      <w:bookmarkEnd w:id="67"/>
      <w:r w:rsidRPr="002451B6">
        <w:rPr>
          <w:rFonts w:ascii="Times New Roman" w:eastAsia="Times New Roman" w:hAnsi="Times New Roman" w:cs="Times New Roman"/>
          <w:sz w:val="20"/>
          <w:szCs w:val="20"/>
          <w:highlight w:val="yellow"/>
        </w:rPr>
        <w:t>Figura 3 – Bruxas Examinadas e Executadas.</w:t>
      </w:r>
    </w:p>
    <w:p w14:paraId="442B6E29" w14:textId="01ECBE8E" w:rsidR="00332C33" w:rsidRPr="002451B6" w:rsidRDefault="00332C33">
      <w:pPr>
        <w:spacing w:line="240" w:lineRule="auto"/>
        <w:ind w:firstLine="708"/>
        <w:jc w:val="center"/>
        <w:rPr>
          <w:rFonts w:ascii="Times New Roman" w:eastAsia="Times New Roman" w:hAnsi="Times New Roman" w:cs="Times New Roman"/>
          <w:sz w:val="20"/>
          <w:szCs w:val="20"/>
        </w:rPr>
      </w:pPr>
    </w:p>
    <w:p w14:paraId="6A212CD4" w14:textId="77777777" w:rsidR="00332C33" w:rsidRPr="002451B6" w:rsidRDefault="00332C33">
      <w:pPr>
        <w:spacing w:line="360" w:lineRule="auto"/>
        <w:ind w:firstLine="708"/>
        <w:jc w:val="both"/>
        <w:rPr>
          <w:rFonts w:ascii="Times New Roman" w:eastAsia="Times New Roman" w:hAnsi="Times New Roman" w:cs="Times New Roman"/>
          <w:sz w:val="20"/>
          <w:szCs w:val="20"/>
        </w:rPr>
      </w:pPr>
    </w:p>
    <w:p w14:paraId="15C1C1AC"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figura 3 apresenta o “Teste da Água” na primeira página de um panfleto inglês impresso na cidade de Londres em 1613. O Teste consistia em deixar a mulher nua, amarrar suas mãos e pés, conforme a imagem, e mergulhá-la em um rio. Se a mulher não afundasse era uma bruxa e deveria ser executada. Caso ela afundasse, não era bruxa e, se ainda fosse possível salvá-la com vida, ela seria liberta, o que, na maioria das vezes, não ocorria. </w:t>
      </w:r>
    </w:p>
    <w:p w14:paraId="452F923D" w14:textId="77777777" w:rsidR="00332C33" w:rsidRPr="002451B6" w:rsidRDefault="00332C33">
      <w:pPr>
        <w:spacing w:line="360" w:lineRule="auto"/>
        <w:jc w:val="center"/>
        <w:rPr>
          <w:rFonts w:ascii="Times New Roman" w:eastAsia="Times New Roman" w:hAnsi="Times New Roman" w:cs="Times New Roman"/>
          <w:sz w:val="20"/>
          <w:szCs w:val="20"/>
        </w:rPr>
      </w:pPr>
    </w:p>
    <w:p w14:paraId="4D0A1530" w14:textId="77777777" w:rsidR="00332C33" w:rsidRPr="002451B6" w:rsidRDefault="00000000">
      <w:pPr>
        <w:spacing w:line="360" w:lineRule="auto"/>
        <w:jc w:val="center"/>
        <w:rPr>
          <w:rFonts w:ascii="Calibri" w:eastAsia="Calibri" w:hAnsi="Calibri" w:cs="Calibri"/>
          <w:sz w:val="24"/>
          <w:szCs w:val="24"/>
        </w:rPr>
      </w:pPr>
      <w:r w:rsidRPr="002451B6">
        <w:rPr>
          <w:rFonts w:ascii="Times New Roman" w:eastAsia="Times New Roman" w:hAnsi="Times New Roman" w:cs="Times New Roman"/>
          <w:sz w:val="20"/>
          <w:szCs w:val="20"/>
          <w:highlight w:val="yellow"/>
        </w:rPr>
        <w:t>Figura 4 – Panfleto sobre o Julgamento de bruxas em Trier, Alemanha.</w:t>
      </w:r>
    </w:p>
    <w:p w14:paraId="16DBA2EA" w14:textId="7256FC0A" w:rsidR="00332C33" w:rsidRPr="002451B6" w:rsidRDefault="00332C33">
      <w:pPr>
        <w:spacing w:line="360" w:lineRule="auto"/>
        <w:jc w:val="center"/>
        <w:rPr>
          <w:rFonts w:ascii="Times New Roman" w:eastAsia="Times New Roman" w:hAnsi="Times New Roman" w:cs="Times New Roman"/>
          <w:sz w:val="20"/>
          <w:szCs w:val="20"/>
        </w:rPr>
      </w:pPr>
    </w:p>
    <w:p w14:paraId="0A16874A" w14:textId="77777777" w:rsidR="00332C33" w:rsidRPr="002451B6" w:rsidRDefault="00332C33">
      <w:pPr>
        <w:spacing w:line="360" w:lineRule="auto"/>
        <w:jc w:val="center"/>
        <w:rPr>
          <w:rFonts w:ascii="Times New Roman" w:eastAsia="Times New Roman" w:hAnsi="Times New Roman" w:cs="Times New Roman"/>
        </w:rPr>
      </w:pPr>
    </w:p>
    <w:p w14:paraId="1D50E7A5"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figura 4 é parte de um panfleto de 1594 e informa sobre um julgamento ocorrido na cidade de Trier, na Alemanha. Ele apresenta letras pequenas na parte inferior que estão em alemão. A maior parte da imagem é composta por mulheres desnudas, cavalgando em bodes, em ato sexual com Satã, entre outras representações. </w:t>
      </w:r>
    </w:p>
    <w:p w14:paraId="43D37388"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Tal material mostra com clareza como era composto o imaginário coletivo daquela época em relação às bruxas, principalmente. Esse tipo de material colaborou com a construção do imaginário coletivo sobre bruxaria e a construção da imagem feminina da bruxa. Portanto, também colaborou com a escrita das histórias coletadas por </w:t>
      </w:r>
      <w:proofErr w:type="spellStart"/>
      <w:r w:rsidRPr="002451B6">
        <w:rPr>
          <w:rFonts w:ascii="Times New Roman" w:eastAsia="Times New Roman" w:hAnsi="Times New Roman" w:cs="Times New Roman"/>
          <w:sz w:val="24"/>
          <w:szCs w:val="24"/>
        </w:rPr>
        <w:t>Perrault</w:t>
      </w:r>
      <w:proofErr w:type="spellEnd"/>
      <w:r w:rsidRPr="002451B6">
        <w:rPr>
          <w:rFonts w:ascii="Times New Roman" w:eastAsia="Times New Roman" w:hAnsi="Times New Roman" w:cs="Times New Roman"/>
          <w:sz w:val="24"/>
          <w:szCs w:val="24"/>
        </w:rPr>
        <w:t xml:space="preserve"> que, de certo, foram contadas na França devido à tradição oral e espelhadas nos contos de fadas. </w:t>
      </w:r>
    </w:p>
    <w:p w14:paraId="220407C1"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Após encontrar o primeiro panfleto, foi possível vislumbrar que a história das mulheres foi silenciada de uma maneira mais complexa do que imaginamos. É preciso compreender que </w:t>
      </w:r>
      <w:r w:rsidRPr="002451B6">
        <w:rPr>
          <w:rFonts w:ascii="Times New Roman" w:eastAsia="Times New Roman" w:hAnsi="Times New Roman" w:cs="Times New Roman"/>
          <w:sz w:val="24"/>
          <w:szCs w:val="24"/>
        </w:rPr>
        <w:lastRenderedPageBreak/>
        <w:t xml:space="preserve">naquele tempo a figura feminina foi relegada à reprodução, quando muito ao casamento e ao silêncio. Foram poucos os maridos que reconheceram suas esposas e as trataram como indivíduos. Essa fala pode nos lembrar de algo que vivenciamos na atualidade e que infelizmente nos remete a muitos lares. </w:t>
      </w:r>
    </w:p>
    <w:p w14:paraId="0FAA4318"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Não é apenas um conto de fadas ou uma história do passado, é uma história que se repete amargamente, mas que nós, mulheres, temos lutado para modificar. </w:t>
      </w:r>
    </w:p>
    <w:p w14:paraId="11DCAA3E"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próximo tópico, abordamos narrativas literárias infantis que buscam modificar a figura feminina da bruxa. </w:t>
      </w:r>
    </w:p>
    <w:p w14:paraId="597BBAAE"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7AB57ADA"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Narrativas Infantis mudando a figura feminina da bruxa</w:t>
      </w:r>
    </w:p>
    <w:p w14:paraId="1F36EEA4"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196DBD5B"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figura diabólica da bruxa ainda hoje protagoniza muitos produtos midiáticos criados a partir de narrativas muito antigas e continua a ser difundida sendo uma mulher feia, má e que é capaz de subverter para o mal aqueles que dela se aproximam. </w:t>
      </w:r>
    </w:p>
    <w:p w14:paraId="2206133E"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Desde livros inocentes infantis aos filmes de terror, revistas, quadrinhos, brinquedos, temos, na maioria dos casos, bruxas recebendo um castigo terrível ou sendo sumariamente punidas e mortas. Isso é o que visualizamos desde cedo e alimentamos em um imaginário monstruoso (</w:t>
      </w:r>
      <w:proofErr w:type="spellStart"/>
      <w:r w:rsidRPr="002451B6">
        <w:rPr>
          <w:rFonts w:ascii="Times New Roman" w:eastAsia="Times New Roman" w:hAnsi="Times New Roman" w:cs="Times New Roman"/>
          <w:sz w:val="24"/>
          <w:szCs w:val="24"/>
        </w:rPr>
        <w:t>Mafesolli</w:t>
      </w:r>
      <w:proofErr w:type="spellEnd"/>
      <w:r w:rsidRPr="002451B6">
        <w:rPr>
          <w:rFonts w:ascii="Times New Roman" w:eastAsia="Times New Roman" w:hAnsi="Times New Roman" w:cs="Times New Roman"/>
          <w:sz w:val="24"/>
          <w:szCs w:val="24"/>
        </w:rPr>
        <w:t>, 1996) de uma figura feminina construída em bases obscuras desde a Inquisição com propósitos de diminuir o poder feminino a partir de um arquétipo terrível.</w:t>
      </w:r>
    </w:p>
    <w:p w14:paraId="5E1CFA6D"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Apesar dessa torrente maléfica construída de uma figura feminina da bruxa que se fixou em pura maldade, criando uma única história sobre ela, o que é um grande perigo (</w:t>
      </w:r>
      <w:proofErr w:type="spellStart"/>
      <w:r w:rsidRPr="002451B6">
        <w:rPr>
          <w:rFonts w:ascii="Times New Roman" w:eastAsia="Times New Roman" w:hAnsi="Times New Roman" w:cs="Times New Roman"/>
          <w:sz w:val="24"/>
          <w:szCs w:val="24"/>
        </w:rPr>
        <w:t>Adichie</w:t>
      </w:r>
      <w:proofErr w:type="spellEnd"/>
      <w:r w:rsidRPr="002451B6">
        <w:rPr>
          <w:rFonts w:ascii="Times New Roman" w:eastAsia="Times New Roman" w:hAnsi="Times New Roman" w:cs="Times New Roman"/>
          <w:sz w:val="24"/>
          <w:szCs w:val="24"/>
        </w:rPr>
        <w:t xml:space="preserve">, 2019), há alguns autores que tentam mudar essa realidade. Narrativas que deslocam o papel da bruxa má para um papel de bruxa boa são comuns há algum tempo. </w:t>
      </w:r>
    </w:p>
    <w:p w14:paraId="18C01DB0"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São comuns, mas enfrentam ainda muito preconceito em sua disseminação devido ao forte arquétipo da bruxa má. É o caso de Eva Furnari com suas publicações de livros infantis que destacam a personagem de uma bruxinha simpática, que encanta crianças e adultos.</w:t>
      </w:r>
    </w:p>
    <w:p w14:paraId="1D3FA69B" w14:textId="77777777" w:rsidR="00332C33" w:rsidRPr="002451B6" w:rsidRDefault="00332C33">
      <w:pPr>
        <w:spacing w:line="360" w:lineRule="auto"/>
        <w:jc w:val="both"/>
        <w:rPr>
          <w:rFonts w:ascii="Times New Roman" w:eastAsia="Times New Roman" w:hAnsi="Times New Roman" w:cs="Times New Roman"/>
          <w:sz w:val="24"/>
          <w:szCs w:val="24"/>
        </w:rPr>
      </w:pPr>
    </w:p>
    <w:p w14:paraId="2DE74E98" w14:textId="77777777" w:rsidR="00332C33" w:rsidRPr="002451B6" w:rsidRDefault="00000000">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 xml:space="preserve">Figura 5 – Cena do livro a Bruxinha Zuzu e gato </w:t>
      </w:r>
      <w:proofErr w:type="spellStart"/>
      <w:r w:rsidRPr="002451B6">
        <w:rPr>
          <w:rFonts w:ascii="Times New Roman" w:eastAsia="Times New Roman" w:hAnsi="Times New Roman" w:cs="Times New Roman"/>
          <w:sz w:val="20"/>
          <w:szCs w:val="20"/>
          <w:highlight w:val="yellow"/>
        </w:rPr>
        <w:t>Miú</w:t>
      </w:r>
      <w:proofErr w:type="spellEnd"/>
      <w:r w:rsidRPr="002451B6">
        <w:rPr>
          <w:rFonts w:ascii="Times New Roman" w:eastAsia="Times New Roman" w:hAnsi="Times New Roman" w:cs="Times New Roman"/>
          <w:sz w:val="20"/>
          <w:szCs w:val="20"/>
          <w:highlight w:val="yellow"/>
        </w:rPr>
        <w:t>.</w:t>
      </w:r>
    </w:p>
    <w:p w14:paraId="1DBEDF3C" w14:textId="0E0FFD28" w:rsidR="00332C33" w:rsidRPr="002451B6" w:rsidRDefault="00332C33">
      <w:pPr>
        <w:spacing w:line="360" w:lineRule="auto"/>
        <w:jc w:val="center"/>
        <w:rPr>
          <w:rFonts w:ascii="Times New Roman" w:eastAsia="Times New Roman" w:hAnsi="Times New Roman" w:cs="Times New Roman"/>
        </w:rPr>
      </w:pPr>
    </w:p>
    <w:p w14:paraId="50E4116B" w14:textId="77777777" w:rsidR="00332C33" w:rsidRPr="002451B6" w:rsidRDefault="00332C33">
      <w:pPr>
        <w:spacing w:line="360" w:lineRule="auto"/>
        <w:jc w:val="center"/>
        <w:rPr>
          <w:rFonts w:ascii="Times New Roman" w:eastAsia="Times New Roman" w:hAnsi="Times New Roman" w:cs="Times New Roman"/>
          <w:sz w:val="20"/>
          <w:szCs w:val="20"/>
        </w:rPr>
      </w:pPr>
    </w:p>
    <w:p w14:paraId="587D266A"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Segundo a autora, sobre sua personagem Zuzu, em entrevista ao Museu da Pessoa:</w:t>
      </w:r>
    </w:p>
    <w:p w14:paraId="5437839A" w14:textId="77777777" w:rsidR="00332C33" w:rsidRPr="002451B6" w:rsidRDefault="00332C33">
      <w:pPr>
        <w:spacing w:line="240" w:lineRule="auto"/>
        <w:ind w:left="2268"/>
        <w:jc w:val="both"/>
        <w:rPr>
          <w:rFonts w:ascii="Times New Roman" w:eastAsia="Times New Roman" w:hAnsi="Times New Roman" w:cs="Times New Roman"/>
        </w:rPr>
      </w:pPr>
    </w:p>
    <w:p w14:paraId="70C095A4" w14:textId="77777777" w:rsidR="00332C33" w:rsidRPr="002451B6" w:rsidRDefault="00000000">
      <w:pPr>
        <w:spacing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A bruxinha, hoje famosa, foi um personagem que surgiu na Folhinha de S. Paulo, de uma forma muito espontânea. A primeira história é uma pequena bruxa que encontra uma flor, transforma essa flor em bruxa e essa, que era originalmente flor, transforma a bruxinha anterior em flor. Então eu acho que </w:t>
      </w:r>
      <w:r w:rsidRPr="002451B6">
        <w:rPr>
          <w:rFonts w:ascii="Times New Roman" w:eastAsia="Times New Roman" w:hAnsi="Times New Roman" w:cs="Times New Roman"/>
        </w:rPr>
        <w:lastRenderedPageBreak/>
        <w:t xml:space="preserve">a origem da bruxinha, é que ela já foi uma flor um dia! (Funari, 2025, </w:t>
      </w:r>
      <w:r w:rsidRPr="002451B6">
        <w:rPr>
          <w:rFonts w:ascii="Times New Roman" w:eastAsia="Times New Roman" w:hAnsi="Times New Roman" w:cs="Times New Roman"/>
          <w:i/>
          <w:iCs/>
        </w:rPr>
        <w:t>online</w:t>
      </w:r>
      <w:r w:rsidRPr="002451B6">
        <w:rPr>
          <w:rFonts w:ascii="Times New Roman" w:eastAsia="Times New Roman" w:hAnsi="Times New Roman" w:cs="Times New Roman"/>
        </w:rPr>
        <w:t>)</w:t>
      </w:r>
      <w:r w:rsidRPr="002451B6">
        <w:rPr>
          <w:rFonts w:ascii="Times New Roman" w:eastAsia="Times New Roman" w:hAnsi="Times New Roman" w:cs="Times New Roman"/>
          <w:vertAlign w:val="superscript"/>
        </w:rPr>
        <w:footnoteReference w:id="56"/>
      </w:r>
      <w:r w:rsidRPr="002451B6">
        <w:rPr>
          <w:rFonts w:ascii="Times New Roman" w:eastAsia="Times New Roman" w:hAnsi="Times New Roman" w:cs="Times New Roman"/>
        </w:rPr>
        <w:t xml:space="preserve"> .</w:t>
      </w:r>
    </w:p>
    <w:p w14:paraId="2739A798" w14:textId="77777777" w:rsidR="00332C33" w:rsidRPr="002451B6" w:rsidRDefault="00332C33">
      <w:pPr>
        <w:spacing w:line="240" w:lineRule="auto"/>
        <w:ind w:left="2268"/>
        <w:jc w:val="both"/>
        <w:rPr>
          <w:rFonts w:ascii="Times New Roman" w:eastAsia="Times New Roman" w:hAnsi="Times New Roman" w:cs="Times New Roman"/>
        </w:rPr>
      </w:pPr>
    </w:p>
    <w:p w14:paraId="69DF452A"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A autora já publicou sete títulos infantis com o tema das bruxas, sempre de forma divertida e ousando trazer a figura feminina da bruxa para o lado “bom”, quebrando o tabu de maldade e mudando o arquétipo de feiura e castigo que outrora era legado a ela. Essa forma disruptiva de tratar a bruxa permite que crianças e até adultos olhem para a personagem e percebam bondade, acabando por se empatizar com a bruxinha Zuzu.</w:t>
      </w:r>
      <w:r w:rsidRPr="002451B6">
        <w:rPr>
          <w:rFonts w:ascii="Times New Roman" w:eastAsia="Times New Roman" w:hAnsi="Times New Roman" w:cs="Times New Roman"/>
          <w:sz w:val="24"/>
          <w:szCs w:val="24"/>
        </w:rPr>
        <w:tab/>
        <w:t xml:space="preserve"> </w:t>
      </w:r>
    </w:p>
    <w:p w14:paraId="356D3905"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No próximo tópico, tratamos de dois filmes que mostram que a personagem bruxa é uma construção, e não possuem maldade inata.</w:t>
      </w:r>
    </w:p>
    <w:p w14:paraId="3A3149B6" w14:textId="77777777" w:rsidR="00332C33" w:rsidRPr="002451B6" w:rsidRDefault="00332C33">
      <w:pPr>
        <w:spacing w:line="360" w:lineRule="auto"/>
        <w:jc w:val="both"/>
        <w:rPr>
          <w:rFonts w:ascii="Times New Roman" w:eastAsia="Times New Roman" w:hAnsi="Times New Roman" w:cs="Times New Roman"/>
          <w:sz w:val="24"/>
          <w:szCs w:val="24"/>
        </w:rPr>
      </w:pPr>
    </w:p>
    <w:p w14:paraId="0FE59D3E"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b/>
          <w:bCs/>
          <w:sz w:val="24"/>
          <w:szCs w:val="24"/>
        </w:rPr>
        <w:t>Nos filmes, ninguém nasce bruxa: isso é uma construção!</w:t>
      </w:r>
    </w:p>
    <w:p w14:paraId="76CE09FE"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5962577F"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Os filmes normalmente trazem o bem e o mal delimitados e já formados desde o início de sua narrativa. </w:t>
      </w:r>
    </w:p>
    <w:p w14:paraId="2CC397A7"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Contudo, atualmente temos vivenciado filmes que demonstram como esse bem e esse mal se formaram. Frutos de uma sociedade mais questionadora e conhecedora do que realmente querem das grandes telas do cinema, alguns filmes começam a explorar origens, arquétipos e estereótipos de forma mais cuidadosa e particular. </w:t>
      </w:r>
    </w:p>
    <w:p w14:paraId="669DA673" w14:textId="77777777" w:rsidR="00332C33" w:rsidRPr="002451B6" w:rsidRDefault="00000000">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O que se viu no passado, em muitos casos, era pegar livros e transportá-los para as telas ou criar narrativas não muito lineares. Os esforços do passado ensinaram melhores caminhos para o futuro da narrativa fílmica. A telona, principalmente, é um dos veículos de maior audiência ainda hoje e pode ser utilizada de forma pedagógica. </w:t>
      </w:r>
    </w:p>
    <w:p w14:paraId="4907803D"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Nesse processo de </w:t>
      </w:r>
      <w:proofErr w:type="spellStart"/>
      <w:r w:rsidRPr="002451B6">
        <w:rPr>
          <w:rFonts w:ascii="Times New Roman" w:eastAsia="Times New Roman" w:hAnsi="Times New Roman" w:cs="Times New Roman"/>
          <w:sz w:val="24"/>
          <w:szCs w:val="24"/>
        </w:rPr>
        <w:t>transmidiação</w:t>
      </w:r>
      <w:proofErr w:type="spellEnd"/>
      <w:r w:rsidRPr="002451B6">
        <w:rPr>
          <w:rFonts w:ascii="Times New Roman" w:eastAsia="Times New Roman" w:hAnsi="Times New Roman" w:cs="Times New Roman"/>
          <w:sz w:val="24"/>
          <w:szCs w:val="24"/>
        </w:rPr>
        <w:t xml:space="preserve"> (Jenkins, 2008), quando literatura desliza do papel (Figueiredo, 2010) e vai para as telas,</w:t>
      </w:r>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games e outras mídias, a bruxa ganha novas formas de mostrar como a figura feminina foi construída para chegar a ser chamada de bruxa e como esse arquétipo foi tão castigado para se tornar tão mal. </w:t>
      </w:r>
    </w:p>
    <w:p w14:paraId="3FCF84AB"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narrativa fílmica traz um conto de fadas bem antigo, mas sob o ponto de vista da bruxa. Ela ganhou espaço para demonstrar que sua maldade teve origem em um amor correspondido no início, mas que foi recompensado com a maldade de um homem que a bruxa tanto amava. Malévola, com filme de nome análogo, foi lançado no Brasil em 2014 e seu foco foi retirado da princesa Aurora ao recontar a história da Bela Adormecida sob o ponto de vista da antagonista.</w:t>
      </w:r>
    </w:p>
    <w:p w14:paraId="17216C2A"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783F4B24" w14:textId="10F31EBF" w:rsidR="00332C33" w:rsidRPr="002451B6" w:rsidRDefault="00000000">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 xml:space="preserve">Figura 6 – Um dos pôsteres de lançamento do filme </w:t>
      </w:r>
      <w:r w:rsidRPr="002451B6">
        <w:rPr>
          <w:rFonts w:ascii="Times New Roman" w:eastAsia="Times New Roman" w:hAnsi="Times New Roman" w:cs="Times New Roman"/>
          <w:i/>
          <w:iCs/>
          <w:sz w:val="20"/>
          <w:szCs w:val="20"/>
          <w:highlight w:val="yellow"/>
        </w:rPr>
        <w:t>Malévola:</w:t>
      </w:r>
      <w:r w:rsidRPr="002451B6">
        <w:rPr>
          <w:rFonts w:ascii="Times New Roman" w:eastAsia="Times New Roman" w:hAnsi="Times New Roman" w:cs="Times New Roman"/>
          <w:sz w:val="20"/>
          <w:szCs w:val="20"/>
          <w:highlight w:val="yellow"/>
        </w:rPr>
        <w:t xml:space="preserve"> Dona do mal (20</w:t>
      </w:r>
      <w:r w:rsidR="00BE677D" w:rsidRPr="002451B6">
        <w:rPr>
          <w:rFonts w:ascii="Times New Roman" w:eastAsia="Times New Roman" w:hAnsi="Times New Roman" w:cs="Times New Roman"/>
          <w:sz w:val="20"/>
          <w:szCs w:val="20"/>
          <w:highlight w:val="yellow"/>
        </w:rPr>
        <w:t>19</w:t>
      </w:r>
      <w:r w:rsidRPr="002451B6">
        <w:rPr>
          <w:rFonts w:ascii="Times New Roman" w:eastAsia="Times New Roman" w:hAnsi="Times New Roman" w:cs="Times New Roman"/>
          <w:sz w:val="20"/>
          <w:szCs w:val="20"/>
          <w:highlight w:val="yellow"/>
        </w:rPr>
        <w:t>).</w:t>
      </w:r>
    </w:p>
    <w:p w14:paraId="2F3293A6" w14:textId="59EF2E25" w:rsidR="00332C33" w:rsidRPr="002451B6" w:rsidRDefault="00332C33">
      <w:pPr>
        <w:spacing w:line="360" w:lineRule="auto"/>
        <w:jc w:val="center"/>
        <w:rPr>
          <w:rFonts w:ascii="Times New Roman" w:eastAsia="Times New Roman" w:hAnsi="Times New Roman" w:cs="Times New Roman"/>
          <w:sz w:val="24"/>
          <w:szCs w:val="24"/>
        </w:rPr>
      </w:pPr>
    </w:p>
    <w:p w14:paraId="208BBD8D" w14:textId="77777777" w:rsidR="00332C33" w:rsidRPr="002451B6" w:rsidRDefault="00332C33">
      <w:pPr>
        <w:spacing w:line="360" w:lineRule="auto"/>
        <w:ind w:firstLine="708"/>
        <w:jc w:val="both"/>
        <w:rPr>
          <w:rFonts w:ascii="Times New Roman" w:eastAsia="Times New Roman" w:hAnsi="Times New Roman" w:cs="Times New Roman"/>
          <w:sz w:val="20"/>
          <w:szCs w:val="20"/>
        </w:rPr>
      </w:pPr>
    </w:p>
    <w:p w14:paraId="2BF38DE2"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w:t>
      </w:r>
      <w:r w:rsidRPr="002451B6">
        <w:rPr>
          <w:rFonts w:ascii="Times New Roman" w:eastAsia="Times New Roman" w:hAnsi="Times New Roman" w:cs="Times New Roman"/>
          <w:i/>
          <w:iCs/>
          <w:sz w:val="24"/>
          <w:szCs w:val="24"/>
        </w:rPr>
        <w:t>Malévola</w:t>
      </w:r>
      <w:r w:rsidRPr="002451B6">
        <w:rPr>
          <w:rFonts w:ascii="Times New Roman" w:eastAsia="Times New Roman" w:hAnsi="Times New Roman" w:cs="Times New Roman"/>
          <w:sz w:val="24"/>
          <w:szCs w:val="24"/>
        </w:rPr>
        <w:t xml:space="preserve">, a construção da figura da bruxa demonstra o nascimento da maldade de uma bruxa com a construção de sentido a partir da maldade de um homem que </w:t>
      </w:r>
      <w:proofErr w:type="gramStart"/>
      <w:r w:rsidRPr="002451B6">
        <w:rPr>
          <w:rFonts w:ascii="Times New Roman" w:eastAsia="Times New Roman" w:hAnsi="Times New Roman" w:cs="Times New Roman"/>
          <w:sz w:val="24"/>
          <w:szCs w:val="24"/>
        </w:rPr>
        <w:t>engana Malévola</w:t>
      </w:r>
      <w:proofErr w:type="gramEnd"/>
      <w:r w:rsidRPr="002451B6">
        <w:rPr>
          <w:rFonts w:ascii="Times New Roman" w:eastAsia="Times New Roman" w:hAnsi="Times New Roman" w:cs="Times New Roman"/>
          <w:sz w:val="24"/>
          <w:szCs w:val="24"/>
        </w:rPr>
        <w:t xml:space="preserve"> ao dizer amá-la, o que no início do relacionamento era verdade. </w:t>
      </w:r>
    </w:p>
    <w:p w14:paraId="3996F1C4"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Contudo, por ganância, ele resolve abandoná-la para se casar com a herdeira da coroa. Não sendo suficiente abandonar seu amor, é requerido desse homem, para se tornar o novo rei, que elimine o mal do reino, que para o rei </w:t>
      </w:r>
      <w:proofErr w:type="gramStart"/>
      <w:r w:rsidRPr="002451B6">
        <w:rPr>
          <w:rFonts w:ascii="Times New Roman" w:eastAsia="Times New Roman" w:hAnsi="Times New Roman" w:cs="Times New Roman"/>
          <w:sz w:val="24"/>
          <w:szCs w:val="24"/>
        </w:rPr>
        <w:t>é Malévola</w:t>
      </w:r>
      <w:proofErr w:type="gramEnd"/>
      <w:r w:rsidRPr="002451B6">
        <w:rPr>
          <w:rFonts w:ascii="Times New Roman" w:eastAsia="Times New Roman" w:hAnsi="Times New Roman" w:cs="Times New Roman"/>
          <w:sz w:val="24"/>
          <w:szCs w:val="24"/>
        </w:rPr>
        <w:t xml:space="preserve">, levando uma prova à corte. Ele seduz a amada, adormece ao seu lado e lhe corta suas belas asas, pois ela era uma linda fada. Malévola se torna má por ter sido enganada, ferida e abandonada. A narrativa fílmica resgata a honra da bruxa e deixa claro que seu amor e bondade são o seu maior bem. </w:t>
      </w:r>
    </w:p>
    <w:p w14:paraId="6EC5BDCC"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Observe, é uma adaptação e por isso a licença poética é permeada de mudanças e apelos em prol da figura feminina. Ademais, as mudanças ora observadas, contudo, demarcam a construção da figura feminina da bruxa com informações importantes que nos mostram que a bruxa não nasceu má, mas tornou-se má por fatores externos.</w:t>
      </w:r>
    </w:p>
    <w:p w14:paraId="330F33E5"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outra narrativa fílmica, a ficção resgata uma história que não foi contada outrora e mostra, como dentro de uma narrativa fictícia, a bruxa má é uma construção, ou seja, de uma jovem boa e inocente, surge uma personagem má e vingativa. Um clássico volta às telas em 2024 com a consagração de uma pós história que todos conhecemos, mas que poucos sabiam o que ocorreu antes dela. </w:t>
      </w:r>
    </w:p>
    <w:p w14:paraId="6946AA89" w14:textId="77777777" w:rsidR="00332C33" w:rsidRPr="002451B6" w:rsidRDefault="00000000">
      <w:pPr>
        <w:spacing w:line="360" w:lineRule="auto"/>
        <w:ind w:firstLine="708"/>
        <w:jc w:val="both"/>
        <w:rPr>
          <w:rFonts w:ascii="Times New Roman" w:eastAsia="Times New Roman" w:hAnsi="Times New Roman" w:cs="Times New Roman"/>
          <w:sz w:val="24"/>
          <w:szCs w:val="24"/>
        </w:rPr>
      </w:pPr>
      <w:proofErr w:type="spellStart"/>
      <w:r w:rsidRPr="002451B6">
        <w:rPr>
          <w:rFonts w:ascii="Times New Roman" w:eastAsia="Times New Roman" w:hAnsi="Times New Roman" w:cs="Times New Roman"/>
          <w:i/>
          <w:iCs/>
          <w:sz w:val="24"/>
          <w:szCs w:val="24"/>
        </w:rPr>
        <w:t>Wicked</w:t>
      </w:r>
      <w:proofErr w:type="spellEnd"/>
      <w:r w:rsidRPr="002451B6">
        <w:rPr>
          <w:rFonts w:ascii="Times New Roman" w:eastAsia="Times New Roman" w:hAnsi="Times New Roman" w:cs="Times New Roman"/>
          <w:sz w:val="24"/>
          <w:szCs w:val="24"/>
        </w:rPr>
        <w:t xml:space="preserve"> é a história escrita através de um livro de 1900 e conta o que veio antes de </w:t>
      </w:r>
      <w:r w:rsidRPr="002451B6">
        <w:rPr>
          <w:rFonts w:ascii="Times New Roman" w:eastAsia="Times New Roman" w:hAnsi="Times New Roman" w:cs="Times New Roman"/>
          <w:i/>
          <w:iCs/>
          <w:sz w:val="24"/>
          <w:szCs w:val="24"/>
        </w:rPr>
        <w:t>O Mágico de Oz</w:t>
      </w:r>
      <w:r w:rsidRPr="002451B6">
        <w:rPr>
          <w:rFonts w:ascii="Times New Roman" w:eastAsia="Times New Roman" w:hAnsi="Times New Roman" w:cs="Times New Roman"/>
          <w:sz w:val="24"/>
          <w:szCs w:val="24"/>
        </w:rPr>
        <w:t xml:space="preserve">. Na esteira dos famosos filmes que resgatam a memória do que aconteceu antes dos filmes de sucesso, como o exemplo de </w:t>
      </w:r>
      <w:r w:rsidRPr="002451B6">
        <w:rPr>
          <w:rFonts w:ascii="Times New Roman" w:eastAsia="Times New Roman" w:hAnsi="Times New Roman" w:cs="Times New Roman"/>
          <w:i/>
          <w:iCs/>
          <w:sz w:val="24"/>
          <w:szCs w:val="24"/>
        </w:rPr>
        <w:t>Stars Wars</w:t>
      </w:r>
      <w:r w:rsidRPr="002451B6">
        <w:rPr>
          <w:rFonts w:ascii="Times New Roman" w:eastAsia="Times New Roman" w:hAnsi="Times New Roman" w:cs="Times New Roman"/>
          <w:sz w:val="24"/>
          <w:szCs w:val="24"/>
        </w:rPr>
        <w:t xml:space="preserve">, que lançou o Episódio 1 – </w:t>
      </w:r>
      <w:r w:rsidRPr="002451B6">
        <w:rPr>
          <w:rFonts w:ascii="Times New Roman" w:eastAsia="Times New Roman" w:hAnsi="Times New Roman" w:cs="Times New Roman"/>
          <w:i/>
          <w:iCs/>
          <w:sz w:val="24"/>
          <w:szCs w:val="24"/>
        </w:rPr>
        <w:t>A Ameaça Fantasma</w:t>
      </w:r>
      <w:r w:rsidRPr="002451B6">
        <w:rPr>
          <w:rFonts w:ascii="Times New Roman" w:eastAsia="Times New Roman" w:hAnsi="Times New Roman" w:cs="Times New Roman"/>
          <w:sz w:val="24"/>
          <w:szCs w:val="24"/>
        </w:rPr>
        <w:t xml:space="preserve"> há exatos 22 anos após o lançamento de seu primeiro filme. </w:t>
      </w:r>
      <w:proofErr w:type="spellStart"/>
      <w:r w:rsidRPr="002451B6">
        <w:rPr>
          <w:rFonts w:ascii="Times New Roman" w:eastAsia="Times New Roman" w:hAnsi="Times New Roman" w:cs="Times New Roman"/>
          <w:i/>
          <w:iCs/>
          <w:sz w:val="24"/>
          <w:szCs w:val="24"/>
        </w:rPr>
        <w:t>Wicked</w:t>
      </w:r>
      <w:proofErr w:type="spellEnd"/>
      <w:r w:rsidRPr="002451B6">
        <w:rPr>
          <w:rFonts w:ascii="Times New Roman" w:eastAsia="Times New Roman" w:hAnsi="Times New Roman" w:cs="Times New Roman"/>
          <w:sz w:val="24"/>
          <w:szCs w:val="24"/>
        </w:rPr>
        <w:t xml:space="preserve"> estrela com a narrativa para o cinema e conta como surgiu a bruxa má do Oeste há exatos 86 anos após o primeiro lançamento do original de Oz. </w:t>
      </w:r>
    </w:p>
    <w:p w14:paraId="57093B82"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183CE017" w14:textId="77777777" w:rsidR="00332C33" w:rsidRPr="002451B6" w:rsidRDefault="00000000">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 xml:space="preserve">Figura 7 – Um dos pôsteres de lançamento de </w:t>
      </w:r>
      <w:proofErr w:type="spellStart"/>
      <w:r w:rsidRPr="002451B6">
        <w:rPr>
          <w:rFonts w:ascii="Times New Roman" w:eastAsia="Times New Roman" w:hAnsi="Times New Roman" w:cs="Times New Roman"/>
          <w:i/>
          <w:iCs/>
          <w:sz w:val="20"/>
          <w:szCs w:val="20"/>
          <w:highlight w:val="yellow"/>
        </w:rPr>
        <w:t>Wicked</w:t>
      </w:r>
      <w:proofErr w:type="spellEnd"/>
      <w:r w:rsidRPr="002451B6">
        <w:rPr>
          <w:rFonts w:ascii="Times New Roman" w:eastAsia="Times New Roman" w:hAnsi="Times New Roman" w:cs="Times New Roman"/>
          <w:sz w:val="20"/>
          <w:szCs w:val="20"/>
          <w:highlight w:val="yellow"/>
        </w:rPr>
        <w:t xml:space="preserve"> (2024).</w:t>
      </w:r>
    </w:p>
    <w:p w14:paraId="726DA17A" w14:textId="47CA3A73" w:rsidR="00332C33" w:rsidRPr="002451B6" w:rsidRDefault="00332C33">
      <w:pPr>
        <w:spacing w:line="360" w:lineRule="auto"/>
        <w:jc w:val="center"/>
        <w:rPr>
          <w:rFonts w:ascii="Times New Roman" w:eastAsia="Times New Roman" w:hAnsi="Times New Roman" w:cs="Times New Roman"/>
          <w:sz w:val="24"/>
          <w:szCs w:val="24"/>
        </w:rPr>
      </w:pPr>
    </w:p>
    <w:p w14:paraId="000A83D9" w14:textId="77777777" w:rsidR="00332C33" w:rsidRPr="002451B6" w:rsidRDefault="00332C33">
      <w:pPr>
        <w:spacing w:line="360" w:lineRule="auto"/>
        <w:jc w:val="both"/>
        <w:rPr>
          <w:rFonts w:ascii="Times New Roman" w:eastAsia="Times New Roman" w:hAnsi="Times New Roman" w:cs="Times New Roman"/>
          <w:sz w:val="24"/>
          <w:szCs w:val="24"/>
        </w:rPr>
      </w:pPr>
    </w:p>
    <w:p w14:paraId="2E70BB87"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 xml:space="preserve">Nessa narrativa, </w:t>
      </w:r>
      <w:proofErr w:type="spellStart"/>
      <w:r w:rsidRPr="002451B6">
        <w:rPr>
          <w:rFonts w:ascii="Times New Roman" w:eastAsia="Times New Roman" w:hAnsi="Times New Roman" w:cs="Times New Roman"/>
          <w:sz w:val="24"/>
          <w:szCs w:val="24"/>
        </w:rPr>
        <w:t>Elphaba</w:t>
      </w:r>
      <w:proofErr w:type="spellEnd"/>
      <w:r w:rsidRPr="002451B6">
        <w:rPr>
          <w:rFonts w:ascii="Times New Roman" w:eastAsia="Times New Roman" w:hAnsi="Times New Roman" w:cs="Times New Roman"/>
          <w:sz w:val="24"/>
          <w:szCs w:val="24"/>
        </w:rPr>
        <w:t xml:space="preserve"> é uma aprendiz de feiticeira diferente de todas as outras jovens que se apresentam em uma escola para feiticeiros por possuir a pele de coloração verde e passar </w:t>
      </w:r>
      <w:r w:rsidRPr="002451B6">
        <w:rPr>
          <w:rFonts w:ascii="Times New Roman" w:eastAsia="Times New Roman" w:hAnsi="Times New Roman" w:cs="Times New Roman"/>
          <w:sz w:val="24"/>
          <w:szCs w:val="24"/>
        </w:rPr>
        <w:lastRenderedPageBreak/>
        <w:t>por muito preconceito. O Mágico de Oz observando de longe o ocorrido e percebendo na jovem um grande potencial de magia, vê então a chance de conseguir transformar o preconceito por ela vivido em raiva. Assim, conduz a jovem feiticeira no caminho da ira, demonstrando que a personagem feminina da bruxa nada mais é do que uma construção oportuna a partir de um referencial de ódio e rancor.</w:t>
      </w:r>
    </w:p>
    <w:p w14:paraId="35D6FD84"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 xml:space="preserve">A narrativa fílmica se desenrola entre a amizade de </w:t>
      </w:r>
      <w:proofErr w:type="spellStart"/>
      <w:r w:rsidRPr="002451B6">
        <w:rPr>
          <w:rFonts w:ascii="Times New Roman" w:eastAsia="Times New Roman" w:hAnsi="Times New Roman" w:cs="Times New Roman"/>
          <w:sz w:val="24"/>
          <w:szCs w:val="24"/>
        </w:rPr>
        <w:t>Elphaba</w:t>
      </w:r>
      <w:proofErr w:type="spellEnd"/>
      <w:r w:rsidRPr="002451B6">
        <w:rPr>
          <w:rFonts w:ascii="Times New Roman" w:eastAsia="Times New Roman" w:hAnsi="Times New Roman" w:cs="Times New Roman"/>
          <w:sz w:val="24"/>
          <w:szCs w:val="24"/>
        </w:rPr>
        <w:t xml:space="preserve"> e </w:t>
      </w:r>
      <w:proofErr w:type="spellStart"/>
      <w:r w:rsidRPr="002451B6">
        <w:rPr>
          <w:rFonts w:ascii="Times New Roman" w:eastAsia="Times New Roman" w:hAnsi="Times New Roman" w:cs="Times New Roman"/>
          <w:sz w:val="24"/>
          <w:szCs w:val="24"/>
        </w:rPr>
        <w:t>Glinda</w:t>
      </w:r>
      <w:proofErr w:type="spellEnd"/>
      <w:r w:rsidRPr="002451B6">
        <w:rPr>
          <w:rFonts w:ascii="Times New Roman" w:eastAsia="Times New Roman" w:hAnsi="Times New Roman" w:cs="Times New Roman"/>
          <w:sz w:val="24"/>
          <w:szCs w:val="24"/>
        </w:rPr>
        <w:t>, duas aprendizes de feiticeiras e amigas que se tornam dois polos entre beleza e feiura:</w:t>
      </w:r>
    </w:p>
    <w:p w14:paraId="13C87F68" w14:textId="77777777" w:rsidR="00332C33" w:rsidRPr="002451B6" w:rsidRDefault="00332C33">
      <w:pPr>
        <w:spacing w:line="360" w:lineRule="auto"/>
        <w:jc w:val="both"/>
        <w:rPr>
          <w:rFonts w:ascii="Times New Roman" w:eastAsia="Times New Roman" w:hAnsi="Times New Roman" w:cs="Times New Roman"/>
          <w:sz w:val="24"/>
          <w:szCs w:val="24"/>
        </w:rPr>
      </w:pPr>
    </w:p>
    <w:p w14:paraId="0DCC7314" w14:textId="77777777" w:rsidR="00332C33" w:rsidRPr="002451B6" w:rsidRDefault="00000000">
      <w:pPr>
        <w:spacing w:line="360" w:lineRule="auto"/>
        <w:jc w:val="center"/>
        <w:rPr>
          <w:rFonts w:ascii="Times New Roman" w:eastAsia="Times New Roman" w:hAnsi="Times New Roman" w:cs="Times New Roman"/>
          <w:i/>
          <w:iCs/>
          <w:sz w:val="20"/>
          <w:szCs w:val="20"/>
        </w:rPr>
      </w:pPr>
      <w:r w:rsidRPr="002451B6">
        <w:rPr>
          <w:rFonts w:ascii="Times New Roman" w:eastAsia="Times New Roman" w:hAnsi="Times New Roman" w:cs="Times New Roman"/>
          <w:sz w:val="20"/>
          <w:szCs w:val="20"/>
          <w:highlight w:val="yellow"/>
        </w:rPr>
        <w:t xml:space="preserve">Figura 8 – Imagem de </w:t>
      </w:r>
      <w:proofErr w:type="spellStart"/>
      <w:r w:rsidRPr="002451B6">
        <w:rPr>
          <w:rFonts w:ascii="Times New Roman" w:eastAsia="Times New Roman" w:hAnsi="Times New Roman" w:cs="Times New Roman"/>
          <w:sz w:val="20"/>
          <w:szCs w:val="20"/>
          <w:highlight w:val="yellow"/>
        </w:rPr>
        <w:t>Elphaba</w:t>
      </w:r>
      <w:proofErr w:type="spellEnd"/>
      <w:r w:rsidRPr="002451B6">
        <w:rPr>
          <w:rFonts w:ascii="Times New Roman" w:eastAsia="Times New Roman" w:hAnsi="Times New Roman" w:cs="Times New Roman"/>
          <w:sz w:val="20"/>
          <w:szCs w:val="20"/>
          <w:highlight w:val="yellow"/>
        </w:rPr>
        <w:t xml:space="preserve"> e </w:t>
      </w:r>
      <w:proofErr w:type="spellStart"/>
      <w:r w:rsidRPr="002451B6">
        <w:rPr>
          <w:rFonts w:ascii="Times New Roman" w:eastAsia="Times New Roman" w:hAnsi="Times New Roman" w:cs="Times New Roman"/>
          <w:sz w:val="20"/>
          <w:szCs w:val="20"/>
          <w:highlight w:val="yellow"/>
        </w:rPr>
        <w:t>Glinda</w:t>
      </w:r>
      <w:proofErr w:type="spellEnd"/>
      <w:r w:rsidRPr="002451B6">
        <w:rPr>
          <w:rFonts w:ascii="Times New Roman" w:eastAsia="Times New Roman" w:hAnsi="Times New Roman" w:cs="Times New Roman"/>
          <w:sz w:val="20"/>
          <w:szCs w:val="20"/>
          <w:highlight w:val="yellow"/>
        </w:rPr>
        <w:t xml:space="preserve"> enquanto amigas em </w:t>
      </w:r>
      <w:proofErr w:type="spellStart"/>
      <w:r w:rsidRPr="002451B6">
        <w:rPr>
          <w:rFonts w:ascii="Times New Roman" w:eastAsia="Times New Roman" w:hAnsi="Times New Roman" w:cs="Times New Roman"/>
          <w:i/>
          <w:iCs/>
          <w:sz w:val="20"/>
          <w:szCs w:val="20"/>
          <w:highlight w:val="yellow"/>
        </w:rPr>
        <w:t>Wicked</w:t>
      </w:r>
      <w:proofErr w:type="spellEnd"/>
      <w:r w:rsidRPr="002451B6">
        <w:rPr>
          <w:rFonts w:ascii="Times New Roman" w:eastAsia="Times New Roman" w:hAnsi="Times New Roman" w:cs="Times New Roman"/>
          <w:i/>
          <w:iCs/>
          <w:sz w:val="20"/>
          <w:szCs w:val="20"/>
          <w:highlight w:val="yellow"/>
        </w:rPr>
        <w:t>.</w:t>
      </w:r>
    </w:p>
    <w:p w14:paraId="776785E0" w14:textId="34313508" w:rsidR="00332C33" w:rsidRPr="002451B6" w:rsidRDefault="00332C33">
      <w:pPr>
        <w:spacing w:line="360" w:lineRule="auto"/>
        <w:jc w:val="center"/>
        <w:rPr>
          <w:rFonts w:ascii="Times New Roman" w:eastAsia="Times New Roman" w:hAnsi="Times New Roman" w:cs="Times New Roman"/>
          <w:sz w:val="24"/>
          <w:szCs w:val="24"/>
        </w:rPr>
      </w:pPr>
    </w:p>
    <w:p w14:paraId="4E456B57" w14:textId="77777777" w:rsidR="00332C33" w:rsidRPr="002451B6" w:rsidRDefault="00332C33">
      <w:pPr>
        <w:spacing w:line="360" w:lineRule="auto"/>
        <w:jc w:val="center"/>
        <w:rPr>
          <w:rFonts w:ascii="Times New Roman" w:eastAsia="Times New Roman" w:hAnsi="Times New Roman" w:cs="Times New Roman"/>
          <w:sz w:val="20"/>
          <w:szCs w:val="20"/>
        </w:rPr>
      </w:pPr>
    </w:p>
    <w:p w14:paraId="5833CD28"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Contudo, o filme passa, e o que é amizade se corrompe em luz e sombra, bem e mal e vai desencadear o que conhecemos no filme </w:t>
      </w:r>
      <w:r w:rsidRPr="002451B6">
        <w:rPr>
          <w:rFonts w:ascii="Times New Roman" w:eastAsia="Times New Roman" w:hAnsi="Times New Roman" w:cs="Times New Roman"/>
          <w:i/>
          <w:iCs/>
          <w:sz w:val="24"/>
          <w:szCs w:val="24"/>
        </w:rPr>
        <w:t>O Mágico de Oz</w:t>
      </w:r>
      <w:r w:rsidRPr="002451B6">
        <w:rPr>
          <w:rFonts w:ascii="Times New Roman" w:eastAsia="Times New Roman" w:hAnsi="Times New Roman" w:cs="Times New Roman"/>
          <w:sz w:val="24"/>
          <w:szCs w:val="24"/>
        </w:rPr>
        <w:t xml:space="preserve">, que é a luta entre as duas amigas que se tornam inimigas mortais: a Bruxa Boa do Sul e a Bruxa Má do Oeste. Podemos vislumbrar esta cisão ainda no filme </w:t>
      </w:r>
      <w:proofErr w:type="spellStart"/>
      <w:r w:rsidRPr="002451B6">
        <w:rPr>
          <w:rFonts w:ascii="Times New Roman" w:eastAsia="Times New Roman" w:hAnsi="Times New Roman" w:cs="Times New Roman"/>
          <w:i/>
          <w:iCs/>
          <w:sz w:val="24"/>
          <w:szCs w:val="24"/>
        </w:rPr>
        <w:t>Wicked</w:t>
      </w:r>
      <w:proofErr w:type="spellEnd"/>
      <w:r w:rsidRPr="002451B6">
        <w:rPr>
          <w:rFonts w:ascii="Times New Roman" w:eastAsia="Times New Roman" w:hAnsi="Times New Roman" w:cs="Times New Roman"/>
          <w:sz w:val="24"/>
          <w:szCs w:val="24"/>
        </w:rPr>
        <w:t>, conforme um de seus pôsteres:</w:t>
      </w:r>
    </w:p>
    <w:p w14:paraId="56526E97" w14:textId="77777777" w:rsidR="00332C33" w:rsidRPr="002451B6" w:rsidRDefault="00332C33">
      <w:pPr>
        <w:spacing w:line="360" w:lineRule="auto"/>
        <w:jc w:val="both"/>
        <w:rPr>
          <w:rFonts w:ascii="Times New Roman" w:eastAsia="Times New Roman" w:hAnsi="Times New Roman" w:cs="Times New Roman"/>
          <w:sz w:val="24"/>
          <w:szCs w:val="24"/>
        </w:rPr>
      </w:pPr>
    </w:p>
    <w:p w14:paraId="336988BF" w14:textId="77777777" w:rsidR="00332C33" w:rsidRPr="002451B6" w:rsidRDefault="00000000">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 xml:space="preserve">Figura 9 – Um dos pôsteres do filme </w:t>
      </w:r>
      <w:proofErr w:type="spellStart"/>
      <w:r w:rsidRPr="002451B6">
        <w:rPr>
          <w:rFonts w:ascii="Times New Roman" w:eastAsia="Times New Roman" w:hAnsi="Times New Roman" w:cs="Times New Roman"/>
          <w:i/>
          <w:iCs/>
          <w:sz w:val="20"/>
          <w:szCs w:val="20"/>
          <w:highlight w:val="yellow"/>
        </w:rPr>
        <w:t>Wicked</w:t>
      </w:r>
      <w:proofErr w:type="spellEnd"/>
      <w:r w:rsidRPr="002451B6">
        <w:rPr>
          <w:rFonts w:ascii="Times New Roman" w:eastAsia="Times New Roman" w:hAnsi="Times New Roman" w:cs="Times New Roman"/>
          <w:i/>
          <w:iCs/>
          <w:sz w:val="20"/>
          <w:szCs w:val="20"/>
          <w:highlight w:val="yellow"/>
        </w:rPr>
        <w:t>.</w:t>
      </w:r>
    </w:p>
    <w:p w14:paraId="72AFE4D2" w14:textId="5ECC32EB" w:rsidR="00332C33" w:rsidRPr="002451B6" w:rsidRDefault="00332C33">
      <w:pPr>
        <w:spacing w:line="360" w:lineRule="auto"/>
        <w:jc w:val="center"/>
        <w:rPr>
          <w:rFonts w:ascii="Times New Roman" w:eastAsia="Times New Roman" w:hAnsi="Times New Roman" w:cs="Times New Roman"/>
          <w:sz w:val="24"/>
          <w:szCs w:val="24"/>
        </w:rPr>
      </w:pPr>
    </w:p>
    <w:p w14:paraId="14AE1051" w14:textId="77777777" w:rsidR="00332C33" w:rsidRPr="002451B6" w:rsidRDefault="00332C33">
      <w:pPr>
        <w:spacing w:line="360" w:lineRule="auto"/>
        <w:jc w:val="both"/>
        <w:rPr>
          <w:rFonts w:ascii="Times New Roman" w:eastAsia="Times New Roman" w:hAnsi="Times New Roman" w:cs="Times New Roman"/>
          <w:sz w:val="20"/>
          <w:szCs w:val="20"/>
        </w:rPr>
      </w:pPr>
    </w:p>
    <w:p w14:paraId="74B4BB34"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 xml:space="preserve">No próximo tópico, tratamos da figura feminina da bruxa como resistência. </w:t>
      </w:r>
    </w:p>
    <w:p w14:paraId="547EBA8B" w14:textId="77777777" w:rsidR="00332C33" w:rsidRPr="002451B6" w:rsidRDefault="00332C33">
      <w:pPr>
        <w:spacing w:line="360" w:lineRule="auto"/>
        <w:jc w:val="both"/>
        <w:rPr>
          <w:rFonts w:ascii="Times New Roman" w:eastAsia="Times New Roman" w:hAnsi="Times New Roman" w:cs="Times New Roman"/>
          <w:sz w:val="24"/>
          <w:szCs w:val="24"/>
        </w:rPr>
      </w:pPr>
    </w:p>
    <w:p w14:paraId="1CC73BB1"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t>Mundo, factualidade e resistência: Resiste ainda a Bruxa!</w:t>
      </w:r>
    </w:p>
    <w:p w14:paraId="2249BCEF" w14:textId="77777777" w:rsidR="00332C33" w:rsidRPr="002451B6" w:rsidRDefault="00000000">
      <w:pPr>
        <w:spacing w:line="360" w:lineRule="auto"/>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ab/>
        <w:t>Apesar de muitas evidências de a figura feminina da bruxa ser uma construção, e não uma realidade histórica, o mundo masculino, em sua “fálica” existência e preponderância, acaba por suprimir alguns esforços na direção da desconstrução dessa figura má.</w:t>
      </w:r>
    </w:p>
    <w:p w14:paraId="01E1E92E" w14:textId="77777777" w:rsidR="00332C33" w:rsidRPr="002451B6" w:rsidRDefault="00000000">
      <w:pPr>
        <w:spacing w:line="360" w:lineRule="auto"/>
        <w:jc w:val="both"/>
        <w:rPr>
          <w:rFonts w:ascii="Calibri" w:eastAsia="Calibri" w:hAnsi="Calibri" w:cs="Calibri"/>
          <w:sz w:val="24"/>
          <w:szCs w:val="24"/>
        </w:rPr>
      </w:pPr>
      <w:r w:rsidRPr="002451B6">
        <w:rPr>
          <w:rFonts w:ascii="Times New Roman" w:eastAsia="Times New Roman" w:hAnsi="Times New Roman" w:cs="Times New Roman"/>
          <w:sz w:val="24"/>
          <w:szCs w:val="24"/>
        </w:rPr>
        <w:tab/>
        <w:t xml:space="preserve">Contudo, muito do caos causado pela Inquisição tem sido levado a público através de pedidos de desculpas da igreja em vários países. Não é uma forma de ressuscitar vidas ou desfazer erros, é uma forma de reconhecimento que desconstrói máximas como a da figura feminina da bruxa e de outros arquétipos fortemente enraizados ao longo da história. </w:t>
      </w:r>
    </w:p>
    <w:p w14:paraId="52BB40B5"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Por exemplo, a Rainha Ana Bolena (1536), entre outras acusações, foi acusada de bruxaria e decapitada para que seu poder fosse entregue a outrem. Como o crime de bruxaria pesava fortemente, isso acelerou e contribuiu para uma condenação brutal. Ela foi julgada rapidamente e decapitada e seu poder entregue a um </w:t>
      </w:r>
      <w:r w:rsidRPr="002451B6">
        <w:rPr>
          <w:rFonts w:ascii="Times New Roman" w:eastAsia="Times New Roman" w:hAnsi="Times New Roman" w:cs="Times New Roman"/>
          <w:i/>
          <w:iCs/>
          <w:sz w:val="24"/>
          <w:szCs w:val="24"/>
        </w:rPr>
        <w:t>homem.</w:t>
      </w:r>
      <w:r w:rsidRPr="002451B6">
        <w:rPr>
          <w:rFonts w:ascii="Times New Roman" w:eastAsia="Times New Roman" w:hAnsi="Times New Roman" w:cs="Times New Roman"/>
          <w:sz w:val="24"/>
          <w:szCs w:val="24"/>
        </w:rPr>
        <w:t xml:space="preserve"> Recentemente, a condenação da </w:t>
      </w:r>
      <w:r w:rsidRPr="002451B6">
        <w:rPr>
          <w:rFonts w:ascii="Times New Roman" w:eastAsia="Times New Roman" w:hAnsi="Times New Roman" w:cs="Times New Roman"/>
          <w:sz w:val="24"/>
          <w:szCs w:val="24"/>
        </w:rPr>
        <w:lastRenderedPageBreak/>
        <w:t xml:space="preserve">referida rainha foi reconhecida como um erro, principalmente contra o crime de bruxaria. Salve Ana </w:t>
      </w:r>
      <w:proofErr w:type="spellStart"/>
      <w:r w:rsidRPr="002451B6">
        <w:rPr>
          <w:rFonts w:ascii="Times New Roman" w:eastAsia="Times New Roman" w:hAnsi="Times New Roman" w:cs="Times New Roman"/>
          <w:sz w:val="24"/>
          <w:szCs w:val="24"/>
        </w:rPr>
        <w:t>Bolenha</w:t>
      </w:r>
      <w:proofErr w:type="spellEnd"/>
      <w:r w:rsidRPr="002451B6">
        <w:rPr>
          <w:rFonts w:ascii="Times New Roman" w:eastAsia="Times New Roman" w:hAnsi="Times New Roman" w:cs="Times New Roman"/>
          <w:sz w:val="24"/>
          <w:szCs w:val="24"/>
        </w:rPr>
        <w:t>!</w:t>
      </w:r>
    </w:p>
    <w:p w14:paraId="74AE4608" w14:textId="77777777" w:rsidR="00332C33" w:rsidRPr="002451B6" w:rsidRDefault="00000000">
      <w:pPr>
        <w:tabs>
          <w:tab w:val="left" w:pos="720"/>
        </w:tabs>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A Condessa </w:t>
      </w:r>
      <w:proofErr w:type="spellStart"/>
      <w:r w:rsidRPr="002451B6">
        <w:rPr>
          <w:rFonts w:ascii="Times New Roman" w:eastAsia="Times New Roman" w:hAnsi="Times New Roman" w:cs="Times New Roman"/>
          <w:sz w:val="24"/>
          <w:szCs w:val="24"/>
        </w:rPr>
        <w:t>Bathory</w:t>
      </w:r>
      <w:proofErr w:type="spellEnd"/>
      <w:r w:rsidRPr="002451B6">
        <w:rPr>
          <w:rFonts w:ascii="Times New Roman" w:eastAsia="Times New Roman" w:hAnsi="Times New Roman" w:cs="Times New Roman"/>
          <w:sz w:val="24"/>
          <w:szCs w:val="24"/>
        </w:rPr>
        <w:t xml:space="preserve"> ou Condessa Sangrenta (1545), como é mais conhecida, tinha em suas mãos muito poder e para que este fosse passado para as mãos da igreja ou de um homem, ela foi acusada de vampirismo e bruxaria, crimes terríveis naquela época. Muito conhecida e respeitada, a condessa não poderia ser decapitada nem morta em público, já que isso causaria grande revolta ao povo. Portanto, foi encerrada em um cômodo de seu próprio castelo até à morte e o poder foi entregue a um </w:t>
      </w:r>
      <w:r w:rsidRPr="002451B6">
        <w:rPr>
          <w:rFonts w:ascii="Times New Roman" w:eastAsia="Times New Roman" w:hAnsi="Times New Roman" w:cs="Times New Roman"/>
          <w:i/>
          <w:iCs/>
          <w:sz w:val="24"/>
          <w:szCs w:val="24"/>
        </w:rPr>
        <w:t>homem.</w:t>
      </w:r>
      <w:r w:rsidRPr="002451B6">
        <w:rPr>
          <w:rFonts w:ascii="Times New Roman" w:eastAsia="Times New Roman" w:hAnsi="Times New Roman" w:cs="Times New Roman"/>
          <w:sz w:val="24"/>
          <w:szCs w:val="24"/>
        </w:rPr>
        <w:t> </w:t>
      </w:r>
    </w:p>
    <w:p w14:paraId="5CC18F6D" w14:textId="77777777" w:rsidR="00332C33" w:rsidRPr="002451B6" w:rsidRDefault="00000000">
      <w:pPr>
        <w:tabs>
          <w:tab w:val="left" w:pos="720"/>
        </w:tabs>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Ou seja, casos de execução de bruxas não ocorriam somente em massa, apesar de serem marcantes na história e ocorrerem em praça pública. Muitos desses casos, inclusive, eram tidos como uma espécie de apresentação ao povo, sendo ovacionados! Hoje, reconhecemos tal prática como vergonhosa em se tratando de seres humanos assistindo e se regozijando com a morte de outros seres humanos. A execução de bruxas ocorria em massa entre o povo </w:t>
      </w:r>
      <w:proofErr w:type="gramStart"/>
      <w:r w:rsidRPr="002451B6">
        <w:rPr>
          <w:rFonts w:ascii="Times New Roman" w:eastAsia="Times New Roman" w:hAnsi="Times New Roman" w:cs="Times New Roman"/>
          <w:sz w:val="24"/>
          <w:szCs w:val="24"/>
        </w:rPr>
        <w:t>e também</w:t>
      </w:r>
      <w:proofErr w:type="gramEnd"/>
      <w:r w:rsidRPr="002451B6">
        <w:rPr>
          <w:rFonts w:ascii="Times New Roman" w:eastAsia="Times New Roman" w:hAnsi="Times New Roman" w:cs="Times New Roman"/>
          <w:sz w:val="24"/>
          <w:szCs w:val="24"/>
        </w:rPr>
        <w:t xml:space="preserve"> entre a realeza por disputa de poder, principalmente quando o poder estava nas mãos de mulheres. </w:t>
      </w:r>
    </w:p>
    <w:p w14:paraId="08A81F71" w14:textId="77777777" w:rsidR="00332C33" w:rsidRPr="002451B6" w:rsidRDefault="00000000">
      <w:pPr>
        <w:tabs>
          <w:tab w:val="left" w:pos="720"/>
        </w:tabs>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Hoje, as acusações contra bruxaria ocorrem de forma velada através da intolerância religiosa, contra mulheres no poder, através de feminicídios, no desrespeito à fala feminina etc. Ou seja, a bruxaria pode ter mudado de nome, mas a mulher continua sendo desrespeitada em seu espaço de ser de muitas formas. Apesar de filmes, séries e livros tentarem mudar o olhar social sobre a figura feminina da bruxa, a criação dessa figura como diabólica ainda é muito complexa e cheia de mistérios. Tais mistérios estão envoltos na representação simbólica da maldade e por estar no meio social fortemente marcada pela construção em bases sólidas vindas quase que exclusivamente da Inquisição, desde o século II. Portanto, configura-se em tarefa árdua sua desconstrução.</w:t>
      </w:r>
    </w:p>
    <w:p w14:paraId="34CAF989"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Observe a Figura 10, a seguir. Trata-se de uma imagem de uma bruxa horrenda que habita o imaginário da maioria das pessoas, com algumas variações. Alguns programas de TV, streaming, internet etc., até tentam mudar essa imagem, mas trata-se de uma representação consolidada no tempo, ou seja, uma imagem rude, que se prende aos contos de fadas como aquela que produz e faz o mal. </w:t>
      </w:r>
    </w:p>
    <w:p w14:paraId="69D3BB2F" w14:textId="77777777" w:rsidR="00332C33" w:rsidRPr="002451B6" w:rsidRDefault="00332C33">
      <w:pPr>
        <w:spacing w:line="360" w:lineRule="auto"/>
        <w:jc w:val="center"/>
        <w:rPr>
          <w:rFonts w:ascii="Times New Roman" w:eastAsia="Times New Roman" w:hAnsi="Times New Roman" w:cs="Times New Roman"/>
          <w:sz w:val="20"/>
          <w:szCs w:val="20"/>
        </w:rPr>
      </w:pPr>
    </w:p>
    <w:p w14:paraId="5451D560" w14:textId="32B95F8A" w:rsidR="00332C33" w:rsidRPr="003C02C3" w:rsidRDefault="00000000" w:rsidP="003C02C3">
      <w:pPr>
        <w:spacing w:line="360" w:lineRule="auto"/>
        <w:jc w:val="center"/>
        <w:rPr>
          <w:rFonts w:ascii="Times New Roman" w:eastAsia="Times New Roman" w:hAnsi="Times New Roman" w:cs="Times New Roman"/>
          <w:sz w:val="20"/>
          <w:szCs w:val="20"/>
        </w:rPr>
      </w:pPr>
      <w:r w:rsidRPr="002451B6">
        <w:rPr>
          <w:rFonts w:ascii="Times New Roman" w:eastAsia="Times New Roman" w:hAnsi="Times New Roman" w:cs="Times New Roman"/>
          <w:sz w:val="20"/>
          <w:szCs w:val="20"/>
          <w:highlight w:val="yellow"/>
        </w:rPr>
        <w:t>Figura 10 – Imagem feita por IA.</w:t>
      </w:r>
      <w:r w:rsidRPr="002451B6">
        <w:rPr>
          <w:rFonts w:ascii="Times New Roman" w:eastAsia="Times New Roman" w:hAnsi="Times New Roman" w:cs="Times New Roman"/>
          <w:sz w:val="20"/>
          <w:szCs w:val="20"/>
        </w:rPr>
        <w:t xml:space="preserve"> </w:t>
      </w:r>
    </w:p>
    <w:p w14:paraId="092E3EE1" w14:textId="77777777" w:rsidR="00332C33" w:rsidRPr="002451B6" w:rsidRDefault="00332C33">
      <w:pPr>
        <w:spacing w:line="360" w:lineRule="auto"/>
        <w:ind w:firstLine="708"/>
        <w:jc w:val="both"/>
        <w:rPr>
          <w:rFonts w:ascii="Times New Roman" w:eastAsia="Times New Roman" w:hAnsi="Times New Roman" w:cs="Times New Roman"/>
          <w:sz w:val="24"/>
          <w:szCs w:val="24"/>
        </w:rPr>
      </w:pPr>
    </w:p>
    <w:p w14:paraId="4E2EF58F" w14:textId="77777777" w:rsidR="00332C33" w:rsidRPr="002451B6" w:rsidRDefault="00000000">
      <w:pPr>
        <w:spacing w:line="360" w:lineRule="auto"/>
        <w:ind w:firstLine="708"/>
        <w:jc w:val="both"/>
        <w:rPr>
          <w:rFonts w:ascii="Times New Roman" w:eastAsia="Times New Roman" w:hAnsi="Times New Roman" w:cs="Times New Roman"/>
          <w:sz w:val="20"/>
          <w:szCs w:val="20"/>
        </w:rPr>
      </w:pPr>
      <w:r w:rsidRPr="002451B6">
        <w:rPr>
          <w:rFonts w:ascii="Times New Roman" w:eastAsia="Times New Roman" w:hAnsi="Times New Roman" w:cs="Times New Roman"/>
          <w:sz w:val="24"/>
          <w:szCs w:val="24"/>
        </w:rPr>
        <w:t xml:space="preserve">Uma bruxa que faz o bem existe em poucas histórias. Autores que buscam mudar essa realidade, como Eva Furnari, ainda sãos poucos, mas existem, resistem e estão surgindo cada vez mais, assim como a resistência feminina que cai, que se levanta, que não tem medo do </w:t>
      </w:r>
      <w:r w:rsidRPr="002451B6">
        <w:rPr>
          <w:rFonts w:ascii="Times New Roman" w:eastAsia="Times New Roman" w:hAnsi="Times New Roman" w:cs="Times New Roman"/>
          <w:sz w:val="24"/>
          <w:szCs w:val="24"/>
        </w:rPr>
        <w:lastRenderedPageBreak/>
        <w:t xml:space="preserve">patriarcado que domina o mundo, que mesmo sendo o domínio simbólico de um campo já estabelecido (Foucault, 2003), é um símbolo que pode ser alterado e estabelecer novos campos de acesso para o feminino. E assim como as mentes podem mudar apesar das dificuldades, os homens, as mulheres e a humanidade, um dia, também podem. </w:t>
      </w:r>
    </w:p>
    <w:p w14:paraId="7DF81FC6" w14:textId="6F70B783" w:rsidR="00332C33" w:rsidRPr="002451B6" w:rsidRDefault="00000000" w:rsidP="005A21C4">
      <w:pPr>
        <w:spacing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Sabemos que é muito difícil mudar a concepção do imaginário (Maffesoli, 1996) global que temos bruxa, mas a possibilidade de trânsitos de imaginários não é impossível. Os imaginários não são palpáveis, são imagináveis. O imaginário vem da imaginação, portanto, construí-lo é uma possibilidade, um portal de nuvens dentro da imaginação coletiva. Imaginário vai além da imaginação, mas faz parte dela com a contribuição simbólica do coletivo em construção. </w:t>
      </w:r>
    </w:p>
    <w:p w14:paraId="32E7F4D4" w14:textId="77777777" w:rsidR="00332C33" w:rsidRPr="002451B6" w:rsidRDefault="00000000">
      <w:pPr>
        <w:spacing w:line="360" w:lineRule="auto"/>
        <w:ind w:firstLine="708"/>
        <w:jc w:val="both"/>
        <w:rPr>
          <w:rFonts w:ascii="Times New Roman" w:eastAsia="Times New Roman" w:hAnsi="Times New Roman" w:cs="Times New Roman"/>
          <w:b/>
          <w:bCs/>
          <w:sz w:val="24"/>
          <w:szCs w:val="24"/>
        </w:rPr>
      </w:pPr>
      <w:r w:rsidRPr="002451B6">
        <w:rPr>
          <w:rFonts w:ascii="Times New Roman" w:eastAsia="Times New Roman" w:hAnsi="Times New Roman" w:cs="Times New Roman"/>
          <w:sz w:val="24"/>
          <w:szCs w:val="24"/>
        </w:rPr>
        <w:t xml:space="preserve">O imaginário coletivo enxerga a palavra e a imagem feminina da bruxa como algo ruim e mal. Apesar do exposto, muitas mulheres lutam contra esse simbolismo e mostram que bruxas eram e são pessoas que conheciam e conhecem plantas curativas, faziam partos, curavam doentes, entre outros.  Nesse sentido, o imaginário que envolve bruxas, curandeiras, e benzedeiras precisa e pode ser resgatado. </w:t>
      </w:r>
    </w:p>
    <w:p w14:paraId="07A83346" w14:textId="77777777" w:rsidR="00332C33" w:rsidRPr="002451B6" w:rsidRDefault="00000000">
      <w:pPr>
        <w:spacing w:line="360" w:lineRule="auto"/>
        <w:ind w:firstLine="708"/>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 para finalizar nosso estudo, a pergunta “Como foi construída a figura feminina da bruxa?” teve algumas respostas, mas a mais importante delas é a construção dos imaginários que nos acompanham nas culturas que se desvelam a cada dia. A palavra que fica sobre bruxas e cultura é construção. Construir dentro de imaginários é o papel das coletividades, não só de mulheres, não de homens, mas da coletividade. A imagem que deslanchou este texto e as reflexões nele contidas foi a página inicial de uma mídia de 1643 e, como relatamos, a pesquisa continuou e encontramos a parte interna dessa mídia. Vamos compartilhá-la a partir de uma </w:t>
      </w:r>
      <w:r w:rsidRPr="002451B6">
        <w:rPr>
          <w:rFonts w:ascii="Times New Roman" w:eastAsia="Times New Roman" w:hAnsi="Times New Roman" w:cs="Times New Roman"/>
          <w:i/>
          <w:iCs/>
          <w:sz w:val="24"/>
          <w:szCs w:val="24"/>
        </w:rPr>
        <w:t xml:space="preserve">QR </w:t>
      </w:r>
      <w:proofErr w:type="spellStart"/>
      <w:r w:rsidRPr="002451B6">
        <w:rPr>
          <w:rFonts w:ascii="Times New Roman" w:eastAsia="Times New Roman" w:hAnsi="Times New Roman" w:cs="Times New Roman"/>
          <w:i/>
          <w:iCs/>
          <w:sz w:val="24"/>
          <w:szCs w:val="24"/>
        </w:rPr>
        <w:t>Code</w:t>
      </w:r>
      <w:proofErr w:type="spellEnd"/>
      <w:r w:rsidRPr="002451B6">
        <w:rPr>
          <w:rFonts w:ascii="Times New Roman" w:eastAsia="Times New Roman" w:hAnsi="Times New Roman" w:cs="Times New Roman"/>
          <w:sz w:val="24"/>
          <w:szCs w:val="24"/>
        </w:rPr>
        <w:t xml:space="preserve"> no Apêndice ao final desse estudo para que os leitores possam refletir e tirar suas conclusões sobre tempo, culturas e imaginários. </w:t>
      </w:r>
    </w:p>
    <w:p w14:paraId="5AC3B821" w14:textId="77777777" w:rsidR="00332C33" w:rsidRPr="002451B6" w:rsidRDefault="00000000">
      <w:pPr>
        <w:spacing w:line="360" w:lineRule="auto"/>
        <w:ind w:firstLine="708"/>
        <w:jc w:val="both"/>
        <w:rPr>
          <w:rFonts w:ascii="Calibri" w:eastAsia="Calibri" w:hAnsi="Calibri" w:cs="Calibri"/>
          <w:sz w:val="24"/>
          <w:szCs w:val="24"/>
        </w:rPr>
      </w:pPr>
      <w:r w:rsidRPr="002451B6">
        <w:rPr>
          <w:rFonts w:ascii="Times New Roman" w:eastAsia="Times New Roman" w:hAnsi="Times New Roman" w:cs="Times New Roman"/>
          <w:sz w:val="24"/>
          <w:szCs w:val="24"/>
        </w:rPr>
        <w:t xml:space="preserve">A partir do estudo exposto, convidamos os leitores a refletirem os gêneros apresentados, os materiais apresentados e aqueles apresentados no </w:t>
      </w:r>
      <w:r w:rsidRPr="002451B6">
        <w:rPr>
          <w:rFonts w:ascii="Times New Roman" w:eastAsia="Times New Roman" w:hAnsi="Times New Roman" w:cs="Times New Roman"/>
          <w:i/>
          <w:iCs/>
          <w:sz w:val="24"/>
          <w:szCs w:val="24"/>
        </w:rPr>
        <w:t>QR</w:t>
      </w:r>
      <w:r w:rsidRPr="002451B6">
        <w:rPr>
          <w:rFonts w:ascii="Times New Roman" w:eastAsia="Times New Roman" w:hAnsi="Times New Roman" w:cs="Times New Roman"/>
          <w:sz w:val="24"/>
          <w:szCs w:val="24"/>
        </w:rPr>
        <w:t xml:space="preserve"> também. Assim refletimos nosso papel no mundo, não só a construção feminina da figura da bruxa. Talvez essa tenha sido a provocação inicial para uma reflexão oportuna, mas que a partir dela possamos refletir construções outras, imaginários outros e nosso papel cultural no tempo de que fazemos parte e nos próximos que virão. </w:t>
      </w:r>
    </w:p>
    <w:p w14:paraId="217BB091" w14:textId="77777777" w:rsidR="00332C33" w:rsidRPr="002451B6" w:rsidRDefault="00000000">
      <w:pPr>
        <w:spacing w:line="360" w:lineRule="auto"/>
        <w:ind w:firstLine="708"/>
        <w:jc w:val="both"/>
        <w:rPr>
          <w:rFonts w:ascii="Times New Roman" w:eastAsia="Times New Roman" w:hAnsi="Times New Roman" w:cs="Times New Roman"/>
          <w:i/>
          <w:iCs/>
          <w:sz w:val="24"/>
          <w:szCs w:val="24"/>
        </w:rPr>
      </w:pPr>
      <w:r w:rsidRPr="002451B6">
        <w:rPr>
          <w:rFonts w:ascii="Times New Roman" w:eastAsia="Times New Roman" w:hAnsi="Times New Roman" w:cs="Times New Roman"/>
          <w:sz w:val="24"/>
          <w:szCs w:val="24"/>
        </w:rPr>
        <w:t xml:space="preserve">Porque </w:t>
      </w:r>
      <w:r w:rsidRPr="002451B6">
        <w:rPr>
          <w:rFonts w:ascii="Times New Roman" w:eastAsia="Times New Roman" w:hAnsi="Times New Roman" w:cs="Times New Roman"/>
          <w:i/>
          <w:iCs/>
          <w:sz w:val="24"/>
          <w:szCs w:val="24"/>
        </w:rPr>
        <w:t>ser bruxa foi e ainda é ser resistência!</w:t>
      </w:r>
    </w:p>
    <w:p w14:paraId="22E86A56" w14:textId="77777777" w:rsidR="007E3B11" w:rsidRPr="002451B6" w:rsidRDefault="007E3B11">
      <w:pPr>
        <w:spacing w:line="360" w:lineRule="auto"/>
        <w:ind w:firstLine="708"/>
        <w:jc w:val="both"/>
        <w:rPr>
          <w:rFonts w:ascii="Times New Roman" w:eastAsia="Times New Roman" w:hAnsi="Times New Roman" w:cs="Times New Roman"/>
          <w:b/>
          <w:bCs/>
          <w:sz w:val="24"/>
          <w:szCs w:val="24"/>
        </w:rPr>
      </w:pPr>
    </w:p>
    <w:p w14:paraId="213177B4" w14:textId="77777777" w:rsidR="00332C33" w:rsidRPr="002451B6" w:rsidRDefault="00000000">
      <w:pPr>
        <w:spacing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Referências</w:t>
      </w:r>
    </w:p>
    <w:p w14:paraId="01CA03BE"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lastRenderedPageBreak/>
        <w:t xml:space="preserve">ADICHIE, C. N. </w:t>
      </w:r>
      <w:r w:rsidRPr="002451B6">
        <w:rPr>
          <w:rFonts w:ascii="Times New Roman" w:eastAsia="Times New Roman" w:hAnsi="Times New Roman" w:cs="Times New Roman"/>
          <w:i/>
          <w:iCs/>
        </w:rPr>
        <w:t>O perigo de uma história única.</w:t>
      </w:r>
      <w:r w:rsidRPr="002451B6">
        <w:rPr>
          <w:rFonts w:ascii="Times New Roman" w:eastAsia="Times New Roman" w:hAnsi="Times New Roman" w:cs="Times New Roman"/>
          <w:b/>
          <w:bCs/>
        </w:rPr>
        <w:t xml:space="preserve"> </w:t>
      </w:r>
      <w:r w:rsidRPr="002451B6">
        <w:rPr>
          <w:rFonts w:ascii="Times New Roman" w:eastAsia="Times New Roman" w:hAnsi="Times New Roman" w:cs="Times New Roman"/>
        </w:rPr>
        <w:t>Tradução de Julia Romeu. São Paulo: Companhia das Letras, 2019.</w:t>
      </w:r>
    </w:p>
    <w:p w14:paraId="3DFE5136" w14:textId="77777777" w:rsidR="00332C33" w:rsidRPr="002451B6" w:rsidRDefault="00332C33">
      <w:pPr>
        <w:spacing w:line="240" w:lineRule="auto"/>
        <w:jc w:val="both"/>
        <w:rPr>
          <w:rFonts w:ascii="Times New Roman" w:eastAsia="Times New Roman" w:hAnsi="Times New Roman" w:cs="Times New Roman"/>
        </w:rPr>
      </w:pPr>
    </w:p>
    <w:p w14:paraId="607E5F82"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BOURDIEU, P. </w:t>
      </w:r>
      <w:r w:rsidRPr="002451B6">
        <w:rPr>
          <w:rFonts w:ascii="Times New Roman" w:eastAsia="Times New Roman" w:hAnsi="Times New Roman" w:cs="Times New Roman"/>
          <w:i/>
          <w:iCs/>
        </w:rPr>
        <w:t>O Poder Simbólico</w:t>
      </w:r>
      <w:r w:rsidRPr="002451B6">
        <w:rPr>
          <w:rFonts w:ascii="Times New Roman" w:eastAsia="Times New Roman" w:hAnsi="Times New Roman" w:cs="Times New Roman"/>
        </w:rPr>
        <w:t>. Tradução Fernando Tomaz (português de Portugal). 2.ed. Rio de Janeiro, ed. Bertrand. Brasil, 1998.</w:t>
      </w:r>
    </w:p>
    <w:p w14:paraId="6B22D55E" w14:textId="77777777" w:rsidR="00332C33" w:rsidRPr="002451B6" w:rsidRDefault="00332C33">
      <w:pPr>
        <w:spacing w:line="240" w:lineRule="auto"/>
        <w:jc w:val="both"/>
        <w:rPr>
          <w:rFonts w:ascii="Times New Roman" w:eastAsia="Times New Roman" w:hAnsi="Times New Roman" w:cs="Times New Roman"/>
        </w:rPr>
      </w:pPr>
    </w:p>
    <w:p w14:paraId="32605A81"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BUTLER, J. </w:t>
      </w:r>
      <w:r w:rsidRPr="002451B6">
        <w:rPr>
          <w:rFonts w:ascii="Times New Roman" w:eastAsia="Times New Roman" w:hAnsi="Times New Roman" w:cs="Times New Roman"/>
          <w:i/>
          <w:iCs/>
        </w:rPr>
        <w:t>Corpos que importam:</w:t>
      </w:r>
      <w:r w:rsidRPr="002451B6">
        <w:rPr>
          <w:rFonts w:ascii="Times New Roman" w:eastAsia="Times New Roman" w:hAnsi="Times New Roman" w:cs="Times New Roman"/>
        </w:rPr>
        <w:t xml:space="preserve"> sobre a materialidade dos gêneros. 2. ed. Rio de Janeiro: Civilização Brasileira, 2019.</w:t>
      </w:r>
    </w:p>
    <w:p w14:paraId="357CDB4F" w14:textId="77777777" w:rsidR="00332C33" w:rsidRPr="002451B6" w:rsidRDefault="00332C33">
      <w:pPr>
        <w:spacing w:line="240" w:lineRule="auto"/>
        <w:jc w:val="both"/>
        <w:rPr>
          <w:rFonts w:ascii="Times New Roman" w:eastAsia="Times New Roman" w:hAnsi="Times New Roman" w:cs="Times New Roman"/>
        </w:rPr>
      </w:pPr>
    </w:p>
    <w:p w14:paraId="11F63461"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BUTLER, J.  </w:t>
      </w:r>
      <w:r w:rsidRPr="002451B6">
        <w:rPr>
          <w:rFonts w:ascii="Times New Roman" w:eastAsia="Times New Roman" w:hAnsi="Times New Roman" w:cs="Times New Roman"/>
          <w:i/>
          <w:iCs/>
        </w:rPr>
        <w:t>Quem tem medo do gênero?</w:t>
      </w:r>
      <w:r w:rsidRPr="002451B6">
        <w:rPr>
          <w:rFonts w:ascii="Times New Roman" w:eastAsia="Times New Roman" w:hAnsi="Times New Roman" w:cs="Times New Roman"/>
        </w:rPr>
        <w:t xml:space="preserve"> São Paulo: Ed. Boitempo, 2024.</w:t>
      </w:r>
    </w:p>
    <w:p w14:paraId="2D441613" w14:textId="77777777" w:rsidR="00332C33" w:rsidRPr="002451B6" w:rsidRDefault="00332C33">
      <w:pPr>
        <w:spacing w:line="240" w:lineRule="auto"/>
        <w:jc w:val="both"/>
        <w:rPr>
          <w:rFonts w:ascii="Times New Roman" w:eastAsia="Times New Roman" w:hAnsi="Times New Roman" w:cs="Times New Roman"/>
        </w:rPr>
      </w:pPr>
    </w:p>
    <w:p w14:paraId="280FB085"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FIGUEIREDO, V. F. </w:t>
      </w:r>
      <w:r w:rsidRPr="002451B6">
        <w:rPr>
          <w:rFonts w:ascii="Times New Roman" w:eastAsia="Times New Roman" w:hAnsi="Times New Roman" w:cs="Times New Roman"/>
          <w:i/>
          <w:iCs/>
        </w:rPr>
        <w:t>Narrativas migrantes</w:t>
      </w:r>
      <w:r w:rsidRPr="002451B6">
        <w:rPr>
          <w:rFonts w:ascii="Times New Roman" w:eastAsia="Times New Roman" w:hAnsi="Times New Roman" w:cs="Times New Roman"/>
        </w:rPr>
        <w:t>. São Paulo: Annablume, 2010.</w:t>
      </w:r>
    </w:p>
    <w:p w14:paraId="7CF39B14" w14:textId="77777777" w:rsidR="00332C33" w:rsidRPr="002451B6" w:rsidRDefault="00332C33">
      <w:pPr>
        <w:spacing w:line="240" w:lineRule="auto"/>
        <w:jc w:val="both"/>
        <w:rPr>
          <w:rFonts w:ascii="Times New Roman" w:eastAsia="Times New Roman" w:hAnsi="Times New Roman" w:cs="Times New Roman"/>
        </w:rPr>
      </w:pPr>
    </w:p>
    <w:p w14:paraId="28915A62"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FOUCAULT, M. </w:t>
      </w:r>
      <w:r w:rsidRPr="002451B6">
        <w:rPr>
          <w:rFonts w:ascii="Times New Roman" w:eastAsia="Times New Roman" w:hAnsi="Times New Roman" w:cs="Times New Roman"/>
          <w:i/>
          <w:iCs/>
        </w:rPr>
        <w:t>Microfísica do poder</w:t>
      </w:r>
      <w:r w:rsidRPr="002451B6">
        <w:rPr>
          <w:rFonts w:ascii="Times New Roman" w:eastAsia="Times New Roman" w:hAnsi="Times New Roman" w:cs="Times New Roman"/>
        </w:rPr>
        <w:t>. 18. ed. Rio de Janeiro: Graal, 2003.</w:t>
      </w:r>
    </w:p>
    <w:p w14:paraId="6B452EDA" w14:textId="77777777" w:rsidR="00332C33" w:rsidRPr="002451B6" w:rsidRDefault="00332C33">
      <w:pPr>
        <w:spacing w:line="240" w:lineRule="auto"/>
        <w:jc w:val="both"/>
        <w:rPr>
          <w:rFonts w:ascii="Times New Roman" w:eastAsia="Times New Roman" w:hAnsi="Times New Roman" w:cs="Times New Roman"/>
        </w:rPr>
      </w:pPr>
    </w:p>
    <w:p w14:paraId="58234573"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FURNARI, E. </w:t>
      </w:r>
      <w:r w:rsidRPr="002451B6">
        <w:rPr>
          <w:rFonts w:ascii="Times New Roman" w:eastAsia="Times New Roman" w:hAnsi="Times New Roman" w:cs="Times New Roman"/>
          <w:i/>
          <w:iCs/>
        </w:rPr>
        <w:t xml:space="preserve">Do homem palito à bruxinha mais amada do </w:t>
      </w:r>
      <w:proofErr w:type="gramStart"/>
      <w:r w:rsidRPr="002451B6">
        <w:rPr>
          <w:rFonts w:ascii="Times New Roman" w:eastAsia="Times New Roman" w:hAnsi="Times New Roman" w:cs="Times New Roman"/>
          <w:i/>
          <w:iCs/>
        </w:rPr>
        <w:t>país!</w:t>
      </w:r>
      <w:r w:rsidRPr="002451B6">
        <w:rPr>
          <w:rFonts w:ascii="Times New Roman" w:eastAsia="Times New Roman" w:hAnsi="Times New Roman" w:cs="Times New Roman"/>
          <w:b/>
          <w:bCs/>
        </w:rPr>
        <w:t>.</w:t>
      </w:r>
      <w:proofErr w:type="gramEnd"/>
      <w:r w:rsidRPr="002451B6">
        <w:rPr>
          <w:rFonts w:ascii="Times New Roman" w:eastAsia="Times New Roman" w:hAnsi="Times New Roman" w:cs="Times New Roman"/>
        </w:rPr>
        <w:t xml:space="preserve"> Depoimento digital. Museu da Pessoa, 2013. Disponível em: </w:t>
      </w:r>
      <w:hyperlink r:id="rId91">
        <w:r w:rsidR="00332C33" w:rsidRPr="002451B6">
          <w:rPr>
            <w:rFonts w:ascii="Times New Roman" w:eastAsia="Times New Roman" w:hAnsi="Times New Roman" w:cs="Times New Roman"/>
            <w:u w:val="single"/>
          </w:rPr>
          <w:t>https://museudapessoa.org/historia-de-vida/do-homem-palito-bruxinha-mais-amada-do-pa-s/</w:t>
        </w:r>
      </w:hyperlink>
      <w:r w:rsidRPr="002451B6">
        <w:rPr>
          <w:rFonts w:ascii="Times New Roman" w:eastAsia="Times New Roman" w:hAnsi="Times New Roman" w:cs="Times New Roman"/>
        </w:rPr>
        <w:t>. Acesso em: 11 jun. 2025.</w:t>
      </w:r>
    </w:p>
    <w:p w14:paraId="5C2C281D" w14:textId="77777777" w:rsidR="00332C33" w:rsidRPr="002451B6" w:rsidRDefault="00332C33">
      <w:pPr>
        <w:spacing w:line="240" w:lineRule="auto"/>
        <w:jc w:val="both"/>
        <w:rPr>
          <w:rFonts w:ascii="Times New Roman" w:eastAsia="Times New Roman" w:hAnsi="Times New Roman" w:cs="Times New Roman"/>
        </w:rPr>
      </w:pPr>
    </w:p>
    <w:p w14:paraId="250BCA7C"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JENKINS, H. </w:t>
      </w:r>
      <w:r w:rsidRPr="002451B6">
        <w:rPr>
          <w:rFonts w:ascii="Times New Roman" w:eastAsia="Times New Roman" w:hAnsi="Times New Roman" w:cs="Times New Roman"/>
          <w:i/>
          <w:iCs/>
        </w:rPr>
        <w:t>Cultura da convergência</w:t>
      </w:r>
      <w:r w:rsidRPr="002451B6">
        <w:rPr>
          <w:rFonts w:ascii="Times New Roman" w:eastAsia="Times New Roman" w:hAnsi="Times New Roman" w:cs="Times New Roman"/>
          <w:b/>
          <w:bCs/>
        </w:rPr>
        <w:t>.</w:t>
      </w:r>
      <w:r w:rsidRPr="002451B6">
        <w:rPr>
          <w:rFonts w:ascii="Times New Roman" w:eastAsia="Times New Roman" w:hAnsi="Times New Roman" w:cs="Times New Roman"/>
        </w:rPr>
        <w:t xml:space="preserve"> Tradução: Marcelo Firmino. São Paulo: Aleph, 2008.</w:t>
      </w:r>
    </w:p>
    <w:p w14:paraId="5063CABE" w14:textId="77777777" w:rsidR="00332C33" w:rsidRPr="002451B6" w:rsidRDefault="00332C33">
      <w:pPr>
        <w:spacing w:line="240" w:lineRule="auto"/>
        <w:jc w:val="both"/>
        <w:rPr>
          <w:rFonts w:ascii="Times New Roman" w:eastAsia="Times New Roman" w:hAnsi="Times New Roman" w:cs="Times New Roman"/>
        </w:rPr>
      </w:pPr>
    </w:p>
    <w:p w14:paraId="1F65B0BE"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KRISTEVA, J.</w:t>
      </w:r>
      <w:r w:rsidRPr="002451B6">
        <w:rPr>
          <w:rFonts w:ascii="Times New Roman" w:eastAsia="Times New Roman" w:hAnsi="Times New Roman" w:cs="Times New Roman"/>
          <w:i/>
          <w:iCs/>
        </w:rPr>
        <w:t xml:space="preserve"> </w:t>
      </w:r>
      <w:r w:rsidRPr="002451B6">
        <w:rPr>
          <w:rFonts w:ascii="Times New Roman" w:eastAsia="Times New Roman" w:hAnsi="Times New Roman" w:cs="Times New Roman"/>
        </w:rPr>
        <w:t xml:space="preserve">Word, dialogue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novel. </w:t>
      </w:r>
      <w:r w:rsidRPr="002451B6">
        <w:rPr>
          <w:rFonts w:ascii="Times New Roman" w:eastAsia="Times New Roman" w:hAnsi="Times New Roman" w:cs="Times New Roman"/>
          <w:i/>
          <w:iCs/>
        </w:rPr>
        <w:t xml:space="preserve">In: </w:t>
      </w:r>
      <w:r w:rsidRPr="002451B6">
        <w:rPr>
          <w:rFonts w:ascii="Times New Roman" w:eastAsia="Times New Roman" w:hAnsi="Times New Roman" w:cs="Times New Roman"/>
        </w:rPr>
        <w:t xml:space="preserve">KRISTEVA, J. </w:t>
      </w:r>
      <w:r w:rsidRPr="002451B6">
        <w:rPr>
          <w:rFonts w:ascii="Times New Roman" w:eastAsia="Times New Roman" w:hAnsi="Times New Roman" w:cs="Times New Roman"/>
          <w:i/>
          <w:iCs/>
        </w:rPr>
        <w:t xml:space="preserve">Desire in </w:t>
      </w:r>
      <w:proofErr w:type="spellStart"/>
      <w:r w:rsidRPr="002451B6">
        <w:rPr>
          <w:rFonts w:ascii="Times New Roman" w:eastAsia="Times New Roman" w:hAnsi="Times New Roman" w:cs="Times New Roman"/>
          <w:i/>
          <w:iCs/>
        </w:rPr>
        <w:t>language</w:t>
      </w:r>
      <w:proofErr w:type="spellEnd"/>
      <w:r w:rsidRPr="002451B6">
        <w:rPr>
          <w:rFonts w:ascii="Times New Roman" w:eastAsia="Times New Roman" w:hAnsi="Times New Roman" w:cs="Times New Roman"/>
          <w:i/>
          <w:iCs/>
        </w:rPr>
        <w:t xml:space="preserve">: </w:t>
      </w:r>
      <w:r w:rsidRPr="002451B6">
        <w:rPr>
          <w:rFonts w:ascii="Times New Roman" w:eastAsia="Times New Roman" w:hAnsi="Times New Roman" w:cs="Times New Roman"/>
        </w:rPr>
        <w:t xml:space="preserve">a </w:t>
      </w:r>
      <w:proofErr w:type="spellStart"/>
      <w:r w:rsidRPr="002451B6">
        <w:rPr>
          <w:rFonts w:ascii="Times New Roman" w:eastAsia="Times New Roman" w:hAnsi="Times New Roman" w:cs="Times New Roman"/>
        </w:rPr>
        <w:t>semiotic</w:t>
      </w:r>
      <w:proofErr w:type="spellEnd"/>
      <w:r w:rsidRPr="002451B6">
        <w:rPr>
          <w:rFonts w:ascii="Times New Roman" w:eastAsia="Times New Roman" w:hAnsi="Times New Roman" w:cs="Times New Roman"/>
        </w:rPr>
        <w:t xml:space="preserve"> approach </w:t>
      </w:r>
      <w:proofErr w:type="spellStart"/>
      <w:r w:rsidRPr="002451B6">
        <w:rPr>
          <w:rFonts w:ascii="Times New Roman" w:eastAsia="Times New Roman" w:hAnsi="Times New Roman" w:cs="Times New Roman"/>
        </w:rPr>
        <w:t>to</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literature</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art. </w:t>
      </w:r>
      <w:proofErr w:type="spellStart"/>
      <w:r w:rsidRPr="002451B6">
        <w:rPr>
          <w:rFonts w:ascii="Times New Roman" w:eastAsia="Times New Roman" w:hAnsi="Times New Roman" w:cs="Times New Roman"/>
        </w:rPr>
        <w:t>Edited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by</w:t>
      </w:r>
      <w:proofErr w:type="spellEnd"/>
      <w:r w:rsidRPr="002451B6">
        <w:rPr>
          <w:rFonts w:ascii="Times New Roman" w:eastAsia="Times New Roman" w:hAnsi="Times New Roman" w:cs="Times New Roman"/>
        </w:rPr>
        <w:t xml:space="preserve"> Leon S. </w:t>
      </w:r>
      <w:proofErr w:type="spellStart"/>
      <w:r w:rsidRPr="002451B6">
        <w:rPr>
          <w:rFonts w:ascii="Times New Roman" w:eastAsia="Times New Roman" w:hAnsi="Times New Roman" w:cs="Times New Roman"/>
        </w:rPr>
        <w:t>Roudiez</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Translated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by</w:t>
      </w:r>
      <w:proofErr w:type="spellEnd"/>
      <w:r w:rsidRPr="002451B6">
        <w:rPr>
          <w:rFonts w:ascii="Times New Roman" w:eastAsia="Times New Roman" w:hAnsi="Times New Roman" w:cs="Times New Roman"/>
        </w:rPr>
        <w:t xml:space="preserve"> Thomas Gora, Alice Jardine,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Leon S. </w:t>
      </w:r>
      <w:proofErr w:type="spellStart"/>
      <w:r w:rsidRPr="002451B6">
        <w:rPr>
          <w:rFonts w:ascii="Times New Roman" w:eastAsia="Times New Roman" w:hAnsi="Times New Roman" w:cs="Times New Roman"/>
        </w:rPr>
        <w:t>Roudiez</w:t>
      </w:r>
      <w:proofErr w:type="spellEnd"/>
      <w:r w:rsidRPr="002451B6">
        <w:rPr>
          <w:rFonts w:ascii="Times New Roman" w:eastAsia="Times New Roman" w:hAnsi="Times New Roman" w:cs="Times New Roman"/>
        </w:rPr>
        <w:t xml:space="preserve">. New York: Columbia </w:t>
      </w:r>
      <w:proofErr w:type="spellStart"/>
      <w:r w:rsidRPr="002451B6">
        <w:rPr>
          <w:rFonts w:ascii="Times New Roman" w:eastAsia="Times New Roman" w:hAnsi="Times New Roman" w:cs="Times New Roman"/>
        </w:rPr>
        <w:t>University</w:t>
      </w:r>
      <w:proofErr w:type="spellEnd"/>
      <w:r w:rsidRPr="002451B6">
        <w:rPr>
          <w:rFonts w:ascii="Times New Roman" w:eastAsia="Times New Roman" w:hAnsi="Times New Roman" w:cs="Times New Roman"/>
        </w:rPr>
        <w:t xml:space="preserve"> Press, 1980. p. 64-91. </w:t>
      </w:r>
    </w:p>
    <w:p w14:paraId="1B3A3B13" w14:textId="77777777" w:rsidR="00332C33" w:rsidRPr="002451B6" w:rsidRDefault="00332C33">
      <w:pPr>
        <w:spacing w:line="240" w:lineRule="auto"/>
        <w:jc w:val="both"/>
        <w:rPr>
          <w:rFonts w:ascii="Times New Roman" w:eastAsia="Times New Roman" w:hAnsi="Times New Roman" w:cs="Times New Roman"/>
          <w:b/>
          <w:bCs/>
        </w:rPr>
      </w:pPr>
    </w:p>
    <w:p w14:paraId="23F8F769"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LISSOVSKY, M. </w:t>
      </w:r>
      <w:r w:rsidRPr="002451B6">
        <w:rPr>
          <w:rFonts w:ascii="Times New Roman" w:eastAsia="Times New Roman" w:hAnsi="Times New Roman" w:cs="Times New Roman"/>
          <w:i/>
          <w:iCs/>
        </w:rPr>
        <w:t>A máquina de esperar:</w:t>
      </w:r>
      <w:r w:rsidRPr="002451B6">
        <w:rPr>
          <w:rFonts w:ascii="Times New Roman" w:eastAsia="Times New Roman" w:hAnsi="Times New Roman" w:cs="Times New Roman"/>
        </w:rPr>
        <w:t xml:space="preserve"> origem e estética da fotografia moderna. 1. ed. Rio de Janeiro: Mauad X, 2004. </w:t>
      </w:r>
    </w:p>
    <w:p w14:paraId="213830C4" w14:textId="77777777" w:rsidR="00332C33" w:rsidRPr="002451B6" w:rsidRDefault="00332C33">
      <w:pPr>
        <w:spacing w:line="240" w:lineRule="auto"/>
        <w:jc w:val="both"/>
        <w:rPr>
          <w:rFonts w:ascii="Times New Roman" w:eastAsia="Times New Roman" w:hAnsi="Times New Roman" w:cs="Times New Roman"/>
        </w:rPr>
      </w:pPr>
    </w:p>
    <w:p w14:paraId="03B39CD5"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MAFFESOLI, M. </w:t>
      </w:r>
      <w:r w:rsidRPr="002451B6">
        <w:rPr>
          <w:rFonts w:ascii="Times New Roman" w:eastAsia="Times New Roman" w:hAnsi="Times New Roman" w:cs="Times New Roman"/>
          <w:i/>
          <w:iCs/>
        </w:rPr>
        <w:t>No fundo das aparências.</w:t>
      </w:r>
      <w:r w:rsidRPr="002451B6">
        <w:rPr>
          <w:rFonts w:ascii="Times New Roman" w:eastAsia="Times New Roman" w:hAnsi="Times New Roman" w:cs="Times New Roman"/>
        </w:rPr>
        <w:t xml:space="preserve"> Tradução de Bertha Halpern </w:t>
      </w:r>
      <w:proofErr w:type="spellStart"/>
      <w:r w:rsidRPr="002451B6">
        <w:rPr>
          <w:rFonts w:ascii="Times New Roman" w:eastAsia="Times New Roman" w:hAnsi="Times New Roman" w:cs="Times New Roman"/>
        </w:rPr>
        <w:t>Gurovitz</w:t>
      </w:r>
      <w:proofErr w:type="spellEnd"/>
      <w:r w:rsidRPr="002451B6">
        <w:rPr>
          <w:rFonts w:ascii="Times New Roman" w:eastAsia="Times New Roman" w:hAnsi="Times New Roman" w:cs="Times New Roman"/>
        </w:rPr>
        <w:t>. 2ª ed. Petrópolis, RJ: Vozes, 1996.</w:t>
      </w:r>
    </w:p>
    <w:p w14:paraId="1C9451C0" w14:textId="77777777" w:rsidR="00332C33" w:rsidRPr="002451B6" w:rsidRDefault="00332C33">
      <w:pPr>
        <w:spacing w:line="240" w:lineRule="auto"/>
        <w:jc w:val="both"/>
        <w:rPr>
          <w:rFonts w:ascii="Times New Roman" w:eastAsia="Times New Roman" w:hAnsi="Times New Roman" w:cs="Times New Roman"/>
          <w:b/>
          <w:bCs/>
        </w:rPr>
      </w:pPr>
    </w:p>
    <w:p w14:paraId="0110F956"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PDR – PUBLIC DOMAIN REVIEW. </w:t>
      </w:r>
      <w:proofErr w:type="spellStart"/>
      <w:r w:rsidRPr="002451B6">
        <w:rPr>
          <w:rFonts w:ascii="Times New Roman" w:eastAsia="Times New Roman" w:hAnsi="Times New Roman" w:cs="Times New Roman"/>
          <w:i/>
          <w:iCs/>
        </w:rPr>
        <w:t>Witches</w:t>
      </w:r>
      <w:proofErr w:type="spellEnd"/>
      <w:r w:rsidRPr="002451B6">
        <w:rPr>
          <w:rFonts w:ascii="Times New Roman" w:eastAsia="Times New Roman" w:hAnsi="Times New Roman" w:cs="Times New Roman"/>
          <w:i/>
          <w:iCs/>
        </w:rPr>
        <w:t xml:space="preserve"> </w:t>
      </w:r>
      <w:proofErr w:type="spellStart"/>
      <w:r w:rsidRPr="002451B6">
        <w:rPr>
          <w:rFonts w:ascii="Times New Roman" w:eastAsia="Times New Roman" w:hAnsi="Times New Roman" w:cs="Times New Roman"/>
          <w:i/>
          <w:iCs/>
        </w:rPr>
        <w:t>on</w:t>
      </w:r>
      <w:proofErr w:type="spellEnd"/>
      <w:r w:rsidRPr="002451B6">
        <w:rPr>
          <w:rFonts w:ascii="Times New Roman" w:eastAsia="Times New Roman" w:hAnsi="Times New Roman" w:cs="Times New Roman"/>
          <w:i/>
          <w:iCs/>
        </w:rPr>
        <w:t xml:space="preserve"> </w:t>
      </w:r>
      <w:proofErr w:type="spellStart"/>
      <w:r w:rsidRPr="002451B6">
        <w:rPr>
          <w:rFonts w:ascii="Times New Roman" w:eastAsia="Times New Roman" w:hAnsi="Times New Roman" w:cs="Times New Roman"/>
          <w:i/>
          <w:iCs/>
        </w:rPr>
        <w:t>broomsticks</w:t>
      </w:r>
      <w:proofErr w:type="spellEnd"/>
      <w:r w:rsidRPr="002451B6">
        <w:rPr>
          <w:rFonts w:ascii="Times New Roman" w:eastAsia="Times New Roman" w:hAnsi="Times New Roman" w:cs="Times New Roman"/>
          <w:i/>
          <w:iCs/>
        </w:rPr>
        <w:t xml:space="preserve">, </w:t>
      </w:r>
      <w:proofErr w:type="spellStart"/>
      <w:r w:rsidRPr="002451B6">
        <w:rPr>
          <w:rFonts w:ascii="Times New Roman" w:eastAsia="Times New Roman" w:hAnsi="Times New Roman" w:cs="Times New Roman"/>
          <w:i/>
          <w:iCs/>
        </w:rPr>
        <w:t>featured</w:t>
      </w:r>
      <w:proofErr w:type="spellEnd"/>
      <w:r w:rsidRPr="002451B6">
        <w:rPr>
          <w:rFonts w:ascii="Times New Roman" w:eastAsia="Times New Roman" w:hAnsi="Times New Roman" w:cs="Times New Roman"/>
          <w:i/>
          <w:iCs/>
        </w:rPr>
        <w:t xml:space="preserve"> in The </w:t>
      </w:r>
      <w:proofErr w:type="spellStart"/>
      <w:r w:rsidRPr="002451B6">
        <w:rPr>
          <w:rFonts w:ascii="Times New Roman" w:eastAsia="Times New Roman" w:hAnsi="Times New Roman" w:cs="Times New Roman"/>
          <w:i/>
          <w:iCs/>
        </w:rPr>
        <w:t>History</w:t>
      </w:r>
      <w:proofErr w:type="spellEnd"/>
      <w:r w:rsidRPr="002451B6">
        <w:rPr>
          <w:rFonts w:ascii="Times New Roman" w:eastAsia="Times New Roman" w:hAnsi="Times New Roman" w:cs="Times New Roman"/>
          <w:i/>
          <w:iCs/>
        </w:rPr>
        <w:t xml:space="preserve"> </w:t>
      </w:r>
      <w:proofErr w:type="spellStart"/>
      <w:r w:rsidRPr="002451B6">
        <w:rPr>
          <w:rFonts w:ascii="Times New Roman" w:eastAsia="Times New Roman" w:hAnsi="Times New Roman" w:cs="Times New Roman"/>
          <w:i/>
          <w:iCs/>
        </w:rPr>
        <w:t>of</w:t>
      </w:r>
      <w:proofErr w:type="spellEnd"/>
      <w:r w:rsidRPr="002451B6">
        <w:rPr>
          <w:rFonts w:ascii="Times New Roman" w:eastAsia="Times New Roman" w:hAnsi="Times New Roman" w:cs="Times New Roman"/>
          <w:i/>
          <w:iCs/>
        </w:rPr>
        <w:t xml:space="preserve"> </w:t>
      </w:r>
      <w:proofErr w:type="spellStart"/>
      <w:r w:rsidRPr="002451B6">
        <w:rPr>
          <w:rFonts w:ascii="Times New Roman" w:eastAsia="Times New Roman" w:hAnsi="Times New Roman" w:cs="Times New Roman"/>
          <w:i/>
          <w:iCs/>
        </w:rPr>
        <w:t>Witches</w:t>
      </w:r>
      <w:proofErr w:type="spellEnd"/>
      <w:r w:rsidRPr="002451B6">
        <w:rPr>
          <w:rFonts w:ascii="Times New Roman" w:eastAsia="Times New Roman" w:hAnsi="Times New Roman" w:cs="Times New Roman"/>
          <w:i/>
          <w:iCs/>
        </w:rPr>
        <w:t xml:space="preserve"> </w:t>
      </w:r>
      <w:proofErr w:type="spellStart"/>
      <w:r w:rsidRPr="002451B6">
        <w:rPr>
          <w:rFonts w:ascii="Times New Roman" w:eastAsia="Times New Roman" w:hAnsi="Times New Roman" w:cs="Times New Roman"/>
          <w:i/>
          <w:iCs/>
        </w:rPr>
        <w:t>and</w:t>
      </w:r>
      <w:proofErr w:type="spellEnd"/>
      <w:r w:rsidRPr="002451B6">
        <w:rPr>
          <w:rFonts w:ascii="Times New Roman" w:eastAsia="Times New Roman" w:hAnsi="Times New Roman" w:cs="Times New Roman"/>
          <w:i/>
          <w:iCs/>
        </w:rPr>
        <w:t xml:space="preserve"> Wizards</w:t>
      </w:r>
      <w:r w:rsidRPr="002451B6">
        <w:rPr>
          <w:rFonts w:ascii="Times New Roman" w:eastAsia="Times New Roman" w:hAnsi="Times New Roman" w:cs="Times New Roman"/>
        </w:rPr>
        <w:t xml:space="preserve"> (1720). </w:t>
      </w:r>
      <w:proofErr w:type="spellStart"/>
      <w:r w:rsidRPr="002451B6">
        <w:rPr>
          <w:rFonts w:ascii="Times New Roman" w:eastAsia="Times New Roman" w:hAnsi="Times New Roman" w:cs="Times New Roman"/>
        </w:rPr>
        <w:t>Woodcut</w:t>
      </w:r>
      <w:proofErr w:type="spellEnd"/>
      <w:r w:rsidRPr="002451B6">
        <w:rPr>
          <w:rFonts w:ascii="Times New Roman" w:eastAsia="Times New Roman" w:hAnsi="Times New Roman" w:cs="Times New Roman"/>
        </w:rPr>
        <w:t xml:space="preserve">. In: CRABB, Jon. </w:t>
      </w:r>
      <w:proofErr w:type="spellStart"/>
      <w:r w:rsidRPr="002451B6">
        <w:rPr>
          <w:rFonts w:ascii="Times New Roman" w:eastAsia="Times New Roman" w:hAnsi="Times New Roman" w:cs="Times New Roman"/>
        </w:rPr>
        <w:t>Woodcuts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and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Witches</w:t>
      </w:r>
      <w:proofErr w:type="spellEnd"/>
      <w:r w:rsidRPr="002451B6">
        <w:rPr>
          <w:rFonts w:ascii="Times New Roman" w:eastAsia="Times New Roman" w:hAnsi="Times New Roman" w:cs="Times New Roman"/>
        </w:rPr>
        <w:t>, ensaio publicado em 4 maio 2017</w:t>
      </w:r>
      <w:r w:rsidRPr="002451B6">
        <w:rPr>
          <w:rFonts w:ascii="Times New Roman" w:eastAsia="Times New Roman" w:hAnsi="Times New Roman" w:cs="Times New Roman"/>
          <w:i/>
          <w:iCs/>
        </w:rPr>
        <w:t xml:space="preserve">. The </w:t>
      </w:r>
      <w:proofErr w:type="spellStart"/>
      <w:r w:rsidRPr="002451B6">
        <w:rPr>
          <w:rFonts w:ascii="Times New Roman" w:eastAsia="Times New Roman" w:hAnsi="Times New Roman" w:cs="Times New Roman"/>
          <w:i/>
          <w:iCs/>
        </w:rPr>
        <w:t>Public</w:t>
      </w:r>
      <w:proofErr w:type="spellEnd"/>
      <w:r w:rsidRPr="002451B6">
        <w:rPr>
          <w:rFonts w:ascii="Times New Roman" w:eastAsia="Times New Roman" w:hAnsi="Times New Roman" w:cs="Times New Roman"/>
          <w:i/>
          <w:iCs/>
        </w:rPr>
        <w:t xml:space="preserve"> Domain Review</w:t>
      </w:r>
      <w:r w:rsidRPr="002451B6">
        <w:rPr>
          <w:rFonts w:ascii="Times New Roman" w:eastAsia="Times New Roman" w:hAnsi="Times New Roman" w:cs="Times New Roman"/>
        </w:rPr>
        <w:t xml:space="preserve">. </w:t>
      </w:r>
    </w:p>
    <w:p w14:paraId="033A0FC5"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Disponível em: </w:t>
      </w:r>
      <w:hyperlink r:id="rId92">
        <w:r w:rsidR="00332C33" w:rsidRPr="002451B6">
          <w:rPr>
            <w:rFonts w:ascii="Times New Roman" w:eastAsia="Times New Roman" w:hAnsi="Times New Roman" w:cs="Times New Roman"/>
            <w:u w:val="single"/>
          </w:rPr>
          <w:t>https://publicdomainreview.org/essay/woodcuts-and-witches/</w:t>
        </w:r>
      </w:hyperlink>
      <w:r w:rsidRPr="002451B6">
        <w:rPr>
          <w:rFonts w:ascii="Times New Roman" w:eastAsia="Times New Roman" w:hAnsi="Times New Roman" w:cs="Times New Roman"/>
        </w:rPr>
        <w:t>. Acesso em: 11 jun. 2025.</w:t>
      </w:r>
    </w:p>
    <w:p w14:paraId="657B9C88" w14:textId="77777777" w:rsidR="00332C33" w:rsidRPr="002451B6" w:rsidRDefault="00332C33">
      <w:pPr>
        <w:spacing w:line="240" w:lineRule="auto"/>
        <w:jc w:val="both"/>
        <w:rPr>
          <w:rFonts w:ascii="Times New Roman" w:eastAsia="Times New Roman" w:hAnsi="Times New Roman" w:cs="Times New Roman"/>
          <w:b/>
          <w:bCs/>
          <w:i/>
          <w:iCs/>
        </w:rPr>
      </w:pPr>
    </w:p>
    <w:p w14:paraId="5230F9F0"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PEOPLE. Ariana Grande </w:t>
      </w:r>
      <w:proofErr w:type="spellStart"/>
      <w:r w:rsidRPr="002451B6">
        <w:rPr>
          <w:rFonts w:ascii="Times New Roman" w:eastAsia="Times New Roman" w:hAnsi="Times New Roman" w:cs="Times New Roman"/>
        </w:rPr>
        <w:t>says</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Glinda</w:t>
      </w:r>
      <w:proofErr w:type="spellEnd"/>
      <w:r w:rsidRPr="002451B6">
        <w:rPr>
          <w:rFonts w:ascii="Times New Roman" w:eastAsia="Times New Roman" w:hAnsi="Times New Roman" w:cs="Times New Roman"/>
        </w:rPr>
        <w:t xml:space="preserve"> voice '</w:t>
      </w:r>
      <w:proofErr w:type="spellStart"/>
      <w:r w:rsidRPr="002451B6">
        <w:rPr>
          <w:rFonts w:ascii="Times New Roman" w:eastAsia="Times New Roman" w:hAnsi="Times New Roman" w:cs="Times New Roman"/>
        </w:rPr>
        <w:t>might</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stay</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with</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her</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after</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Wicked</w:t>
      </w:r>
      <w:proofErr w:type="spellEnd"/>
      <w:r w:rsidRPr="002451B6">
        <w:rPr>
          <w:rFonts w:ascii="Times New Roman" w:eastAsia="Times New Roman" w:hAnsi="Times New Roman" w:cs="Times New Roman"/>
        </w:rPr>
        <w:t xml:space="preserve"> role. Fotografia de divulgação. </w:t>
      </w:r>
    </w:p>
    <w:p w14:paraId="3BF14654"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Disponível em: </w:t>
      </w:r>
      <w:hyperlink r:id="rId93">
        <w:r w:rsidR="00332C33" w:rsidRPr="002451B6">
          <w:rPr>
            <w:rFonts w:ascii="Times New Roman" w:eastAsia="Times New Roman" w:hAnsi="Times New Roman" w:cs="Times New Roman"/>
            <w:u w:val="single"/>
          </w:rPr>
          <w:t>https://people.com/ariana-grande-says-glinda-voice-might-stay-wicked-role-8768372</w:t>
        </w:r>
      </w:hyperlink>
      <w:r w:rsidRPr="002451B6">
        <w:rPr>
          <w:rFonts w:ascii="Times New Roman" w:eastAsia="Times New Roman" w:hAnsi="Times New Roman" w:cs="Times New Roman"/>
        </w:rPr>
        <w:t>. Acesso em: 11 jun. 2025.</w:t>
      </w:r>
    </w:p>
    <w:p w14:paraId="3223CBB3" w14:textId="77777777" w:rsidR="00332C33" w:rsidRPr="002451B6" w:rsidRDefault="00332C33">
      <w:pPr>
        <w:spacing w:line="240" w:lineRule="auto"/>
        <w:jc w:val="both"/>
        <w:rPr>
          <w:rFonts w:ascii="Times New Roman" w:eastAsia="Times New Roman" w:hAnsi="Times New Roman" w:cs="Times New Roman"/>
          <w:b/>
          <w:bCs/>
        </w:rPr>
      </w:pPr>
    </w:p>
    <w:p w14:paraId="224A5AEF"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UNIVERSAL PICTURES. </w:t>
      </w:r>
      <w:proofErr w:type="spellStart"/>
      <w:r w:rsidRPr="002451B6">
        <w:rPr>
          <w:rFonts w:ascii="Times New Roman" w:eastAsia="Times New Roman" w:hAnsi="Times New Roman" w:cs="Times New Roman"/>
          <w:i/>
          <w:iCs/>
        </w:rPr>
        <w:t>Wicked</w:t>
      </w:r>
      <w:proofErr w:type="spellEnd"/>
      <w:r w:rsidRPr="002451B6">
        <w:rPr>
          <w:rFonts w:ascii="Times New Roman" w:eastAsia="Times New Roman" w:hAnsi="Times New Roman" w:cs="Times New Roman"/>
        </w:rPr>
        <w:t xml:space="preserve">: </w:t>
      </w:r>
      <w:proofErr w:type="spellStart"/>
      <w:r w:rsidRPr="002451B6">
        <w:rPr>
          <w:rFonts w:ascii="Times New Roman" w:eastAsia="Times New Roman" w:hAnsi="Times New Roman" w:cs="Times New Roman"/>
        </w:rPr>
        <w:t>Glinda</w:t>
      </w:r>
      <w:proofErr w:type="spellEnd"/>
      <w:r w:rsidRPr="002451B6">
        <w:rPr>
          <w:rFonts w:ascii="Times New Roman" w:eastAsia="Times New Roman" w:hAnsi="Times New Roman" w:cs="Times New Roman"/>
        </w:rPr>
        <w:t xml:space="preserve"> e </w:t>
      </w:r>
      <w:proofErr w:type="spellStart"/>
      <w:r w:rsidRPr="002451B6">
        <w:rPr>
          <w:rFonts w:ascii="Times New Roman" w:eastAsia="Times New Roman" w:hAnsi="Times New Roman" w:cs="Times New Roman"/>
        </w:rPr>
        <w:t>Elphaba</w:t>
      </w:r>
      <w:proofErr w:type="spellEnd"/>
      <w:r w:rsidRPr="002451B6">
        <w:rPr>
          <w:rFonts w:ascii="Times New Roman" w:eastAsia="Times New Roman" w:hAnsi="Times New Roman" w:cs="Times New Roman"/>
        </w:rPr>
        <w:t xml:space="preserve"> são destaque em novas artes divulgadas pela </w:t>
      </w:r>
      <w:r w:rsidRPr="002451B6">
        <w:rPr>
          <w:rFonts w:ascii="Times New Roman" w:eastAsia="Times New Roman" w:hAnsi="Times New Roman" w:cs="Times New Roman"/>
          <w:i/>
          <w:iCs/>
        </w:rPr>
        <w:t>Universal Pictures</w:t>
      </w:r>
      <w:r w:rsidRPr="002451B6">
        <w:rPr>
          <w:rFonts w:ascii="Times New Roman" w:eastAsia="Times New Roman" w:hAnsi="Times New Roman" w:cs="Times New Roman"/>
        </w:rPr>
        <w:t xml:space="preserve">. Imagem promocional. </w:t>
      </w:r>
    </w:p>
    <w:p w14:paraId="198F528D"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Disponível em: </w:t>
      </w:r>
      <w:hyperlink r:id="rId94">
        <w:r w:rsidR="00332C33" w:rsidRPr="002451B6">
          <w:rPr>
            <w:rFonts w:ascii="Times New Roman" w:eastAsia="Times New Roman" w:hAnsi="Times New Roman" w:cs="Times New Roman"/>
            <w:u w:val="single"/>
          </w:rPr>
          <w:t>https://www.curitibafun.com.br/wicked-personagens-glinda-e-elphaba-sao-destaque-em-novas-artes-divulgadas-pela-universal-pictures</w:t>
        </w:r>
      </w:hyperlink>
      <w:r w:rsidRPr="002451B6">
        <w:rPr>
          <w:rFonts w:ascii="Times New Roman" w:eastAsia="Times New Roman" w:hAnsi="Times New Roman" w:cs="Times New Roman"/>
        </w:rPr>
        <w:t>. Acesso em: 11 jun. 2025</w:t>
      </w:r>
    </w:p>
    <w:p w14:paraId="2A5EA8E4" w14:textId="77777777" w:rsidR="00332C33" w:rsidRPr="002451B6" w:rsidRDefault="00332C33">
      <w:pPr>
        <w:spacing w:line="240" w:lineRule="auto"/>
        <w:jc w:val="both"/>
        <w:rPr>
          <w:rFonts w:ascii="Times New Roman" w:eastAsia="Times New Roman" w:hAnsi="Times New Roman" w:cs="Times New Roman"/>
          <w:b/>
          <w:bCs/>
          <w:i/>
          <w:iCs/>
        </w:rPr>
      </w:pPr>
    </w:p>
    <w:p w14:paraId="0C81F91D"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UNIVERSAL PICTURES. </w:t>
      </w:r>
      <w:proofErr w:type="spellStart"/>
      <w:r w:rsidRPr="002451B6">
        <w:rPr>
          <w:rFonts w:ascii="Times New Roman" w:eastAsia="Times New Roman" w:hAnsi="Times New Roman" w:cs="Times New Roman"/>
          <w:i/>
          <w:iCs/>
        </w:rPr>
        <w:t>Wicked</w:t>
      </w:r>
      <w:proofErr w:type="spellEnd"/>
      <w:r w:rsidRPr="002451B6">
        <w:rPr>
          <w:rFonts w:ascii="Times New Roman" w:eastAsia="Times New Roman" w:hAnsi="Times New Roman" w:cs="Times New Roman"/>
          <w:i/>
          <w:iCs/>
        </w:rPr>
        <w:t>:</w:t>
      </w:r>
      <w:r w:rsidRPr="002451B6">
        <w:rPr>
          <w:rFonts w:ascii="Times New Roman" w:eastAsia="Times New Roman" w:hAnsi="Times New Roman" w:cs="Times New Roman"/>
        </w:rPr>
        <w:t xml:space="preserve"> novo trailer revela segredos de </w:t>
      </w:r>
      <w:proofErr w:type="spellStart"/>
      <w:r w:rsidRPr="002451B6">
        <w:rPr>
          <w:rFonts w:ascii="Times New Roman" w:eastAsia="Times New Roman" w:hAnsi="Times New Roman" w:cs="Times New Roman"/>
        </w:rPr>
        <w:t>Elphaba</w:t>
      </w:r>
      <w:proofErr w:type="spellEnd"/>
      <w:r w:rsidRPr="002451B6">
        <w:rPr>
          <w:rFonts w:ascii="Times New Roman" w:eastAsia="Times New Roman" w:hAnsi="Times New Roman" w:cs="Times New Roman"/>
        </w:rPr>
        <w:t xml:space="preserve"> e </w:t>
      </w:r>
      <w:proofErr w:type="spellStart"/>
      <w:r w:rsidRPr="002451B6">
        <w:rPr>
          <w:rFonts w:ascii="Times New Roman" w:eastAsia="Times New Roman" w:hAnsi="Times New Roman" w:cs="Times New Roman"/>
        </w:rPr>
        <w:t>Glinda</w:t>
      </w:r>
      <w:proofErr w:type="spellEnd"/>
      <w:r w:rsidRPr="002451B6">
        <w:rPr>
          <w:rFonts w:ascii="Times New Roman" w:eastAsia="Times New Roman" w:hAnsi="Times New Roman" w:cs="Times New Roman"/>
        </w:rPr>
        <w:t xml:space="preserve">. Imagem promocional. </w:t>
      </w:r>
    </w:p>
    <w:p w14:paraId="713E8F8B"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Disponível em: </w:t>
      </w:r>
      <w:hyperlink r:id="rId95">
        <w:r w:rsidR="00332C33" w:rsidRPr="002451B6">
          <w:rPr>
            <w:rFonts w:ascii="Times New Roman" w:eastAsia="Times New Roman" w:hAnsi="Times New Roman" w:cs="Times New Roman"/>
            <w:u w:val="single"/>
          </w:rPr>
          <w:t>https://primepop.com.br/wicked-novo-trailer-revela-segredos-de-elphaba-e-glinda/</w:t>
        </w:r>
      </w:hyperlink>
      <w:r w:rsidRPr="002451B6">
        <w:rPr>
          <w:rFonts w:ascii="Times New Roman" w:eastAsia="Times New Roman" w:hAnsi="Times New Roman" w:cs="Times New Roman"/>
        </w:rPr>
        <w:t>. Acesso em: 11 jun. 2025.</w:t>
      </w:r>
    </w:p>
    <w:p w14:paraId="0815C8AD" w14:textId="77777777" w:rsidR="00332C33" w:rsidRPr="002451B6" w:rsidRDefault="00332C33">
      <w:pPr>
        <w:spacing w:line="240" w:lineRule="auto"/>
        <w:jc w:val="both"/>
        <w:rPr>
          <w:rFonts w:ascii="Times New Roman" w:eastAsia="Times New Roman" w:hAnsi="Times New Roman" w:cs="Times New Roman"/>
          <w:b/>
          <w:bCs/>
          <w:i/>
          <w:iCs/>
        </w:rPr>
      </w:pPr>
    </w:p>
    <w:p w14:paraId="46C04E05"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UNIVERSAL PICTURES. </w:t>
      </w:r>
      <w:proofErr w:type="spellStart"/>
      <w:r w:rsidRPr="002451B6">
        <w:rPr>
          <w:rFonts w:ascii="Times New Roman" w:eastAsia="Times New Roman" w:hAnsi="Times New Roman" w:cs="Times New Roman"/>
          <w:i/>
          <w:iCs/>
        </w:rPr>
        <w:t>Wicked</w:t>
      </w:r>
      <w:proofErr w:type="spellEnd"/>
      <w:r w:rsidRPr="002451B6">
        <w:rPr>
          <w:rFonts w:ascii="Times New Roman" w:eastAsia="Times New Roman" w:hAnsi="Times New Roman" w:cs="Times New Roman"/>
        </w:rPr>
        <w:t xml:space="preserve">: personagens </w:t>
      </w:r>
      <w:proofErr w:type="spellStart"/>
      <w:r w:rsidRPr="002451B6">
        <w:rPr>
          <w:rFonts w:ascii="Times New Roman" w:eastAsia="Times New Roman" w:hAnsi="Times New Roman" w:cs="Times New Roman"/>
        </w:rPr>
        <w:t>Glinda</w:t>
      </w:r>
      <w:proofErr w:type="spellEnd"/>
      <w:r w:rsidRPr="002451B6">
        <w:rPr>
          <w:rFonts w:ascii="Times New Roman" w:eastAsia="Times New Roman" w:hAnsi="Times New Roman" w:cs="Times New Roman"/>
        </w:rPr>
        <w:t xml:space="preserve"> e </w:t>
      </w:r>
      <w:proofErr w:type="spellStart"/>
      <w:r w:rsidRPr="002451B6">
        <w:rPr>
          <w:rFonts w:ascii="Times New Roman" w:eastAsia="Times New Roman" w:hAnsi="Times New Roman" w:cs="Times New Roman"/>
        </w:rPr>
        <w:t>Elphaba</w:t>
      </w:r>
      <w:proofErr w:type="spellEnd"/>
      <w:r w:rsidRPr="002451B6">
        <w:rPr>
          <w:rFonts w:ascii="Times New Roman" w:eastAsia="Times New Roman" w:hAnsi="Times New Roman" w:cs="Times New Roman"/>
        </w:rPr>
        <w:t xml:space="preserve"> são destaque em novas artes divulgadas pela Universal Pictures. Pôster promocional. Disponível em: </w:t>
      </w:r>
      <w:hyperlink r:id="rId96">
        <w:r w:rsidR="00332C33" w:rsidRPr="002451B6">
          <w:rPr>
            <w:rFonts w:ascii="Times New Roman" w:eastAsia="Times New Roman" w:hAnsi="Times New Roman" w:cs="Times New Roman"/>
            <w:u w:val="single"/>
          </w:rPr>
          <w:t>https://a-static.mlcdn.com.br/1500x1500/poster-cartaz-wicked-posterflix/poparteskins2/pos-03834-30x45cm/e92bba484442009644de7d4742b2bad0.jpeg</w:t>
        </w:r>
      </w:hyperlink>
      <w:r w:rsidRPr="002451B6">
        <w:rPr>
          <w:rFonts w:ascii="Times New Roman" w:eastAsia="Times New Roman" w:hAnsi="Times New Roman" w:cs="Times New Roman"/>
        </w:rPr>
        <w:t>. Acesso em: 11 jun. 2025.</w:t>
      </w:r>
    </w:p>
    <w:p w14:paraId="5A7DDFFE" w14:textId="77777777" w:rsidR="00332C33" w:rsidRPr="002451B6" w:rsidRDefault="00332C33">
      <w:pPr>
        <w:spacing w:line="240" w:lineRule="auto"/>
        <w:jc w:val="both"/>
        <w:rPr>
          <w:rFonts w:ascii="Times New Roman" w:eastAsia="Times New Roman" w:hAnsi="Times New Roman" w:cs="Times New Roman"/>
          <w:b/>
          <w:bCs/>
          <w:i/>
          <w:iCs/>
        </w:rPr>
      </w:pPr>
    </w:p>
    <w:p w14:paraId="2A070CBC" w14:textId="77777777" w:rsidR="00332C33" w:rsidRPr="002451B6" w:rsidRDefault="00000000">
      <w:pPr>
        <w:spacing w:line="240" w:lineRule="auto"/>
        <w:jc w:val="both"/>
        <w:rPr>
          <w:rFonts w:ascii="Calibri" w:eastAsia="Calibri" w:hAnsi="Calibri" w:cs="Calibri"/>
          <w:sz w:val="24"/>
          <w:szCs w:val="24"/>
        </w:rPr>
      </w:pPr>
      <w:r w:rsidRPr="002451B6">
        <w:rPr>
          <w:rFonts w:ascii="Times New Roman" w:eastAsia="Times New Roman" w:hAnsi="Times New Roman" w:cs="Times New Roman"/>
        </w:rPr>
        <w:t xml:space="preserve">UNIVERSAL PICTURES. </w:t>
      </w:r>
      <w:proofErr w:type="spellStart"/>
      <w:r w:rsidRPr="002451B6">
        <w:rPr>
          <w:rFonts w:ascii="Times New Roman" w:eastAsia="Times New Roman" w:hAnsi="Times New Roman" w:cs="Times New Roman"/>
          <w:i/>
          <w:iCs/>
        </w:rPr>
        <w:t>Wicked</w:t>
      </w:r>
      <w:proofErr w:type="spellEnd"/>
      <w:r w:rsidRPr="002451B6">
        <w:rPr>
          <w:rFonts w:ascii="Times New Roman" w:eastAsia="Times New Roman" w:hAnsi="Times New Roman" w:cs="Times New Roman"/>
          <w:i/>
          <w:iCs/>
        </w:rPr>
        <w:t xml:space="preserve">: </w:t>
      </w:r>
      <w:r w:rsidRPr="002451B6">
        <w:rPr>
          <w:rFonts w:ascii="Times New Roman" w:eastAsia="Times New Roman" w:hAnsi="Times New Roman" w:cs="Times New Roman"/>
        </w:rPr>
        <w:t xml:space="preserve">pôster promocional. Pôster digital. Disponível em: </w:t>
      </w:r>
      <w:hyperlink r:id="rId97">
        <w:r w:rsidR="00332C33" w:rsidRPr="002451B6">
          <w:rPr>
            <w:rFonts w:ascii="Times New Roman" w:eastAsia="Times New Roman" w:hAnsi="Times New Roman" w:cs="Times New Roman"/>
            <w:u w:val="single"/>
          </w:rPr>
          <w:t>https://a-static.mlcdn.com.br/1500x1500/poster-cartaz-wicked-posterflix/poparteskins2/pos-03834-30x45cm/e92bba484442009644de7d4742b2bad0.jpeg</w:t>
        </w:r>
      </w:hyperlink>
      <w:r w:rsidRPr="002451B6">
        <w:rPr>
          <w:rFonts w:ascii="Times New Roman" w:eastAsia="Times New Roman" w:hAnsi="Times New Roman" w:cs="Times New Roman"/>
        </w:rPr>
        <w:t>. Acesso em: 11 jun. 2025.</w:t>
      </w:r>
    </w:p>
    <w:p w14:paraId="6B804CA1" w14:textId="77777777" w:rsidR="00332C33" w:rsidRPr="002451B6" w:rsidRDefault="00332C33">
      <w:pPr>
        <w:spacing w:line="240" w:lineRule="auto"/>
        <w:jc w:val="both"/>
        <w:rPr>
          <w:rFonts w:ascii="Times New Roman" w:eastAsia="Times New Roman" w:hAnsi="Times New Roman" w:cs="Times New Roman"/>
        </w:rPr>
      </w:pPr>
    </w:p>
    <w:p w14:paraId="3408AF81" w14:textId="77777777" w:rsidR="00332C33" w:rsidRPr="002451B6" w:rsidRDefault="00000000">
      <w:pPr>
        <w:spacing w:line="240" w:lineRule="auto"/>
        <w:jc w:val="both"/>
        <w:rPr>
          <w:rFonts w:ascii="Times New Roman" w:eastAsia="Times New Roman" w:hAnsi="Times New Roman" w:cs="Times New Roman"/>
        </w:rPr>
      </w:pPr>
      <w:r w:rsidRPr="002451B6">
        <w:rPr>
          <w:rFonts w:ascii="Times New Roman" w:eastAsia="Times New Roman" w:hAnsi="Times New Roman" w:cs="Times New Roman"/>
        </w:rPr>
        <w:t xml:space="preserve">DISNEY. Malévola: Dona do Mal: pôster promocional. Disponível em: </w:t>
      </w:r>
      <w:hyperlink r:id="rId98">
        <w:r w:rsidR="00332C33" w:rsidRPr="002451B6">
          <w:rPr>
            <w:rFonts w:ascii="Times New Roman" w:eastAsia="Times New Roman" w:hAnsi="Times New Roman" w:cs="Times New Roman"/>
            <w:u w:val="single"/>
          </w:rPr>
          <w:t>https://pipocamoderna.com.br/2019/09/novos-posteres-destacam-personagens-de-malevola-dona-do-mal/</w:t>
        </w:r>
      </w:hyperlink>
      <w:r w:rsidRPr="002451B6">
        <w:rPr>
          <w:rFonts w:ascii="Times New Roman" w:eastAsia="Times New Roman" w:hAnsi="Times New Roman" w:cs="Times New Roman"/>
        </w:rPr>
        <w:t>. Acesso em: 11 jun. 2025.</w:t>
      </w:r>
    </w:p>
    <w:p w14:paraId="10A873F7" w14:textId="77777777" w:rsidR="00332C33" w:rsidRPr="002451B6" w:rsidRDefault="00332C33">
      <w:pPr>
        <w:spacing w:line="360" w:lineRule="auto"/>
        <w:jc w:val="both"/>
        <w:rPr>
          <w:rFonts w:ascii="Times New Roman" w:eastAsia="Times New Roman" w:hAnsi="Times New Roman" w:cs="Times New Roman"/>
          <w:b/>
          <w:bCs/>
          <w:sz w:val="24"/>
          <w:szCs w:val="24"/>
        </w:rPr>
      </w:pPr>
    </w:p>
    <w:p w14:paraId="4106E13A" w14:textId="77777777" w:rsidR="00332C33" w:rsidRPr="002451B6" w:rsidRDefault="00332C33">
      <w:pPr>
        <w:spacing w:line="360" w:lineRule="auto"/>
        <w:rPr>
          <w:rFonts w:ascii="Times New Roman" w:eastAsia="Times New Roman" w:hAnsi="Times New Roman" w:cs="Times New Roman"/>
          <w:i/>
          <w:iCs/>
          <w:sz w:val="28"/>
          <w:szCs w:val="28"/>
        </w:rPr>
      </w:pPr>
    </w:p>
    <w:p w14:paraId="3FFB4DD4" w14:textId="77777777" w:rsidR="00332C33" w:rsidRPr="002451B6" w:rsidRDefault="00332C33">
      <w:pPr>
        <w:spacing w:line="360" w:lineRule="auto"/>
        <w:rPr>
          <w:rFonts w:ascii="Times New Roman" w:eastAsia="Times New Roman" w:hAnsi="Times New Roman" w:cs="Times New Roman"/>
          <w:i/>
          <w:iCs/>
          <w:sz w:val="28"/>
          <w:szCs w:val="28"/>
        </w:rPr>
      </w:pPr>
    </w:p>
    <w:p w14:paraId="26E59D1A" w14:textId="77777777" w:rsidR="00332C33" w:rsidRPr="002451B6" w:rsidRDefault="00332C33">
      <w:pPr>
        <w:spacing w:line="360" w:lineRule="auto"/>
        <w:rPr>
          <w:rFonts w:ascii="Times New Roman" w:eastAsia="Times New Roman" w:hAnsi="Times New Roman" w:cs="Times New Roman"/>
          <w:i/>
          <w:iCs/>
          <w:sz w:val="28"/>
          <w:szCs w:val="28"/>
        </w:rPr>
      </w:pPr>
    </w:p>
    <w:p w14:paraId="51C8B52D" w14:textId="77777777" w:rsidR="00332C33" w:rsidRPr="002451B6" w:rsidRDefault="00332C33">
      <w:pPr>
        <w:spacing w:line="360" w:lineRule="auto"/>
        <w:rPr>
          <w:rFonts w:ascii="Times New Roman" w:eastAsia="Times New Roman" w:hAnsi="Times New Roman" w:cs="Times New Roman"/>
          <w:i/>
          <w:iCs/>
          <w:sz w:val="28"/>
          <w:szCs w:val="28"/>
        </w:rPr>
      </w:pPr>
    </w:p>
    <w:p w14:paraId="1BDB6B2C" w14:textId="77777777" w:rsidR="00332C33" w:rsidRPr="002451B6" w:rsidRDefault="00332C33">
      <w:pPr>
        <w:spacing w:line="360" w:lineRule="auto"/>
        <w:rPr>
          <w:rFonts w:ascii="Times New Roman" w:eastAsia="Times New Roman" w:hAnsi="Times New Roman" w:cs="Times New Roman"/>
          <w:i/>
          <w:iCs/>
          <w:sz w:val="28"/>
          <w:szCs w:val="28"/>
        </w:rPr>
      </w:pPr>
    </w:p>
    <w:p w14:paraId="4BAB3912" w14:textId="77777777" w:rsidR="00332C33" w:rsidRPr="002451B6" w:rsidRDefault="00332C33">
      <w:pPr>
        <w:spacing w:line="360" w:lineRule="auto"/>
        <w:rPr>
          <w:rFonts w:ascii="Times New Roman" w:eastAsia="Times New Roman" w:hAnsi="Times New Roman" w:cs="Times New Roman"/>
          <w:i/>
          <w:iCs/>
          <w:sz w:val="28"/>
          <w:szCs w:val="28"/>
        </w:rPr>
      </w:pPr>
    </w:p>
    <w:p w14:paraId="02B94953" w14:textId="77777777" w:rsidR="00332C33" w:rsidRPr="002451B6" w:rsidRDefault="00332C33">
      <w:pPr>
        <w:spacing w:line="360" w:lineRule="auto"/>
        <w:rPr>
          <w:rFonts w:ascii="Times New Roman" w:eastAsia="Times New Roman" w:hAnsi="Times New Roman" w:cs="Times New Roman"/>
          <w:i/>
          <w:iCs/>
          <w:sz w:val="28"/>
          <w:szCs w:val="28"/>
        </w:rPr>
      </w:pPr>
    </w:p>
    <w:p w14:paraId="193EAA34" w14:textId="77777777" w:rsidR="00332C33" w:rsidRPr="002451B6" w:rsidRDefault="00332C33">
      <w:pPr>
        <w:spacing w:line="360" w:lineRule="auto"/>
        <w:rPr>
          <w:rFonts w:ascii="Times New Roman" w:eastAsia="Times New Roman" w:hAnsi="Times New Roman" w:cs="Times New Roman"/>
          <w:i/>
          <w:iCs/>
          <w:sz w:val="28"/>
          <w:szCs w:val="28"/>
        </w:rPr>
      </w:pPr>
    </w:p>
    <w:p w14:paraId="14145773" w14:textId="77777777" w:rsidR="00332C33" w:rsidRPr="002451B6" w:rsidRDefault="00332C33">
      <w:pPr>
        <w:spacing w:line="360" w:lineRule="auto"/>
        <w:rPr>
          <w:rFonts w:ascii="Times New Roman" w:eastAsia="Times New Roman" w:hAnsi="Times New Roman" w:cs="Times New Roman"/>
          <w:i/>
          <w:iCs/>
          <w:sz w:val="28"/>
          <w:szCs w:val="28"/>
        </w:rPr>
      </w:pPr>
    </w:p>
    <w:p w14:paraId="6B6B96FD" w14:textId="77777777" w:rsidR="00332C33" w:rsidRPr="002451B6" w:rsidRDefault="00332C33">
      <w:pPr>
        <w:spacing w:line="360" w:lineRule="auto"/>
        <w:rPr>
          <w:rFonts w:ascii="Times New Roman" w:eastAsia="Times New Roman" w:hAnsi="Times New Roman" w:cs="Times New Roman"/>
          <w:i/>
          <w:iCs/>
          <w:sz w:val="28"/>
          <w:szCs w:val="28"/>
        </w:rPr>
      </w:pPr>
    </w:p>
    <w:p w14:paraId="19A53CD4" w14:textId="77777777" w:rsidR="00332C33" w:rsidRPr="002451B6" w:rsidRDefault="00332C33">
      <w:pPr>
        <w:spacing w:line="360" w:lineRule="auto"/>
        <w:rPr>
          <w:rFonts w:ascii="Times New Roman" w:eastAsia="Times New Roman" w:hAnsi="Times New Roman" w:cs="Times New Roman"/>
          <w:i/>
          <w:iCs/>
          <w:sz w:val="28"/>
          <w:szCs w:val="28"/>
        </w:rPr>
      </w:pPr>
    </w:p>
    <w:p w14:paraId="12A180F2" w14:textId="77777777" w:rsidR="00997E97" w:rsidRPr="002451B6" w:rsidRDefault="00997E97">
      <w:pPr>
        <w:spacing w:line="360" w:lineRule="auto"/>
        <w:rPr>
          <w:rFonts w:ascii="Times New Roman" w:eastAsia="Times New Roman" w:hAnsi="Times New Roman" w:cs="Times New Roman"/>
          <w:i/>
          <w:iCs/>
          <w:sz w:val="28"/>
          <w:szCs w:val="28"/>
        </w:rPr>
      </w:pPr>
    </w:p>
    <w:p w14:paraId="731B55CC" w14:textId="77777777" w:rsidR="00332C33" w:rsidRPr="002451B6" w:rsidRDefault="00332C33">
      <w:pPr>
        <w:spacing w:line="360" w:lineRule="auto"/>
        <w:rPr>
          <w:rFonts w:ascii="Times New Roman" w:eastAsia="Times New Roman" w:hAnsi="Times New Roman" w:cs="Times New Roman"/>
          <w:i/>
          <w:iCs/>
          <w:sz w:val="28"/>
          <w:szCs w:val="28"/>
        </w:rPr>
      </w:pPr>
    </w:p>
    <w:p w14:paraId="7AB76991" w14:textId="77777777" w:rsidR="00332C33" w:rsidRDefault="00332C33">
      <w:pPr>
        <w:spacing w:line="360" w:lineRule="auto"/>
        <w:rPr>
          <w:rFonts w:ascii="Times New Roman" w:eastAsia="Times New Roman" w:hAnsi="Times New Roman" w:cs="Times New Roman"/>
          <w:i/>
          <w:iCs/>
          <w:sz w:val="28"/>
          <w:szCs w:val="28"/>
        </w:rPr>
      </w:pPr>
    </w:p>
    <w:p w14:paraId="225352F3" w14:textId="77777777" w:rsidR="0095035F" w:rsidRDefault="0095035F">
      <w:pPr>
        <w:spacing w:line="360" w:lineRule="auto"/>
        <w:rPr>
          <w:rFonts w:ascii="Times New Roman" w:eastAsia="Times New Roman" w:hAnsi="Times New Roman" w:cs="Times New Roman"/>
          <w:i/>
          <w:iCs/>
          <w:sz w:val="28"/>
          <w:szCs w:val="28"/>
        </w:rPr>
      </w:pPr>
    </w:p>
    <w:p w14:paraId="6D8C2E88" w14:textId="77777777" w:rsidR="0095035F" w:rsidRDefault="0095035F">
      <w:pPr>
        <w:spacing w:line="360" w:lineRule="auto"/>
        <w:rPr>
          <w:rFonts w:ascii="Times New Roman" w:eastAsia="Times New Roman" w:hAnsi="Times New Roman" w:cs="Times New Roman"/>
          <w:i/>
          <w:iCs/>
          <w:sz w:val="28"/>
          <w:szCs w:val="28"/>
        </w:rPr>
      </w:pPr>
    </w:p>
    <w:p w14:paraId="38FF037A" w14:textId="77777777" w:rsidR="0095035F" w:rsidRDefault="0095035F">
      <w:pPr>
        <w:spacing w:line="360" w:lineRule="auto"/>
        <w:rPr>
          <w:rFonts w:ascii="Times New Roman" w:eastAsia="Times New Roman" w:hAnsi="Times New Roman" w:cs="Times New Roman"/>
          <w:i/>
          <w:iCs/>
          <w:sz w:val="28"/>
          <w:szCs w:val="28"/>
        </w:rPr>
      </w:pPr>
    </w:p>
    <w:p w14:paraId="574906C8" w14:textId="77777777" w:rsidR="0095035F" w:rsidRPr="002451B6" w:rsidRDefault="0095035F">
      <w:pPr>
        <w:spacing w:line="360" w:lineRule="auto"/>
        <w:rPr>
          <w:rFonts w:ascii="Times New Roman" w:eastAsia="Times New Roman" w:hAnsi="Times New Roman" w:cs="Times New Roman"/>
          <w:i/>
          <w:iCs/>
          <w:sz w:val="28"/>
          <w:szCs w:val="28"/>
        </w:rPr>
      </w:pPr>
    </w:p>
    <w:p w14:paraId="6959E69F" w14:textId="77777777" w:rsidR="00332C33" w:rsidRDefault="00332C33">
      <w:pPr>
        <w:spacing w:line="360" w:lineRule="auto"/>
        <w:rPr>
          <w:rFonts w:ascii="Times New Roman" w:eastAsia="Times New Roman" w:hAnsi="Times New Roman" w:cs="Times New Roman"/>
          <w:i/>
          <w:iCs/>
          <w:sz w:val="28"/>
          <w:szCs w:val="28"/>
        </w:rPr>
      </w:pPr>
    </w:p>
    <w:p w14:paraId="65319991" w14:textId="77777777" w:rsidR="00826818" w:rsidRDefault="00826818">
      <w:pPr>
        <w:spacing w:line="360" w:lineRule="auto"/>
        <w:rPr>
          <w:rFonts w:ascii="Times New Roman" w:eastAsia="Times New Roman" w:hAnsi="Times New Roman" w:cs="Times New Roman"/>
          <w:i/>
          <w:iCs/>
          <w:sz w:val="28"/>
          <w:szCs w:val="28"/>
        </w:rPr>
      </w:pPr>
    </w:p>
    <w:p w14:paraId="5368C949" w14:textId="77777777" w:rsidR="00826818" w:rsidRPr="002451B6" w:rsidRDefault="00826818">
      <w:pPr>
        <w:spacing w:line="360" w:lineRule="auto"/>
        <w:rPr>
          <w:rFonts w:ascii="Times New Roman" w:eastAsia="Times New Roman" w:hAnsi="Times New Roman" w:cs="Times New Roman"/>
          <w:i/>
          <w:iCs/>
          <w:sz w:val="28"/>
          <w:szCs w:val="28"/>
        </w:rPr>
      </w:pPr>
    </w:p>
    <w:p w14:paraId="74ECF724" w14:textId="77777777" w:rsidR="003C02C3" w:rsidRDefault="003C02C3">
      <w:pPr>
        <w:tabs>
          <w:tab w:val="left" w:pos="567"/>
        </w:tabs>
        <w:spacing w:after="160" w:line="360" w:lineRule="auto"/>
        <w:ind w:firstLine="567"/>
        <w:jc w:val="center"/>
        <w:rPr>
          <w:rFonts w:ascii="Times New Roman" w:eastAsia="Times New Roman" w:hAnsi="Times New Roman" w:cs="Times New Roman"/>
          <w:b/>
          <w:bCs/>
          <w:sz w:val="24"/>
          <w:szCs w:val="24"/>
        </w:rPr>
      </w:pPr>
    </w:p>
    <w:p w14:paraId="3577F88B" w14:textId="77777777" w:rsidR="003C02C3" w:rsidRDefault="003C02C3">
      <w:pPr>
        <w:tabs>
          <w:tab w:val="left" w:pos="567"/>
        </w:tabs>
        <w:spacing w:after="160" w:line="360" w:lineRule="auto"/>
        <w:ind w:firstLine="567"/>
        <w:jc w:val="center"/>
        <w:rPr>
          <w:rFonts w:ascii="Times New Roman" w:eastAsia="Times New Roman" w:hAnsi="Times New Roman" w:cs="Times New Roman"/>
          <w:b/>
          <w:bCs/>
          <w:sz w:val="24"/>
          <w:szCs w:val="24"/>
        </w:rPr>
      </w:pPr>
    </w:p>
    <w:p w14:paraId="38F140D9" w14:textId="41D2223B" w:rsidR="00332C33" w:rsidRPr="002451B6" w:rsidRDefault="00000000">
      <w:pPr>
        <w:tabs>
          <w:tab w:val="left" w:pos="567"/>
        </w:tabs>
        <w:spacing w:after="160" w:line="360" w:lineRule="auto"/>
        <w:ind w:firstLine="567"/>
        <w:jc w:val="center"/>
        <w:rPr>
          <w:rFonts w:ascii="Times New Roman" w:eastAsia="Times New Roman" w:hAnsi="Times New Roman" w:cs="Times New Roman"/>
          <w:b/>
          <w:bCs/>
          <w:sz w:val="24"/>
          <w:szCs w:val="24"/>
        </w:rPr>
      </w:pPr>
      <w:r w:rsidRPr="002451B6">
        <w:rPr>
          <w:rFonts w:ascii="Times New Roman" w:eastAsia="Times New Roman" w:hAnsi="Times New Roman" w:cs="Times New Roman"/>
          <w:b/>
          <w:bCs/>
          <w:sz w:val="24"/>
          <w:szCs w:val="24"/>
        </w:rPr>
        <w:lastRenderedPageBreak/>
        <w:t xml:space="preserve">Maria Célia Camargo: A fina flor da produção teatral </w:t>
      </w:r>
    </w:p>
    <w:p w14:paraId="7B1400B9" w14:textId="77777777" w:rsidR="00A9623C" w:rsidRDefault="00A9623C">
      <w:pPr>
        <w:tabs>
          <w:tab w:val="left" w:pos="567"/>
        </w:tabs>
        <w:spacing w:after="160" w:line="360" w:lineRule="auto"/>
        <w:jc w:val="both"/>
        <w:rPr>
          <w:rFonts w:ascii="Times New Roman" w:eastAsia="Times New Roman" w:hAnsi="Times New Roman" w:cs="Times New Roman"/>
          <w:b/>
          <w:bCs/>
          <w:sz w:val="24"/>
          <w:szCs w:val="24"/>
        </w:rPr>
      </w:pPr>
    </w:p>
    <w:p w14:paraId="4563FF22" w14:textId="58922EA3"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Introdução</w:t>
      </w:r>
    </w:p>
    <w:p w14:paraId="283FA3CE"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No dia 25 de outubro de 2025, estreou, em São Paulo, a montagem do musical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depois de obter sucesso na temporada do Rio de Janeiro, onde permaneceu em cartaz por quase três meses. O musical foi escrito por </w:t>
      </w:r>
      <w:proofErr w:type="spellStart"/>
      <w:r w:rsidRPr="002451B6">
        <w:rPr>
          <w:rFonts w:ascii="Times New Roman" w:eastAsia="Times New Roman" w:hAnsi="Times New Roman" w:cs="Times New Roman"/>
          <w:sz w:val="24"/>
          <w:szCs w:val="24"/>
        </w:rPr>
        <w:t>Gerome</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Ragni</w:t>
      </w:r>
      <w:proofErr w:type="spellEnd"/>
      <w:r w:rsidRPr="002451B6">
        <w:rPr>
          <w:rFonts w:ascii="Times New Roman" w:eastAsia="Times New Roman" w:hAnsi="Times New Roman" w:cs="Times New Roman"/>
          <w:sz w:val="24"/>
          <w:szCs w:val="24"/>
        </w:rPr>
        <w:t xml:space="preserve"> e James Rado que também são autores das letras das músicas criadas por </w:t>
      </w:r>
      <w:proofErr w:type="spellStart"/>
      <w:r w:rsidRPr="002451B6">
        <w:rPr>
          <w:rFonts w:ascii="Times New Roman" w:eastAsia="Times New Roman" w:hAnsi="Times New Roman" w:cs="Times New Roman"/>
          <w:sz w:val="24"/>
          <w:szCs w:val="24"/>
        </w:rPr>
        <w:t>Galt</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MacDermot</w:t>
      </w:r>
      <w:proofErr w:type="spellEnd"/>
      <w:r w:rsidRPr="002451B6">
        <w:rPr>
          <w:rFonts w:ascii="Times New Roman" w:eastAsia="Times New Roman" w:hAnsi="Times New Roman" w:cs="Times New Roman"/>
          <w:sz w:val="24"/>
          <w:szCs w:val="24"/>
        </w:rPr>
        <w:t xml:space="preserve">. Trazia o espírito jovem de sua época encarnado em temas como liberdade sexual, drogas psicodélicas, manifestos contra a Guerra do Vietnã, a inclusão de novos valores comunitários, além do clamor pela paz. A estreia da versão original foi em 1967 no </w:t>
      </w:r>
      <w:proofErr w:type="spellStart"/>
      <w:r w:rsidRPr="002451B6">
        <w:rPr>
          <w:rFonts w:ascii="Times New Roman" w:eastAsia="Times New Roman" w:hAnsi="Times New Roman" w:cs="Times New Roman"/>
          <w:sz w:val="24"/>
          <w:szCs w:val="24"/>
        </w:rPr>
        <w:t>Public</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Theater</w:t>
      </w:r>
      <w:proofErr w:type="spellEnd"/>
      <w:r w:rsidRPr="002451B6">
        <w:rPr>
          <w:rFonts w:ascii="Times New Roman" w:eastAsia="Times New Roman" w:hAnsi="Times New Roman" w:cs="Times New Roman"/>
          <w:sz w:val="24"/>
          <w:szCs w:val="24"/>
        </w:rPr>
        <w:t xml:space="preserve">, mas já no ano seguinte estreou na Broadway, no Baltimore </w:t>
      </w:r>
      <w:proofErr w:type="spellStart"/>
      <w:r w:rsidRPr="002451B6">
        <w:rPr>
          <w:rFonts w:ascii="Times New Roman" w:eastAsia="Times New Roman" w:hAnsi="Times New Roman" w:cs="Times New Roman"/>
          <w:sz w:val="24"/>
          <w:szCs w:val="24"/>
        </w:rPr>
        <w:t>Theater</w:t>
      </w:r>
      <w:proofErr w:type="spellEnd"/>
      <w:r w:rsidRPr="002451B6">
        <w:rPr>
          <w:rFonts w:ascii="Times New Roman" w:eastAsia="Times New Roman" w:hAnsi="Times New Roman" w:cs="Times New Roman"/>
          <w:sz w:val="24"/>
          <w:szCs w:val="24"/>
        </w:rPr>
        <w:t xml:space="preserve">, onde conquistou ainda mais sucesso. </w:t>
      </w:r>
    </w:p>
    <w:p w14:paraId="2C7BD141"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No Brasil, o musical foi remontado algumas vezes, mas para este capítulo, nos interessa a primeira montagem que estreou em oito de outubro de 1969, em São Paulo. Diversos atores já famosos fizeram parte do elenco, como Aracy Balabanian, Altair Lima, Armando Bógus, Laerte Morrone e alguns em começo de carreira, como Sônia Braga e a cantora Rosa Marya Colin. A peça teve temporadas entre os anos de 1969 e 1972, foram vários os atores que passaram pela produção teatral. </w:t>
      </w:r>
    </w:p>
    <w:p w14:paraId="25178607"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É importante dizer que estamos falando do fim da década de 1960, o Brasil não tinha a tradição de montar espetáculos vindos da Broadway, trazer uma peça dessa magnitude era um grande esforço de seus produtores. Nesse caso, a produtora que trouxe a peça foi a Altair Lima Produções, do ator Altair Lima e de sua esposa, a atriz Maria Célia Camargo. Em um momento em que a maioria dos produtores teatrais eram homens, Maria Célia foi pioneira, poucas atrizes se aventuravam como produtoras, ainda mais para montar um espetáculo com dezenas de atores no palco em um Brasil pós AI-5, de recrudescimento da censura, com prisões, torturas e assassinatos.</w:t>
      </w:r>
    </w:p>
    <w:p w14:paraId="127D851A"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b/>
        <w:t xml:space="preserve">Nosso capítulo segue então por dois caminhos: o primeiro aborda a trajetória da atriz Maria Célia Camargo, que começou no teatro ainda na década de 1950, fazendo diversas peças do Teatro Brasileiro de Comédia (TBC) e que logo surgiria na televisão, quando participou, em 1959, do Grande Teatro Tupi. Depois, fez diversas novelas, como </w:t>
      </w:r>
      <w:r w:rsidRPr="002451B6">
        <w:rPr>
          <w:rFonts w:ascii="Times New Roman" w:eastAsia="Times New Roman" w:hAnsi="Times New Roman" w:cs="Times New Roman"/>
          <w:i/>
          <w:iCs/>
          <w:sz w:val="24"/>
          <w:szCs w:val="24"/>
        </w:rPr>
        <w:t>Alma cigana</w:t>
      </w:r>
      <w:r w:rsidRPr="002451B6">
        <w:rPr>
          <w:rFonts w:ascii="Times New Roman" w:eastAsia="Times New Roman" w:hAnsi="Times New Roman" w:cs="Times New Roman"/>
          <w:sz w:val="24"/>
          <w:szCs w:val="24"/>
        </w:rPr>
        <w:t xml:space="preserve"> (1964), primeira novela diária da Tupi. Seguiremos falando de como a atriz se lançou como produtora e, por fim, na segunda parte, discorreremos sobre a produção do musical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Como fontes, serão utilizados, além de jornais e revistas da época, o processo de censura da peça e uma entrevista </w:t>
      </w:r>
      <w:r w:rsidRPr="002451B6">
        <w:rPr>
          <w:rFonts w:ascii="Times New Roman" w:eastAsia="Times New Roman" w:hAnsi="Times New Roman" w:cs="Times New Roman"/>
          <w:sz w:val="24"/>
          <w:szCs w:val="24"/>
        </w:rPr>
        <w:lastRenderedPageBreak/>
        <w:t xml:space="preserve">de História Oral realizada na casa da atriz, em 24 de maio de 2024, logo após o seu aniversário de 90 anos. </w:t>
      </w:r>
    </w:p>
    <w:p w14:paraId="7467DFA7" w14:textId="77777777" w:rsidR="00332C33" w:rsidRPr="002451B6" w:rsidRDefault="00332C33">
      <w:pPr>
        <w:tabs>
          <w:tab w:val="left" w:pos="567"/>
        </w:tabs>
        <w:spacing w:after="160" w:line="360" w:lineRule="auto"/>
        <w:ind w:firstLine="709"/>
        <w:jc w:val="both"/>
        <w:rPr>
          <w:rFonts w:ascii="Times New Roman" w:eastAsia="Times New Roman" w:hAnsi="Times New Roman" w:cs="Times New Roman"/>
          <w:sz w:val="24"/>
          <w:szCs w:val="24"/>
        </w:rPr>
      </w:pPr>
    </w:p>
    <w:p w14:paraId="4FFC0620" w14:textId="77777777"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A menina de Angatuba</w:t>
      </w:r>
    </w:p>
    <w:p w14:paraId="1283C83A"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Maria Célia Camargo nasceu em uma tarde alaranjada de outono, no dia 14 de maio de 1935, em Itapetininga, interior de São Paulo, filha do pecuarista Moacir Camargo e da dona de casa </w:t>
      </w:r>
      <w:proofErr w:type="spellStart"/>
      <w:r w:rsidRPr="002451B6">
        <w:rPr>
          <w:rFonts w:ascii="Times New Roman" w:eastAsia="Times New Roman" w:hAnsi="Times New Roman" w:cs="Times New Roman"/>
          <w:sz w:val="24"/>
          <w:szCs w:val="24"/>
        </w:rPr>
        <w:t>Syrtes</w:t>
      </w:r>
      <w:proofErr w:type="spell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Turelli</w:t>
      </w:r>
      <w:proofErr w:type="spellEnd"/>
      <w:r w:rsidRPr="002451B6">
        <w:rPr>
          <w:rFonts w:ascii="Times New Roman" w:eastAsia="Times New Roman" w:hAnsi="Times New Roman" w:cs="Times New Roman"/>
          <w:sz w:val="24"/>
          <w:szCs w:val="24"/>
        </w:rPr>
        <w:t>. Porém, foi na cidade de Angatuba, próxima à Itapetininga, que a menina cresceu tomando aquelas canecas cheias de leite espumado. Em seu imaginário, a cidade parecia de conto de fadas. Localizada em uma região de planalto, era arborizada e oferecia distrações musicais no charmoso coreto do centro histórico.</w:t>
      </w:r>
    </w:p>
    <w:p w14:paraId="64A5214D"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Maria Célia rememora a cidade e seus moradores:</w:t>
      </w:r>
    </w:p>
    <w:p w14:paraId="2DFB64B6"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Era uma gente excepcionalmente boa, amiga, grande parte de italianos. Todos também da época do meu avô. Angatuba era uma cidade que tinha banda de música, nós cantávamos junto com os músicos, tinha um desfile, lá estava o Seu Lisboa, tocando a banda do Lisboa. Era simplesmente divino, porque todas as famílias se misturavam e se queriam bem. Da minha parte vinha o lazer, as folias, as estrepolias, brincar com o Noli, nosso cachorro, num ribeirão perto de casa, ele caía que era uma delícia, saía de lá nadando, rindo, uma delícia de cachorro (Camargo, 2025).</w:t>
      </w:r>
    </w:p>
    <w:p w14:paraId="2053568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Além disso, havia o afeto de Salvador e Emília, funcionários do sítio, que acarinhavam a menina enquanto ela brincava com as flores do jardim. O único problema era a fumaça do cachimbo do velho Salvador. O astuto pegava tubo de mamoeiro e manejava o canudo até formar um cachimbo, depois fazia o bojo com as barbas do milho e por fim tocava fogo. A parte ruim é que ele emprestava o cachimbo para Maria Célia, que acabava fumando, ainda na infância. Era uma época de pouca consciência sobre a proteção à infância e à adolescência, </w:t>
      </w:r>
      <w:proofErr w:type="gramStart"/>
      <w:r w:rsidRPr="002451B6">
        <w:rPr>
          <w:rFonts w:ascii="Times New Roman" w:eastAsia="Times New Roman" w:hAnsi="Times New Roman" w:cs="Times New Roman"/>
          <w:sz w:val="24"/>
          <w:szCs w:val="24"/>
        </w:rPr>
        <w:t>e também</w:t>
      </w:r>
      <w:proofErr w:type="gramEnd"/>
      <w:r w:rsidRPr="002451B6">
        <w:rPr>
          <w:rFonts w:ascii="Times New Roman" w:eastAsia="Times New Roman" w:hAnsi="Times New Roman" w:cs="Times New Roman"/>
          <w:sz w:val="24"/>
          <w:szCs w:val="24"/>
        </w:rPr>
        <w:t xml:space="preserve"> a respeito dos cuidados com a saúde e os malefícios de certas práticas normalizadas. </w:t>
      </w:r>
    </w:p>
    <w:p w14:paraId="382AA280"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Uma outra personagem que povoou as memórias da juventude de Maria Célia foi a prima Dina Lisboa, que sempre voltava a Angatuba para passar temporadas. Dina era atriz, havia se formado na Escola de Arte Dramática (EAD), em São Paulo, fundada pelo diretor Alfredo Mesquita, e fez parte de espetáculos importantes no prestigiado Teatro Brasileiro de Comédia (TBC) e no Teatro de Arena. Quando voltava à cidade natal, Dina pedia ajuda à prima adolescente na hora de decorar os textos das peças. Seria ela a responsável por inocular na menina a paixão pelo teatro.</w:t>
      </w:r>
    </w:p>
    <w:p w14:paraId="56A8EA35"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Depois de se formar como professora do curso primário, Maria Célia resolveu ir em busca desse desejo plantado em seu coração pela prima: </w:t>
      </w:r>
    </w:p>
    <w:p w14:paraId="292DC7B3"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lastRenderedPageBreak/>
        <w:t xml:space="preserve">Quando fiz 18 anos, arrumei a minha mala e vim para São Paulo. O ano era 1954. Minha mãe já estava aqui com minha irmã. Assim que cheguei, fui procurar a prima Dina e ela me botou de cara no espetáculo “A Filha de Iório”, de Gabriele D'Annunzio, dirigido por Ruggero Jacobbi. Era com Sérgio Cardoso, Cacilda Becker, Leonardo Villar e muitos outros atores. Foi montado para a comemoração do quarto centenário de São Paulo. Cheguei e já fiquei no meio dos </w:t>
      </w:r>
      <w:proofErr w:type="spellStart"/>
      <w:r w:rsidRPr="002451B6">
        <w:rPr>
          <w:rFonts w:ascii="Times New Roman" w:eastAsia="Times New Roman" w:hAnsi="Times New Roman" w:cs="Times New Roman"/>
          <w:i/>
          <w:iCs/>
        </w:rPr>
        <w:t>superstars</w:t>
      </w:r>
      <w:proofErr w:type="spellEnd"/>
      <w:r w:rsidRPr="002451B6">
        <w:rPr>
          <w:rFonts w:ascii="Times New Roman" w:eastAsia="Times New Roman" w:hAnsi="Times New Roman" w:cs="Times New Roman"/>
        </w:rPr>
        <w:t xml:space="preserve"> do teatro. Daí eu embarquei na canoa deles (Camargo, 2025).</w:t>
      </w:r>
    </w:p>
    <w:p w14:paraId="5C52ECB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década de 1940 e 1950 representou para o teatro brasileiro e para São Paulo, principalmente, uma efervescência cultural intensa. Além de toda a transformação estrutural no modo de se pensar ou de se fazer teatro, porque saíamos de um teatro declamado, com fortes tendências europeias e que, muitas vezes, ainda utilizava ponto, profissional escondido em um alçapão no palco, cuja função era “ditar” as falas dos atores em voz baixa durante o espetáculo, para um teatro moderno com repertório sofisticado. </w:t>
      </w:r>
    </w:p>
    <w:p w14:paraId="744F8496"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Uma das companhias expoentes dessa efervescência foi o Teatro Brasileiro de Comédia (TBC), fundado em 1948, pelo industrial italiano Franco Zampari. Essa companhia foi responsável por solidificar a carreira de artistas de imenso relevo na cena cultural brasileira, como Cacilda Becker, Sérgio Cardoso, Nydia Licia, Paulo Autran, Leonardo Villar, Nathalia Timberg, Walmor Chagas, Stênio Garcia, Cleyde Yáconis e muitos outros. Um dos espetáculos mais marcantes nesse início da trajetória do TBC foi “Pega Fogo”, do escritor francês Jules Renard. Nele, Cacilda Becker interpretou um menino de 13 anos, o que lhe rendeu aplausos em cena aberta durante várias noites. </w:t>
      </w:r>
    </w:p>
    <w:p w14:paraId="299E6E79"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Até a grande reviravolta dos anos 1940, os espetáculos obedeciam a fórmulas imutáveis, que iam desde a distribuição de papéis de acordo com uma tipologia cristalizada, em que um ator interpretava sempre o mesmo tipo de personagem, até a utilização da figura do ‘ponto’, que dispensava os atores da sempre árdua tarefa de memorizar o texto. Já no período que marca a grande renovação, esse comportamento foi drasticamente mudado, e é o que confere um caráter espantoso à referida atividade. Imbuídos de tantas preocupações de aperfeiçoamento técnico e artístico, os homens e as mulheres que se atiraram à tarefa de construir o novo teatro brasileiro, entre eles Sérgio Cardoso, realizaram um feito titânico ao conseguir produzir tanto em tão pouco tempo” (Dias, 2024, p. 44).</w:t>
      </w:r>
    </w:p>
    <w:p w14:paraId="3E00D4B9"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importação de diretores italianos como Adolfo Celi, Ruggero Jacobbi, Gianni Ratto, Alberto D´Aversa, do belga Maurice </w:t>
      </w:r>
      <w:proofErr w:type="spellStart"/>
      <w:r w:rsidRPr="002451B6">
        <w:rPr>
          <w:rFonts w:ascii="Times New Roman" w:eastAsia="Times New Roman" w:hAnsi="Times New Roman" w:cs="Times New Roman"/>
          <w:sz w:val="24"/>
          <w:szCs w:val="24"/>
        </w:rPr>
        <w:t>Vaneau</w:t>
      </w:r>
      <w:proofErr w:type="spellEnd"/>
      <w:r w:rsidRPr="002451B6">
        <w:rPr>
          <w:rFonts w:ascii="Times New Roman" w:eastAsia="Times New Roman" w:hAnsi="Times New Roman" w:cs="Times New Roman"/>
          <w:sz w:val="24"/>
          <w:szCs w:val="24"/>
        </w:rPr>
        <w:t xml:space="preserve"> e do polonês Zbigniew </w:t>
      </w:r>
      <w:proofErr w:type="spellStart"/>
      <w:r w:rsidRPr="002451B6">
        <w:rPr>
          <w:rFonts w:ascii="Times New Roman" w:eastAsia="Times New Roman" w:hAnsi="Times New Roman" w:cs="Times New Roman"/>
          <w:sz w:val="24"/>
          <w:szCs w:val="24"/>
        </w:rPr>
        <w:t>Ziembiński</w:t>
      </w:r>
      <w:proofErr w:type="spellEnd"/>
      <w:r w:rsidRPr="002451B6">
        <w:rPr>
          <w:rFonts w:ascii="Times New Roman" w:eastAsia="Times New Roman" w:hAnsi="Times New Roman" w:cs="Times New Roman"/>
          <w:sz w:val="24"/>
          <w:szCs w:val="24"/>
        </w:rPr>
        <w:t xml:space="preserve"> trouxe uma força inovadora nas criações dramatúrgicas, o que ajudaria na formação de diretores brasileiros e na construção de narrativas nacionais. O Brasil vivia uma época de ebulição política e as questões sociais sobre a condição da população pobre do Brasil começaram a vir à tona por meio dos textos de dramaturgos jovens que emergiram a partir dessa modernização. </w:t>
      </w:r>
    </w:p>
    <w:p w14:paraId="40EDA2F6"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Outras companhias de teatro surgiram nesse contexto, como o Teatro Bela Vista, fundado pelo casal de atores Nydia Licia e Sérgio Cardoso, em 1956, com a estreia da peça </w:t>
      </w:r>
      <w:r w:rsidRPr="002451B6">
        <w:rPr>
          <w:rFonts w:ascii="Times New Roman" w:eastAsia="Times New Roman" w:hAnsi="Times New Roman" w:cs="Times New Roman"/>
          <w:i/>
          <w:iCs/>
          <w:sz w:val="24"/>
          <w:szCs w:val="24"/>
        </w:rPr>
        <w:t>Hamlet</w:t>
      </w:r>
      <w:r w:rsidRPr="002451B6">
        <w:rPr>
          <w:rFonts w:ascii="Times New Roman" w:eastAsia="Times New Roman" w:hAnsi="Times New Roman" w:cs="Times New Roman"/>
          <w:sz w:val="24"/>
          <w:szCs w:val="24"/>
        </w:rPr>
        <w:t xml:space="preserve">, de Shakespeare. O Teatro de Arena, em 1953, o Teatro Maria Della Costa, em 1954 e o Teatro Oficina, em 1958, foram outros empreendimentos teatrais que marcariam a história do teatro paulistano. Deles, sairiam nomes importantes para a dramaturgia produzida no país, como Gianfrancesco Guarnieri, Lauro César Muniz, Vianinha, Jorge Andrade, Flavio Rangel e Antunes Filho. </w:t>
      </w:r>
    </w:p>
    <w:p w14:paraId="77918477" w14:textId="77777777" w:rsidR="00332C33" w:rsidRPr="002451B6" w:rsidRDefault="00000000">
      <w:pPr>
        <w:tabs>
          <w:tab w:val="left" w:pos="567"/>
        </w:tabs>
        <w:spacing w:after="160" w:line="360" w:lineRule="auto"/>
        <w:ind w:firstLine="709"/>
        <w:jc w:val="both"/>
      </w:pPr>
      <w:r w:rsidRPr="002451B6">
        <w:rPr>
          <w:rFonts w:ascii="Times New Roman" w:eastAsia="Times New Roman" w:hAnsi="Times New Roman" w:cs="Times New Roman"/>
          <w:sz w:val="24"/>
          <w:szCs w:val="24"/>
        </w:rPr>
        <w:t>Maria Célia acompanhou essas transformações ganharem força bem ali, diante de seus olhos, com uma vontade imensa de contribuir para o avanço da máquina teatral brasileira. Aos poucos, a sua verve artística foi se lapidando e ela passou a integrar diversos elencos em companhias distintas, tentando sorver o lirismo interpretativo que a fascinava em cada novo trabalho com os colegas de palco. Ela se sentia conquistando o mundo, um mundo que se abria para a criação de novos personagens.</w:t>
      </w:r>
    </w:p>
    <w:p w14:paraId="2493C5EA" w14:textId="77777777"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A arte de ser atriz</w:t>
      </w:r>
    </w:p>
    <w:p w14:paraId="541C5F1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sonho de toda aspirante a atriz é trabalhar com os seus ídolos, de se envolver com eles, extraindo um pouco daquela chama que tanto hipnotiza os olhos. Em 1956, Maria Célia teve a oportunidade de fazer parte da estreia do Teatro Bela Vista. A peça era </w:t>
      </w:r>
      <w:r w:rsidRPr="002451B6">
        <w:rPr>
          <w:rFonts w:ascii="Times New Roman" w:eastAsia="Times New Roman" w:hAnsi="Times New Roman" w:cs="Times New Roman"/>
          <w:i/>
          <w:iCs/>
          <w:sz w:val="24"/>
          <w:szCs w:val="24"/>
        </w:rPr>
        <w:t>Hamlet</w:t>
      </w:r>
      <w:r w:rsidRPr="002451B6">
        <w:rPr>
          <w:rFonts w:ascii="Times New Roman" w:eastAsia="Times New Roman" w:hAnsi="Times New Roman" w:cs="Times New Roman"/>
          <w:sz w:val="24"/>
          <w:szCs w:val="24"/>
        </w:rPr>
        <w:t xml:space="preserve">, de Shakespeare, e ela interpretou uma dama da corte. Sérgio Cardoso desempenhou novamente o papel-título que o havia consagrado na época do Teatro do Estudante, do teatrólogo Paschoal Carlos Magno; Nydia vivia a estonteante Rainha Gertrudes, com beleza e sensualidade. </w:t>
      </w:r>
    </w:p>
    <w:p w14:paraId="5F78372A"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Para uma moça nova e cheia de vontade, ter alguém que pudesse auxiliá-la em questões básicas de postura e comportamento fez toda a diferença</w:t>
      </w:r>
    </w:p>
    <w:p w14:paraId="21E9293E" w14:textId="77777777" w:rsidR="00332C33" w:rsidRPr="002451B6" w:rsidRDefault="00000000">
      <w:pPr>
        <w:tabs>
          <w:tab w:val="left" w:pos="567"/>
        </w:tabs>
        <w:spacing w:after="160" w:line="240" w:lineRule="auto"/>
        <w:ind w:left="2268"/>
        <w:jc w:val="both"/>
      </w:pPr>
      <w:r w:rsidRPr="002451B6">
        <w:rPr>
          <w:rFonts w:ascii="Times New Roman" w:eastAsia="Times New Roman" w:hAnsi="Times New Roman" w:cs="Times New Roman"/>
        </w:rPr>
        <w:t xml:space="preserve">Não sabia nem andar direito, a Nydia me botou um vestido comprido, lindo, e a dificuldade para subir os degraus era grande, eu era muito caipira, vinda de Angatuba, acostumada a usar botinas. Passei um apuro. Mas ela me ajudou. Nessa época, quem estava começando também, junto comigo, era a Rita </w:t>
      </w:r>
      <w:proofErr w:type="spellStart"/>
      <w:r w:rsidRPr="002451B6">
        <w:rPr>
          <w:rFonts w:ascii="Times New Roman" w:eastAsia="Times New Roman" w:hAnsi="Times New Roman" w:cs="Times New Roman"/>
        </w:rPr>
        <w:t>Cleós</w:t>
      </w:r>
      <w:proofErr w:type="spellEnd"/>
      <w:r w:rsidRPr="002451B6">
        <w:rPr>
          <w:rFonts w:ascii="Times New Roman" w:eastAsia="Times New Roman" w:hAnsi="Times New Roman" w:cs="Times New Roman"/>
        </w:rPr>
        <w:t>, que era uma criatura maravilhosa, uma atriz excelente (Camargo, 2025).</w:t>
      </w:r>
    </w:p>
    <w:p w14:paraId="08DFE0FB"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Maria Célia foi se agarrando a outras oportunidades, pequenos papéis, como nas peças </w:t>
      </w:r>
      <w:r w:rsidRPr="002451B6">
        <w:rPr>
          <w:rFonts w:ascii="Times New Roman" w:eastAsia="Times New Roman" w:hAnsi="Times New Roman" w:cs="Times New Roman"/>
          <w:i/>
          <w:iCs/>
          <w:sz w:val="24"/>
          <w:szCs w:val="24"/>
        </w:rPr>
        <w:t>Maria Stuart</w:t>
      </w:r>
      <w:r w:rsidRPr="002451B6">
        <w:rPr>
          <w:rFonts w:ascii="Times New Roman" w:eastAsia="Times New Roman" w:hAnsi="Times New Roman" w:cs="Times New Roman"/>
          <w:sz w:val="24"/>
          <w:szCs w:val="24"/>
        </w:rPr>
        <w:t xml:space="preserve"> e </w:t>
      </w:r>
      <w:r w:rsidRPr="002451B6">
        <w:rPr>
          <w:rFonts w:ascii="Times New Roman" w:eastAsia="Times New Roman" w:hAnsi="Times New Roman" w:cs="Times New Roman"/>
          <w:i/>
          <w:iCs/>
          <w:sz w:val="24"/>
          <w:szCs w:val="24"/>
        </w:rPr>
        <w:t>Volpone</w:t>
      </w:r>
      <w:r w:rsidRPr="002451B6">
        <w:rPr>
          <w:rFonts w:ascii="Times New Roman" w:eastAsia="Times New Roman" w:hAnsi="Times New Roman" w:cs="Times New Roman"/>
          <w:sz w:val="24"/>
          <w:szCs w:val="24"/>
        </w:rPr>
        <w:t>, entre 1955 e 1956, dirigidas por Ziembinski. Além disso, procurou fazer um curso de interpretação no Conservatório Dramático e Musical de São Paulo, num belo prédio da Avenida São João. Lá ela teve aulas com o diretor Ruggero Jacobbi, que a ajudou na tarefa de expressar com maior nitidez a alma do personagem.</w:t>
      </w:r>
    </w:p>
    <w:p w14:paraId="0FC6AC2B"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Ser atriz não era uma tarefa fácil quando ela começou a sua carreira. A profissão artística ganhou, durante muito tempo, pouco prestígio moral, estigma de que muitas atrizes sofreram, </w:t>
      </w:r>
      <w:r w:rsidRPr="002451B6">
        <w:rPr>
          <w:rFonts w:ascii="Times New Roman" w:eastAsia="Times New Roman" w:hAnsi="Times New Roman" w:cs="Times New Roman"/>
          <w:sz w:val="24"/>
          <w:szCs w:val="24"/>
        </w:rPr>
        <w:lastRenderedPageBreak/>
        <w:t xml:space="preserve">por exemplo, entre as décadas de 1940 a 1970. Era uma época em que elas precisavam apresentar a mesma carteira da saúde pública que as prostitutas detinham, que segundo a política da época era uma maneira de promover o controle sanitário. As famílias não queriam que seus filhos, principalmente as filhas, escolhessem um ofício tão </w:t>
      </w:r>
      <w:proofErr w:type="gramStart"/>
      <w:r w:rsidRPr="002451B6">
        <w:rPr>
          <w:rFonts w:ascii="Times New Roman" w:eastAsia="Times New Roman" w:hAnsi="Times New Roman" w:cs="Times New Roman"/>
          <w:sz w:val="24"/>
          <w:szCs w:val="24"/>
        </w:rPr>
        <w:t>mal visto</w:t>
      </w:r>
      <w:proofErr w:type="gramEnd"/>
      <w:r w:rsidRPr="002451B6">
        <w:rPr>
          <w:rFonts w:ascii="Times New Roman" w:eastAsia="Times New Roman" w:hAnsi="Times New Roman" w:cs="Times New Roman"/>
          <w:sz w:val="24"/>
          <w:szCs w:val="24"/>
        </w:rPr>
        <w:t xml:space="preserve"> pela sociedade. A atriz Eva </w:t>
      </w:r>
      <w:proofErr w:type="spellStart"/>
      <w:r w:rsidRPr="002451B6">
        <w:rPr>
          <w:rFonts w:ascii="Times New Roman" w:eastAsia="Times New Roman" w:hAnsi="Times New Roman" w:cs="Times New Roman"/>
          <w:sz w:val="24"/>
          <w:szCs w:val="24"/>
        </w:rPr>
        <w:t>Todor</w:t>
      </w:r>
      <w:proofErr w:type="spellEnd"/>
      <w:r w:rsidRPr="002451B6">
        <w:rPr>
          <w:rFonts w:ascii="Times New Roman" w:eastAsia="Times New Roman" w:hAnsi="Times New Roman" w:cs="Times New Roman"/>
          <w:sz w:val="24"/>
          <w:szCs w:val="24"/>
        </w:rPr>
        <w:t xml:space="preserve"> relembrou, em sua biografia, um episódio que revela o preconceito daquela época contra a profissão:</w:t>
      </w:r>
    </w:p>
    <w:p w14:paraId="53C79CD3"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sz w:val="24"/>
          <w:szCs w:val="24"/>
        </w:rPr>
      </w:pPr>
      <w:r w:rsidRPr="002451B6">
        <w:rPr>
          <w:rFonts w:ascii="Times New Roman" w:eastAsia="Times New Roman" w:hAnsi="Times New Roman" w:cs="Times New Roman"/>
        </w:rPr>
        <w:t xml:space="preserve">Lembro-me que quando chegamos à Bahia recebemos uma notificação dizendo que menor de idade não podia fazer teatro. Como eu era menor, nós tínhamos que ir à delegacia e assinar um livro, como se fosse um registro, para obter a liberação do espetáculo. Nesse livro, teria de assinar numa página que dizia: Atrizes e Meretrizes. </w:t>
      </w:r>
      <w:proofErr w:type="spellStart"/>
      <w:r w:rsidRPr="002451B6">
        <w:rPr>
          <w:rFonts w:ascii="Times New Roman" w:eastAsia="Times New Roman" w:hAnsi="Times New Roman" w:cs="Times New Roman"/>
        </w:rPr>
        <w:t>Iglézias</w:t>
      </w:r>
      <w:proofErr w:type="spellEnd"/>
      <w:r w:rsidRPr="002451B6">
        <w:rPr>
          <w:rFonts w:ascii="Times New Roman" w:eastAsia="Times New Roman" w:hAnsi="Times New Roman" w:cs="Times New Roman"/>
        </w:rPr>
        <w:t xml:space="preserve"> se enfureceu e não permitiu que eu assinasse aquilo. Ele parou toda a companhia, organizou manifestações com estudantes da cidade e, por fim, conseguimos o alvará para estrearmos. Mas eu não assinei aquele livro (Jesus, 2007, p. 34). </w:t>
      </w:r>
    </w:p>
    <w:p w14:paraId="2BD83521"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Nem ao menos existia uma regulamentação para a profissão artística no Brasil, fato que só ocorreu quando a pressão da classe artística conseguiu aprovar a Lei 6.533/1978, que regulamentou a profissão. De modo formal, a lei define quem é artista ou técnico em espetáculo, como atores/atrizes, técnicos de som, cenografia e estabelece que a sua atividade profissional deve obedecer às regras relativas ao registro, contrato de trabalho, vínculo, empregadores ou agenciadores. Antes disso, os artistas não poderiam reclamar os seus direitos trabalhistas ou terem uma aposentadoria digna, sendo relegados a situações de marginalização e indignidade. </w:t>
      </w:r>
    </w:p>
    <w:p w14:paraId="207AEABD"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Lutando pela sobrevivência artística e financeira, os atores precisavam emendar uma peça atrás da outra, para que pudessem sobreviver da bilheteria. Maria Célia foi aceitando os convites que lhe apareciam e um deles a deixou muito contente. No Pequeno Teatro de Comédia, dirigido por Antunes Filho, ela participou da peça </w:t>
      </w:r>
      <w:r w:rsidRPr="002451B6">
        <w:rPr>
          <w:rFonts w:ascii="Times New Roman" w:eastAsia="Times New Roman" w:hAnsi="Times New Roman" w:cs="Times New Roman"/>
          <w:i/>
          <w:iCs/>
          <w:sz w:val="24"/>
          <w:szCs w:val="24"/>
        </w:rPr>
        <w:t>O diário de Anne Frank</w:t>
      </w:r>
      <w:r w:rsidRPr="002451B6">
        <w:rPr>
          <w:rFonts w:ascii="Times New Roman" w:eastAsia="Times New Roman" w:hAnsi="Times New Roman" w:cs="Times New Roman"/>
          <w:sz w:val="24"/>
          <w:szCs w:val="24"/>
        </w:rPr>
        <w:t>, em julho de 1959, no Teatro Cultura Artística, obtendo críticas favoráveis e elogiosas ao seu trabalho. O Estado de S. Paulo, publicou na edição de 6 de agosto: “Maria Célia Camargo tem um instante de vibração realmente excepcional ao trazer a notícia do desembarque na Europa das tropas aliadas”.</w:t>
      </w:r>
    </w:p>
    <w:p w14:paraId="268C0D88"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Ainda no mesmo ano, Maria Célia foi convidada a integrar o elenco do espetáculo </w:t>
      </w:r>
      <w:r w:rsidRPr="002451B6">
        <w:rPr>
          <w:rFonts w:ascii="Times New Roman" w:eastAsia="Times New Roman" w:hAnsi="Times New Roman" w:cs="Times New Roman"/>
          <w:i/>
          <w:iCs/>
          <w:sz w:val="24"/>
          <w:szCs w:val="24"/>
        </w:rPr>
        <w:t>Plantão 21</w:t>
      </w:r>
      <w:r w:rsidRPr="002451B6">
        <w:rPr>
          <w:rFonts w:ascii="Times New Roman" w:eastAsia="Times New Roman" w:hAnsi="Times New Roman" w:cs="Times New Roman"/>
          <w:sz w:val="24"/>
          <w:szCs w:val="24"/>
        </w:rPr>
        <w:t xml:space="preserve">, de Sidney Kingsley, cujo enredo é ambientado numa delegacia de polícia onde aconteciam diversos desentendimentos entre os policiais e os detentos. O Estado de S. Paulo anunciou, em setembro, o bom auspício: “Com a direção marcante que Antunes imprimiu a essa personagem, Maria Célia terá a maior oportunidade de sua carreira”. Sua personagem era uma ladra com problemas psicológicos que durante um interrogatório se urinava de nervosismo. De fato, por essa interpretação, ela era aplaudida em cena aberta toda a noite. </w:t>
      </w:r>
    </w:p>
    <w:p w14:paraId="65EFEF1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Ainda no Pequeno Teatro de Comédia, Maria Célia interpretou Miss Lucy, em </w:t>
      </w:r>
      <w:r w:rsidRPr="002451B6">
        <w:rPr>
          <w:rFonts w:ascii="Times New Roman" w:eastAsia="Times New Roman" w:hAnsi="Times New Roman" w:cs="Times New Roman"/>
          <w:i/>
          <w:iCs/>
          <w:sz w:val="24"/>
          <w:szCs w:val="24"/>
        </w:rPr>
        <w:t>Doce pássaro da juventude</w:t>
      </w:r>
      <w:r w:rsidRPr="002451B6">
        <w:rPr>
          <w:rFonts w:ascii="Times New Roman" w:eastAsia="Times New Roman" w:hAnsi="Times New Roman" w:cs="Times New Roman"/>
          <w:sz w:val="24"/>
          <w:szCs w:val="24"/>
        </w:rPr>
        <w:t xml:space="preserve">, em maio de 1960, de Tennessee Williams, dirigida por Ademar Guerra. Dividiu a ribalta com Irina Greco, Tarcísio Meira, Glauce Rocha e Mauro Mendonça, que viveram os personagens principais, que na Broadway foram interpretados pelos famosos atores norte-americanos, Geraldine Page e Paul Newman. Esse trabalho propiciou o começo da amizade e parceria profissional entre Maria Célia e Ademar Guerra, um dos diretores mais reconhecidos por superproduções e musicais no Brasil. </w:t>
      </w:r>
    </w:p>
    <w:p w14:paraId="40B38F7B"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Logo após, vieram mais duas personagens no TBC: Noêmia, de </w:t>
      </w:r>
      <w:r w:rsidRPr="002451B6">
        <w:rPr>
          <w:rFonts w:ascii="Times New Roman" w:eastAsia="Times New Roman" w:hAnsi="Times New Roman" w:cs="Times New Roman"/>
          <w:i/>
          <w:iCs/>
          <w:sz w:val="24"/>
          <w:szCs w:val="24"/>
        </w:rPr>
        <w:t>A escada</w:t>
      </w:r>
      <w:r w:rsidRPr="002451B6">
        <w:rPr>
          <w:rFonts w:ascii="Times New Roman" w:eastAsia="Times New Roman" w:hAnsi="Times New Roman" w:cs="Times New Roman"/>
          <w:sz w:val="24"/>
          <w:szCs w:val="24"/>
        </w:rPr>
        <w:t xml:space="preserve">, em setembro de 1961, de Jorge Andrade, peça centralizada em um casal de aristocráticos descendentes de senhores rurais, que se dividiam na casa dos filhos, descortinando as fragilidades das relações familiares; e uma prostituta em </w:t>
      </w:r>
      <w:r w:rsidRPr="002451B6">
        <w:rPr>
          <w:rFonts w:ascii="Times New Roman" w:eastAsia="Times New Roman" w:hAnsi="Times New Roman" w:cs="Times New Roman"/>
          <w:i/>
          <w:iCs/>
          <w:sz w:val="24"/>
          <w:szCs w:val="24"/>
        </w:rPr>
        <w:t>A morte do caixeiro viajante</w:t>
      </w:r>
      <w:r w:rsidRPr="002451B6">
        <w:rPr>
          <w:rFonts w:ascii="Times New Roman" w:eastAsia="Times New Roman" w:hAnsi="Times New Roman" w:cs="Times New Roman"/>
          <w:sz w:val="24"/>
          <w:szCs w:val="24"/>
        </w:rPr>
        <w:t xml:space="preserve">, em março de 1962, de Arthur Miller, com direção de Flávio Rangel: “Ele fez de propósito, porque era meio tímida, meio encostada. Então, Flávio disse: vou botar você na vida e botou”. Nesse espetáculo, Maria Célia deu o seu primeiro beijo em cena, no personagem vivido pelo ator Dionísio Azevedo. </w:t>
      </w:r>
    </w:p>
    <w:p w14:paraId="43944AE2"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Esse período inicial de sua carreira coincidiu com uma abertura do teatro paulistano para uma dramaturgia mais engajada nos temas políticos e sociais. </w:t>
      </w:r>
      <w:proofErr w:type="gramStart"/>
      <w:r w:rsidRPr="002451B6">
        <w:rPr>
          <w:rFonts w:ascii="Times New Roman" w:eastAsia="Times New Roman" w:hAnsi="Times New Roman" w:cs="Times New Roman"/>
          <w:sz w:val="24"/>
          <w:szCs w:val="24"/>
        </w:rPr>
        <w:t xml:space="preserve">O estrondoso sucesso de </w:t>
      </w:r>
      <w:r w:rsidRPr="002451B6">
        <w:rPr>
          <w:rFonts w:ascii="Times New Roman" w:eastAsia="Times New Roman" w:hAnsi="Times New Roman" w:cs="Times New Roman"/>
          <w:i/>
          <w:iCs/>
          <w:sz w:val="24"/>
          <w:szCs w:val="24"/>
        </w:rPr>
        <w:t>Eles não usam</w:t>
      </w:r>
      <w:proofErr w:type="gramEnd"/>
      <w:r w:rsidRPr="002451B6">
        <w:rPr>
          <w:rFonts w:ascii="Times New Roman" w:eastAsia="Times New Roman" w:hAnsi="Times New Roman" w:cs="Times New Roman"/>
          <w:i/>
          <w:iCs/>
          <w:sz w:val="24"/>
          <w:szCs w:val="24"/>
        </w:rPr>
        <w:t xml:space="preserve"> black-tie</w:t>
      </w:r>
      <w:r w:rsidRPr="002451B6">
        <w:rPr>
          <w:rFonts w:ascii="Times New Roman" w:eastAsia="Times New Roman" w:hAnsi="Times New Roman" w:cs="Times New Roman"/>
          <w:sz w:val="24"/>
          <w:szCs w:val="24"/>
        </w:rPr>
        <w:t xml:space="preserve">, em fevereiro de 1958, de Gianfrancesco Guarnieri, no Teatro de Arena, abriu novas possibilidades para que outros autores pudessem explorar temáticas que retratassem um Brasil profundo e sem maquiagens. Esse ideal estava sendo disseminado em vários segmentos das artes, haja vista os propósitos do movimento do Cinema Novo e dos escritores da “geração de sessenta”. </w:t>
      </w:r>
    </w:p>
    <w:p w14:paraId="2B099AD7"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meio a tantas revoluções de linguagem, Maria Célia foi tomando gosto por uma outra seara dentro dos espetáculos: a produção. Essa função de ser responsável por planejar, organizar e viabilizar tudo o que é necessário para que um espetáculo aconteça foi lhe adoçando o paladar. Era desafiador cuidar de toda a parte prática e logística da atividade teatral, mas compartilhar sonhos a empolgava: “O teatro era visto como algo ruim pela sociedade. Não era nem uma profissão. Era um amor, uma paixão, uma idolatria que nós sentíamos pelo teatro em si”. </w:t>
      </w:r>
    </w:p>
    <w:p w14:paraId="2A8602AC" w14:textId="77777777"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Produtora, eu?</w:t>
      </w:r>
    </w:p>
    <w:p w14:paraId="72214EC8"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primeira oportunidade de Maria Célia Camargo como produtora se deu logo no começo de sua carreira como atriz, mais precisamente, em abril de 1961, quando ajudou na produção da peça </w:t>
      </w:r>
      <w:r w:rsidRPr="002451B6">
        <w:rPr>
          <w:rFonts w:ascii="Times New Roman" w:eastAsia="Times New Roman" w:hAnsi="Times New Roman" w:cs="Times New Roman"/>
          <w:i/>
          <w:iCs/>
          <w:sz w:val="24"/>
          <w:szCs w:val="24"/>
        </w:rPr>
        <w:t>A Semente</w:t>
      </w:r>
      <w:r w:rsidRPr="002451B6">
        <w:rPr>
          <w:rFonts w:ascii="Times New Roman" w:eastAsia="Times New Roman" w:hAnsi="Times New Roman" w:cs="Times New Roman"/>
          <w:sz w:val="24"/>
          <w:szCs w:val="24"/>
        </w:rPr>
        <w:t xml:space="preserve">, de Gianfrancesco Guarnieri, levada ao palco do Teatro Brasileiro de Comédia por Flávio Rangel. O enredo tratava da realidade operária, onde a rotina industrial, </w:t>
      </w:r>
      <w:r w:rsidRPr="002451B6">
        <w:rPr>
          <w:rFonts w:ascii="Times New Roman" w:eastAsia="Times New Roman" w:hAnsi="Times New Roman" w:cs="Times New Roman"/>
          <w:sz w:val="24"/>
          <w:szCs w:val="24"/>
        </w:rPr>
        <w:lastRenderedPageBreak/>
        <w:t xml:space="preserve">com suas máquinas e apitos de fábrica causava desequilíbrios sociais entre os próprios movimentos dos trabalhadores. </w:t>
      </w:r>
    </w:p>
    <w:p w14:paraId="02D847BF"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Foi nesse trabalho que a verve empreendedora da atriz se mostrou mais clara, uma vez que esse desejo de organizar elenco, técnicos, buscar apoiadores, fazer a divulgação fincou nela raízes profundas. A aparelhagem cênica a fascinava e ajudar na montagem de um espetáculo era antes de tudo imergir nessa nova família que havia formado. Era uma época mais artesanal diante do fazer artístico e mais próxima no sentido humano, onde os atores chegavam a levar, sem pestanejar, utensílios de casa para fazerem uma cena.</w:t>
      </w:r>
    </w:p>
    <w:p w14:paraId="3E450BE1"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Essa vontade de realizar e de experimentação marcou a geração das décadas de 1950 e 1960. A entrega ao ofício suscitava esse fazer corporativo. Na peça </w:t>
      </w:r>
      <w:r w:rsidRPr="002451B6">
        <w:rPr>
          <w:rFonts w:ascii="Times New Roman" w:eastAsia="Times New Roman" w:hAnsi="Times New Roman" w:cs="Times New Roman"/>
          <w:i/>
          <w:iCs/>
          <w:sz w:val="24"/>
          <w:szCs w:val="24"/>
        </w:rPr>
        <w:t>A semente</w:t>
      </w:r>
      <w:r w:rsidRPr="002451B6">
        <w:rPr>
          <w:rFonts w:ascii="Times New Roman" w:eastAsia="Times New Roman" w:hAnsi="Times New Roman" w:cs="Times New Roman"/>
          <w:sz w:val="24"/>
          <w:szCs w:val="24"/>
        </w:rPr>
        <w:t xml:space="preserve"> foi necessária a presença de um bezerro no palco. Maria Célia não pensou duas vezes em telefonar para um primo e pedir o animal emprestado. O primo ficou preocupado que fizessem o pobrezinho virar churrasco, porém, ela garantiu que o bezerro viraria um astro de teatro. </w:t>
      </w:r>
    </w:p>
    <w:p w14:paraId="79E597FF"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Falei com o Flávio Rangel que era o diretor da peça e ele disse: você vai comigo, nós vamos buscar esse boi agora! Tinha ensaio à noite e ele queria encaixar o boi no ensaio. Pegamos emprestado o carro da Miriam Mehler, um Dauphine e seguimos para Angatuba. Ele era a coisa mais fofa do mundo e fez muito sucesso no TBC (Camargo, 2025). </w:t>
      </w:r>
    </w:p>
    <w:p w14:paraId="7804F9A2"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êxito do espetáculo reverberou de tal forma que a peça recebeu o Prêmio Saci, uma das mais cobiçadas premiações do teatro brasileiro concedida pelo jornal O Estado de S. Paulo aos melhores do ano. A estátua era feita pelo aclamado escultor Victor Brecheret. Por sua atuação intensa na produção de </w:t>
      </w:r>
      <w:r w:rsidRPr="002451B6">
        <w:rPr>
          <w:rFonts w:ascii="Times New Roman" w:eastAsia="Times New Roman" w:hAnsi="Times New Roman" w:cs="Times New Roman"/>
          <w:i/>
          <w:iCs/>
          <w:sz w:val="24"/>
          <w:szCs w:val="24"/>
        </w:rPr>
        <w:t>A semente</w:t>
      </w:r>
      <w:r w:rsidRPr="002451B6">
        <w:rPr>
          <w:rFonts w:ascii="Times New Roman" w:eastAsia="Times New Roman" w:hAnsi="Times New Roman" w:cs="Times New Roman"/>
          <w:sz w:val="24"/>
          <w:szCs w:val="24"/>
        </w:rPr>
        <w:t xml:space="preserve">, Maria Célia foi escolhida para receber o prêmio, entregue a ela pelas mãos do escritor Fernando Sabino, em noite de gala no palco do </w:t>
      </w:r>
      <w:proofErr w:type="spellStart"/>
      <w:r w:rsidRPr="002451B6">
        <w:rPr>
          <w:rFonts w:ascii="Times New Roman" w:eastAsia="Times New Roman" w:hAnsi="Times New Roman" w:cs="Times New Roman"/>
          <w:sz w:val="24"/>
          <w:szCs w:val="24"/>
        </w:rPr>
        <w:t>Theatro</w:t>
      </w:r>
      <w:proofErr w:type="spellEnd"/>
      <w:r w:rsidRPr="002451B6">
        <w:rPr>
          <w:rFonts w:ascii="Times New Roman" w:eastAsia="Times New Roman" w:hAnsi="Times New Roman" w:cs="Times New Roman"/>
          <w:sz w:val="24"/>
          <w:szCs w:val="24"/>
        </w:rPr>
        <w:t xml:space="preserve"> Municipal de São Paulo. Todavia, atuar na produção de uma peça não era tarefa fácil. </w:t>
      </w:r>
    </w:p>
    <w:p w14:paraId="71E9C08C"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Se ser atriz já era uma tarefa árdua, pelas dificuldades criadas pelas famílias e pelo próprio meio artístico, ser produtora exigia muito mais tenacidade para resistir ao modelo de negócios patriarcal estabelecido na economia brasileira e na própria estrutura cultural do país. Os homens ditavam as regras. Não se pode esquecer que o Código Civil de 1916 considerava a mulher casada (e por extensão, muitas vezes, a solteira) incapaz de gerir o próprio dinheiro, não podendo ter CPF ou conta bancária independente, sem autorização masculina.  </w:t>
      </w:r>
    </w:p>
    <w:p w14:paraId="2F8CAF1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Então, para aquela geração de mulheres, uma mulher que pudesse ter voz na produção de espetáculos era algo revolucionário. Foram poucas as que puderam furar os bloqueios. Dulcina de Moraes, Dercy Gonçalves e Nydia Licia, mais contemporânea à Maria Célia, foram atrizes que conseguiram impor a sua vontade na produção de alguns espetáculos Brasil afora, não sem penarem diante dos percalços para sustentarem sozinhas projetos arrojados. </w:t>
      </w:r>
    </w:p>
    <w:p w14:paraId="43253B40"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lastRenderedPageBreak/>
        <w:t xml:space="preserve">Após </w:t>
      </w:r>
      <w:r w:rsidRPr="002451B6">
        <w:rPr>
          <w:rFonts w:ascii="Times New Roman" w:eastAsia="Times New Roman" w:hAnsi="Times New Roman" w:cs="Times New Roman"/>
          <w:i/>
          <w:iCs/>
          <w:sz w:val="24"/>
          <w:szCs w:val="24"/>
        </w:rPr>
        <w:t>A Semente</w:t>
      </w:r>
      <w:r w:rsidRPr="002451B6">
        <w:rPr>
          <w:rFonts w:ascii="Times New Roman" w:eastAsia="Times New Roman" w:hAnsi="Times New Roman" w:cs="Times New Roman"/>
          <w:sz w:val="24"/>
          <w:szCs w:val="24"/>
        </w:rPr>
        <w:t xml:space="preserve">, Maria Célia voltou a capitanear uma produção teatral em </w:t>
      </w:r>
      <w:r w:rsidRPr="002451B6">
        <w:rPr>
          <w:rFonts w:ascii="Times New Roman" w:eastAsia="Times New Roman" w:hAnsi="Times New Roman" w:cs="Times New Roman"/>
          <w:i/>
          <w:iCs/>
          <w:sz w:val="24"/>
          <w:szCs w:val="24"/>
        </w:rPr>
        <w:t>Yerma</w:t>
      </w:r>
      <w:r w:rsidRPr="002451B6">
        <w:rPr>
          <w:rFonts w:ascii="Times New Roman" w:eastAsia="Times New Roman" w:hAnsi="Times New Roman" w:cs="Times New Roman"/>
          <w:sz w:val="24"/>
          <w:szCs w:val="24"/>
        </w:rPr>
        <w:t xml:space="preserve">, em junho de 1962, de Federico García Lorca, também no TBC. Antunes Filho, o diretor, a incumbiu de selecionar alguns integrantes do elenco, foi assim que ela conheceu o ator Altair Lima, homem alto, bonito, de cabelos negros, másculo, que a encantou completamente. A peça girava em torno de Yerma, uma mulher obcecada pelo desejo de ser mãe, em uma sociedade espanhola patriarcal e preconceituosa, que encarava a falta de um filho como um fracasso do corpo feminino, o que a levava ao desespero e à tragédia. </w:t>
      </w:r>
    </w:p>
    <w:p w14:paraId="065EEDCE"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 atriz contou em seu depoimento:</w:t>
      </w:r>
    </w:p>
    <w:p w14:paraId="02D5AC5D"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Lembro de uma passagem com a atriz Carmen Silva. Contei para ela: olha, eu estou com um problema. Estou fazendo a produção da peça e não encontramos até agora um ator para fazer o Victor, tem que ser um ator de peso, uma pessoa bonita, que inspire sexo. Daí ela respondeu: tenho a pessoa certa, o Altair Lima, um ator da TV Record. Ela trouxe o Altair para ser apresentado, a Dina fez o teste com ele e foi aprovado. Eu também aprovei, aprovei tanto que virou meu marido. O namoro começou durante Yerma (Camargo, 2025).  </w:t>
      </w:r>
    </w:p>
    <w:p w14:paraId="5A422BEC"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Em pouco tempo, eles se casaram e tiveram dois filhos: Ana Célia e João Paulo. Foram quase 17 anos de matrimônio que lhe rendeu além dos filhos, uma parceria duradoura na produção de espetáculos teatrais ao fundarem a Sociedade Paulista de Comédia. A primeira empreitada da dupla aconteceu em setembro de 1966, quando Maria Célia fez a produção da peça </w:t>
      </w:r>
      <w:r w:rsidRPr="002451B6">
        <w:rPr>
          <w:rFonts w:ascii="Times New Roman" w:eastAsia="Times New Roman" w:hAnsi="Times New Roman" w:cs="Times New Roman"/>
          <w:i/>
          <w:iCs/>
          <w:sz w:val="24"/>
          <w:szCs w:val="24"/>
        </w:rPr>
        <w:t>A infelicidade ao alcance de todos</w:t>
      </w:r>
      <w:r w:rsidRPr="002451B6">
        <w:rPr>
          <w:rFonts w:ascii="Times New Roman" w:eastAsia="Times New Roman" w:hAnsi="Times New Roman" w:cs="Times New Roman"/>
          <w:sz w:val="24"/>
          <w:szCs w:val="24"/>
        </w:rPr>
        <w:t xml:space="preserve">, do dramaturgo Lauro César Muniz, no TBC. O elenco era estelar: Glória Menezes, Francisco Cuoco, Rosamaria Murtinho, Altair Lima, Rodolfo Mayer e Procópio Ferreira, que comemorou cinquenta anos de carreira durante a temporada. </w:t>
      </w:r>
    </w:p>
    <w:p w14:paraId="379BE929"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Pouco depois, o diretor Ademar Guerra a telefonou perguntando se ela não gostaria de produzir um musical que havia estreado na Broadway com grande repercussão, era o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Maria Célia e Altair conversaram e acabaram por fechar mais uma parceria com Ademar. Altair foi para Nova York em companhia da bailarina Marika Gidali, designada para fazer a coreografia do espetáculo, e lá finalizou a compra dos direitos autorais. A direção musical ficou a cargo de Claudio Petraglia e as músicas sob responsabilidade de Paulo Herculano. </w:t>
      </w:r>
    </w:p>
    <w:p w14:paraId="734C8E00" w14:textId="77777777" w:rsidR="00332C33" w:rsidRPr="002451B6" w:rsidRDefault="00332C33">
      <w:pPr>
        <w:tabs>
          <w:tab w:val="left" w:pos="567"/>
        </w:tabs>
        <w:spacing w:line="360" w:lineRule="auto"/>
        <w:ind w:firstLine="709"/>
        <w:jc w:val="both"/>
        <w:rPr>
          <w:rFonts w:ascii="Times New Roman" w:eastAsia="Times New Roman" w:hAnsi="Times New Roman" w:cs="Times New Roman"/>
          <w:sz w:val="24"/>
          <w:szCs w:val="24"/>
        </w:rPr>
      </w:pPr>
    </w:p>
    <w:p w14:paraId="5AF09A79" w14:textId="77777777" w:rsidR="00332C33" w:rsidRPr="002451B6" w:rsidRDefault="00000000">
      <w:pPr>
        <w:tabs>
          <w:tab w:val="left" w:pos="567"/>
        </w:tabs>
        <w:spacing w:after="160" w:line="360" w:lineRule="auto"/>
        <w:jc w:val="both"/>
        <w:rPr>
          <w:rFonts w:ascii="Times New Roman" w:eastAsia="Times New Roman" w:hAnsi="Times New Roman" w:cs="Times New Roman"/>
          <w:sz w:val="24"/>
          <w:szCs w:val="24"/>
        </w:rPr>
      </w:pPr>
      <w:proofErr w:type="spellStart"/>
      <w:r w:rsidRPr="002451B6">
        <w:rPr>
          <w:rFonts w:ascii="Times New Roman" w:eastAsia="Times New Roman" w:hAnsi="Times New Roman" w:cs="Times New Roman"/>
          <w:b/>
          <w:bCs/>
          <w:sz w:val="24"/>
          <w:szCs w:val="24"/>
        </w:rPr>
        <w:t>Hair</w:t>
      </w:r>
      <w:proofErr w:type="spellEnd"/>
    </w:p>
    <w:p w14:paraId="5B62F331"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Desde o seu lançamento,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foi um grande sucesso, depois da estreia em 17 de outubro de 1967, Off-Broadway</w:t>
      </w:r>
      <w:r w:rsidRPr="002451B6">
        <w:rPr>
          <w:rFonts w:ascii="Times New Roman" w:eastAsia="Times New Roman" w:hAnsi="Times New Roman" w:cs="Times New Roman"/>
          <w:sz w:val="24"/>
          <w:szCs w:val="24"/>
          <w:vertAlign w:val="superscript"/>
        </w:rPr>
        <w:footnoteReference w:id="57"/>
      </w:r>
      <w:r w:rsidRPr="002451B6">
        <w:rPr>
          <w:rFonts w:ascii="Times New Roman" w:eastAsia="Times New Roman" w:hAnsi="Times New Roman" w:cs="Times New Roman"/>
          <w:sz w:val="24"/>
          <w:szCs w:val="24"/>
        </w:rPr>
        <w:t xml:space="preserve">, ficou por seis semanas em cartaz. Posteriormente, o texto passou por modificações, acréscimos de músicas e obteve reconhecimento na Broadway.  Vários países </w:t>
      </w:r>
      <w:r w:rsidRPr="002451B6">
        <w:rPr>
          <w:rFonts w:ascii="Times New Roman" w:eastAsia="Times New Roman" w:hAnsi="Times New Roman" w:cs="Times New Roman"/>
          <w:sz w:val="24"/>
          <w:szCs w:val="24"/>
        </w:rPr>
        <w:lastRenderedPageBreak/>
        <w:t>passaram a fazer suas versões do musical. Em 17 de abril de 1969, no Caderno B do Jornal do Brasil, a matérias intitulada “O Balanço da Jovem Monarquia” falava que a princesa Anne da Inglaterra causou espanto ao assistir à peça com os amigos e, no fim, dançar com o elenco “</w:t>
      </w:r>
      <w:proofErr w:type="spellStart"/>
      <w:r w:rsidRPr="002451B6">
        <w:rPr>
          <w:rFonts w:ascii="Times New Roman" w:eastAsia="Times New Roman" w:hAnsi="Times New Roman" w:cs="Times New Roman"/>
          <w:sz w:val="24"/>
          <w:szCs w:val="24"/>
        </w:rPr>
        <w:t>hippy</w:t>
      </w:r>
      <w:proofErr w:type="spellEnd"/>
      <w:r w:rsidRPr="002451B6">
        <w:rPr>
          <w:rFonts w:ascii="Times New Roman" w:eastAsia="Times New Roman" w:hAnsi="Times New Roman" w:cs="Times New Roman"/>
          <w:sz w:val="24"/>
          <w:szCs w:val="24"/>
        </w:rPr>
        <w:t xml:space="preserve">””. No fim do espetáculo, o elenco chama algumas pessoas da plateia para dançar no palco em uma grande comemoração. O jornal dizia que a peça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era “uma comédia musical norte-americana em que atores e plateia se comunicam intensamente” (JB, 1969, p. 1). Em maio do mesmo ano, no mesmo jornal </w:t>
      </w:r>
      <w:proofErr w:type="gramStart"/>
      <w:r w:rsidRPr="002451B6">
        <w:rPr>
          <w:rFonts w:ascii="Times New Roman" w:eastAsia="Times New Roman" w:hAnsi="Times New Roman" w:cs="Times New Roman"/>
          <w:sz w:val="24"/>
          <w:szCs w:val="24"/>
        </w:rPr>
        <w:t>e também</w:t>
      </w:r>
      <w:proofErr w:type="gramEnd"/>
      <w:r w:rsidRPr="002451B6">
        <w:rPr>
          <w:rFonts w:ascii="Times New Roman" w:eastAsia="Times New Roman" w:hAnsi="Times New Roman" w:cs="Times New Roman"/>
          <w:sz w:val="24"/>
          <w:szCs w:val="24"/>
        </w:rPr>
        <w:t xml:space="preserve"> no Caderno B, os jornalistas Lea Maria e Carlos Leonan escrevem a matéria “A religião do cabelo”, falam que a peça já estava sendo considerada por muitos como o maior e mais revolucionário espetáculo do século, os escritores haviam visto a peça na Broadway e em Munique. Afirmam que a agressividade da peça não estava nos palavrões, na cena de nudez ou no comportamento dos personagens, tudo isso, já estava por aí, em qualquer outdoor e revista. Para eles, a agressividade “de </w:t>
      </w:r>
      <w:proofErr w:type="spellStart"/>
      <w:r w:rsidRPr="002451B6">
        <w:rPr>
          <w:rFonts w:ascii="Times New Roman" w:eastAsia="Times New Roman" w:hAnsi="Times New Roman" w:cs="Times New Roman"/>
          <w:sz w:val="24"/>
          <w:szCs w:val="24"/>
        </w:rPr>
        <w:t>Hair</w:t>
      </w:r>
      <w:proofErr w:type="spellEnd"/>
      <w:r w:rsidRPr="002451B6">
        <w:rPr>
          <w:rFonts w:ascii="Times New Roman" w:eastAsia="Times New Roman" w:hAnsi="Times New Roman" w:cs="Times New Roman"/>
          <w:sz w:val="24"/>
          <w:szCs w:val="24"/>
        </w:rPr>
        <w:t xml:space="preserve"> está na profunda liberdade de métodos de produção, na coreografia, músicas, palavras, sons, figurinos. A agressividade de </w:t>
      </w:r>
      <w:proofErr w:type="spellStart"/>
      <w:r w:rsidRPr="002451B6">
        <w:rPr>
          <w:rFonts w:ascii="Times New Roman" w:eastAsia="Times New Roman" w:hAnsi="Times New Roman" w:cs="Times New Roman"/>
          <w:sz w:val="24"/>
          <w:szCs w:val="24"/>
        </w:rPr>
        <w:t>Hair</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está justamente no clima de liberdade que se percebe desde o começo do espetáculo”. No programa da peça montada na Alemanha dizia que “era um exemplar perfeito do teatro-acontecimento” (JB, 1969, p. 1). Em 30 de junho, na coluna S. Paulo S.A., de Mônica Soutello, podemos ler uma entrevista com Maria Célia Camargo com o título “</w:t>
      </w:r>
      <w:proofErr w:type="spellStart"/>
      <w:r w:rsidRPr="002451B6">
        <w:rPr>
          <w:rFonts w:ascii="Times New Roman" w:eastAsia="Times New Roman" w:hAnsi="Times New Roman" w:cs="Times New Roman"/>
          <w:sz w:val="24"/>
          <w:szCs w:val="24"/>
        </w:rPr>
        <w:t>Hair</w:t>
      </w:r>
      <w:proofErr w:type="spellEnd"/>
      <w:r w:rsidRPr="002451B6">
        <w:rPr>
          <w:rFonts w:ascii="Times New Roman" w:eastAsia="Times New Roman" w:hAnsi="Times New Roman" w:cs="Times New Roman"/>
          <w:sz w:val="24"/>
          <w:szCs w:val="24"/>
        </w:rPr>
        <w:t xml:space="preserve"> não lhe sai da cabeça”. Lemos que a peça estrearia em setembro no Brasil, e que Maria Célia estava concretizando um sonho que se realizava ao lado do marido. A matéria é interessante, pois inverte a lógica que geralmente operava nos jornais, onde o nome de Altair quase sempre era citado primeiro e, por vezes, o de Maria Célia nem era mencionado. Na entrevista, ela diz:</w:t>
      </w:r>
    </w:p>
    <w:p w14:paraId="7E187377"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Eu e Altair tínhamos uma espécie de frustração por nunca termos produzido e atuado num superespetáculo. </w:t>
      </w:r>
      <w:proofErr w:type="spellStart"/>
      <w:r w:rsidRPr="002451B6">
        <w:rPr>
          <w:rFonts w:ascii="Times New Roman" w:eastAsia="Times New Roman" w:hAnsi="Times New Roman" w:cs="Times New Roman"/>
        </w:rPr>
        <w:t>Hair</w:t>
      </w:r>
      <w:proofErr w:type="spellEnd"/>
      <w:r w:rsidRPr="002451B6">
        <w:rPr>
          <w:rFonts w:ascii="Times New Roman" w:eastAsia="Times New Roman" w:hAnsi="Times New Roman" w:cs="Times New Roman"/>
        </w:rPr>
        <w:t xml:space="preserve"> nos propicia isto e muito mais. Representa uma inovação em matéria de teatro, pois não é um simples musical como </w:t>
      </w:r>
      <w:proofErr w:type="spellStart"/>
      <w:r w:rsidRPr="002451B6">
        <w:rPr>
          <w:rFonts w:ascii="Times New Roman" w:eastAsia="Times New Roman" w:hAnsi="Times New Roman" w:cs="Times New Roman"/>
        </w:rPr>
        <w:t>Hello</w:t>
      </w:r>
      <w:proofErr w:type="spellEnd"/>
      <w:r w:rsidRPr="002451B6">
        <w:rPr>
          <w:rFonts w:ascii="Times New Roman" w:eastAsia="Times New Roman" w:hAnsi="Times New Roman" w:cs="Times New Roman"/>
        </w:rPr>
        <w:t xml:space="preserve"> Dolly. Chega a ser mesmo revolucionário, exigindo muito dos atores que além de representarem, têm que dançar e cantar (JB, 1969, p.6). </w:t>
      </w:r>
    </w:p>
    <w:p w14:paraId="0B12A62D"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Sobre a nudez que a essa altura já era um ponto bastante comentado nas diversas versões de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Maria Celia Camargo disse que não se podia encarar a nudez como o motivo do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e nem assegurar que haveria essa cena na montagem brasileira. Para ela, “o mais importante na peça é esse convite à paz feito pelos jovens, através da música, da dança e desta luta pacifista que existe pelo horror à guerra”. Ela ainda comenta na entrevista que acreditava que a peça seria bem aceita pelos brasileiros, sem nenhuma reserva. O gasto com a peça até então era de 170 mil cruzeiros novos” (JB, 1969, p. 6). </w:t>
      </w:r>
    </w:p>
    <w:p w14:paraId="657DCF42"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Texto comprado, traduzido, produção iniciada, mas faltava uma coisa, o certificado da censura para que a peça fosse exibida. A censura teatral funcionava em dois momentos, o </w:t>
      </w:r>
      <w:r w:rsidRPr="002451B6">
        <w:rPr>
          <w:rFonts w:ascii="Times New Roman" w:eastAsia="Times New Roman" w:hAnsi="Times New Roman" w:cs="Times New Roman"/>
          <w:sz w:val="24"/>
          <w:szCs w:val="24"/>
        </w:rPr>
        <w:lastRenderedPageBreak/>
        <w:t>primeiro era a censura do texto, o segundo momento era a censura da montagem, onde dois censores munidos de texto na mão iam até o teatro assistir a uma encenação particular, conferindo tudo e anotando. Portanto, Maria Célia e o marido precisavam da primeira autorização. O pedido de liberação foi em nome de Altair Lima Produções Artísticas LTDA</w:t>
      </w:r>
      <w:r w:rsidRPr="002451B6">
        <w:rPr>
          <w:rFonts w:ascii="Times New Roman" w:eastAsia="Times New Roman" w:hAnsi="Times New Roman" w:cs="Times New Roman"/>
          <w:sz w:val="24"/>
          <w:szCs w:val="24"/>
          <w:vertAlign w:val="superscript"/>
        </w:rPr>
        <w:footnoteReference w:id="58"/>
      </w:r>
      <w:r w:rsidRPr="002451B6">
        <w:rPr>
          <w:rFonts w:ascii="Times New Roman" w:eastAsia="Times New Roman" w:hAnsi="Times New Roman" w:cs="Times New Roman"/>
          <w:sz w:val="24"/>
          <w:szCs w:val="24"/>
        </w:rPr>
        <w:t xml:space="preserve">, o pedido foi feito em 06 de agosto de 1969, menos de dez meses depois do AI-5 que, entre outras coisas, suspendeu direitos e garantias individuais, permitiu o fechamento do Congresso, cassação de mandatos e promoveu o recrudescimento da censura. No documento do processo de censura do espetáculo, que faz parte do acervo do Arquivo Nacional de Brasília, temos acesso aos três primeiros pareceres do texto. O </w:t>
      </w:r>
      <w:proofErr w:type="gramStart"/>
      <w:r w:rsidRPr="002451B6">
        <w:rPr>
          <w:rFonts w:ascii="Times New Roman" w:eastAsia="Times New Roman" w:hAnsi="Times New Roman" w:cs="Times New Roman"/>
          <w:sz w:val="24"/>
          <w:szCs w:val="24"/>
        </w:rPr>
        <w:t>primeiro data</w:t>
      </w:r>
      <w:proofErr w:type="gramEnd"/>
      <w:r w:rsidRPr="002451B6">
        <w:rPr>
          <w:rFonts w:ascii="Times New Roman" w:eastAsia="Times New Roman" w:hAnsi="Times New Roman" w:cs="Times New Roman"/>
          <w:sz w:val="24"/>
          <w:szCs w:val="24"/>
        </w:rPr>
        <w:t xml:space="preserve"> do dia 20 de agosto, ou seja, 14 dias depois da solicitação. O censor José Augusto Costa</w:t>
      </w:r>
      <w:r w:rsidRPr="002451B6">
        <w:rPr>
          <w:rFonts w:ascii="Times New Roman" w:eastAsia="Times New Roman" w:hAnsi="Times New Roman" w:cs="Times New Roman"/>
          <w:sz w:val="24"/>
          <w:szCs w:val="24"/>
          <w:vertAlign w:val="superscript"/>
        </w:rPr>
        <w:footnoteReference w:id="59"/>
      </w:r>
      <w:r w:rsidRPr="002451B6">
        <w:rPr>
          <w:rFonts w:ascii="Times New Roman" w:eastAsia="Times New Roman" w:hAnsi="Times New Roman" w:cs="Times New Roman"/>
          <w:sz w:val="24"/>
          <w:szCs w:val="24"/>
        </w:rPr>
        <w:t xml:space="preserve"> classificou a peça para maior de 18 anos, dependendo da liberação prévia após o visionamento do espetáculo. Na parte da análise, ele classifica o gênero da peça como “Teatro novo de protesto”. No argumento, afirma que o espetáculo é moderno, tem grande elenco e interação com o público, completamente fora do convencional, o texto é uma crítica à sociedade atual norte-americana e à guerra no Vietnã. Segundo o censor, a crítica chega a ser insólita, principalmente as direcionadas ao governo e às juntas de recrutamento. Ressalta ainda a crítica à igreja católica no texto e à forma com que é utilizada a bandeira dos EUA. Apesar das críticas, o censor acredita que “o tema é valido e oportuno” e o censor não considera a peça subversiva e não tinha pornografia grossa sem propósito. </w:t>
      </w:r>
    </w:p>
    <w:p w14:paraId="2684F8AF"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No quesito diálogo, ele o classifica como “insólitos, objetivos e pornográficos”. Na parte da cena, o censor diz que já tinha conhecimento prévio, partindo de informações lidas em revistas e jornais de que os artistas transitavam nus no palco, e que na marcação do texto apresentado à censura, essa cena se repetiria no Brasil, portanto, a liberação tinha de ser condicionada ao exame prévio de marcação de cena. No valor educativo, o censor chega a dizer que o espetáculo tinha importância na teatrologia moderna e que dentro desse princípio a peça é válida. Escrito a caneta, no fim da página, o arquivo é remetido ao censor Montebello para que ele desse o parecer conclusivo sobre a peça. O segundo censor</w:t>
      </w:r>
      <w:r w:rsidRPr="002451B6">
        <w:rPr>
          <w:rFonts w:ascii="Times New Roman" w:eastAsia="Times New Roman" w:hAnsi="Times New Roman" w:cs="Times New Roman"/>
          <w:sz w:val="24"/>
          <w:szCs w:val="24"/>
          <w:vertAlign w:val="superscript"/>
        </w:rPr>
        <w:footnoteReference w:id="60"/>
      </w:r>
      <w:r w:rsidRPr="002451B6">
        <w:rPr>
          <w:rFonts w:ascii="Times New Roman" w:eastAsia="Times New Roman" w:hAnsi="Times New Roman" w:cs="Times New Roman"/>
          <w:sz w:val="24"/>
          <w:szCs w:val="24"/>
        </w:rPr>
        <w:t xml:space="preserve"> assina o parecer dois dias depois. Ele coloca como classificação indicativa os mesmos 18 anos, como gênero, escreve: </w:t>
      </w:r>
      <w:r w:rsidRPr="002451B6">
        <w:rPr>
          <w:rFonts w:ascii="Times New Roman" w:eastAsia="Times New Roman" w:hAnsi="Times New Roman" w:cs="Times New Roman"/>
          <w:sz w:val="24"/>
          <w:szCs w:val="24"/>
        </w:rPr>
        <w:lastRenderedPageBreak/>
        <w:t>“Protesto contra as instituições norte-americanas”; na mensagem, afirma que [</w:t>
      </w:r>
      <w:proofErr w:type="gramStart"/>
      <w:r w:rsidRPr="002451B6">
        <w:rPr>
          <w:rFonts w:ascii="Times New Roman" w:eastAsia="Times New Roman" w:hAnsi="Times New Roman" w:cs="Times New Roman"/>
          <w:sz w:val="24"/>
          <w:szCs w:val="24"/>
        </w:rPr>
        <w:t>estão]  “</w:t>
      </w:r>
      <w:proofErr w:type="gramEnd"/>
      <w:r w:rsidRPr="002451B6">
        <w:rPr>
          <w:rFonts w:ascii="Times New Roman" w:eastAsia="Times New Roman" w:hAnsi="Times New Roman" w:cs="Times New Roman"/>
          <w:sz w:val="24"/>
          <w:szCs w:val="24"/>
        </w:rPr>
        <w:t xml:space="preserve">procurando subverter a ordem geral das instituições norte-americanas”; e a impressão final do censor era “Negativa, não chega a nada, apenas ao abatimento e mal-estar sem esperança”. Os diálogos são classificados como vulgares e </w:t>
      </w:r>
      <w:proofErr w:type="spellStart"/>
      <w:r w:rsidRPr="002451B6">
        <w:rPr>
          <w:rFonts w:ascii="Times New Roman" w:eastAsia="Times New Roman" w:hAnsi="Times New Roman" w:cs="Times New Roman"/>
          <w:sz w:val="24"/>
          <w:szCs w:val="24"/>
        </w:rPr>
        <w:t>pornofônicos</w:t>
      </w:r>
      <w:proofErr w:type="spellEnd"/>
      <w:r w:rsidRPr="002451B6">
        <w:rPr>
          <w:rFonts w:ascii="Times New Roman" w:eastAsia="Times New Roman" w:hAnsi="Times New Roman" w:cs="Times New Roman"/>
          <w:sz w:val="24"/>
          <w:szCs w:val="24"/>
        </w:rPr>
        <w:t xml:space="preserve"> e que isso deveria constar nos anúncios da peça e que esses deveriam ser proibidos na televisão. Algumas cenas, o censor classifica como “atentatórias ao pudor, só possíveis em prostíbulos”. Por fim, sobre o valor educativo, opina que não havia nenhum e que contraria toda forma de educação conceituada. Na conclusão, ele também destaca a necessidade de assistir ao ensaio geral. Ao fim do parecer, ele alerta para possíveis cortes e frases contidas nas páginas 5, 8, 21, 22, 29-C e 30, que envolveriam a religião cristã, e nas páginas 16, 25, 26, 32, 35, 39, 46-a, 48, 49, 50, 54, 57, 60, que falavam sobre o recrutamento dos jovens contra a guerra em geral e finaliza: “embora a peça focalize o problema norte-americano, certas partes, como as citadas, são chamas de revolta contra as instituições do nosso país”. </w:t>
      </w:r>
    </w:p>
    <w:p w14:paraId="56452604"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Ainda no documento, na parte final, há um texto de Aloysio </w:t>
      </w:r>
      <w:proofErr w:type="spellStart"/>
      <w:r w:rsidRPr="002451B6">
        <w:rPr>
          <w:rFonts w:ascii="Times New Roman" w:eastAsia="Times New Roman" w:hAnsi="Times New Roman" w:cs="Times New Roman"/>
          <w:sz w:val="24"/>
          <w:szCs w:val="24"/>
        </w:rPr>
        <w:t>Muhletha</w:t>
      </w:r>
      <w:proofErr w:type="spellEnd"/>
      <w:r w:rsidRPr="002451B6">
        <w:rPr>
          <w:rFonts w:ascii="Times New Roman" w:eastAsia="Times New Roman" w:hAnsi="Times New Roman" w:cs="Times New Roman"/>
          <w:sz w:val="24"/>
          <w:szCs w:val="24"/>
        </w:rPr>
        <w:t xml:space="preserve"> de Sousa, então chefe do DCDP. Ele fala para expedir os certificados, mas nos seguintes termos, cortes de palavras e expressões assinaladas nas páginas 21, 22, 26, 42, 49, 59 e 60 – esses cortes estão no texto que foi preservado e arquivado pelo DCDP e hoje está no Arquivo de Brasília. Diz que a peça é imprópria para maiores de 18 anos e está condicionada à análise do ensaio geral. Cita que há uma cena de nu e que ela deverá obedecer às seguintes condições: </w:t>
      </w:r>
    </w:p>
    <w:p w14:paraId="35D05C7E"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sz w:val="26"/>
          <w:szCs w:val="26"/>
        </w:rPr>
      </w:pPr>
      <w:bookmarkStart w:id="68" w:name="_thkdizd2rbp" w:colFirst="0" w:colLast="0"/>
      <w:bookmarkEnd w:id="68"/>
      <w:r w:rsidRPr="002451B6">
        <w:rPr>
          <w:rFonts w:ascii="Times New Roman" w:eastAsia="Times New Roman" w:hAnsi="Times New Roman" w:cs="Times New Roman"/>
        </w:rPr>
        <w:t>1- Penumbra; 2- Nenhuma luz da plateia para o palco, plateia as escuras; 3- luz, somente dirigida do fundo do palco para a plateia. 4- Homens e mulheres com sunga preta; 5- Nus estáticos; 6- Tempo de duração 30 segundos, a contar o momento em que sai o primeiro personagem nu de baixo do pano branco</w:t>
      </w:r>
      <w:r w:rsidRPr="002451B6">
        <w:rPr>
          <w:rFonts w:ascii="Times New Roman" w:eastAsia="Times New Roman" w:hAnsi="Times New Roman" w:cs="Times New Roman"/>
          <w:vertAlign w:val="superscript"/>
        </w:rPr>
        <w:footnoteReference w:id="61"/>
      </w:r>
      <w:r w:rsidRPr="002451B6">
        <w:rPr>
          <w:rFonts w:ascii="Times New Roman" w:eastAsia="Times New Roman" w:hAnsi="Times New Roman" w:cs="Times New Roman"/>
        </w:rPr>
        <w:t xml:space="preserve">. </w:t>
      </w:r>
    </w:p>
    <w:p w14:paraId="15791CFA"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bookmarkStart w:id="69" w:name="_4kijw3ber2id" w:colFirst="0" w:colLast="0"/>
      <w:bookmarkEnd w:id="69"/>
      <w:r w:rsidRPr="002451B6">
        <w:rPr>
          <w:rFonts w:ascii="Times New Roman" w:eastAsia="Times New Roman" w:hAnsi="Times New Roman" w:cs="Times New Roman"/>
          <w:sz w:val="24"/>
          <w:szCs w:val="24"/>
        </w:rPr>
        <w:t>Além disso, na cena da bandeira que originalmente era a estadunidense, ela deveria ser trocada por uma bandeira totalmente branca. Não é possível saber exatamente o porquê, mas há outro parecer datado do dia 30 do mesmo mês, assinado pelo censor Paulo Leite de Lacerda</w:t>
      </w:r>
      <w:r w:rsidRPr="002451B6">
        <w:rPr>
          <w:rFonts w:ascii="Times New Roman" w:eastAsia="Times New Roman" w:hAnsi="Times New Roman" w:cs="Times New Roman"/>
          <w:sz w:val="24"/>
          <w:szCs w:val="24"/>
          <w:vertAlign w:val="superscript"/>
        </w:rPr>
        <w:footnoteReference w:id="62"/>
      </w:r>
      <w:r w:rsidRPr="002451B6">
        <w:rPr>
          <w:rFonts w:ascii="Times New Roman" w:eastAsia="Times New Roman" w:hAnsi="Times New Roman" w:cs="Times New Roman"/>
          <w:sz w:val="24"/>
          <w:szCs w:val="24"/>
        </w:rPr>
        <w:t xml:space="preserve"> que, diferente do parecer anterior, é bem técnico; em gênero, ele coloca Musical, argumento da peça: “Crítica panorâmica de fatos passados e presentes, através da visão psicodélica dos “hippies””; mensagem: “tentativa em busca do absoluto num mundo de éticas, princípios e vigilância e preconceitos”; a impressão final seria: “protesto contra ingerências sociais e morais políticas”, os diálogos traduziriam o pensamento da comunidade retratada e, para ele, o valor </w:t>
      </w:r>
      <w:r w:rsidRPr="002451B6">
        <w:rPr>
          <w:rFonts w:ascii="Times New Roman" w:eastAsia="Times New Roman" w:hAnsi="Times New Roman" w:cs="Times New Roman"/>
          <w:sz w:val="24"/>
          <w:szCs w:val="24"/>
        </w:rPr>
        <w:lastRenderedPageBreak/>
        <w:t xml:space="preserve">educativo seria “construtivo, para adultos, como uma posição crítica em torno de uma </w:t>
      </w:r>
      <w:proofErr w:type="spellStart"/>
      <w:r w:rsidRPr="002451B6">
        <w:rPr>
          <w:rFonts w:ascii="Times New Roman" w:eastAsia="Times New Roman" w:hAnsi="Times New Roman" w:cs="Times New Roman"/>
          <w:sz w:val="24"/>
          <w:szCs w:val="24"/>
        </w:rPr>
        <w:t>contextualidade</w:t>
      </w:r>
      <w:proofErr w:type="spellEnd"/>
      <w:r w:rsidRPr="002451B6">
        <w:rPr>
          <w:rFonts w:ascii="Times New Roman" w:eastAsia="Times New Roman" w:hAnsi="Times New Roman" w:cs="Times New Roman"/>
          <w:sz w:val="24"/>
          <w:szCs w:val="24"/>
        </w:rPr>
        <w:t xml:space="preserve">”. </w:t>
      </w:r>
    </w:p>
    <w:p w14:paraId="62595612"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bookmarkStart w:id="70" w:name="_su2vjm4ztz47" w:colFirst="0" w:colLast="0"/>
      <w:bookmarkEnd w:id="70"/>
      <w:r w:rsidRPr="002451B6">
        <w:rPr>
          <w:rFonts w:ascii="Times New Roman" w:eastAsia="Times New Roman" w:hAnsi="Times New Roman" w:cs="Times New Roman"/>
          <w:sz w:val="24"/>
          <w:szCs w:val="24"/>
        </w:rPr>
        <w:t xml:space="preserve">Em 5 de setembro, a coluna de Zózimo, do Jornal do Brasil, trazia um pequeno texto, anunciando: “Sinal verde para </w:t>
      </w:r>
      <w:proofErr w:type="spellStart"/>
      <w:r w:rsidRPr="002451B6">
        <w:rPr>
          <w:rFonts w:ascii="Times New Roman" w:eastAsia="Times New Roman" w:hAnsi="Times New Roman" w:cs="Times New Roman"/>
          <w:sz w:val="24"/>
          <w:szCs w:val="24"/>
        </w:rPr>
        <w:t>Hair</w:t>
      </w:r>
      <w:proofErr w:type="spellEnd"/>
      <w:r w:rsidRPr="002451B6">
        <w:rPr>
          <w:rFonts w:ascii="Times New Roman" w:eastAsia="Times New Roman" w:hAnsi="Times New Roman" w:cs="Times New Roman"/>
          <w:sz w:val="24"/>
          <w:szCs w:val="24"/>
        </w:rPr>
        <w:t xml:space="preserve">”, e dizendo que a censura havia aprovado o texto na íntegra e que agora só faltaria a análise do ensaio geral” (JB, 1969, p. 3). Em 25 de setembro, na mesma coluna, podemos ver um pequeno texto falando que a peça já era um sucesso de vendas com grande procura de ingressos e a venda da primeira semana já estava esgotada (JB, 1969, p. 3). No dia da estreia brasileira, em 08 de outubro, um texto de Wilson Cunha comenta o sucesso da peça no exterior e o trabalho da produção brasileira, que havia testado 2 mil candidatos para as 30 vagas do elenco. Os selecionados haviam ensaiado durante 5 meses, oito horas por dia até aquela data; descritos como integrantes do elenco estavam: “Helena Inês, Bibi Vogel, Altair Lima (Também produtor), Maria Célia Camargo, Ricardo Petraglia e alguns elementos que já trabalharam com Ademar Guerra em outras peças como Armando </w:t>
      </w:r>
      <w:proofErr w:type="spellStart"/>
      <w:r w:rsidRPr="002451B6">
        <w:rPr>
          <w:rFonts w:ascii="Times New Roman" w:eastAsia="Times New Roman" w:hAnsi="Times New Roman" w:cs="Times New Roman"/>
          <w:sz w:val="24"/>
          <w:szCs w:val="24"/>
        </w:rPr>
        <w:t>Bogus</w:t>
      </w:r>
      <w:proofErr w:type="spellEnd"/>
      <w:r w:rsidRPr="002451B6">
        <w:rPr>
          <w:rFonts w:ascii="Times New Roman" w:eastAsia="Times New Roman" w:hAnsi="Times New Roman" w:cs="Times New Roman"/>
          <w:sz w:val="24"/>
          <w:szCs w:val="24"/>
        </w:rPr>
        <w:t xml:space="preserve">, Oscar Tito Neto e Aracy Balabanian” (JB, 1969, p. 1). </w:t>
      </w:r>
    </w:p>
    <w:p w14:paraId="1847D3AC"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bookmarkStart w:id="71" w:name="_y0251vh5kl5r" w:colFirst="0" w:colLast="0"/>
      <w:bookmarkEnd w:id="71"/>
      <w:r w:rsidRPr="002451B6">
        <w:rPr>
          <w:rFonts w:ascii="Times New Roman" w:eastAsia="Times New Roman" w:hAnsi="Times New Roman" w:cs="Times New Roman"/>
          <w:sz w:val="24"/>
          <w:szCs w:val="24"/>
        </w:rPr>
        <w:t xml:space="preserve">Yan Michalski, famoso crítico teatral, assistiu à estreia e seu texto foi publicado no Jornal do Brasil dois dias depois. Ele conta que a ideia de pensar que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consistia numa peça em que os atores aparecem nus era totalmente deturpada e uma inverdade. No dia que ele assistiu, segundo conta, devido à ordem de última hora, a cena foi feita diante de tanta escuridão que ele nem percebeu e que, posteriormente, aumentando a intensidade da luz, não haveria “nu capaz de transformar esta ingênua, simpática e inocente brincadeira num espetáculo erótico, agressivo e chocante”. Claro que ele tece críticas, diz que o musical faz como todos os musicais americanos e “dá uma versão cor de rosa, rigorosamente esterilizada e acomodada da realidade”. Mas destaca a qualidade da produção, direção e elenco. Fala que o espetáculo é “charmosíssimo” e que o sucesso de público que naquele momento já parecia estar garantido tinha todo o mérito” (JB, 1969, p.2). </w:t>
      </w:r>
    </w:p>
    <w:p w14:paraId="16902CE0"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Apesar de ter dado a notícia dias anteriores de que a censura tinha liberado o texto na íntegra, Zózimo, no dia 15 de outubro fala que a censura havia proibido a entrada da bandeira americana que estava na peça original e que ela havia sido substituída por um pano branco (JB, 1969, p. 3) - o que leva a crer que muito provavelmente o texto não foi aprovado na íntegra e sim com os cortes que foram indicados no fim do segundo parecer pelo chefe de censura. Esses cortes tinham, em sua maioria, ligação com crítica à religião cristã e ao recrutamento. Maria Célia Camargo relembra o quão complexo foi a liberação da peça:</w:t>
      </w:r>
    </w:p>
    <w:p w14:paraId="34165A7A"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Tudo que era feito naquela época tinha um ensaio para censura. Então, você tinha que fazer o ensaio completo, não podia faltar um palitinho aqui que já </w:t>
      </w:r>
      <w:r w:rsidRPr="002451B6">
        <w:rPr>
          <w:rFonts w:ascii="Times New Roman" w:eastAsia="Times New Roman" w:hAnsi="Times New Roman" w:cs="Times New Roman"/>
        </w:rPr>
        <w:lastRenderedPageBreak/>
        <w:t xml:space="preserve">reclamavam. Então, lá ia de novo, ia fazer de novo e fazia outra vez. Conseguíamos, porque a gente tinha pessoas, além dos brutamontes da censura, nós tínhamos pessoas dignas, com conceitos formados, civilizados e que respeitavam o artista. Graças a Deus, tinha ainda uma ou outra pessoa. Graças a isso, a gente conseguia ir aprovando os espetáculos censurados, cortados, do jeito que vinha. O </w:t>
      </w:r>
      <w:proofErr w:type="spellStart"/>
      <w:r w:rsidRPr="002451B6">
        <w:rPr>
          <w:rFonts w:ascii="Times New Roman" w:eastAsia="Times New Roman" w:hAnsi="Times New Roman" w:cs="Times New Roman"/>
          <w:i/>
          <w:iCs/>
        </w:rPr>
        <w:t>Hair</w:t>
      </w:r>
      <w:proofErr w:type="spellEnd"/>
      <w:r w:rsidRPr="002451B6">
        <w:rPr>
          <w:rFonts w:ascii="Times New Roman" w:eastAsia="Times New Roman" w:hAnsi="Times New Roman" w:cs="Times New Roman"/>
          <w:i/>
          <w:iCs/>
        </w:rPr>
        <w:t>,</w:t>
      </w:r>
      <w:r w:rsidRPr="002451B6">
        <w:rPr>
          <w:rFonts w:ascii="Times New Roman" w:eastAsia="Times New Roman" w:hAnsi="Times New Roman" w:cs="Times New Roman"/>
        </w:rPr>
        <w:t xml:space="preserve"> por exemplo, foi uma luta para liberar. Não queriam liberar de jeito nenhum. Então, o chefe da censura exigiu três ensaios. Ele pediu um, depois outro e depois outro. E para soltar o certificado de censura, no certificado de censura, num dos certificados, veio liberado, mas necessitando de uso de tapa-</w:t>
      </w:r>
      <w:proofErr w:type="spellStart"/>
      <w:r w:rsidRPr="002451B6">
        <w:rPr>
          <w:rFonts w:ascii="Times New Roman" w:eastAsia="Times New Roman" w:hAnsi="Times New Roman" w:cs="Times New Roman"/>
        </w:rPr>
        <w:t>sécho</w:t>
      </w:r>
      <w:proofErr w:type="spellEnd"/>
      <w:r w:rsidRPr="002451B6">
        <w:rPr>
          <w:rFonts w:ascii="Times New Roman" w:eastAsia="Times New Roman" w:hAnsi="Times New Roman" w:cs="Times New Roman"/>
        </w:rPr>
        <w:t>. Está escrito isso nesse certificado, que eu tenho até hoje. Tapa-</w:t>
      </w:r>
      <w:proofErr w:type="spellStart"/>
      <w:r w:rsidRPr="002451B6">
        <w:rPr>
          <w:rFonts w:ascii="Times New Roman" w:eastAsia="Times New Roman" w:hAnsi="Times New Roman" w:cs="Times New Roman"/>
        </w:rPr>
        <w:t>sécho</w:t>
      </w:r>
      <w:proofErr w:type="spellEnd"/>
      <w:r w:rsidRPr="002451B6">
        <w:rPr>
          <w:rFonts w:ascii="Times New Roman" w:eastAsia="Times New Roman" w:hAnsi="Times New Roman" w:cs="Times New Roman"/>
        </w:rPr>
        <w:t xml:space="preserve">, que é aquele quadradinho que põe aqui para esconder o </w:t>
      </w:r>
      <w:proofErr w:type="spellStart"/>
      <w:r w:rsidRPr="002451B6">
        <w:rPr>
          <w:rFonts w:ascii="Times New Roman" w:eastAsia="Times New Roman" w:hAnsi="Times New Roman" w:cs="Times New Roman"/>
        </w:rPr>
        <w:t>piupiu</w:t>
      </w:r>
      <w:proofErr w:type="spellEnd"/>
      <w:r w:rsidRPr="002451B6">
        <w:rPr>
          <w:rFonts w:ascii="Times New Roman" w:eastAsia="Times New Roman" w:hAnsi="Times New Roman" w:cs="Times New Roman"/>
        </w:rPr>
        <w:t xml:space="preserve"> e a pipia. O que você vai esperar de uma censura dessa? Mas tínhamos que fazer. Eles estavam com a faca e o queijo. </w:t>
      </w:r>
    </w:p>
    <w:p w14:paraId="5899D0A3"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Sobre a censura teatral, </w:t>
      </w:r>
      <w:proofErr w:type="spellStart"/>
      <w:r w:rsidRPr="002451B6">
        <w:rPr>
          <w:rFonts w:ascii="Times New Roman" w:eastAsia="Times New Roman" w:hAnsi="Times New Roman" w:cs="Times New Roman"/>
          <w:sz w:val="24"/>
          <w:szCs w:val="24"/>
        </w:rPr>
        <w:t>Miliandre</w:t>
      </w:r>
      <w:proofErr w:type="spellEnd"/>
      <w:r w:rsidRPr="002451B6">
        <w:rPr>
          <w:rFonts w:ascii="Times New Roman" w:eastAsia="Times New Roman" w:hAnsi="Times New Roman" w:cs="Times New Roman"/>
          <w:sz w:val="24"/>
          <w:szCs w:val="24"/>
        </w:rPr>
        <w:t xml:space="preserve"> Garcia conta que em 1967, o chefe de gabinete do Ministério da Justiça, ao qual o SCDP era subordinado, anunciou a unificação nacional dos critérios da censura. Mantendo o trabalho conjunto da censura federal a as instâncias estaduais que auxiliavam em diversas atividades, como o exame do ensaio geral, aprovação de programas de peça e fiscalização do teatro (Garcia, 2019, p.143). Essa unificação de critérios buscava corrigir as multiplicidades de pareceres que poderiam alternar de um estado para o outro. </w:t>
      </w:r>
      <w:proofErr w:type="spellStart"/>
      <w:r w:rsidRPr="002451B6">
        <w:rPr>
          <w:rFonts w:ascii="Times New Roman" w:eastAsia="Times New Roman" w:hAnsi="Times New Roman" w:cs="Times New Roman"/>
          <w:sz w:val="24"/>
          <w:szCs w:val="24"/>
        </w:rPr>
        <w:t>Miliandre</w:t>
      </w:r>
      <w:proofErr w:type="spellEnd"/>
      <w:r w:rsidRPr="002451B6">
        <w:rPr>
          <w:rFonts w:ascii="Times New Roman" w:eastAsia="Times New Roman" w:hAnsi="Times New Roman" w:cs="Times New Roman"/>
          <w:sz w:val="24"/>
          <w:szCs w:val="24"/>
        </w:rPr>
        <w:t xml:space="preserve"> relembra o caso da peça </w:t>
      </w:r>
      <w:r w:rsidRPr="002451B6">
        <w:rPr>
          <w:rFonts w:ascii="Times New Roman" w:eastAsia="Times New Roman" w:hAnsi="Times New Roman" w:cs="Times New Roman"/>
          <w:i/>
          <w:iCs/>
          <w:sz w:val="24"/>
          <w:szCs w:val="24"/>
        </w:rPr>
        <w:t>O Rei da vela</w:t>
      </w:r>
      <w:r w:rsidRPr="002451B6">
        <w:rPr>
          <w:rFonts w:ascii="Times New Roman" w:eastAsia="Times New Roman" w:hAnsi="Times New Roman" w:cs="Times New Roman"/>
          <w:sz w:val="24"/>
          <w:szCs w:val="24"/>
        </w:rPr>
        <w:t>, que Fernando Peixoto dizia que a censura paulista tentou segurar enquanto o órgão federal pedia a suspensão imediata (2019, p. 142). A censura de temáticas políticas já tinha sido feita antes do AI-5, mas com o decreto do ato promulgado em 13 de dezembro de 1969, essa censura ficou mais evidente. Não é à toa que o censor Montebello afirma, em seu parecer, que a peça, mesmo tratando de temática norte-americana, trazia temáticas que poderiam ser “chamas de revolta contra as instituições democráticas do nosso país”.</w:t>
      </w:r>
    </w:p>
    <w:p w14:paraId="1FE5E0A6"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Voltando às memórias sobre a estreia da peça, também aparecem no depoimento de Maria Célia: </w:t>
      </w:r>
    </w:p>
    <w:p w14:paraId="50E7F534"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Não do nosso </w:t>
      </w:r>
      <w:proofErr w:type="spellStart"/>
      <w:r w:rsidRPr="002451B6">
        <w:rPr>
          <w:rFonts w:ascii="Times New Roman" w:eastAsia="Times New Roman" w:hAnsi="Times New Roman" w:cs="Times New Roman"/>
          <w:i/>
          <w:iCs/>
        </w:rPr>
        <w:t>Hair</w:t>
      </w:r>
      <w:proofErr w:type="spellEnd"/>
      <w:r w:rsidRPr="002451B6">
        <w:rPr>
          <w:rFonts w:ascii="Times New Roman" w:eastAsia="Times New Roman" w:hAnsi="Times New Roman" w:cs="Times New Roman"/>
        </w:rPr>
        <w:t xml:space="preserve">, do </w:t>
      </w:r>
      <w:proofErr w:type="spellStart"/>
      <w:r w:rsidRPr="002451B6">
        <w:rPr>
          <w:rFonts w:ascii="Times New Roman" w:eastAsia="Times New Roman" w:hAnsi="Times New Roman" w:cs="Times New Roman"/>
          <w:i/>
          <w:iCs/>
        </w:rPr>
        <w:t>Hair</w:t>
      </w:r>
      <w:proofErr w:type="spellEnd"/>
      <w:r w:rsidRPr="002451B6">
        <w:rPr>
          <w:rFonts w:ascii="Times New Roman" w:eastAsia="Times New Roman" w:hAnsi="Times New Roman" w:cs="Times New Roman"/>
        </w:rPr>
        <w:t xml:space="preserve"> geral, do conceito tratado no espetáculo. Foi a explosão dessa mocidade que não queria mais fazer o “dois mais dois”, o “um mais um” que os outros mandavam. Cada um sabia o que tinha na sua cabeça, a sua vontade, a sua necessidade de participar da sociedade. Não só de mastigar o bocado preparado pelos clãs maiores e se sujeitar. Aquela história de não poder dar um passo que fosse, que não tivesse que ter permissão. Então isso cansou. Foi a explosão do mundo inteiro que o</w:t>
      </w:r>
      <w:r w:rsidRPr="002451B6">
        <w:rPr>
          <w:rFonts w:ascii="Times New Roman" w:eastAsia="Times New Roman" w:hAnsi="Times New Roman" w:cs="Times New Roman"/>
          <w:i/>
          <w:iCs/>
        </w:rPr>
        <w:t xml:space="preserve"> </w:t>
      </w:r>
      <w:proofErr w:type="spellStart"/>
      <w:r w:rsidRPr="002451B6">
        <w:rPr>
          <w:rFonts w:ascii="Times New Roman" w:eastAsia="Times New Roman" w:hAnsi="Times New Roman" w:cs="Times New Roman"/>
          <w:i/>
          <w:iCs/>
        </w:rPr>
        <w:t>Hair</w:t>
      </w:r>
      <w:proofErr w:type="spellEnd"/>
      <w:r w:rsidRPr="002451B6">
        <w:rPr>
          <w:rFonts w:ascii="Times New Roman" w:eastAsia="Times New Roman" w:hAnsi="Times New Roman" w:cs="Times New Roman"/>
        </w:rPr>
        <w:t xml:space="preserve"> promoveu. Foi maravilhoso. </w:t>
      </w:r>
    </w:p>
    <w:p w14:paraId="6DB6AEDE"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Houve pessoas que disseram: Como é que você apoiou? Fez apologia das drogas, das coisas todas que vieram com o </w:t>
      </w:r>
      <w:proofErr w:type="spellStart"/>
      <w:r w:rsidRPr="002451B6">
        <w:rPr>
          <w:rFonts w:ascii="Times New Roman" w:eastAsia="Times New Roman" w:hAnsi="Times New Roman" w:cs="Times New Roman"/>
        </w:rPr>
        <w:t>Hair</w:t>
      </w:r>
      <w:proofErr w:type="spellEnd"/>
      <w:r w:rsidRPr="002451B6">
        <w:rPr>
          <w:rFonts w:ascii="Times New Roman" w:eastAsia="Times New Roman" w:hAnsi="Times New Roman" w:cs="Times New Roman"/>
        </w:rPr>
        <w:t xml:space="preserve">. Não sou eu que fiz isso. Quem fez isso foi a própria juventude, na ânsia de descobrir novos mundos, novos caminhos, novas vidas. Lutar por uma sociedade mais aberta, politicamente correta, digna, sem corrupção. Naquela época, tudo valia para nós gritarmos a nossa revolta com vozes altas. Tanto é que o </w:t>
      </w:r>
      <w:proofErr w:type="spellStart"/>
      <w:r w:rsidRPr="002451B6">
        <w:rPr>
          <w:rFonts w:ascii="Times New Roman" w:eastAsia="Times New Roman" w:hAnsi="Times New Roman" w:cs="Times New Roman"/>
          <w:i/>
          <w:iCs/>
        </w:rPr>
        <w:t>Hair</w:t>
      </w:r>
      <w:proofErr w:type="spellEnd"/>
      <w:r w:rsidRPr="002451B6">
        <w:rPr>
          <w:rFonts w:ascii="Times New Roman" w:eastAsia="Times New Roman" w:hAnsi="Times New Roman" w:cs="Times New Roman"/>
          <w:i/>
          <w:iCs/>
        </w:rPr>
        <w:t xml:space="preserve"> </w:t>
      </w:r>
      <w:r w:rsidRPr="002451B6">
        <w:rPr>
          <w:rFonts w:ascii="Times New Roman" w:eastAsia="Times New Roman" w:hAnsi="Times New Roman" w:cs="Times New Roman"/>
        </w:rPr>
        <w:t xml:space="preserve">ficou lotado dois anos consecutivos. Era teatro lotado dia e noite. A primeira exibição do </w:t>
      </w:r>
      <w:proofErr w:type="spellStart"/>
      <w:r w:rsidRPr="002451B6">
        <w:rPr>
          <w:rFonts w:ascii="Times New Roman" w:eastAsia="Times New Roman" w:hAnsi="Times New Roman" w:cs="Times New Roman"/>
          <w:i/>
          <w:iCs/>
        </w:rPr>
        <w:t>Hair</w:t>
      </w:r>
      <w:proofErr w:type="spellEnd"/>
      <w:r w:rsidRPr="002451B6">
        <w:rPr>
          <w:rFonts w:ascii="Times New Roman" w:eastAsia="Times New Roman" w:hAnsi="Times New Roman" w:cs="Times New Roman"/>
        </w:rPr>
        <w:t xml:space="preserve"> estava </w:t>
      </w:r>
      <w:r w:rsidRPr="002451B6">
        <w:rPr>
          <w:rFonts w:ascii="Times New Roman" w:eastAsia="Times New Roman" w:hAnsi="Times New Roman" w:cs="Times New Roman"/>
        </w:rPr>
        <w:lastRenderedPageBreak/>
        <w:t xml:space="preserve">marcada para nós fazermos no Teatro Bela Vista, </w:t>
      </w:r>
      <w:r w:rsidRPr="002451B6">
        <w:rPr>
          <w:rFonts w:ascii="Times New Roman" w:eastAsia="Times New Roman" w:hAnsi="Times New Roman" w:cs="Times New Roman"/>
        </w:rPr>
        <w:br/>
        <w:t xml:space="preserve">que era o Teatro da Nydia. </w:t>
      </w:r>
    </w:p>
    <w:p w14:paraId="145F78D5"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Mas houve qualquer coisa e não pudemos estrear nesse dia no teatro dela. Então, correndo, nós marcamos o Anhembi. E fizemos o primeiro espetáculo do </w:t>
      </w:r>
      <w:proofErr w:type="spellStart"/>
      <w:r w:rsidRPr="002451B6">
        <w:rPr>
          <w:rFonts w:ascii="Times New Roman" w:eastAsia="Times New Roman" w:hAnsi="Times New Roman" w:cs="Times New Roman"/>
          <w:i/>
          <w:iCs/>
        </w:rPr>
        <w:t>Hair</w:t>
      </w:r>
      <w:proofErr w:type="spellEnd"/>
      <w:r w:rsidRPr="002451B6">
        <w:rPr>
          <w:rFonts w:ascii="Times New Roman" w:eastAsia="Times New Roman" w:hAnsi="Times New Roman" w:cs="Times New Roman"/>
        </w:rPr>
        <w:t xml:space="preserve"> de São Paulo, no Anhembi. De casa superlotada. Quando chegou a hora de abrir os portões, eu estava lá na porta, os seguranças por perto, o Altair estava já preparado para entrar, porque eu não fiz o </w:t>
      </w:r>
      <w:proofErr w:type="spellStart"/>
      <w:r w:rsidRPr="002451B6">
        <w:rPr>
          <w:rFonts w:ascii="Times New Roman" w:eastAsia="Times New Roman" w:hAnsi="Times New Roman" w:cs="Times New Roman"/>
          <w:i/>
          <w:iCs/>
        </w:rPr>
        <w:t>Hair</w:t>
      </w:r>
      <w:proofErr w:type="spellEnd"/>
      <w:r w:rsidRPr="002451B6">
        <w:rPr>
          <w:rFonts w:ascii="Times New Roman" w:eastAsia="Times New Roman" w:hAnsi="Times New Roman" w:cs="Times New Roman"/>
        </w:rPr>
        <w:t xml:space="preserve">, machuquei o meu joelho e precisei sair do elenco. Então, por isso, fiquei dando conta da estrutura. E só vi quando o Renato Proença, que era nosso administrador na época gritou de lá de dentro: Maria Célia, vamos abrir! </w:t>
      </w:r>
    </w:p>
    <w:p w14:paraId="2DAB325C" w14:textId="77777777" w:rsidR="00332C33" w:rsidRPr="002451B6" w:rsidRDefault="00000000">
      <w:pPr>
        <w:spacing w:after="20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Então, quando eu virei, tinha um moço já pulando por cima da cerca na minha frente. Aquelas pernas enormes, assim, invadiram a cerca que separava o público e a entrada. Aí avançaram, arrebentaram. Arrebentaram com tudo, tomaram conta de tudo. E assim começou o </w:t>
      </w:r>
      <w:proofErr w:type="spellStart"/>
      <w:r w:rsidRPr="002451B6">
        <w:rPr>
          <w:rFonts w:ascii="Times New Roman" w:eastAsia="Times New Roman" w:hAnsi="Times New Roman" w:cs="Times New Roman"/>
          <w:i/>
          <w:iCs/>
        </w:rPr>
        <w:t>Hair</w:t>
      </w:r>
      <w:proofErr w:type="spellEnd"/>
      <w:r w:rsidRPr="002451B6">
        <w:rPr>
          <w:rFonts w:ascii="Times New Roman" w:eastAsia="Times New Roman" w:hAnsi="Times New Roman" w:cs="Times New Roman"/>
        </w:rPr>
        <w:t xml:space="preserve">. Foi a maior alegria que eu tive. </w:t>
      </w:r>
    </w:p>
    <w:p w14:paraId="1BB7C8FE"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As lembranças são evocadas mais de cinco décadas depois da estreia do espetáculo e são elucidativas das razões pelas quais Maria Celia não participou do espetáculo. Em diversas notícias antes da estreia o nome dela aparecia como parte do elenco, mas a atriz se machucou e passou a ficar apenas na parte administrativa. O sucesso da peça foi tão grande que Zózimo, no mesmo Jornal do Brasil, no mês de novembro, dizia que a obra tinha perspectiva de muitos meses de carreira e parecia ter aberto “os olhos dos nossos maiores empresários teatrais para uma nova linha de programação - a da produção de grandes montagens musicais” (JB, 1969, p. 3).</w:t>
      </w:r>
    </w:p>
    <w:p w14:paraId="74A67C61"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Quando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completou um ano, foi matéria da revista </w:t>
      </w:r>
      <w:r w:rsidRPr="002451B6">
        <w:rPr>
          <w:rFonts w:ascii="Times New Roman" w:eastAsia="Times New Roman" w:hAnsi="Times New Roman" w:cs="Times New Roman"/>
          <w:i/>
          <w:iCs/>
          <w:sz w:val="24"/>
          <w:szCs w:val="24"/>
        </w:rPr>
        <w:t xml:space="preserve">Notícias da TV. </w:t>
      </w:r>
      <w:r w:rsidRPr="002451B6">
        <w:rPr>
          <w:rFonts w:ascii="Times New Roman" w:eastAsia="Times New Roman" w:hAnsi="Times New Roman" w:cs="Times New Roman"/>
          <w:sz w:val="24"/>
          <w:szCs w:val="24"/>
        </w:rPr>
        <w:t xml:space="preserve">O texto diz que mais de mil estudantes cariocas queriam entrar no superlotado Teatro </w:t>
      </w:r>
      <w:proofErr w:type="spellStart"/>
      <w:r w:rsidRPr="002451B6">
        <w:rPr>
          <w:rFonts w:ascii="Times New Roman" w:eastAsia="Times New Roman" w:hAnsi="Times New Roman" w:cs="Times New Roman"/>
          <w:sz w:val="24"/>
          <w:szCs w:val="24"/>
        </w:rPr>
        <w:t>Nôvo</w:t>
      </w:r>
      <w:proofErr w:type="spellEnd"/>
      <w:r w:rsidRPr="002451B6">
        <w:rPr>
          <w:rFonts w:ascii="Times New Roman" w:eastAsia="Times New Roman" w:hAnsi="Times New Roman" w:cs="Times New Roman"/>
          <w:sz w:val="24"/>
          <w:szCs w:val="24"/>
        </w:rPr>
        <w:t xml:space="preserve"> para ver a peça, que em seu primeiro aniversário, estava sendo exibida a preços especiais. Depois de uma temporada de sucesso, estava em cartaz no Rio de Janeiro, arrebatando o público da cidade maravilhosa. Na reportagem, Altair Lima é entrevistado e conta que ficou preocupado com o investimento inicial, que teve até de vender o telefone, e que as pessoas que ele havia procurado não tinham aceitado sociedade para realizar a produção. Ele conta que muitos diziam que a censura nem liberaria o texto. No momento da entrevista, Altair afirma que a peça já havia faturado dez vezes mais do que o capital que foi necessário para sua montagem (Revista Notícias da TV, 1970, p. 27).</w:t>
      </w:r>
    </w:p>
    <w:p w14:paraId="31FE99B6"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Quatro edições depois, na mesma revista, na coluna Em Cima da Hora, uma notinha dizendo que “Altair Lima, na história do teatro brasileiro, é o primeiro produtor a pagar férias e 13º salário a seus artistas. Integrantes do elenco do musical “</w:t>
      </w:r>
      <w:proofErr w:type="spellStart"/>
      <w:r w:rsidRPr="002451B6">
        <w:rPr>
          <w:rFonts w:ascii="Times New Roman" w:eastAsia="Times New Roman" w:hAnsi="Times New Roman" w:cs="Times New Roman"/>
          <w:sz w:val="24"/>
          <w:szCs w:val="24"/>
        </w:rPr>
        <w:t>Hair</w:t>
      </w:r>
      <w:proofErr w:type="spellEnd"/>
      <w:r w:rsidRPr="002451B6">
        <w:rPr>
          <w:rFonts w:ascii="Times New Roman" w:eastAsia="Times New Roman" w:hAnsi="Times New Roman" w:cs="Times New Roman"/>
          <w:sz w:val="24"/>
          <w:szCs w:val="24"/>
        </w:rPr>
        <w:t xml:space="preserve">”, há mais de um ano em cartaz, agora no Rio” (Revista Notícias da TV, 1970, p. 9).  Se de um lado, a peça era sucesso de público e automaticamente de lucro, de outro, ela sofria com críticas morais. Na capa do </w:t>
      </w:r>
      <w:r w:rsidRPr="002451B6">
        <w:rPr>
          <w:rFonts w:ascii="Times New Roman" w:eastAsia="Times New Roman" w:hAnsi="Times New Roman" w:cs="Times New Roman"/>
          <w:sz w:val="24"/>
          <w:szCs w:val="24"/>
        </w:rPr>
        <w:lastRenderedPageBreak/>
        <w:t>Diário da Noite de fevereiro de 1970, a matéria “Chefe de Censura recebe ator paulista”, com uma foto de Altair Lima, que havia ido ao encontro de Wilson Aguiar, novo chefe de censura, em Brasília. Segundo o jornal, o diálogo havia sido cordial, Altair explicou o motivo: como o presidente havia baixado um novo decreto ainda não em vigor, que traria uma nova regulamentação para a censura e ele não havia recebido o alvará, e produzia uma das peças mais caras do país naquele momento, resolveu ir pessoalmente resolver a questão (Diário da Noite, 1970, p. 01-09).</w:t>
      </w:r>
    </w:p>
    <w:p w14:paraId="0F5BBA5B"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 No dia 18 de fevereiro, um dia após a matéria que falava sobre a ida de Altair a Brasília, poderíamos ler que outras sete companhias de teatro deveriam enviar seus textos ou ir para Brasília resolver os “problemas” em separado. O mesmo texto diz que Altair tinha resolvido a questão no dia anterior e tinha conseguido o alvará (Diário da Noite, 1970, p. 13). Dois dias depois, o mesmo jornal usava meia página para falar sobre a peça, com os seguintes dizeres “Maria Célia: O elenco de </w:t>
      </w:r>
      <w:proofErr w:type="spellStart"/>
      <w:r w:rsidRPr="002451B6">
        <w:rPr>
          <w:rFonts w:ascii="Times New Roman" w:eastAsia="Times New Roman" w:hAnsi="Times New Roman" w:cs="Times New Roman"/>
          <w:sz w:val="24"/>
          <w:szCs w:val="24"/>
        </w:rPr>
        <w:t>Hair</w:t>
      </w:r>
      <w:proofErr w:type="spellEnd"/>
      <w:r w:rsidRPr="002451B6">
        <w:rPr>
          <w:rFonts w:ascii="Times New Roman" w:eastAsia="Times New Roman" w:hAnsi="Times New Roman" w:cs="Times New Roman"/>
          <w:sz w:val="24"/>
          <w:szCs w:val="24"/>
        </w:rPr>
        <w:t xml:space="preserve"> não é viciado em LSD”, duas fotos do espetáculo acompanhavam o texto, além de uma foto de Maria Célia com a legenda “A produtora de </w:t>
      </w:r>
      <w:proofErr w:type="spellStart"/>
      <w:r w:rsidRPr="002451B6">
        <w:rPr>
          <w:rFonts w:ascii="Times New Roman" w:eastAsia="Times New Roman" w:hAnsi="Times New Roman" w:cs="Times New Roman"/>
          <w:sz w:val="24"/>
          <w:szCs w:val="24"/>
        </w:rPr>
        <w:t>Hair</w:t>
      </w:r>
      <w:proofErr w:type="spellEnd"/>
      <w:r w:rsidRPr="002451B6">
        <w:rPr>
          <w:rFonts w:ascii="Times New Roman" w:eastAsia="Times New Roman" w:hAnsi="Times New Roman" w:cs="Times New Roman"/>
          <w:sz w:val="24"/>
          <w:szCs w:val="24"/>
        </w:rPr>
        <w:t>”. Afirma-se que a atriz e o marido ficaram surpresos quando viram a notícia de que alguns atores da peça seriam viciados em LSD, um jornal chegou a dizer que todo o elenco era viciado em tóxico. Para ela, não passavam de aproveitadores que utilizavam o sucesso da peça para obter mídia e que situações parecidas tinham surgido durante as montagens da peça pelo mundo. Ela chega a dizer que depois desses boatos, ela e o marido iriam “manter uma vigilância constante entre os intérpretes”, mas que ela duvidava de que houvesse algum viciado no elenco, diante do esforço que era interpretar um espetáculo de duas horas durante toda semana e no fim de semana em duas sessões. Apesar de vincularem o uso da droga à peça, não chegavam a citar nenhum nome. Altair chega a dizer que buscaria o delegado para solicitar esclarecimentos. A reportagem fala ainda que a vida do casal era um livro aberto, que tinham uma filha de seis anos. Para o casal, a associação era claramente em virtude ao tema da peça, a vida em comunidade e a cultura Hippie, e que a peça e a vida real eram coisas distintas. Altair Lima disse que:</w:t>
      </w:r>
    </w:p>
    <w:p w14:paraId="4D08E35D"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Nossos artistas só são “hippies” durante duas horas no palco. E depois ser “Hippie” não é tomar entorpecentes. A maioria deles trabalham e vendem suas obras. Nós, os produtores do espetáculo, não temos nada contra os “hippies”, pois os conhecemos como a maioria, pelos trabalhos que eles expõem na praça da República. “Graças ao contato diário que eu e Altair Lima temos com nossos contratados, duvido que eles sejam viciados em LSD”, finalizou a atriz Maria Célia Camargo (Diário da Noite, 1970, p. 8).</w:t>
      </w:r>
    </w:p>
    <w:p w14:paraId="69074A5D"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A matéria nos apresenta diversos elementos como o preconceito em relação aos artistas e, ao mesmo tempo, uma confusão que misturava a temática da peça com a vida real e, por fim, uma vigilância moral em torno dos temas apresentados em obras de arte, que impulsionava as </w:t>
      </w:r>
      <w:r w:rsidRPr="002451B6">
        <w:rPr>
          <w:rFonts w:ascii="Times New Roman" w:eastAsia="Times New Roman" w:hAnsi="Times New Roman" w:cs="Times New Roman"/>
          <w:sz w:val="24"/>
          <w:szCs w:val="24"/>
        </w:rPr>
        <w:lastRenderedPageBreak/>
        <w:t>matérias que retratavam o espetáculo e todos que nele estavam envolvidos. Marcos Napolitano, em seu livro</w:t>
      </w:r>
      <w:r w:rsidRPr="002451B6">
        <w:rPr>
          <w:rFonts w:ascii="Times New Roman" w:eastAsia="Times New Roman" w:hAnsi="Times New Roman" w:cs="Times New Roman"/>
          <w:i/>
          <w:iCs/>
          <w:sz w:val="24"/>
          <w:szCs w:val="24"/>
        </w:rPr>
        <w:t xml:space="preserve"> Coração civil</w:t>
      </w:r>
      <w:r w:rsidRPr="002451B6">
        <w:rPr>
          <w:rFonts w:ascii="Times New Roman" w:eastAsia="Times New Roman" w:hAnsi="Times New Roman" w:cs="Times New Roman"/>
          <w:sz w:val="24"/>
          <w:szCs w:val="24"/>
        </w:rPr>
        <w:t xml:space="preserve"> (2017), fala que ainda no período ditatorial, alguns pensadores da cultura convencionaram dizer que nos Anos de Chumbo (1968-1974) passamos por um vazio cultural, um desses autores é o jornalista Zuenir Ventura, que em 1971 escreveu um artigo na revista </w:t>
      </w:r>
      <w:r w:rsidRPr="002451B6">
        <w:rPr>
          <w:rFonts w:ascii="Times New Roman" w:eastAsia="Times New Roman" w:hAnsi="Times New Roman" w:cs="Times New Roman"/>
          <w:i/>
          <w:iCs/>
          <w:sz w:val="24"/>
          <w:szCs w:val="24"/>
        </w:rPr>
        <w:t>Visão</w:t>
      </w:r>
      <w:r w:rsidRPr="002451B6">
        <w:rPr>
          <w:rFonts w:ascii="Times New Roman" w:eastAsia="Times New Roman" w:hAnsi="Times New Roman" w:cs="Times New Roman"/>
          <w:sz w:val="24"/>
          <w:szCs w:val="24"/>
        </w:rPr>
        <w:t xml:space="preserve"> falando que nossa cultura ia mal e poderia piorar se não fosse socorrida a tempo. Entre os fatores que formavam esse vazio estavam o golpe de 1964 e a repressão exacerbada do AI-5, que não só aumentou as punições sobre a oposição, como também em relação ao aumento da censura. Havia também um estímulo à massificação e industrialização das artes. Ao fim do artigo, </w:t>
      </w:r>
      <w:proofErr w:type="gramStart"/>
      <w:r w:rsidRPr="002451B6">
        <w:rPr>
          <w:rFonts w:ascii="Times New Roman" w:eastAsia="Times New Roman" w:hAnsi="Times New Roman" w:cs="Times New Roman"/>
          <w:sz w:val="24"/>
          <w:szCs w:val="24"/>
        </w:rPr>
        <w:t>Napolitano</w:t>
      </w:r>
      <w:proofErr w:type="gramEnd"/>
      <w:r w:rsidRPr="002451B6">
        <w:rPr>
          <w:rFonts w:ascii="Times New Roman" w:eastAsia="Times New Roman" w:hAnsi="Times New Roman" w:cs="Times New Roman"/>
          <w:sz w:val="24"/>
          <w:szCs w:val="24"/>
        </w:rPr>
        <w:t xml:space="preserve"> traz a constatação de novos impasses internos na cultura que eram traduzidos por algumas dicotomias como vanguarda </w:t>
      </w:r>
      <w:r w:rsidRPr="002451B6">
        <w:rPr>
          <w:rFonts w:ascii="Times New Roman" w:eastAsia="Times New Roman" w:hAnsi="Times New Roman" w:cs="Times New Roman"/>
          <w:i/>
          <w:iCs/>
          <w:sz w:val="24"/>
          <w:szCs w:val="24"/>
        </w:rPr>
        <w:t>versus</w:t>
      </w:r>
      <w:r w:rsidRPr="002451B6">
        <w:rPr>
          <w:rFonts w:ascii="Times New Roman" w:eastAsia="Times New Roman" w:hAnsi="Times New Roman" w:cs="Times New Roman"/>
          <w:sz w:val="24"/>
          <w:szCs w:val="24"/>
        </w:rPr>
        <w:t xml:space="preserve"> consumo e industrialismo </w:t>
      </w:r>
      <w:r w:rsidRPr="002451B6">
        <w:rPr>
          <w:rFonts w:ascii="Times New Roman" w:eastAsia="Times New Roman" w:hAnsi="Times New Roman" w:cs="Times New Roman"/>
          <w:i/>
          <w:iCs/>
          <w:sz w:val="24"/>
          <w:szCs w:val="24"/>
        </w:rPr>
        <w:t>versus</w:t>
      </w:r>
      <w:r w:rsidRPr="002451B6">
        <w:rPr>
          <w:rFonts w:ascii="Times New Roman" w:eastAsia="Times New Roman" w:hAnsi="Times New Roman" w:cs="Times New Roman"/>
          <w:sz w:val="24"/>
          <w:szCs w:val="24"/>
        </w:rPr>
        <w:t xml:space="preserve"> marginalismo (Napolitano, 2017, p. 151-2). </w:t>
      </w:r>
    </w:p>
    <w:p w14:paraId="57BCBAFC"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Em 1973, segundo Marcos Napolitano, Ventura, na mesma revista, desenvolveu mais a noção de “vazio cultural”:</w:t>
      </w:r>
    </w:p>
    <w:p w14:paraId="7E5E3048" w14:textId="77777777" w:rsidR="00332C33" w:rsidRPr="002451B6" w:rsidRDefault="00000000">
      <w:pPr>
        <w:tabs>
          <w:tab w:val="left" w:pos="567"/>
        </w:tabs>
        <w:spacing w:after="160" w:line="240" w:lineRule="auto"/>
        <w:ind w:left="2268"/>
        <w:jc w:val="both"/>
        <w:rPr>
          <w:rFonts w:ascii="Times New Roman" w:eastAsia="Times New Roman" w:hAnsi="Times New Roman" w:cs="Times New Roman"/>
        </w:rPr>
      </w:pPr>
      <w:r w:rsidRPr="002451B6">
        <w:rPr>
          <w:rFonts w:ascii="Times New Roman" w:eastAsia="Times New Roman" w:hAnsi="Times New Roman" w:cs="Times New Roman"/>
        </w:rPr>
        <w:t xml:space="preserve">Ventura ponderava que em 1973, o “vazio estava mais cheio”, ou seja, a existência de um público relativamente amplo que consumia cultura com certa regularidade </w:t>
      </w:r>
      <w:proofErr w:type="gramStart"/>
      <w:r w:rsidRPr="002451B6">
        <w:rPr>
          <w:rFonts w:ascii="Times New Roman" w:eastAsia="Times New Roman" w:hAnsi="Times New Roman" w:cs="Times New Roman"/>
        </w:rPr>
        <w:t>criava novas</w:t>
      </w:r>
      <w:proofErr w:type="gramEnd"/>
      <w:r w:rsidRPr="002451B6">
        <w:rPr>
          <w:rFonts w:ascii="Times New Roman" w:eastAsia="Times New Roman" w:hAnsi="Times New Roman" w:cs="Times New Roman"/>
        </w:rPr>
        <w:t xml:space="preserve"> demandas estéticas e políticas. Havia, portanto, uma estrutura de produção cultural que não poderia ser desmontada pela censura e pela repressão sem que houvesse graves prejuízos para a própria economia, tão ciosamente estimulada pelos militares (Napolitano, 2017, p. 152).</w:t>
      </w:r>
    </w:p>
    <w:p w14:paraId="7E6F3915" w14:textId="77777777" w:rsidR="00332C33" w:rsidRPr="002451B6" w:rsidRDefault="00000000">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Napolitano explica que é importante contextualizar essa ideia de “vazio cultural”, que muitas vezes é assumida pelos pesquisadores sem as devidas reflexões. A expressão, segundo ele, era sintoma de uma das mais acirradas lutas culturais do período, “a crítica da cultura de esquerda dita “ortodoxa” vale dizer, de matriz comunista, pautada pela tradição realista, frentista e pelo nacional-popular à contracultura e a um tipo de vanguarda formalista”. O “vazio”, narra, significaria um “passo para trás” “dado por essas últimas correntes em relação a um tipo de produção cultural que ficou convencionalmente chamada de “corrente hegemônica” (Napolitano, 2017, p. 154-5).</w:t>
      </w:r>
    </w:p>
    <w:p w14:paraId="5059331A" w14:textId="090A5918" w:rsidR="008D57B5" w:rsidRPr="002451B6" w:rsidRDefault="00000000" w:rsidP="008D57B5">
      <w:pPr>
        <w:tabs>
          <w:tab w:val="left" w:pos="567"/>
        </w:tabs>
        <w:spacing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Para este capítulo nos importa pensar que a peça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uma peça transgressora, foi montada nesse período, gozou de grande popularidade </w:t>
      </w:r>
      <w:proofErr w:type="gramStart"/>
      <w:r w:rsidRPr="002451B6">
        <w:rPr>
          <w:rFonts w:ascii="Times New Roman" w:eastAsia="Times New Roman" w:hAnsi="Times New Roman" w:cs="Times New Roman"/>
          <w:sz w:val="24"/>
          <w:szCs w:val="24"/>
        </w:rPr>
        <w:t>e também</w:t>
      </w:r>
      <w:proofErr w:type="gramEnd"/>
      <w:r w:rsidRPr="002451B6">
        <w:rPr>
          <w:rFonts w:ascii="Times New Roman" w:eastAsia="Times New Roman" w:hAnsi="Times New Roman" w:cs="Times New Roman"/>
          <w:sz w:val="24"/>
          <w:szCs w:val="24"/>
        </w:rPr>
        <w:t xml:space="preserve"> sofreu com a censura, fiscalização do governo militar </w:t>
      </w:r>
      <w:proofErr w:type="gramStart"/>
      <w:r w:rsidRPr="002451B6">
        <w:rPr>
          <w:rFonts w:ascii="Times New Roman" w:eastAsia="Times New Roman" w:hAnsi="Times New Roman" w:cs="Times New Roman"/>
          <w:sz w:val="24"/>
          <w:szCs w:val="24"/>
        </w:rPr>
        <w:t>e também</w:t>
      </w:r>
      <w:proofErr w:type="gramEnd"/>
      <w:r w:rsidRPr="002451B6">
        <w:rPr>
          <w:rFonts w:ascii="Times New Roman" w:eastAsia="Times New Roman" w:hAnsi="Times New Roman" w:cs="Times New Roman"/>
          <w:sz w:val="24"/>
          <w:szCs w:val="24"/>
        </w:rPr>
        <w:t xml:space="preserve"> de parte da sociedade conservadora. Os produtores arriscaram quando compraram o texto para montar no Brasil, era um investimento de risco, como alguns previam, e o texto poderia não ser liberado ou ser totalmente descaracterizado. Por sorte não foi esse o caso. Os anos em cartaz mostraram que a peça era um sucesso e que o Brasil tinha estrutura, público e demanda por montagens de grandes espetáculos. No caso de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tratava-se de um texto que </w:t>
      </w:r>
      <w:proofErr w:type="gramStart"/>
      <w:r w:rsidRPr="002451B6">
        <w:rPr>
          <w:rFonts w:ascii="Times New Roman" w:eastAsia="Times New Roman" w:hAnsi="Times New Roman" w:cs="Times New Roman"/>
          <w:sz w:val="24"/>
          <w:szCs w:val="24"/>
        </w:rPr>
        <w:t>batia de frente com</w:t>
      </w:r>
      <w:proofErr w:type="gramEnd"/>
      <w:r w:rsidRPr="002451B6">
        <w:rPr>
          <w:rFonts w:ascii="Times New Roman" w:eastAsia="Times New Roman" w:hAnsi="Times New Roman" w:cs="Times New Roman"/>
          <w:sz w:val="24"/>
          <w:szCs w:val="24"/>
        </w:rPr>
        <w:t xml:space="preserve"> os valores morais que o governo ditatorial impunha e por isso sua trajetória veio com muitos percalços. O documento que está no Arquivo </w:t>
      </w:r>
      <w:r w:rsidRPr="002451B6">
        <w:rPr>
          <w:rFonts w:ascii="Times New Roman" w:eastAsia="Times New Roman" w:hAnsi="Times New Roman" w:cs="Times New Roman"/>
          <w:sz w:val="24"/>
          <w:szCs w:val="24"/>
        </w:rPr>
        <w:lastRenderedPageBreak/>
        <w:t xml:space="preserve">Nacional tem 186 páginas e evidencia a dinâmica do processo de censura em relação a uma peça teatral. </w:t>
      </w:r>
    </w:p>
    <w:p w14:paraId="3D3C02C9"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 xml:space="preserve">Considerações finais </w:t>
      </w:r>
    </w:p>
    <w:p w14:paraId="42439F9A" w14:textId="77777777" w:rsidR="00332C33" w:rsidRPr="002451B6" w:rsidRDefault="00000000">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O que faz com que as fontes orais sejam fascinantes e importantes é “precisamente o fato de que elas não recordam passivamente dos fatos, mas elaboram a partir deles e criam significados através do trabalho de memória e do filtro da linguagem” (</w:t>
      </w:r>
      <w:proofErr w:type="spellStart"/>
      <w:r w:rsidRPr="002451B6">
        <w:rPr>
          <w:rFonts w:ascii="Times New Roman" w:eastAsia="Times New Roman" w:hAnsi="Times New Roman" w:cs="Times New Roman"/>
          <w:sz w:val="24"/>
          <w:szCs w:val="24"/>
        </w:rPr>
        <w:t>Portelli</w:t>
      </w:r>
      <w:proofErr w:type="spellEnd"/>
      <w:r w:rsidRPr="002451B6">
        <w:rPr>
          <w:rFonts w:ascii="Times New Roman" w:eastAsia="Times New Roman" w:hAnsi="Times New Roman" w:cs="Times New Roman"/>
          <w:sz w:val="24"/>
          <w:szCs w:val="24"/>
        </w:rPr>
        <w:t xml:space="preserve">, 2016, p. 18). Quando trabalhamos com as fontes orais, devemos traçar um caminho que cobre três níveis </w:t>
      </w:r>
      <w:proofErr w:type="gramStart"/>
      <w:r w:rsidRPr="002451B6">
        <w:rPr>
          <w:rFonts w:ascii="Times New Roman" w:eastAsia="Times New Roman" w:hAnsi="Times New Roman" w:cs="Times New Roman"/>
          <w:sz w:val="24"/>
          <w:szCs w:val="24"/>
        </w:rPr>
        <w:t>distintos</w:t>
      </w:r>
      <w:proofErr w:type="gramEnd"/>
      <w:r w:rsidRPr="002451B6">
        <w:rPr>
          <w:rFonts w:ascii="Times New Roman" w:eastAsia="Times New Roman" w:hAnsi="Times New Roman" w:cs="Times New Roman"/>
          <w:sz w:val="24"/>
          <w:szCs w:val="24"/>
        </w:rPr>
        <w:t xml:space="preserve"> mas conectados: “um fato do passado (o evento histórico), um fato do presente (narrativa que ouvimos) e uma relação fluída, duradoura (a interação entre esses dois fatos)” (</w:t>
      </w:r>
      <w:proofErr w:type="spellStart"/>
      <w:r w:rsidRPr="002451B6">
        <w:rPr>
          <w:rFonts w:ascii="Times New Roman" w:eastAsia="Times New Roman" w:hAnsi="Times New Roman" w:cs="Times New Roman"/>
          <w:sz w:val="24"/>
          <w:szCs w:val="24"/>
        </w:rPr>
        <w:t>Portelli</w:t>
      </w:r>
      <w:proofErr w:type="spellEnd"/>
      <w:r w:rsidRPr="002451B6">
        <w:rPr>
          <w:rFonts w:ascii="Times New Roman" w:eastAsia="Times New Roman" w:hAnsi="Times New Roman" w:cs="Times New Roman"/>
          <w:sz w:val="24"/>
          <w:szCs w:val="24"/>
        </w:rPr>
        <w:t xml:space="preserve">, 2016, p. 18). A História Oral seria para Alessandro </w:t>
      </w:r>
      <w:proofErr w:type="spellStart"/>
      <w:r w:rsidRPr="002451B6">
        <w:rPr>
          <w:rFonts w:ascii="Times New Roman" w:eastAsia="Times New Roman" w:hAnsi="Times New Roman" w:cs="Times New Roman"/>
          <w:sz w:val="24"/>
          <w:szCs w:val="24"/>
        </w:rPr>
        <w:t>Portelli</w:t>
      </w:r>
      <w:proofErr w:type="spellEnd"/>
      <w:r w:rsidRPr="002451B6">
        <w:rPr>
          <w:rFonts w:ascii="Times New Roman" w:eastAsia="Times New Roman" w:hAnsi="Times New Roman" w:cs="Times New Roman"/>
          <w:sz w:val="24"/>
          <w:szCs w:val="24"/>
        </w:rPr>
        <w:t xml:space="preserve"> a “história dos eventos, a história da memória e da história da interpretação dos eventos através da memória” (</w:t>
      </w:r>
      <w:proofErr w:type="spellStart"/>
      <w:r w:rsidRPr="002451B6">
        <w:rPr>
          <w:rFonts w:ascii="Times New Roman" w:eastAsia="Times New Roman" w:hAnsi="Times New Roman" w:cs="Times New Roman"/>
          <w:sz w:val="24"/>
          <w:szCs w:val="24"/>
        </w:rPr>
        <w:t>Portelli</w:t>
      </w:r>
      <w:proofErr w:type="spellEnd"/>
      <w:r w:rsidRPr="002451B6">
        <w:rPr>
          <w:rFonts w:ascii="Times New Roman" w:eastAsia="Times New Roman" w:hAnsi="Times New Roman" w:cs="Times New Roman"/>
          <w:sz w:val="24"/>
          <w:szCs w:val="24"/>
        </w:rPr>
        <w:t xml:space="preserve">, 2016, p. 18). Junto com o trabalho de memória é importante fazer o entrecruzamento com outras fontes na reconstrução dos eventos passados. Essa pluralidade das fontes nos permite visualizar parte do processo histórico vivenciado por determinado grupo e/ou pessoa em determinado momento. Partindo dessas premissas, objetivamos nessas poucas páginas desenvolver parte da trajetória de Maria Célia Camargo e da primeira montagem de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sz w:val="24"/>
          <w:szCs w:val="24"/>
        </w:rPr>
        <w:t xml:space="preserve">, seu primeiro trabalho como produtora de uma grande peça. A trajetória da artista até então não havia recebido destaque nas produções acadêmicas, há um apagamento em curso em relação à história das artes, uma vez que não há uma política pública para se preservar as memórias e os acervos de agentes culturais do nosso país. </w:t>
      </w:r>
    </w:p>
    <w:p w14:paraId="1D6C9B3D" w14:textId="683F3E4B" w:rsidR="00332C33" w:rsidRPr="002451B6" w:rsidRDefault="00000000" w:rsidP="00884E34">
      <w:pPr>
        <w:tabs>
          <w:tab w:val="left" w:pos="567"/>
        </w:tabs>
        <w:spacing w:after="160" w:line="360" w:lineRule="auto"/>
        <w:ind w:firstLine="709"/>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O capítulo é então o ponto inicial para que possamos de fato investir em um trabalho de memória e de trajetória no mundo das artes. Além disso, traz a importância de destacarmos a história de espetáculos. A produção historiográfica brasileira ainda não se dedica às montagens de versões musicais trazidas de fora. As pesquisas privilegiam peças nacionais, geralmente as de autores engajados. Mas há um ponto importante na pesquisa de peças estrangeiras: entender como elas foram recebidas, adaptadas e o percurso que elas seguiram. No caso de </w:t>
      </w:r>
      <w:proofErr w:type="spellStart"/>
      <w:r w:rsidRPr="002451B6">
        <w:rPr>
          <w:rFonts w:ascii="Times New Roman" w:eastAsia="Times New Roman" w:hAnsi="Times New Roman" w:cs="Times New Roman"/>
          <w:i/>
          <w:iCs/>
          <w:sz w:val="24"/>
          <w:szCs w:val="24"/>
        </w:rPr>
        <w:t>Hair</w:t>
      </w:r>
      <w:proofErr w:type="spellEnd"/>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xml:space="preserve"> um caminho de glória, anos em cartaz, um sucesso de público. Por fim, esperamos que o texto seja uma semente que possa incentivar outros pesquisadores a enveredar pelas histórias da nossa dramaturgia teatral, colocando como foco personagens, principalmente mulheres, por muito tempo não reconhecidas como atrizes e produtoras, e peças ainda não pesquisadas e, portanto, não cristalizadas no imaginário nacional. </w:t>
      </w:r>
    </w:p>
    <w:p w14:paraId="5590A52B" w14:textId="77777777" w:rsidR="00884E34" w:rsidRPr="002451B6" w:rsidRDefault="00884E34">
      <w:pPr>
        <w:tabs>
          <w:tab w:val="left" w:pos="567"/>
        </w:tabs>
        <w:spacing w:after="160" w:line="360" w:lineRule="auto"/>
        <w:jc w:val="center"/>
        <w:rPr>
          <w:rFonts w:ascii="Times New Roman" w:eastAsia="Times New Roman" w:hAnsi="Times New Roman" w:cs="Times New Roman"/>
          <w:b/>
          <w:bCs/>
          <w:sz w:val="24"/>
          <w:szCs w:val="24"/>
        </w:rPr>
      </w:pPr>
    </w:p>
    <w:p w14:paraId="5B057F9D" w14:textId="5D45B07D" w:rsidR="00332C33" w:rsidRPr="002451B6" w:rsidRDefault="00000000">
      <w:pPr>
        <w:tabs>
          <w:tab w:val="left" w:pos="567"/>
        </w:tabs>
        <w:spacing w:after="160" w:line="360" w:lineRule="auto"/>
        <w:jc w:val="center"/>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lastRenderedPageBreak/>
        <w:t xml:space="preserve">Referências </w:t>
      </w:r>
    </w:p>
    <w:p w14:paraId="7CFD8572" w14:textId="6AB88ECF"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CAMARGO, M. C.  Entrevista concedida aos pesquisadores </w:t>
      </w:r>
      <w:r w:rsidR="002A7568" w:rsidRPr="002A7568">
        <w:rPr>
          <w:rFonts w:ascii="Times New Roman" w:eastAsia="Times New Roman" w:hAnsi="Times New Roman" w:cs="Times New Roman"/>
          <w:color w:val="EE0000"/>
          <w:sz w:val="24"/>
          <w:szCs w:val="24"/>
        </w:rPr>
        <w:t>XXXX e</w:t>
      </w:r>
      <w:r w:rsidRPr="002A7568">
        <w:rPr>
          <w:rFonts w:ascii="Times New Roman" w:eastAsia="Times New Roman" w:hAnsi="Times New Roman" w:cs="Times New Roman"/>
          <w:color w:val="EE0000"/>
          <w:sz w:val="24"/>
          <w:szCs w:val="24"/>
        </w:rPr>
        <w:t xml:space="preserve"> </w:t>
      </w:r>
      <w:r w:rsidR="002A7568" w:rsidRPr="002A7568">
        <w:rPr>
          <w:rFonts w:ascii="Times New Roman" w:eastAsia="Times New Roman" w:hAnsi="Times New Roman" w:cs="Times New Roman"/>
          <w:color w:val="EE0000"/>
          <w:sz w:val="24"/>
          <w:szCs w:val="24"/>
        </w:rPr>
        <w:t>XXXX</w:t>
      </w:r>
      <w:r w:rsidRPr="002451B6">
        <w:rPr>
          <w:rFonts w:ascii="Times New Roman" w:eastAsia="Times New Roman" w:hAnsi="Times New Roman" w:cs="Times New Roman"/>
          <w:sz w:val="24"/>
          <w:szCs w:val="24"/>
        </w:rPr>
        <w:t xml:space="preserve">. São Paulo. 24 de maio de 2025. </w:t>
      </w:r>
    </w:p>
    <w:p w14:paraId="24F55755"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DIAS, J. </w:t>
      </w:r>
      <w:r w:rsidRPr="002451B6">
        <w:rPr>
          <w:rFonts w:ascii="Times New Roman" w:eastAsia="Times New Roman" w:hAnsi="Times New Roman" w:cs="Times New Roman"/>
          <w:i/>
          <w:iCs/>
          <w:sz w:val="24"/>
          <w:szCs w:val="24"/>
        </w:rPr>
        <w:t>Sérgio Cardoso</w:t>
      </w:r>
      <w:r w:rsidRPr="002451B6">
        <w:rPr>
          <w:rFonts w:ascii="Times New Roman" w:eastAsia="Times New Roman" w:hAnsi="Times New Roman" w:cs="Times New Roman"/>
          <w:sz w:val="24"/>
          <w:szCs w:val="24"/>
        </w:rPr>
        <w:t xml:space="preserve">: ser e não ser. São Paulo: Edições Sesc São Paulo, 2025. </w:t>
      </w:r>
    </w:p>
    <w:p w14:paraId="73242786"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DIVERSOS AUTORES. </w:t>
      </w:r>
      <w:r w:rsidRPr="002451B6">
        <w:rPr>
          <w:rFonts w:ascii="Times New Roman" w:eastAsia="Times New Roman" w:hAnsi="Times New Roman" w:cs="Times New Roman"/>
          <w:i/>
          <w:iCs/>
          <w:sz w:val="24"/>
          <w:szCs w:val="24"/>
        </w:rPr>
        <w:t xml:space="preserve">Atores, fazeres e políticas culturais na América Latina: </w:t>
      </w:r>
      <w:r w:rsidRPr="002451B6">
        <w:rPr>
          <w:rFonts w:ascii="Times New Roman" w:eastAsia="Times New Roman" w:hAnsi="Times New Roman" w:cs="Times New Roman"/>
          <w:sz w:val="24"/>
          <w:szCs w:val="24"/>
        </w:rPr>
        <w:t>Comunicação e Cultura (Livro IV</w:t>
      </w:r>
      <w:r w:rsidRPr="002451B6">
        <w:rPr>
          <w:rFonts w:ascii="Times New Roman" w:eastAsia="Times New Roman" w:hAnsi="Times New Roman" w:cs="Times New Roman"/>
          <w:i/>
          <w:iCs/>
          <w:sz w:val="24"/>
          <w:szCs w:val="24"/>
        </w:rPr>
        <w:t>)</w:t>
      </w:r>
      <w:r w:rsidRPr="002451B6">
        <w:rPr>
          <w:rFonts w:ascii="Times New Roman" w:eastAsia="Times New Roman" w:hAnsi="Times New Roman" w:cs="Times New Roman"/>
          <w:sz w:val="24"/>
          <w:szCs w:val="24"/>
        </w:rPr>
        <w:t>. São Paulo: PROLAM (USP), 2019.</w:t>
      </w:r>
    </w:p>
    <w:p w14:paraId="4D0D431A"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GARCIA, M.; MARTINS, S. C. </w:t>
      </w:r>
      <w:r w:rsidRPr="002451B6">
        <w:rPr>
          <w:rFonts w:ascii="Times New Roman" w:eastAsia="Times New Roman" w:hAnsi="Times New Roman" w:cs="Times New Roman"/>
          <w:i/>
          <w:iCs/>
          <w:sz w:val="24"/>
          <w:szCs w:val="24"/>
        </w:rPr>
        <w:t>Um caso de polícia</w:t>
      </w:r>
      <w:r w:rsidRPr="002451B6">
        <w:rPr>
          <w:rFonts w:ascii="Times New Roman" w:eastAsia="Times New Roman" w:hAnsi="Times New Roman" w:cs="Times New Roman"/>
          <w:sz w:val="24"/>
          <w:szCs w:val="24"/>
        </w:rPr>
        <w:t xml:space="preserve">: a censura teatral no Brasil dos séculos XIX e XX. Londrina: </w:t>
      </w:r>
      <w:proofErr w:type="spellStart"/>
      <w:r w:rsidRPr="002451B6">
        <w:rPr>
          <w:rFonts w:ascii="Times New Roman" w:eastAsia="Times New Roman" w:hAnsi="Times New Roman" w:cs="Times New Roman"/>
          <w:sz w:val="24"/>
          <w:szCs w:val="24"/>
        </w:rPr>
        <w:t>Eduel</w:t>
      </w:r>
      <w:proofErr w:type="spellEnd"/>
      <w:r w:rsidRPr="002451B6">
        <w:rPr>
          <w:rFonts w:ascii="Times New Roman" w:eastAsia="Times New Roman" w:hAnsi="Times New Roman" w:cs="Times New Roman"/>
          <w:sz w:val="24"/>
          <w:szCs w:val="24"/>
        </w:rPr>
        <w:t xml:space="preserve">, 2019. </w:t>
      </w:r>
    </w:p>
    <w:p w14:paraId="10D42D5E"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JESUS, M. A. de. </w:t>
      </w:r>
      <w:r w:rsidRPr="002451B6">
        <w:rPr>
          <w:rFonts w:ascii="Times New Roman" w:eastAsia="Times New Roman" w:hAnsi="Times New Roman" w:cs="Times New Roman"/>
          <w:i/>
          <w:iCs/>
          <w:sz w:val="24"/>
          <w:szCs w:val="24"/>
        </w:rPr>
        <w:t xml:space="preserve">Eva </w:t>
      </w:r>
      <w:proofErr w:type="spellStart"/>
      <w:r w:rsidRPr="002451B6">
        <w:rPr>
          <w:rFonts w:ascii="Times New Roman" w:eastAsia="Times New Roman" w:hAnsi="Times New Roman" w:cs="Times New Roman"/>
          <w:i/>
          <w:iCs/>
          <w:sz w:val="24"/>
          <w:szCs w:val="24"/>
        </w:rPr>
        <w:t>Todor</w:t>
      </w:r>
      <w:proofErr w:type="spellEnd"/>
      <w:r w:rsidRPr="002451B6">
        <w:rPr>
          <w:rFonts w:ascii="Times New Roman" w:eastAsia="Times New Roman" w:hAnsi="Times New Roman" w:cs="Times New Roman"/>
          <w:i/>
          <w:iCs/>
          <w:sz w:val="24"/>
          <w:szCs w:val="24"/>
        </w:rPr>
        <w:t xml:space="preserve"> </w:t>
      </w:r>
      <w:r w:rsidRPr="002451B6">
        <w:rPr>
          <w:rFonts w:ascii="Times New Roman" w:eastAsia="Times New Roman" w:hAnsi="Times New Roman" w:cs="Times New Roman"/>
          <w:sz w:val="24"/>
          <w:szCs w:val="24"/>
        </w:rPr>
        <w:t xml:space="preserve">– O teatro da minha vida. São Paulo: Imprensa Oficial, 2007. </w:t>
      </w:r>
    </w:p>
    <w:p w14:paraId="36DD185C"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LICIA, N. </w:t>
      </w:r>
      <w:r w:rsidRPr="002451B6">
        <w:rPr>
          <w:rFonts w:ascii="Times New Roman" w:eastAsia="Times New Roman" w:hAnsi="Times New Roman" w:cs="Times New Roman"/>
          <w:i/>
          <w:iCs/>
          <w:sz w:val="24"/>
          <w:szCs w:val="24"/>
        </w:rPr>
        <w:t>Ninguém se livra de seus fantasmas</w:t>
      </w:r>
      <w:r w:rsidRPr="002451B6">
        <w:rPr>
          <w:rFonts w:ascii="Times New Roman" w:eastAsia="Times New Roman" w:hAnsi="Times New Roman" w:cs="Times New Roman"/>
          <w:sz w:val="24"/>
          <w:szCs w:val="24"/>
        </w:rPr>
        <w:t>. São Paulo: Editora Perspectiva, 2002.</w:t>
      </w:r>
    </w:p>
    <w:p w14:paraId="5AFC5783"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LICIA, N. </w:t>
      </w:r>
      <w:r w:rsidRPr="002451B6">
        <w:rPr>
          <w:rFonts w:ascii="Times New Roman" w:eastAsia="Times New Roman" w:hAnsi="Times New Roman" w:cs="Times New Roman"/>
          <w:i/>
          <w:iCs/>
          <w:sz w:val="24"/>
          <w:szCs w:val="24"/>
        </w:rPr>
        <w:t>Eu vivi o TBC</w:t>
      </w:r>
      <w:r w:rsidRPr="002451B6">
        <w:rPr>
          <w:rFonts w:ascii="Times New Roman" w:eastAsia="Times New Roman" w:hAnsi="Times New Roman" w:cs="Times New Roman"/>
          <w:sz w:val="24"/>
          <w:szCs w:val="24"/>
        </w:rPr>
        <w:t xml:space="preserve">. São Paulo: Imprensa Oficial, 2007. </w:t>
      </w:r>
    </w:p>
    <w:p w14:paraId="1DB6317B"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LISBOA, M. A. M. </w:t>
      </w:r>
      <w:r w:rsidRPr="002451B6">
        <w:rPr>
          <w:rFonts w:ascii="Times New Roman" w:eastAsia="Times New Roman" w:hAnsi="Times New Roman" w:cs="Times New Roman"/>
          <w:i/>
          <w:iCs/>
          <w:sz w:val="24"/>
          <w:szCs w:val="24"/>
        </w:rPr>
        <w:t xml:space="preserve">Dina Lisboa </w:t>
      </w:r>
      <w:r w:rsidRPr="002451B6">
        <w:rPr>
          <w:rFonts w:ascii="Times New Roman" w:eastAsia="Times New Roman" w:hAnsi="Times New Roman" w:cs="Times New Roman"/>
          <w:sz w:val="24"/>
          <w:szCs w:val="24"/>
        </w:rPr>
        <w:t xml:space="preserve">– moldando emoções a vida me fez assim, atriz, mulher de teatro. São Paulo: Imprensa Oficial, 2010. </w:t>
      </w:r>
    </w:p>
    <w:p w14:paraId="7194FCF2"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MENDES, O. </w:t>
      </w:r>
      <w:r w:rsidRPr="002451B6">
        <w:rPr>
          <w:rFonts w:ascii="Times New Roman" w:eastAsia="Times New Roman" w:hAnsi="Times New Roman" w:cs="Times New Roman"/>
          <w:i/>
          <w:iCs/>
          <w:sz w:val="24"/>
          <w:szCs w:val="24"/>
        </w:rPr>
        <w:t>Ademar Guerra</w:t>
      </w:r>
      <w:r w:rsidRPr="002451B6">
        <w:rPr>
          <w:rFonts w:ascii="Times New Roman" w:eastAsia="Times New Roman" w:hAnsi="Times New Roman" w:cs="Times New Roman"/>
          <w:sz w:val="24"/>
          <w:szCs w:val="24"/>
        </w:rPr>
        <w:t xml:space="preserve">: o teatro de um homem só. São Paulo: SENAC, 2002. </w:t>
      </w:r>
    </w:p>
    <w:p w14:paraId="7BB8B1C4"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NAPOLITANO, M. </w:t>
      </w:r>
      <w:r w:rsidRPr="002451B6">
        <w:rPr>
          <w:rFonts w:ascii="Times New Roman" w:eastAsia="Times New Roman" w:hAnsi="Times New Roman" w:cs="Times New Roman"/>
          <w:i/>
          <w:iCs/>
          <w:sz w:val="24"/>
          <w:szCs w:val="24"/>
        </w:rPr>
        <w:t>Coração civil</w:t>
      </w:r>
      <w:r w:rsidRPr="002451B6">
        <w:rPr>
          <w:rFonts w:ascii="Times New Roman" w:eastAsia="Times New Roman" w:hAnsi="Times New Roman" w:cs="Times New Roman"/>
          <w:sz w:val="24"/>
          <w:szCs w:val="24"/>
        </w:rPr>
        <w:t xml:space="preserve">: a vida cultural brasileira sob o regime militar (1964-1985). São Paulo: </w:t>
      </w:r>
      <w:proofErr w:type="spellStart"/>
      <w:r w:rsidRPr="002451B6">
        <w:rPr>
          <w:rFonts w:ascii="Times New Roman" w:eastAsia="Times New Roman" w:hAnsi="Times New Roman" w:cs="Times New Roman"/>
          <w:sz w:val="24"/>
          <w:szCs w:val="24"/>
        </w:rPr>
        <w:t>Intermeios</w:t>
      </w:r>
      <w:proofErr w:type="spellEnd"/>
      <w:r w:rsidRPr="002451B6">
        <w:rPr>
          <w:rFonts w:ascii="Times New Roman" w:eastAsia="Times New Roman" w:hAnsi="Times New Roman" w:cs="Times New Roman"/>
          <w:sz w:val="24"/>
          <w:szCs w:val="24"/>
        </w:rPr>
        <w:t xml:space="preserve">: USP – Programa de Pós-Graduação em História Social, 2017. </w:t>
      </w:r>
    </w:p>
    <w:p w14:paraId="7788B518"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PORTELLI, A. </w:t>
      </w:r>
      <w:r w:rsidRPr="002451B6">
        <w:rPr>
          <w:rFonts w:ascii="Times New Roman" w:eastAsia="Times New Roman" w:hAnsi="Times New Roman" w:cs="Times New Roman"/>
          <w:i/>
          <w:iCs/>
          <w:sz w:val="24"/>
          <w:szCs w:val="24"/>
        </w:rPr>
        <w:t>História oral como arte de escuta</w:t>
      </w:r>
      <w:r w:rsidRPr="002451B6">
        <w:rPr>
          <w:rFonts w:ascii="Times New Roman" w:eastAsia="Times New Roman" w:hAnsi="Times New Roman" w:cs="Times New Roman"/>
          <w:sz w:val="24"/>
          <w:szCs w:val="24"/>
        </w:rPr>
        <w:t xml:space="preserve">. São Paulo: Letra e Voz, 2016. </w:t>
      </w:r>
    </w:p>
    <w:p w14:paraId="52985487"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VAN STEEN, E. VENDRAMINI, J. E. </w:t>
      </w:r>
      <w:r w:rsidRPr="002451B6">
        <w:rPr>
          <w:rFonts w:ascii="Times New Roman" w:eastAsia="Times New Roman" w:hAnsi="Times New Roman" w:cs="Times New Roman"/>
          <w:i/>
          <w:iCs/>
          <w:sz w:val="24"/>
          <w:szCs w:val="24"/>
        </w:rPr>
        <w:t>Amor ao teatro</w:t>
      </w:r>
      <w:r w:rsidRPr="002451B6">
        <w:rPr>
          <w:rFonts w:ascii="Times New Roman" w:eastAsia="Times New Roman" w:hAnsi="Times New Roman" w:cs="Times New Roman"/>
          <w:sz w:val="24"/>
          <w:szCs w:val="24"/>
        </w:rPr>
        <w:t xml:space="preserve">: Sábato Magaldi. São Paulo: Edições SESC São Paulo, 2015. </w:t>
      </w:r>
    </w:p>
    <w:p w14:paraId="38EF8DCB"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VARGAS, M. T. MAGALDI, S. </w:t>
      </w:r>
      <w:r w:rsidRPr="002451B6">
        <w:rPr>
          <w:rFonts w:ascii="Times New Roman" w:eastAsia="Times New Roman" w:hAnsi="Times New Roman" w:cs="Times New Roman"/>
          <w:i/>
          <w:iCs/>
          <w:sz w:val="24"/>
          <w:szCs w:val="24"/>
        </w:rPr>
        <w:t>Cem anos de teatro em São Paulo</w:t>
      </w:r>
      <w:r w:rsidRPr="002451B6">
        <w:rPr>
          <w:rFonts w:ascii="Times New Roman" w:eastAsia="Times New Roman" w:hAnsi="Times New Roman" w:cs="Times New Roman"/>
          <w:sz w:val="24"/>
          <w:szCs w:val="24"/>
        </w:rPr>
        <w:t xml:space="preserve">: 1875-1974. São Paulo: SENAC São Paulo, 2011. </w:t>
      </w:r>
    </w:p>
    <w:p w14:paraId="591F7AEA" w14:textId="77777777" w:rsidR="00332C33" w:rsidRPr="002451B6" w:rsidRDefault="00332C33">
      <w:pPr>
        <w:tabs>
          <w:tab w:val="left" w:pos="567"/>
        </w:tabs>
        <w:spacing w:after="200" w:line="240" w:lineRule="auto"/>
        <w:jc w:val="both"/>
        <w:rPr>
          <w:rFonts w:ascii="Times New Roman" w:eastAsia="Times New Roman" w:hAnsi="Times New Roman" w:cs="Times New Roman"/>
          <w:sz w:val="24"/>
          <w:szCs w:val="24"/>
        </w:rPr>
      </w:pPr>
    </w:p>
    <w:p w14:paraId="27BB3881"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b/>
          <w:bCs/>
          <w:sz w:val="24"/>
          <w:szCs w:val="24"/>
        </w:rPr>
        <w:t>Materiais periódicos utilizados:</w:t>
      </w:r>
    </w:p>
    <w:p w14:paraId="54736A01"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Jornal O Estado de S. Paulo</w:t>
      </w:r>
      <w:r w:rsidRPr="002451B6">
        <w:rPr>
          <w:rFonts w:ascii="Times New Roman" w:eastAsia="Times New Roman" w:hAnsi="Times New Roman" w:cs="Times New Roman"/>
          <w:sz w:val="24"/>
          <w:szCs w:val="24"/>
        </w:rPr>
        <w:t>: 1959 – Edição 25.848/ 1962 – Edição 26.718.</w:t>
      </w:r>
    </w:p>
    <w:p w14:paraId="6AB68A98"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Diário da Noite</w:t>
      </w:r>
      <w:r w:rsidRPr="002451B6">
        <w:rPr>
          <w:rFonts w:ascii="Times New Roman" w:eastAsia="Times New Roman" w:hAnsi="Times New Roman" w:cs="Times New Roman"/>
          <w:sz w:val="24"/>
          <w:szCs w:val="24"/>
        </w:rPr>
        <w:t>: 1959 -Edição: 10.621/ 1970- Edições: 13.559; 15.558; 13.561.</w:t>
      </w:r>
    </w:p>
    <w:p w14:paraId="77EFC813"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Jornal do Brasil</w:t>
      </w:r>
      <w:r w:rsidRPr="002451B6">
        <w:rPr>
          <w:rFonts w:ascii="Times New Roman" w:eastAsia="Times New Roman" w:hAnsi="Times New Roman" w:cs="Times New Roman"/>
          <w:sz w:val="24"/>
          <w:szCs w:val="24"/>
        </w:rPr>
        <w:t>: 1969- Edições: 08; 27; 71; 129; 159; 163.</w:t>
      </w:r>
    </w:p>
    <w:p w14:paraId="44DB7F75"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i/>
          <w:iCs/>
          <w:sz w:val="24"/>
          <w:szCs w:val="24"/>
        </w:rPr>
        <w:t>Revista do Rádio e da TV</w:t>
      </w:r>
      <w:r w:rsidRPr="002451B6">
        <w:rPr>
          <w:rFonts w:ascii="Times New Roman" w:eastAsia="Times New Roman" w:hAnsi="Times New Roman" w:cs="Times New Roman"/>
          <w:sz w:val="24"/>
          <w:szCs w:val="24"/>
        </w:rPr>
        <w:t xml:space="preserve">:  1970 </w:t>
      </w:r>
      <w:proofErr w:type="gramStart"/>
      <w:r w:rsidRPr="002451B6">
        <w:rPr>
          <w:rFonts w:ascii="Times New Roman" w:eastAsia="Times New Roman" w:hAnsi="Times New Roman" w:cs="Times New Roman"/>
          <w:sz w:val="24"/>
          <w:szCs w:val="24"/>
        </w:rPr>
        <w:t>-  Edições</w:t>
      </w:r>
      <w:proofErr w:type="gramEnd"/>
      <w:r w:rsidRPr="002451B6">
        <w:rPr>
          <w:rFonts w:ascii="Times New Roman" w:eastAsia="Times New Roman" w:hAnsi="Times New Roman" w:cs="Times New Roman"/>
          <w:sz w:val="24"/>
          <w:szCs w:val="24"/>
        </w:rPr>
        <w:t>: 406; 410.</w:t>
      </w:r>
    </w:p>
    <w:p w14:paraId="33B57D67" w14:textId="77777777" w:rsidR="00332C33" w:rsidRPr="002451B6" w:rsidRDefault="00000000">
      <w:pPr>
        <w:tabs>
          <w:tab w:val="left" w:pos="567"/>
        </w:tabs>
        <w:spacing w:after="200" w:line="240" w:lineRule="auto"/>
        <w:jc w:val="both"/>
        <w:rPr>
          <w:rFonts w:ascii="Times New Roman" w:eastAsia="Times New Roman" w:hAnsi="Times New Roman" w:cs="Times New Roman"/>
          <w:sz w:val="24"/>
          <w:szCs w:val="24"/>
        </w:rPr>
      </w:pPr>
      <w:r w:rsidRPr="002451B6">
        <w:rPr>
          <w:rFonts w:ascii="Times New Roman" w:eastAsia="Times New Roman" w:hAnsi="Times New Roman" w:cs="Times New Roman"/>
          <w:sz w:val="24"/>
          <w:szCs w:val="24"/>
        </w:rPr>
        <w:t xml:space="preserve">Processo </w:t>
      </w:r>
      <w:proofErr w:type="gramStart"/>
      <w:r w:rsidRPr="002451B6">
        <w:rPr>
          <w:rFonts w:ascii="Times New Roman" w:eastAsia="Times New Roman" w:hAnsi="Times New Roman" w:cs="Times New Roman"/>
          <w:sz w:val="24"/>
          <w:szCs w:val="24"/>
        </w:rPr>
        <w:t>de  censura</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da  peça</w:t>
      </w:r>
      <w:proofErr w:type="gramEnd"/>
      <w:r w:rsidRPr="002451B6">
        <w:rPr>
          <w:rFonts w:ascii="Times New Roman" w:eastAsia="Times New Roman" w:hAnsi="Times New Roman" w:cs="Times New Roman"/>
          <w:sz w:val="24"/>
          <w:szCs w:val="24"/>
        </w:rPr>
        <w:t xml:space="preserve"> </w:t>
      </w:r>
      <w:proofErr w:type="spellStart"/>
      <w:r w:rsidRPr="002451B6">
        <w:rPr>
          <w:rFonts w:ascii="Times New Roman" w:eastAsia="Times New Roman" w:hAnsi="Times New Roman" w:cs="Times New Roman"/>
          <w:sz w:val="24"/>
          <w:szCs w:val="24"/>
        </w:rPr>
        <w:t>Hair</w:t>
      </w:r>
      <w:proofErr w:type="spell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Arquivo  Nacional</w:t>
      </w:r>
      <w:proofErr w:type="gramEnd"/>
      <w:r w:rsidRPr="002451B6">
        <w:rPr>
          <w:rFonts w:ascii="Times New Roman" w:eastAsia="Times New Roman" w:hAnsi="Times New Roman" w:cs="Times New Roman"/>
          <w:sz w:val="24"/>
          <w:szCs w:val="24"/>
        </w:rPr>
        <w:t>/</w:t>
      </w:r>
      <w:proofErr w:type="gramStart"/>
      <w:r w:rsidRPr="002451B6">
        <w:rPr>
          <w:rFonts w:ascii="Times New Roman" w:eastAsia="Times New Roman" w:hAnsi="Times New Roman" w:cs="Times New Roman"/>
          <w:sz w:val="24"/>
          <w:szCs w:val="24"/>
        </w:rPr>
        <w:t>DF,  Fundo</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DCDP,  Seção</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Censura  Prévia,  Série</w:t>
      </w:r>
      <w:proofErr w:type="gramEnd"/>
      <w:r w:rsidRPr="002451B6">
        <w:rPr>
          <w:rFonts w:ascii="Times New Roman" w:eastAsia="Times New Roman" w:hAnsi="Times New Roman" w:cs="Times New Roman"/>
          <w:sz w:val="24"/>
          <w:szCs w:val="24"/>
        </w:rPr>
        <w:t xml:space="preserve">  </w:t>
      </w:r>
      <w:proofErr w:type="gramStart"/>
      <w:r w:rsidRPr="002451B6">
        <w:rPr>
          <w:rFonts w:ascii="Times New Roman" w:eastAsia="Times New Roman" w:hAnsi="Times New Roman" w:cs="Times New Roman"/>
          <w:sz w:val="24"/>
          <w:szCs w:val="24"/>
        </w:rPr>
        <w:t>Teatro ,</w:t>
      </w:r>
      <w:proofErr w:type="gramEnd"/>
      <w:r w:rsidRPr="002451B6">
        <w:rPr>
          <w:rFonts w:ascii="Times New Roman" w:eastAsia="Times New Roman" w:hAnsi="Times New Roman" w:cs="Times New Roman"/>
          <w:sz w:val="24"/>
          <w:szCs w:val="24"/>
        </w:rPr>
        <w:t xml:space="preserve"> Subsérie Peças Teatrais, caixa 118.</w:t>
      </w:r>
    </w:p>
    <w:p w14:paraId="02789EAB" w14:textId="77777777" w:rsidR="00332C33" w:rsidRPr="002451B6" w:rsidRDefault="00332C33">
      <w:pPr>
        <w:spacing w:line="360" w:lineRule="auto"/>
        <w:rPr>
          <w:rFonts w:ascii="Times New Roman" w:eastAsia="Times New Roman" w:hAnsi="Times New Roman" w:cs="Times New Roman"/>
          <w:sz w:val="24"/>
          <w:szCs w:val="24"/>
        </w:rPr>
      </w:pPr>
    </w:p>
    <w:p w14:paraId="1BF8F43E" w14:textId="77777777" w:rsidR="00C040D2" w:rsidRPr="002451B6" w:rsidRDefault="00C040D2">
      <w:pPr>
        <w:spacing w:line="360" w:lineRule="auto"/>
        <w:rPr>
          <w:rFonts w:ascii="Times New Roman" w:eastAsia="Times New Roman" w:hAnsi="Times New Roman" w:cs="Times New Roman"/>
          <w:i/>
          <w:iCs/>
          <w:sz w:val="24"/>
          <w:szCs w:val="24"/>
        </w:rPr>
      </w:pPr>
    </w:p>
    <w:p w14:paraId="686BA5AA" w14:textId="77777777" w:rsidR="00332C33" w:rsidRPr="002451B6" w:rsidRDefault="00332C33">
      <w:pPr>
        <w:spacing w:line="360" w:lineRule="auto"/>
        <w:rPr>
          <w:rFonts w:ascii="Times New Roman" w:eastAsia="Times New Roman" w:hAnsi="Times New Roman" w:cs="Times New Roman"/>
          <w:i/>
          <w:iCs/>
          <w:sz w:val="24"/>
          <w:szCs w:val="24"/>
        </w:rPr>
      </w:pPr>
    </w:p>
    <w:p w14:paraId="04BF56A9" w14:textId="77777777" w:rsidR="00332C33" w:rsidRPr="002451B6" w:rsidRDefault="00332C33">
      <w:pPr>
        <w:spacing w:line="360" w:lineRule="auto"/>
        <w:rPr>
          <w:rFonts w:ascii="Times New Roman" w:eastAsia="Times New Roman" w:hAnsi="Times New Roman" w:cs="Times New Roman"/>
          <w:i/>
          <w:iCs/>
          <w:sz w:val="24"/>
          <w:szCs w:val="24"/>
        </w:rPr>
      </w:pPr>
    </w:p>
    <w:sectPr w:rsidR="00332C33" w:rsidRPr="002451B6" w:rsidSect="00C27DD5">
      <w:type w:val="continuous"/>
      <w:pgSz w:w="11909" w:h="16834"/>
      <w:pgMar w:top="1701"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5BB98" w14:textId="77777777" w:rsidR="004A7293" w:rsidRDefault="004A7293">
      <w:pPr>
        <w:spacing w:line="240" w:lineRule="auto"/>
      </w:pPr>
      <w:r>
        <w:separator/>
      </w:r>
    </w:p>
  </w:endnote>
  <w:endnote w:type="continuationSeparator" w:id="0">
    <w:p w14:paraId="66E04F6B" w14:textId="77777777" w:rsidR="004A7293" w:rsidRDefault="004A72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3C75B54-DF74-484E-B70C-A1CF015D1E80}"/>
  </w:font>
  <w:font w:name="Calibri">
    <w:panose1 w:val="020F0502020204030204"/>
    <w:charset w:val="00"/>
    <w:family w:val="swiss"/>
    <w:pitch w:val="variable"/>
    <w:sig w:usb0="E4002EFF" w:usb1="C200247B" w:usb2="00000009" w:usb3="00000000" w:csb0="000001FF" w:csb1="00000000"/>
    <w:embedRegular r:id="rId2" w:fontKey="{7084579E-97BF-4739-B238-9A4A78A858AB}"/>
  </w:font>
  <w:font w:name="Aptos">
    <w:charset w:val="00"/>
    <w:family w:val="swiss"/>
    <w:pitch w:val="variable"/>
    <w:sig w:usb0="20000287" w:usb1="00000003" w:usb2="00000000" w:usb3="00000000" w:csb0="0000019F" w:csb1="00000000"/>
    <w:embedRegular r:id="rId3" w:fontKey="{1F090261-529C-4AD9-AAC5-ADAD3A17D797}"/>
    <w:embedItalic r:id="rId4" w:fontKey="{A357F42A-781F-4446-89C2-11907C35D7DB}"/>
  </w:font>
  <w:font w:name="Gungsuh">
    <w:charset w:val="81"/>
    <w:family w:val="roman"/>
    <w:pitch w:val="variable"/>
    <w:sig w:usb0="B00002AF" w:usb1="69D77CFB" w:usb2="00000030" w:usb3="00000000" w:csb0="0008009F" w:csb1="00000000"/>
  </w:font>
  <w:font w:name="Noto Sans Symbols">
    <w:charset w:val="00"/>
    <w:family w:val="auto"/>
    <w:pitch w:val="default"/>
    <w:embedBold r:id="rId5" w:fontKey="{19ABF07E-6680-4AC4-BB9C-C7F6FC38DD0B}"/>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1ADE6" w14:textId="77777777" w:rsidR="004A7293" w:rsidRDefault="004A7293">
      <w:pPr>
        <w:spacing w:line="240" w:lineRule="auto"/>
      </w:pPr>
      <w:r>
        <w:separator/>
      </w:r>
    </w:p>
  </w:footnote>
  <w:footnote w:type="continuationSeparator" w:id="0">
    <w:p w14:paraId="127F8837" w14:textId="77777777" w:rsidR="004A7293" w:rsidRDefault="004A7293">
      <w:pPr>
        <w:spacing w:line="240" w:lineRule="auto"/>
      </w:pPr>
      <w:r>
        <w:continuationSeparator/>
      </w:r>
    </w:p>
  </w:footnote>
  <w:footnote w:id="1">
    <w:p w14:paraId="2E4CADB6"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Val Souza é artista e pesquisadora, doutoranda em Artes Visuais pela Unesp. Sua prática artística se baseia na iconografia de mulheres negras. A frase citada foi proferida em entrevista ao Lab ProComum em referência à sua performance </w:t>
      </w:r>
      <w:r>
        <w:rPr>
          <w:rFonts w:ascii="Times New Roman" w:eastAsia="Times New Roman" w:hAnsi="Times New Roman" w:cs="Times New Roman"/>
          <w:i/>
          <w:iCs/>
          <w:sz w:val="20"/>
          <w:szCs w:val="20"/>
        </w:rPr>
        <w:t xml:space="preserve">Can you see it?#deixaapiriguetefalar. </w:t>
      </w:r>
      <w:r>
        <w:rPr>
          <w:rFonts w:ascii="Times New Roman" w:eastAsia="Times New Roman" w:hAnsi="Times New Roman" w:cs="Times New Roman"/>
          <w:sz w:val="20"/>
          <w:szCs w:val="20"/>
        </w:rPr>
        <w:t xml:space="preserve">Disponível em: </w:t>
      </w:r>
      <w:hyperlink r:id="rId1">
        <w:r w:rsidR="00332C33">
          <w:rPr>
            <w:rFonts w:ascii="Times New Roman" w:eastAsia="Times New Roman" w:hAnsi="Times New Roman" w:cs="Times New Roman"/>
            <w:color w:val="1155CC"/>
            <w:sz w:val="20"/>
            <w:szCs w:val="20"/>
            <w:u w:val="single"/>
          </w:rPr>
          <w:t>https://lab.procomum.org/2018/12/residenciaslabxs-deixa-a-piriguete-falar-o-corpo-negro-e-feminino-na-arte-de-val-souza-e-suas-multiplas-linguagens-por-cassia-sabino/</w:t>
        </w:r>
      </w:hyperlink>
      <w:r>
        <w:rPr>
          <w:rFonts w:ascii="Times New Roman" w:eastAsia="Times New Roman" w:hAnsi="Times New Roman" w:cs="Times New Roman"/>
          <w:sz w:val="20"/>
          <w:szCs w:val="20"/>
        </w:rPr>
        <w:t>. Acesso em: 31 out. 2025.</w:t>
      </w:r>
    </w:p>
  </w:footnote>
  <w:footnote w:id="2">
    <w:p w14:paraId="4EB0E4A6"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Imagens da performance </w:t>
      </w:r>
      <w:r>
        <w:rPr>
          <w:rFonts w:ascii="Times New Roman" w:eastAsia="Times New Roman" w:hAnsi="Times New Roman" w:cs="Times New Roman"/>
          <w:i/>
          <w:iCs/>
          <w:sz w:val="20"/>
          <w:szCs w:val="20"/>
        </w:rPr>
        <w:t>Merci beaucoup,blanco!</w:t>
      </w:r>
      <w:r>
        <w:rPr>
          <w:rFonts w:ascii="Times New Roman" w:eastAsia="Times New Roman" w:hAnsi="Times New Roman" w:cs="Times New Roman"/>
          <w:sz w:val="20"/>
          <w:szCs w:val="20"/>
        </w:rPr>
        <w:t xml:space="preserve">, de Musa Michelle Mattiuzz, 2012, podem ser visualizadas em: </w:t>
      </w:r>
      <w:hyperlink r:id="rId2">
        <w:r w:rsidR="00332C33">
          <w:rPr>
            <w:rFonts w:ascii="Times New Roman" w:eastAsia="Times New Roman" w:hAnsi="Times New Roman" w:cs="Times New Roman"/>
            <w:color w:val="1155CC"/>
            <w:sz w:val="20"/>
            <w:szCs w:val="20"/>
            <w:u w:val="single"/>
          </w:rPr>
          <w:t>https://site.videobrasil.org.br/acervo/obras/obra/2206502</w:t>
        </w:r>
      </w:hyperlink>
      <w:r>
        <w:rPr>
          <w:rFonts w:ascii="Times New Roman" w:eastAsia="Times New Roman" w:hAnsi="Times New Roman" w:cs="Times New Roman"/>
          <w:sz w:val="20"/>
          <w:szCs w:val="20"/>
        </w:rPr>
        <w:t xml:space="preserve">. Acesso em: 20 fev. 2026.  </w:t>
      </w:r>
    </w:p>
  </w:footnote>
  <w:footnote w:id="3">
    <w:p w14:paraId="7340A3B8" w14:textId="77777777" w:rsidR="00332C33"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A performance </w:t>
      </w:r>
      <w:r>
        <w:rPr>
          <w:rFonts w:ascii="Times New Roman" w:eastAsia="Times New Roman" w:hAnsi="Times New Roman" w:cs="Times New Roman"/>
          <w:i/>
          <w:iCs/>
          <w:sz w:val="20"/>
          <w:szCs w:val="20"/>
        </w:rPr>
        <w:t>Bombril</w:t>
      </w:r>
      <w:r>
        <w:rPr>
          <w:rFonts w:ascii="Times New Roman" w:eastAsia="Times New Roman" w:hAnsi="Times New Roman" w:cs="Times New Roman"/>
          <w:sz w:val="20"/>
          <w:szCs w:val="20"/>
        </w:rPr>
        <w:t xml:space="preserve">, 2010, de Priscila Rezende, pode ser visualizada em: </w:t>
      </w:r>
      <w:hyperlink r:id="rId3">
        <w:r w:rsidR="00332C33">
          <w:rPr>
            <w:rFonts w:ascii="Times New Roman" w:eastAsia="Times New Roman" w:hAnsi="Times New Roman" w:cs="Times New Roman"/>
            <w:color w:val="1155CC"/>
            <w:sz w:val="20"/>
            <w:szCs w:val="20"/>
            <w:u w:val="single"/>
          </w:rPr>
          <w:t>http://priscilarezendeart.com/projects/bombril-2010/</w:t>
        </w:r>
      </w:hyperlink>
      <w:r>
        <w:rPr>
          <w:rFonts w:ascii="Times New Roman" w:eastAsia="Times New Roman" w:hAnsi="Times New Roman" w:cs="Times New Roman"/>
          <w:sz w:val="20"/>
          <w:szCs w:val="20"/>
        </w:rPr>
        <w:t xml:space="preserve">. Acesso em: 20 fev. 2026. </w:t>
      </w:r>
    </w:p>
  </w:footnote>
  <w:footnote w:id="4">
    <w:p w14:paraId="11D5CDDF"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Pequenos pacotes de tecido recheados com ervas e utilizados como amuleto em religiões de matriz africana.</w:t>
      </w:r>
    </w:p>
  </w:footnote>
  <w:footnote w:id="5">
    <w:p w14:paraId="52479996" w14:textId="77777777" w:rsidR="00332C33" w:rsidRDefault="00000000">
      <w:pPr>
        <w:spacing w:line="240" w:lineRule="auto"/>
        <w:rPr>
          <w:rFonts w:ascii="Times New Roman" w:eastAsia="Times New Roman" w:hAnsi="Times New Roman" w:cs="Times New Roman"/>
          <w:color w:val="222222"/>
          <w:sz w:val="20"/>
          <w:szCs w:val="20"/>
          <w:highlight w:val="white"/>
        </w:rPr>
      </w:pPr>
      <w:r>
        <w:rPr>
          <w:vertAlign w:val="superscript"/>
        </w:rPr>
        <w:footnoteRef/>
      </w:r>
      <w:r>
        <w:rPr>
          <w:sz w:val="20"/>
          <w:szCs w:val="20"/>
        </w:rPr>
        <w:t xml:space="preserve"> </w:t>
      </w:r>
      <w:r>
        <w:rPr>
          <w:rFonts w:ascii="Times New Roman" w:eastAsia="Times New Roman" w:hAnsi="Times New Roman" w:cs="Times New Roman"/>
          <w:i/>
          <w:iCs/>
          <w:color w:val="222222"/>
          <w:sz w:val="20"/>
          <w:szCs w:val="20"/>
          <w:highlight w:val="white"/>
        </w:rPr>
        <w:t>Ama de Leite número I</w:t>
      </w:r>
      <w:r>
        <w:rPr>
          <w:rFonts w:ascii="Times New Roman" w:eastAsia="Times New Roman" w:hAnsi="Times New Roman" w:cs="Times New Roman"/>
          <w:color w:val="222222"/>
          <w:sz w:val="20"/>
          <w:szCs w:val="20"/>
          <w:highlight w:val="white"/>
        </w:rPr>
        <w:t xml:space="preserve"> pode ser visualizada em: </w:t>
      </w:r>
      <w:hyperlink r:id="rId4">
        <w:r w:rsidR="00332C33">
          <w:rPr>
            <w:rFonts w:ascii="Times New Roman" w:eastAsia="Times New Roman" w:hAnsi="Times New Roman" w:cs="Times New Roman"/>
            <w:color w:val="1155CC"/>
            <w:sz w:val="20"/>
            <w:szCs w:val="20"/>
            <w:highlight w:val="white"/>
            <w:u w:val="single"/>
          </w:rPr>
          <w:t>https://rosanapaulino.blogspot.com/2012/05/faltavam-estas.html</w:t>
        </w:r>
      </w:hyperlink>
      <w:r>
        <w:rPr>
          <w:rFonts w:ascii="Times New Roman" w:eastAsia="Times New Roman" w:hAnsi="Times New Roman" w:cs="Times New Roman"/>
          <w:color w:val="222222"/>
          <w:sz w:val="20"/>
          <w:szCs w:val="20"/>
          <w:highlight w:val="white"/>
        </w:rPr>
        <w:t xml:space="preserve">. Acesso em: 20 fev. 2026. </w:t>
      </w:r>
    </w:p>
    <w:p w14:paraId="1FDBE477" w14:textId="77777777" w:rsidR="00332C33" w:rsidRDefault="00332C33">
      <w:pPr>
        <w:spacing w:line="240" w:lineRule="auto"/>
        <w:rPr>
          <w:sz w:val="20"/>
          <w:szCs w:val="20"/>
        </w:rPr>
      </w:pPr>
    </w:p>
  </w:footnote>
  <w:footnote w:id="6">
    <w:p w14:paraId="51D85BF5"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O termo interseccionalidade foi cunhado pela feminista afro-americana Kimberlé Crenshaw. No entanto, feministas negras brasileiras, como Lélia Gonzalez, já compartilhavam esta perspectiva desde os anos de 1970, antes mesmo da introdução do termo. A este respeito, ver: Akotirene (2018).</w:t>
      </w:r>
    </w:p>
  </w:footnote>
  <w:footnote w:id="7">
    <w:p w14:paraId="744C9EB7"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Ideia equivocada uma vez que as chamadas pautas identitárias nunca foram centrais nas campanhas eleitorais e a sua ausência não tem garantido a vitória das esquerdas. Ou seja, não são estas pautas as responsáveis pelo fracasso atual das esquerdas na história política do país, mas sim um conjunto amplo e complexo de fenômenos recentes cuja análise ultrapassa os limites deste artigo.</w:t>
      </w:r>
    </w:p>
  </w:footnote>
  <w:footnote w:id="8">
    <w:p w14:paraId="3A71D515"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Ver site:  </w:t>
      </w:r>
      <w:hyperlink r:id="rId5">
        <w:r w:rsidR="00332C33">
          <w:rPr>
            <w:rFonts w:ascii="Times New Roman" w:eastAsia="Times New Roman" w:hAnsi="Times New Roman" w:cs="Times New Roman"/>
            <w:sz w:val="20"/>
            <w:szCs w:val="20"/>
          </w:rPr>
          <w:t>https://www.meuvotoserafeminista.com.br/</w:t>
        </w:r>
      </w:hyperlink>
      <w:r>
        <w:rPr>
          <w:rFonts w:ascii="Times New Roman" w:eastAsia="Times New Roman" w:hAnsi="Times New Roman" w:cs="Times New Roman"/>
          <w:sz w:val="20"/>
          <w:szCs w:val="20"/>
        </w:rPr>
        <w:t xml:space="preserve">. Acesso em: 2 jan. 2026. </w:t>
      </w:r>
    </w:p>
  </w:footnote>
  <w:footnote w:id="9">
    <w:p w14:paraId="3C08512F"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Se definem como uma coletiva feminista suprapartidária e orientada à esquerda.</w:t>
      </w:r>
    </w:p>
  </w:footnote>
  <w:footnote w:id="10">
    <w:p w14:paraId="261F47A6"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Disponível em: </w:t>
      </w:r>
      <w:hyperlink r:id="rId6">
        <w:r w:rsidR="00332C33">
          <w:rPr>
            <w:rFonts w:ascii="Times New Roman" w:eastAsia="Times New Roman" w:hAnsi="Times New Roman" w:cs="Times New Roman"/>
            <w:sz w:val="20"/>
            <w:szCs w:val="20"/>
          </w:rPr>
          <w:t>https://www.meuvotoserafeminista.com.br/</w:t>
        </w:r>
      </w:hyperlink>
      <w:r>
        <w:rPr>
          <w:rFonts w:ascii="Times New Roman" w:eastAsia="Times New Roman" w:hAnsi="Times New Roman" w:cs="Times New Roman"/>
          <w:sz w:val="20"/>
          <w:szCs w:val="20"/>
        </w:rPr>
        <w:t>. Acesso em: 15 dez. 2019.</w:t>
      </w:r>
    </w:p>
    <w:bookmarkStart w:id="0" w:name="_h3grpi9xyw5p" w:colFirst="0" w:colLast="0"/>
    <w:bookmarkEnd w:id="0"/>
  </w:footnote>
  <w:footnote w:id="11">
    <w:p w14:paraId="190C8166" w14:textId="77777777" w:rsidR="00332C33" w:rsidRDefault="00000000">
      <w:pPr>
        <w:spacing w:line="240" w:lineRule="auto"/>
        <w:jc w:val="both"/>
        <w:rPr>
          <w:rFonts w:ascii="Times New Roman" w:eastAsia="Times New Roman" w:hAnsi="Times New Roman" w:cs="Times New Roman"/>
          <w:sz w:val="20"/>
          <w:szCs w:val="20"/>
        </w:rPr>
      </w:pPr>
      <w:bookmarkStart w:id="1" w:name="_h3grpi9xyw5p" w:colFirst="0" w:colLast="0"/>
      <w:bookmarkEnd w:id="1"/>
      <w:r>
        <w:rPr>
          <w:vertAlign w:val="superscript"/>
        </w:rPr>
        <w:footnoteRef/>
      </w:r>
      <w:r>
        <w:rPr>
          <w:rFonts w:ascii="Times New Roman" w:eastAsia="Times New Roman" w:hAnsi="Times New Roman" w:cs="Times New Roman"/>
          <w:sz w:val="20"/>
          <w:szCs w:val="20"/>
        </w:rPr>
        <w:t xml:space="preserve"> Sobre os partidos burlarem as regras e as mulheres terem menos financiamentos em suas campanhas, ver matéria da Folha de S. Paulo sobre o assunto, referente às eleições de 2018, em: </w:t>
      </w:r>
      <w:hyperlink r:id="rId7">
        <w:r w:rsidR="00332C33">
          <w:rPr>
            <w:rFonts w:ascii="Times New Roman" w:eastAsia="Times New Roman" w:hAnsi="Times New Roman" w:cs="Times New Roman"/>
            <w:color w:val="0000FF"/>
            <w:sz w:val="20"/>
            <w:szCs w:val="20"/>
            <w:u w:val="single"/>
          </w:rPr>
          <w:t>https://www1.folha.uol.com.br/poder/2019/07/candidatas-recebem-mais-verba-eleitoral-apos-cota-mas-partidos-descumprem-regras.shtml</w:t>
        </w:r>
      </w:hyperlink>
      <w:r>
        <w:rPr>
          <w:rFonts w:ascii="Times New Roman" w:eastAsia="Times New Roman" w:hAnsi="Times New Roman" w:cs="Times New Roman"/>
          <w:sz w:val="20"/>
          <w:szCs w:val="20"/>
        </w:rPr>
        <w:t xml:space="preserve">. Acesso em: 5 jan. 2026. </w:t>
      </w:r>
    </w:p>
  </w:footnote>
  <w:footnote w:id="12">
    <w:p w14:paraId="0FCCF495" w14:textId="77777777" w:rsidR="00332C33" w:rsidRDefault="00000000">
      <w:pPr>
        <w:spacing w:line="240" w:lineRule="auto"/>
        <w:jc w:val="both"/>
        <w:rPr>
          <w:sz w:val="20"/>
          <w:szCs w:val="20"/>
        </w:rPr>
      </w:pPr>
      <w:r>
        <w:rPr>
          <w:vertAlign w:val="superscript"/>
        </w:rPr>
        <w:footnoteRef/>
      </w:r>
      <w:r>
        <w:rPr>
          <w:rFonts w:ascii="Times New Roman" w:eastAsia="Times New Roman" w:hAnsi="Times New Roman" w:cs="Times New Roman"/>
          <w:sz w:val="20"/>
          <w:szCs w:val="20"/>
        </w:rPr>
        <w:t xml:space="preserve"> O conto foi publicado originalmente no livro </w:t>
      </w:r>
      <w:r>
        <w:rPr>
          <w:rFonts w:ascii="Times New Roman" w:eastAsia="Times New Roman" w:hAnsi="Times New Roman" w:cs="Times New Roman"/>
          <w:i/>
          <w:iCs/>
          <w:sz w:val="20"/>
          <w:szCs w:val="20"/>
        </w:rPr>
        <w:t>The Wind's Twelve Quarters</w:t>
      </w:r>
      <w:r>
        <w:rPr>
          <w:rFonts w:ascii="Times New Roman" w:eastAsia="Times New Roman" w:hAnsi="Times New Roman" w:cs="Times New Roman"/>
          <w:sz w:val="20"/>
          <w:szCs w:val="20"/>
        </w:rPr>
        <w:t xml:space="preserve"> e, depois, traduzido por Heci Regina Candiani e disponibilizado no Projeto Cápsula pela editora Morro Branco, que posteriormente deixou de existir.</w:t>
      </w:r>
      <w:r>
        <w:rPr>
          <w:sz w:val="20"/>
          <w:szCs w:val="20"/>
        </w:rPr>
        <w:t xml:space="preserve"> </w:t>
      </w:r>
    </w:p>
  </w:footnote>
  <w:footnote w:id="13">
    <w:p w14:paraId="44CFB964"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Existem muitos exemplos desse tipo de conteúdo on-line, como: “Estamos vivendo o fim dos tempos? - Rodrigo Silva | cortes do inteligência ltda”. Disponível em: </w:t>
      </w:r>
      <w:hyperlink r:id="rId8">
        <w:r w:rsidR="00332C33">
          <w:rPr>
            <w:rFonts w:ascii="Times New Roman" w:eastAsia="Times New Roman" w:hAnsi="Times New Roman" w:cs="Times New Roman"/>
            <w:color w:val="1155CC"/>
            <w:sz w:val="20"/>
            <w:szCs w:val="20"/>
            <w:u w:val="single"/>
          </w:rPr>
          <w:t>https://www.youtube.com/watch?v=F61QoECAgls&amp;t=120s</w:t>
        </w:r>
      </w:hyperlink>
      <w:r>
        <w:rPr>
          <w:rFonts w:ascii="Times New Roman" w:eastAsia="Times New Roman" w:hAnsi="Times New Roman" w:cs="Times New Roman"/>
          <w:sz w:val="20"/>
          <w:szCs w:val="20"/>
        </w:rPr>
        <w:t xml:space="preserve">. Acesso em: 10 dez. 2025. </w:t>
      </w:r>
    </w:p>
  </w:footnote>
  <w:footnote w:id="14">
    <w:p w14:paraId="7008132F"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Faço uso aqui do conceito de Fernand Braudel. Sobre o tema cf. BRAUDEL, F. A longa duração. In: </w:t>
      </w:r>
      <w:r>
        <w:rPr>
          <w:rFonts w:ascii="Times New Roman" w:eastAsia="Times New Roman" w:hAnsi="Times New Roman" w:cs="Times New Roman"/>
          <w:i/>
          <w:iCs/>
          <w:sz w:val="20"/>
          <w:szCs w:val="20"/>
        </w:rPr>
        <w:t>Escritos sobre a História</w:t>
      </w:r>
      <w:r>
        <w:rPr>
          <w:rFonts w:ascii="Times New Roman" w:eastAsia="Times New Roman" w:hAnsi="Times New Roman" w:cs="Times New Roman"/>
          <w:sz w:val="20"/>
          <w:szCs w:val="20"/>
        </w:rPr>
        <w:t>. Lisboa: Perspectiva, 1992.</w:t>
      </w:r>
    </w:p>
  </w:footnote>
  <w:footnote w:id="15">
    <w:p w14:paraId="00D4D476"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Vídeo Why Trad Wife, de Estee Williams, disponível em: </w:t>
      </w:r>
      <w:hyperlink r:id="rId9">
        <w:r w:rsidR="00332C33">
          <w:rPr>
            <w:rFonts w:ascii="Times New Roman" w:eastAsia="Times New Roman" w:hAnsi="Times New Roman" w:cs="Times New Roman"/>
            <w:color w:val="1155CC"/>
            <w:sz w:val="20"/>
            <w:szCs w:val="20"/>
            <w:u w:val="single"/>
          </w:rPr>
          <w:t>https://www.youtube.com/watch?v=MzcIDfVVM5w</w:t>
        </w:r>
      </w:hyperlink>
      <w:r>
        <w:rPr>
          <w:rFonts w:ascii="Times New Roman" w:eastAsia="Times New Roman" w:hAnsi="Times New Roman" w:cs="Times New Roman"/>
          <w:sz w:val="20"/>
          <w:szCs w:val="20"/>
        </w:rPr>
        <w:t xml:space="preserve">. Acesso em: 10 dez. 2025. </w:t>
      </w:r>
    </w:p>
  </w:footnote>
  <w:footnote w:id="16">
    <w:p w14:paraId="7FE75302" w14:textId="77777777"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música foi interpretada por Gal Costa e compõe o disco </w:t>
      </w:r>
      <w:r>
        <w:rPr>
          <w:rFonts w:ascii="Times New Roman" w:eastAsia="Times New Roman" w:hAnsi="Times New Roman" w:cs="Times New Roman"/>
          <w:i/>
          <w:iCs/>
          <w:sz w:val="20"/>
          <w:szCs w:val="20"/>
        </w:rPr>
        <w:t>Tropicália ou Panis et Circencis</w:t>
      </w:r>
      <w:r>
        <w:rPr>
          <w:rFonts w:ascii="Times New Roman" w:eastAsia="Times New Roman" w:hAnsi="Times New Roman" w:cs="Times New Roman"/>
          <w:sz w:val="20"/>
          <w:szCs w:val="20"/>
        </w:rPr>
        <w:t>, lançado no dia 7 de agosto de 1968, na boate Dancing Avenida, no Rio de Janeiro. Nessa data também foi comemorado o aniversário de 26 anos de Caetano Veloso.</w:t>
      </w:r>
    </w:p>
  </w:footnote>
  <w:footnote w:id="17">
    <w:p w14:paraId="68687101" w14:textId="77777777"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Outros filmes que acompanham as lutas por justiça de mães que perderam seus filhos pela violência do Estado são </w:t>
      </w:r>
      <w:r>
        <w:rPr>
          <w:rFonts w:ascii="Times New Roman" w:eastAsia="Times New Roman" w:hAnsi="Times New Roman" w:cs="Times New Roman"/>
          <w:i/>
          <w:iCs/>
          <w:sz w:val="20"/>
          <w:szCs w:val="20"/>
        </w:rPr>
        <w:t>Luto como mãe</w:t>
      </w:r>
      <w:r>
        <w:rPr>
          <w:rFonts w:ascii="Times New Roman" w:eastAsia="Times New Roman" w:hAnsi="Times New Roman" w:cs="Times New Roman"/>
          <w:sz w:val="20"/>
          <w:szCs w:val="20"/>
        </w:rPr>
        <w:t xml:space="preserve"> (Luís Carlos Nascimento, 2009) e </w:t>
      </w:r>
      <w:r>
        <w:rPr>
          <w:rFonts w:ascii="Times New Roman" w:eastAsia="Times New Roman" w:hAnsi="Times New Roman" w:cs="Times New Roman"/>
          <w:i/>
          <w:iCs/>
          <w:sz w:val="20"/>
          <w:szCs w:val="20"/>
        </w:rPr>
        <w:t>Mães de Maio: Um grito por justiça</w:t>
      </w:r>
      <w:r>
        <w:rPr>
          <w:rFonts w:ascii="Times New Roman" w:eastAsia="Times New Roman" w:hAnsi="Times New Roman" w:cs="Times New Roman"/>
          <w:sz w:val="20"/>
          <w:szCs w:val="20"/>
        </w:rPr>
        <w:t xml:space="preserve"> (Daniela Sant’Anna, 2012).</w:t>
      </w:r>
    </w:p>
  </w:footnote>
  <w:footnote w:id="18">
    <w:p w14:paraId="09C433B8" w14:textId="77777777"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No filme de Susanna Lira são exibidas algumas cenas do documentário </w:t>
      </w:r>
      <w:r>
        <w:rPr>
          <w:rFonts w:ascii="Times New Roman" w:eastAsia="Times New Roman" w:hAnsi="Times New Roman" w:cs="Times New Roman"/>
          <w:i/>
          <w:iCs/>
          <w:sz w:val="20"/>
          <w:szCs w:val="20"/>
        </w:rPr>
        <w:t>Missão: justiça e paz</w:t>
      </w:r>
      <w:r>
        <w:rPr>
          <w:rFonts w:ascii="Times New Roman" w:eastAsia="Times New Roman" w:hAnsi="Times New Roman" w:cs="Times New Roman"/>
          <w:sz w:val="20"/>
          <w:szCs w:val="20"/>
        </w:rPr>
        <w:t xml:space="preserve">, da jornalista Ali Rocha. No filme de Lira  é mencionado que a sua data de lançamento foi o ano de 2008 e no canal do YouTube das Mães de Maio 2011. Ele acompanha as primeiras mobilizações políticas dessas mulheres que tiveram seus filhos mortos no maior massacre da História do país. </w:t>
      </w:r>
    </w:p>
  </w:footnote>
  <w:footnote w:id="19">
    <w:p w14:paraId="4700D317" w14:textId="78564916"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Essas informações sobre a produção da cineasta podem ser consultadas em: </w:t>
      </w:r>
      <w:hyperlink r:id="rId10">
        <w:r w:rsidR="00332C33">
          <w:rPr>
            <w:rFonts w:ascii="Times New Roman" w:eastAsia="Times New Roman" w:hAnsi="Times New Roman" w:cs="Times New Roman"/>
            <w:color w:val="467886"/>
            <w:sz w:val="20"/>
            <w:szCs w:val="20"/>
            <w:u w:val="single"/>
          </w:rPr>
          <w:t>https://www.blackwomendisrupt.com/panelist-por/iqsy3maquagsx8bb64iu9t1vcs6gd4</w:t>
        </w:r>
      </w:hyperlink>
      <w:r>
        <w:rPr>
          <w:rFonts w:ascii="Times New Roman" w:eastAsia="Times New Roman" w:hAnsi="Times New Roman" w:cs="Times New Roman"/>
          <w:sz w:val="20"/>
          <w:szCs w:val="20"/>
        </w:rPr>
        <w:t xml:space="preserve"> Acesso em</w:t>
      </w:r>
      <w:r w:rsidR="00A26A5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10 jul. 2025.</w:t>
      </w:r>
    </w:p>
  </w:footnote>
  <w:footnote w:id="20">
    <w:p w14:paraId="05AEEA82" w14:textId="77777777" w:rsidR="00332C33" w:rsidRDefault="00000000">
      <w:pPr>
        <w:spacing w:after="160" w:line="278"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gravação da palestra está disponível no canal do Youtube da Vertentes de Cinema: </w:t>
      </w:r>
      <w:hyperlink r:id="rId11">
        <w:r w:rsidR="00332C33">
          <w:rPr>
            <w:rFonts w:ascii="Times New Roman" w:eastAsia="Times New Roman" w:hAnsi="Times New Roman" w:cs="Times New Roman"/>
            <w:color w:val="467886"/>
            <w:sz w:val="20"/>
            <w:szCs w:val="20"/>
            <w:u w:val="single"/>
          </w:rPr>
          <w:t>https://www.youtube.com/watch?v=ot2qOkXfkiE</w:t>
        </w:r>
      </w:hyperlink>
      <w:r>
        <w:rPr>
          <w:rFonts w:ascii="Times New Roman" w:eastAsia="Times New Roman" w:hAnsi="Times New Roman" w:cs="Times New Roman"/>
          <w:sz w:val="20"/>
          <w:szCs w:val="20"/>
        </w:rPr>
        <w:t xml:space="preserve">  Acesso em: 06 jul. 2025</w:t>
      </w:r>
    </w:p>
  </w:footnote>
  <w:footnote w:id="21">
    <w:p w14:paraId="226725D7" w14:textId="77777777" w:rsidR="00332C33" w:rsidRDefault="00000000">
      <w:pPr>
        <w:spacing w:after="160" w:line="278" w:lineRule="auto"/>
        <w:ind w:hanging="2"/>
        <w:rPr>
          <w:rFonts w:ascii="Aptos" w:eastAsia="Aptos" w:hAnsi="Aptos" w:cs="Aptos"/>
          <w:sz w:val="20"/>
          <w:szCs w:val="20"/>
        </w:rPr>
      </w:pPr>
      <w:r>
        <w:rPr>
          <w:vertAlign w:val="superscript"/>
        </w:rPr>
        <w:footnoteRef/>
      </w:r>
      <w:r>
        <w:rPr>
          <w:rFonts w:ascii="Aptos" w:eastAsia="Aptos" w:hAnsi="Aptos" w:cs="Aptos"/>
          <w:sz w:val="20"/>
          <w:szCs w:val="20"/>
        </w:rPr>
        <w:t xml:space="preserve">  </w:t>
      </w:r>
      <w:r>
        <w:rPr>
          <w:rFonts w:ascii="Times New Roman" w:eastAsia="Times New Roman" w:hAnsi="Times New Roman" w:cs="Times New Roman"/>
          <w:sz w:val="20"/>
          <w:szCs w:val="20"/>
        </w:rPr>
        <w:t>Trecho da palestra mencionada realizada no evento organizado pelo Afro Carioca de Cinema.</w:t>
      </w:r>
    </w:p>
  </w:footnote>
  <w:footnote w:id="22">
    <w:p w14:paraId="6A236DD0" w14:textId="77777777" w:rsidR="00332C33" w:rsidRDefault="00000000">
      <w:pPr>
        <w:spacing w:after="160" w:line="278" w:lineRule="auto"/>
        <w:ind w:hanging="2"/>
        <w:rPr>
          <w:rFonts w:ascii="Aptos" w:eastAsia="Aptos" w:hAnsi="Aptos" w:cs="Aptos"/>
          <w:sz w:val="20"/>
          <w:szCs w:val="20"/>
        </w:rPr>
      </w:pPr>
      <w:r>
        <w:rPr>
          <w:vertAlign w:val="superscript"/>
        </w:rPr>
        <w:footnoteRef/>
      </w:r>
      <w:r>
        <w:rPr>
          <w:rFonts w:ascii="Times New Roman" w:eastAsia="Times New Roman" w:hAnsi="Times New Roman" w:cs="Times New Roman"/>
          <w:sz w:val="20"/>
          <w:szCs w:val="20"/>
        </w:rPr>
        <w:t xml:space="preserve"> Idem.</w:t>
      </w:r>
    </w:p>
  </w:footnote>
  <w:footnote w:id="23">
    <w:p w14:paraId="6C38B40E" w14:textId="77777777" w:rsidR="00332C33" w:rsidRDefault="00000000">
      <w:pPr>
        <w:spacing w:after="160" w:line="278" w:lineRule="auto"/>
        <w:ind w:hanging="2"/>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Idem.</w:t>
      </w:r>
    </w:p>
  </w:footnote>
  <w:footnote w:id="24">
    <w:p w14:paraId="566061B7" w14:textId="77777777" w:rsidR="00332C33" w:rsidRDefault="00000000">
      <w:pPr>
        <w:spacing w:after="160" w:line="278" w:lineRule="auto"/>
        <w:ind w:hanging="2"/>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Idem.</w:t>
      </w:r>
    </w:p>
  </w:footnote>
  <w:footnote w:id="25">
    <w:p w14:paraId="4B173615" w14:textId="77777777" w:rsidR="00332C33" w:rsidRDefault="00000000">
      <w:pPr>
        <w:spacing w:after="160" w:line="278" w:lineRule="auto"/>
        <w:rPr>
          <w:rFonts w:ascii="Aptos" w:eastAsia="Aptos" w:hAnsi="Aptos" w:cs="Aptos"/>
          <w:sz w:val="20"/>
          <w:szCs w:val="20"/>
        </w:rPr>
      </w:pPr>
      <w:r>
        <w:rPr>
          <w:vertAlign w:val="superscript"/>
        </w:rPr>
        <w:footnoteRef/>
      </w:r>
      <w:r>
        <w:rPr>
          <w:rFonts w:ascii="Aptos" w:eastAsia="Aptos" w:hAnsi="Aptos" w:cs="Aptos"/>
          <w:sz w:val="20"/>
          <w:szCs w:val="20"/>
        </w:rPr>
        <w:t xml:space="preserve"> </w:t>
      </w:r>
      <w:r>
        <w:rPr>
          <w:rFonts w:ascii="Times New Roman" w:eastAsia="Times New Roman" w:hAnsi="Times New Roman" w:cs="Times New Roman"/>
          <w:sz w:val="20"/>
          <w:szCs w:val="20"/>
        </w:rPr>
        <w:t>Publicada em livro pela Editora Elefante em 2024.</w:t>
      </w:r>
    </w:p>
  </w:footnote>
  <w:footnote w:id="26">
    <w:p w14:paraId="54829D51" w14:textId="77777777" w:rsidR="00332C33" w:rsidRDefault="00000000">
      <w:pPr>
        <w:spacing w:line="240" w:lineRule="auto"/>
        <w:jc w:val="both"/>
        <w:rPr>
          <w:sz w:val="20"/>
          <w:szCs w:val="20"/>
        </w:rPr>
      </w:pPr>
      <w:r>
        <w:rPr>
          <w:vertAlign w:val="superscript"/>
        </w:rPr>
        <w:footnoteRef/>
      </w:r>
      <w:r>
        <w:rPr>
          <w:rFonts w:ascii="Times New Roman" w:eastAsia="Times New Roman" w:hAnsi="Times New Roman" w:cs="Times New Roman"/>
          <w:sz w:val="20"/>
          <w:szCs w:val="20"/>
        </w:rPr>
        <w:t>Por se tratar de uma temática sensível e conter depoimentos descritivos acerca de violências sexuais e de gênero, o presente texto  pode consistir numa possibilidade de gatilho para determinadas pessoas.</w:t>
      </w:r>
    </w:p>
  </w:footnote>
  <w:footnote w:id="27">
    <w:p w14:paraId="31DA1687"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Para saber mais ver em: </w:t>
      </w:r>
      <w:r>
        <w:rPr>
          <w:rFonts w:ascii="Times New Roman" w:eastAsia="Times New Roman" w:hAnsi="Times New Roman" w:cs="Times New Roman"/>
          <w:sz w:val="20"/>
          <w:szCs w:val="20"/>
          <w:highlight w:val="white"/>
        </w:rPr>
        <w:t>Cavalcanti (2018); Colling (1997); Marques do Nascimento (2025); Pedro, Wolff (2010); Ridenti (1990).</w:t>
      </w:r>
    </w:p>
  </w:footnote>
  <w:footnote w:id="28">
    <w:p w14:paraId="169EF450" w14:textId="77777777" w:rsidR="00332C33" w:rsidRDefault="00000000">
      <w:pPr>
        <w:spacing w:line="240" w:lineRule="auto"/>
        <w:rPr>
          <w:sz w:val="20"/>
          <w:szCs w:val="20"/>
        </w:rPr>
      </w:pPr>
      <w:r>
        <w:rPr>
          <w:vertAlign w:val="superscript"/>
        </w:rPr>
        <w:footnoteRef/>
      </w:r>
      <w:r>
        <w:rPr>
          <w:rFonts w:ascii="Times New Roman" w:eastAsia="Times New Roman" w:hAnsi="Times New Roman" w:cs="Times New Roman"/>
          <w:sz w:val="20"/>
          <w:szCs w:val="20"/>
        </w:rPr>
        <w:t>Corpo doutrinário do regime ditatorial e que se consolidou enquanto modelo de diretrizes presente também em outras ditaduras latino-americanas. Ver mais em: Padrós (2008).</w:t>
      </w:r>
    </w:p>
  </w:footnote>
  <w:footnote w:id="29">
    <w:p w14:paraId="6B0F6E89"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A primeira delas foi a Comissão de Verdade da África do Sul (CVR), criada em 1995 por Nelson Mandela, então presidente do país. No continente latino-americano, a Comisión Nacional sobre la Desaparición de Personas (CONADEP), criada na Argentina, em 1983, pelo presidente Alfonsín foi a primeira comissão a ocupar uma centralidade salutar nos processos transicionais. Segundo Araujo, nesse período na América Latina, a luta se concentrava em torno do registro da memória e do combate ao esquecimento representados pelos relatórios Nunca Mais e nas palavras de ordem “lembrar para não esquecer, para não repetir (Araujo, 2012).</w:t>
      </w:r>
    </w:p>
  </w:footnote>
  <w:footnote w:id="30">
    <w:p w14:paraId="4A1076EE"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Andreas Huyssen propõe a ideia de memórias conflitantes como um contraponto à concepção de memória coletiva de Maurice Halbwachs, pois acredita que esta impede que consideremos as batalhas de memórias que ocorrem entre passados diferentes tanto na esfera transnacional quanto local (Huyssen, 2014. p. 182).</w:t>
      </w:r>
    </w:p>
  </w:footnote>
  <w:footnote w:id="31">
    <w:p w14:paraId="74AF575C"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O Estado brasileiro tem se referenciado, desde a transição democrática, em diversos tratados internacionais elaborados por organismos ligados ao Direito Internacional dos Direitos Humanos como, por exemplo, o Pacto Internacional sobre Direitos Civis e Políticos, o Pacto Internacional sobre Direitos Econômicos, Sociais e Culturais e a Convenção Americana sobre Direitos Humanos. Esse campo tem ocupado um papel importante no combate às violações direcionadas aos direitos humanos no Brasil, na valorização da memória, justiça e verdade no país e no impulsionamento de políticas voltadas para a proteção de direitos fundamentais (Comissão Nacional da Verdade. Relatório Final, 2014).</w:t>
      </w:r>
    </w:p>
  </w:footnote>
  <w:footnote w:id="32">
    <w:p w14:paraId="05B74888"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Esse último crime é abordado enquanto um elemento constitutivo do desaparecimento forçado, e somente tido como um delito isolado quando não foi possível comprovar a responsabilidade do Estado pela morte.</w:t>
      </w:r>
    </w:p>
  </w:footnote>
  <w:footnote w:id="33">
    <w:p w14:paraId="6366304B"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Informações retiradas do site do Memorial da Resistência de São Paulo. Disponível em &lt;https://memorialdaresistenciasp.org.br/pessoas/rosemeire-nogueira/&gt;. Acesso em 02 de março de 2026. </w:t>
      </w:r>
    </w:p>
  </w:footnote>
  <w:footnote w:id="34">
    <w:p w14:paraId="62579180"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Informações retiradas do site do Memorial da Resistência de São Paulo. Disponível em: &lt;https://memorialdaresistenciasp.org.br/pessoas/maria-amelia-de-almeida-teles/&gt; Acesso em: 04 mar. 2026.</w:t>
      </w:r>
    </w:p>
  </w:footnote>
  <w:footnote w:id="35">
    <w:p w14:paraId="5475B6B0"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Gostaríamos de destacar aqui que nem toda experiência de dor é uma experiência traumática. As dores têm camadas e densidades plurais e constroem desdobramentos diferentes cujos caminhos não necessariamente desembocam no trauma. No entanto, neste trabalho focaremos nossas análises nas experiências de dor traumáticas (Vieira, 2017, p. 4).</w:t>
      </w:r>
    </w:p>
  </w:footnote>
  <w:footnote w:id="36">
    <w:p w14:paraId="0749EF86" w14:textId="77777777" w:rsidR="00FE0C0A" w:rsidRDefault="00FE0C0A" w:rsidP="00FE0C0A">
      <w:pPr>
        <w:widowControl w:val="0"/>
        <w:spacing w:before="102" w:line="240" w:lineRule="auto"/>
        <w:rPr>
          <w:rFonts w:ascii="Times New Roman" w:eastAsia="Times New Roman" w:hAnsi="Times New Roman" w:cs="Times New Roman"/>
          <w:sz w:val="20"/>
          <w:szCs w:val="20"/>
        </w:rPr>
      </w:pPr>
      <w:r>
        <w:rPr>
          <w:rStyle w:val="Refdenotaderodap"/>
        </w:rPr>
        <w:footnoteRef/>
      </w:r>
      <w:r>
        <w:t xml:space="preserve"> </w:t>
      </w:r>
      <w:r>
        <w:rPr>
          <w:rFonts w:ascii="Times New Roman" w:eastAsia="Times New Roman" w:hAnsi="Times New Roman" w:cs="Times New Roman"/>
          <w:sz w:val="20"/>
          <w:szCs w:val="20"/>
        </w:rPr>
        <w:t xml:space="preserve">Disponível em </w:t>
      </w:r>
      <w:hyperlink r:id="rId12">
        <w:r>
          <w:rPr>
            <w:rFonts w:ascii="Times New Roman" w:eastAsia="Times New Roman" w:hAnsi="Times New Roman" w:cs="Times New Roman"/>
            <w:color w:val="0462C1"/>
            <w:sz w:val="20"/>
            <w:szCs w:val="20"/>
            <w:u w:val="single"/>
          </w:rPr>
          <w:t>https://www.youtube.com/watch?v=8A4xeA3sooE</w:t>
        </w:r>
      </w:hyperlink>
      <w:r>
        <w:rPr>
          <w:rFonts w:ascii="Times New Roman" w:eastAsia="Times New Roman" w:hAnsi="Times New Roman" w:cs="Times New Roman"/>
          <w:color w:val="0462C1"/>
          <w:sz w:val="20"/>
          <w:szCs w:val="20"/>
        </w:rPr>
        <w:t xml:space="preserve"> </w:t>
      </w:r>
      <w:r>
        <w:rPr>
          <w:rFonts w:ascii="Times New Roman" w:eastAsia="Times New Roman" w:hAnsi="Times New Roman" w:cs="Times New Roman"/>
          <w:sz w:val="20"/>
          <w:szCs w:val="20"/>
        </w:rPr>
        <w:t xml:space="preserve">Acesso em:  10 nov. 2025. </w:t>
      </w:r>
    </w:p>
    <w:p w14:paraId="04686233" w14:textId="3A76A74B" w:rsidR="00FE0C0A" w:rsidRDefault="00FE0C0A">
      <w:pPr>
        <w:pStyle w:val="Textodenotaderodap"/>
      </w:pPr>
    </w:p>
  </w:footnote>
  <w:footnote w:id="37">
    <w:p w14:paraId="07D3304F" w14:textId="59BF5D8C" w:rsidR="00FE0C0A" w:rsidRDefault="00FE0C0A">
      <w:pPr>
        <w:pStyle w:val="Textodenotaderodap"/>
      </w:pPr>
      <w:r>
        <w:rPr>
          <w:rStyle w:val="Refdenotaderodap"/>
        </w:rPr>
        <w:footnoteRef/>
      </w:r>
      <w:r>
        <w:t xml:space="preserve"> </w:t>
      </w:r>
      <w:r>
        <w:rPr>
          <w:rFonts w:ascii="Times New Roman" w:eastAsia="Times New Roman" w:hAnsi="Times New Roman" w:cs="Times New Roman"/>
        </w:rPr>
        <w:t xml:space="preserve">Disponível em </w:t>
      </w:r>
      <w:hyperlink r:id="rId13">
        <w:r>
          <w:rPr>
            <w:rFonts w:ascii="Times New Roman" w:eastAsia="Times New Roman" w:hAnsi="Times New Roman" w:cs="Times New Roman"/>
            <w:color w:val="0462C1"/>
            <w:u w:val="single"/>
          </w:rPr>
          <w:t>https://www.youtube.com/watch?v=4mdoKLepj10&amp;t=3s</w:t>
        </w:r>
      </w:hyperlink>
      <w:r>
        <w:rPr>
          <w:rFonts w:ascii="Times New Roman" w:eastAsia="Times New Roman" w:hAnsi="Times New Roman" w:cs="Times New Roman"/>
          <w:color w:val="0462C1"/>
        </w:rPr>
        <w:t xml:space="preserve"> </w:t>
      </w:r>
      <w:r>
        <w:rPr>
          <w:rFonts w:ascii="Times New Roman" w:eastAsia="Times New Roman" w:hAnsi="Times New Roman" w:cs="Times New Roman"/>
        </w:rPr>
        <w:t>Acesso em: 10 nov. 2025.</w:t>
      </w:r>
    </w:p>
  </w:footnote>
  <w:footnote w:id="38">
    <w:p w14:paraId="26F360E5" w14:textId="4AF41597" w:rsidR="004826BF" w:rsidRPr="004826BF" w:rsidRDefault="004826BF" w:rsidP="004826BF">
      <w:pPr>
        <w:widowControl w:val="0"/>
        <w:spacing w:before="103" w:line="240" w:lineRule="auto"/>
        <w:ind w:right="135"/>
        <w:jc w:val="both"/>
        <w:rPr>
          <w:rFonts w:ascii="Times New Roman" w:eastAsia="Times New Roman" w:hAnsi="Times New Roman" w:cs="Times New Roman"/>
          <w:sz w:val="20"/>
          <w:szCs w:val="20"/>
        </w:rPr>
      </w:pPr>
      <w:r>
        <w:rPr>
          <w:rStyle w:val="Refdenotaderodap"/>
        </w:rPr>
        <w:footnoteRef/>
      </w:r>
      <w:r>
        <w:t xml:space="preserve"> </w:t>
      </w:r>
      <w:r>
        <w:rPr>
          <w:rFonts w:ascii="Times New Roman" w:eastAsia="Times New Roman" w:hAnsi="Times New Roman" w:cs="Times New Roman"/>
          <w:sz w:val="20"/>
          <w:szCs w:val="20"/>
        </w:rPr>
        <w:t>Não citaremos o nome do bisneto de Bertolino Larson , por se tratar de uma conversa informal que tivemos com ele via whatsapp. Citamos a sua fala apenas para demonstrar o relato da pesquisadora ao tentar marcar uma entrevista com a filha “sobrevivente” de Bertolino.</w:t>
      </w:r>
    </w:p>
  </w:footnote>
  <w:footnote w:id="39">
    <w:p w14:paraId="238E94DD" w14:textId="2AB173D0" w:rsidR="004826BF" w:rsidRDefault="004826BF">
      <w:pPr>
        <w:pStyle w:val="Textodenotaderodap"/>
      </w:pPr>
      <w:r>
        <w:rPr>
          <w:rStyle w:val="Refdenotaderodap"/>
        </w:rPr>
        <w:footnoteRef/>
      </w:r>
      <w:r>
        <w:t xml:space="preserve"> </w:t>
      </w:r>
      <w:r>
        <w:rPr>
          <w:rFonts w:ascii="Times New Roman" w:eastAsia="Times New Roman" w:hAnsi="Times New Roman" w:cs="Times New Roman"/>
        </w:rPr>
        <w:t xml:space="preserve">Matéria de 17/08/2014 . Disponível em: </w:t>
      </w:r>
      <w:hyperlink r:id="rId14">
        <w:r>
          <w:rPr>
            <w:rFonts w:ascii="Times New Roman" w:eastAsia="Times New Roman" w:hAnsi="Times New Roman" w:cs="Times New Roman"/>
            <w:color w:val="0462C1"/>
            <w:u w:val="single"/>
          </w:rPr>
          <w:t>https://www.campograndenews.com.br/campo-grande-115-</w:t>
        </w:r>
      </w:hyperlink>
      <w:r>
        <w:rPr>
          <w:rFonts w:ascii="Times New Roman" w:eastAsia="Times New Roman" w:hAnsi="Times New Roman" w:cs="Times New Roman"/>
          <w:color w:val="0462C1"/>
        </w:rPr>
        <w:t xml:space="preserve"> </w:t>
      </w:r>
      <w:hyperlink r:id="rId15">
        <w:r>
          <w:rPr>
            <w:rFonts w:ascii="Times New Roman" w:eastAsia="Times New Roman" w:hAnsi="Times New Roman" w:cs="Times New Roman"/>
            <w:color w:val="0462C1"/>
            <w:u w:val="single"/>
          </w:rPr>
          <w:t>anos/bruxa-da-sapolandia-a-historia-que-de-tanto-assombro-virou-lenda-urbana</w:t>
        </w:r>
      </w:hyperlink>
      <w:r>
        <w:rPr>
          <w:rFonts w:ascii="Times New Roman" w:eastAsia="Times New Roman" w:hAnsi="Times New Roman" w:cs="Times New Roman"/>
          <w:color w:val="0462C1"/>
        </w:rPr>
        <w:t xml:space="preserve"> </w:t>
      </w:r>
      <w:r>
        <w:rPr>
          <w:rFonts w:ascii="Times New Roman" w:eastAsia="Times New Roman" w:hAnsi="Times New Roman" w:cs="Times New Roman"/>
        </w:rPr>
        <w:t>Acesso em: 12 nov. 2025.</w:t>
      </w:r>
    </w:p>
  </w:footnote>
  <w:footnote w:id="40">
    <w:p w14:paraId="42EE59F3"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Cambria" w:eastAsia="Cambria" w:hAnsi="Cambria" w:cs="Cambria"/>
          <w:sz w:val="20"/>
          <w:szCs w:val="20"/>
        </w:rPr>
        <w:t xml:space="preserve"> </w:t>
      </w:r>
      <w:r>
        <w:rPr>
          <w:rFonts w:ascii="Times New Roman" w:eastAsia="Times New Roman" w:hAnsi="Times New Roman" w:cs="Times New Roman"/>
          <w:sz w:val="20"/>
          <w:szCs w:val="20"/>
        </w:rPr>
        <w:t>Por teorias críticas do colonialismo, refiro-me aos aportes teóricos dos estudos pós-coloniais e decoloniais, que analisam os legados históricos, epistemológicos e culturais do colonialismo na construção das desigualdades contemporâneas, bem como as formas de resistência e produção de saberes desde os sujeitos subalternizados.</w:t>
      </w:r>
    </w:p>
  </w:footnote>
  <w:footnote w:id="41">
    <w:p w14:paraId="4CFD9B37"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Richard Schechner e Victor Turner são referências fundamentais no campo dos estudos da performance. Schechner, teórico, encenador e um dos fundadores da disciplina, consolidou o conceito de performance como prática expandida, articulando teatro, rituais e manifestações culturais. Entre suas obras principais estão </w:t>
      </w:r>
      <w:r>
        <w:rPr>
          <w:rFonts w:ascii="Times New Roman" w:eastAsia="Times New Roman" w:hAnsi="Times New Roman" w:cs="Times New Roman"/>
          <w:i/>
          <w:iCs/>
          <w:sz w:val="20"/>
          <w:szCs w:val="20"/>
        </w:rPr>
        <w:t>Performance Theory</w:t>
      </w:r>
      <w:r>
        <w:rPr>
          <w:rFonts w:ascii="Times New Roman" w:eastAsia="Times New Roman" w:hAnsi="Times New Roman" w:cs="Times New Roman"/>
          <w:sz w:val="20"/>
          <w:szCs w:val="20"/>
        </w:rPr>
        <w:t xml:space="preserve"> (1988) e </w:t>
      </w:r>
      <w:r>
        <w:rPr>
          <w:rFonts w:ascii="Times New Roman" w:eastAsia="Times New Roman" w:hAnsi="Times New Roman" w:cs="Times New Roman"/>
          <w:i/>
          <w:iCs/>
          <w:sz w:val="20"/>
          <w:szCs w:val="20"/>
        </w:rPr>
        <w:t xml:space="preserve">Between theater and Anthropology </w:t>
      </w:r>
      <w:r>
        <w:rPr>
          <w:rFonts w:ascii="Times New Roman" w:eastAsia="Times New Roman" w:hAnsi="Times New Roman" w:cs="Times New Roman"/>
          <w:sz w:val="20"/>
          <w:szCs w:val="20"/>
        </w:rPr>
        <w:t xml:space="preserve">(1985). Victor Turner, antropólogo, aprofundou a análise dos rituais, da liminaridade e dos processos simbólicos, evidenciando os aspectos performáticos das práticas sociais. Suas obras centrais incluem </w:t>
      </w:r>
      <w:r>
        <w:rPr>
          <w:rFonts w:ascii="Times New Roman" w:eastAsia="Times New Roman" w:hAnsi="Times New Roman" w:cs="Times New Roman"/>
          <w:i/>
          <w:iCs/>
          <w:sz w:val="20"/>
          <w:szCs w:val="20"/>
        </w:rPr>
        <w:t>The ritual process: structure and anti-structure</w:t>
      </w:r>
      <w:r>
        <w:rPr>
          <w:rFonts w:ascii="Times New Roman" w:eastAsia="Times New Roman" w:hAnsi="Times New Roman" w:cs="Times New Roman"/>
          <w:sz w:val="20"/>
          <w:szCs w:val="20"/>
        </w:rPr>
        <w:t xml:space="preserve"> (1969) e </w:t>
      </w:r>
      <w:r>
        <w:rPr>
          <w:rFonts w:ascii="Times New Roman" w:eastAsia="Times New Roman" w:hAnsi="Times New Roman" w:cs="Times New Roman"/>
          <w:i/>
          <w:iCs/>
          <w:sz w:val="20"/>
          <w:szCs w:val="20"/>
        </w:rPr>
        <w:t>The Anthropology of performance (1987).</w:t>
      </w:r>
    </w:p>
  </w:footnote>
  <w:footnote w:id="42">
    <w:p w14:paraId="383861F3"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Disponível em: </w:t>
      </w:r>
      <w:hyperlink r:id="rId16">
        <w:r w:rsidR="00332C33">
          <w:rPr>
            <w:rFonts w:ascii="Times New Roman" w:eastAsia="Times New Roman" w:hAnsi="Times New Roman" w:cs="Times New Roman"/>
            <w:color w:val="1155CC"/>
            <w:sz w:val="20"/>
            <w:szCs w:val="20"/>
            <w:u w:val="single"/>
          </w:rPr>
          <w:t>https://www.gov.br/ancine/pt-br/arquivos/informe-diversidade-2016.pdf</w:t>
        </w:r>
      </w:hyperlink>
      <w:r>
        <w:rPr>
          <w:rFonts w:ascii="Times New Roman" w:eastAsia="Times New Roman" w:hAnsi="Times New Roman" w:cs="Times New Roman"/>
          <w:sz w:val="20"/>
          <w:szCs w:val="20"/>
        </w:rPr>
        <w:t xml:space="preserve"> . Acesso em: 09 fev. 2025.</w:t>
      </w:r>
    </w:p>
  </w:footnote>
  <w:footnote w:id="43">
    <w:p w14:paraId="6612805D"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Spcine é a empresa de cinema e audiovisual de São Paulo, iniciativa da Prefeitura de São Paulo com foco no desenvolvimento dos setores de cinema, TV, games e novas mídias”. Texto retirado do site: </w:t>
      </w:r>
      <w:hyperlink r:id="rId17">
        <w:r w:rsidR="00332C33">
          <w:rPr>
            <w:rFonts w:ascii="Times New Roman" w:eastAsia="Times New Roman" w:hAnsi="Times New Roman" w:cs="Times New Roman"/>
            <w:color w:val="1155CC"/>
            <w:sz w:val="20"/>
            <w:szCs w:val="20"/>
            <w:u w:val="single"/>
          </w:rPr>
          <w:t>https://spcine.com.br/</w:t>
        </w:r>
      </w:hyperlink>
      <w:r>
        <w:rPr>
          <w:rFonts w:ascii="Times New Roman" w:eastAsia="Times New Roman" w:hAnsi="Times New Roman" w:cs="Times New Roman"/>
          <w:sz w:val="20"/>
          <w:szCs w:val="20"/>
        </w:rPr>
        <w:t>. Acesso em 10/02/2025.</w:t>
      </w:r>
    </w:p>
  </w:footnote>
  <w:footnote w:id="44">
    <w:p w14:paraId="6ED36EDC"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Disponível em: </w:t>
      </w:r>
      <w:hyperlink r:id="rId18">
        <w:r w:rsidR="00332C33">
          <w:rPr>
            <w:rFonts w:ascii="Times New Roman" w:eastAsia="Times New Roman" w:hAnsi="Times New Roman" w:cs="Times New Roman"/>
            <w:color w:val="1155CC"/>
            <w:sz w:val="20"/>
            <w:szCs w:val="20"/>
            <w:u w:val="single"/>
          </w:rPr>
          <w:t>https://alix.fba.up.pt/em-defesa-das-imagens-pobres</w:t>
        </w:r>
      </w:hyperlink>
      <w:r>
        <w:rPr>
          <w:rFonts w:ascii="Times New Roman" w:eastAsia="Times New Roman" w:hAnsi="Times New Roman" w:cs="Times New Roman"/>
          <w:sz w:val="20"/>
          <w:szCs w:val="20"/>
        </w:rPr>
        <w:t>. Acesso em:  27 dez. 2025.</w:t>
      </w:r>
    </w:p>
  </w:footnote>
  <w:footnote w:id="45">
    <w:p w14:paraId="4050F086"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 em:  </w:t>
      </w:r>
      <w:hyperlink r:id="rId19">
        <w:r w:rsidR="00332C33">
          <w:rPr>
            <w:rFonts w:ascii="Times New Roman" w:eastAsia="Times New Roman" w:hAnsi="Times New Roman" w:cs="Times New Roman"/>
            <w:color w:val="1155CC"/>
            <w:sz w:val="20"/>
            <w:szCs w:val="20"/>
            <w:u w:val="single"/>
          </w:rPr>
          <w:t>https://www.usp.br/cinusp/</w:t>
        </w:r>
      </w:hyperlink>
      <w:r>
        <w:rPr>
          <w:rFonts w:ascii="Times New Roman" w:eastAsia="Times New Roman" w:hAnsi="Times New Roman" w:cs="Times New Roman"/>
          <w:sz w:val="20"/>
          <w:szCs w:val="20"/>
        </w:rPr>
        <w:t xml:space="preserve">. Acesso em:  23 mar. 2025. </w:t>
      </w:r>
    </w:p>
  </w:footnote>
  <w:footnote w:id="46">
    <w:p w14:paraId="7C280F3B" w14:textId="77777777" w:rsidR="00332C33" w:rsidRDefault="00000000">
      <w:pPr>
        <w:spacing w:line="240" w:lineRule="auto"/>
        <w:jc w:val="both"/>
        <w:rPr>
          <w:rFonts w:ascii="Cambria" w:eastAsia="Cambria" w:hAnsi="Cambria" w:cs="Cambria"/>
          <w:sz w:val="20"/>
          <w:szCs w:val="20"/>
        </w:rPr>
      </w:pPr>
      <w:r>
        <w:rPr>
          <w:vertAlign w:val="superscript"/>
        </w:rPr>
        <w:footnoteRef/>
      </w:r>
      <w:r>
        <w:rPr>
          <w:rFonts w:ascii="Times New Roman" w:eastAsia="Times New Roman" w:hAnsi="Times New Roman" w:cs="Times New Roman"/>
          <w:sz w:val="20"/>
          <w:szCs w:val="20"/>
        </w:rPr>
        <w:t xml:space="preserve"> Conferir: </w:t>
      </w:r>
      <w:hyperlink r:id="rId20">
        <w:r w:rsidR="00332C33">
          <w:rPr>
            <w:rFonts w:ascii="Times New Roman" w:eastAsia="Times New Roman" w:hAnsi="Times New Roman" w:cs="Times New Roman"/>
            <w:color w:val="1155CC"/>
            <w:sz w:val="20"/>
            <w:szCs w:val="20"/>
            <w:u w:val="single"/>
          </w:rPr>
          <w:t>https://capital.sp.gov.br/web/comunicacao/w/noticias/139273</w:t>
        </w:r>
      </w:hyperlink>
      <w:r>
        <w:rPr>
          <w:rFonts w:ascii="Times New Roman" w:eastAsia="Times New Roman" w:hAnsi="Times New Roman" w:cs="Times New Roman"/>
          <w:sz w:val="20"/>
          <w:szCs w:val="20"/>
        </w:rPr>
        <w:t>. Acesso em: 23 mar. 2025.</w:t>
      </w:r>
    </w:p>
    <w:p w14:paraId="27DD405F" w14:textId="77777777" w:rsidR="00332C33" w:rsidRDefault="00332C33">
      <w:pPr>
        <w:spacing w:line="240" w:lineRule="auto"/>
        <w:rPr>
          <w:rFonts w:ascii="Cambria" w:eastAsia="Cambria" w:hAnsi="Cambria" w:cs="Cambria"/>
          <w:sz w:val="20"/>
          <w:szCs w:val="20"/>
        </w:rPr>
      </w:pPr>
    </w:p>
  </w:footnote>
  <w:footnote w:id="47">
    <w:p w14:paraId="6DFB52C0" w14:textId="77777777" w:rsidR="00332C33" w:rsidRDefault="00000000">
      <w:pPr>
        <w:spacing w:line="240" w:lineRule="auto"/>
        <w:jc w:val="both"/>
        <w:rPr>
          <w:rFonts w:ascii="Times New Roman" w:eastAsia="Times New Roman" w:hAnsi="Times New Roman" w:cs="Times New Roman"/>
          <w:color w:val="212529"/>
          <w:sz w:val="20"/>
          <w:szCs w:val="20"/>
          <w:highlight w:val="white"/>
        </w:rPr>
      </w:pPr>
      <w:r>
        <w:rPr>
          <w:vertAlign w:val="superscript"/>
        </w:rPr>
        <w:footnoteRef/>
      </w:r>
      <w:r>
        <w:rPr>
          <w:rFonts w:ascii="Times New Roman" w:eastAsia="Times New Roman" w:hAnsi="Times New Roman" w:cs="Times New Roman"/>
          <w:sz w:val="20"/>
          <w:szCs w:val="20"/>
        </w:rPr>
        <w:t xml:space="preserve"> Informação concedida à autora pelo cineasta Daniel Fagundes, realizador da Zona Sul de São Paulo que integrou o </w:t>
      </w:r>
      <w:r>
        <w:rPr>
          <w:rFonts w:ascii="Times New Roman" w:eastAsia="Times New Roman" w:hAnsi="Times New Roman" w:cs="Times New Roman"/>
          <w:sz w:val="20"/>
          <w:szCs w:val="20"/>
          <w:highlight w:val="white"/>
        </w:rPr>
        <w:t xml:space="preserve">NCA (Núcleo de Comunicação Alternativa), </w:t>
      </w:r>
      <w:r>
        <w:rPr>
          <w:rFonts w:ascii="Times New Roman" w:eastAsia="Times New Roman" w:hAnsi="Times New Roman" w:cs="Times New Roman"/>
          <w:color w:val="212529"/>
          <w:sz w:val="20"/>
          <w:szCs w:val="20"/>
          <w:highlight w:val="white"/>
        </w:rPr>
        <w:t xml:space="preserve"> grupo de profissionais que atuaram em diferentes áreas da comunicação social, responsável pela realização do filme </w:t>
      </w:r>
      <w:r>
        <w:rPr>
          <w:rFonts w:ascii="Times New Roman" w:eastAsia="Times New Roman" w:hAnsi="Times New Roman" w:cs="Times New Roman"/>
          <w:i/>
          <w:iCs/>
          <w:color w:val="212529"/>
          <w:sz w:val="20"/>
          <w:szCs w:val="20"/>
          <w:highlight w:val="white"/>
        </w:rPr>
        <w:t xml:space="preserve">Videolência </w:t>
      </w:r>
      <w:r>
        <w:rPr>
          <w:rFonts w:ascii="Times New Roman" w:eastAsia="Times New Roman" w:hAnsi="Times New Roman" w:cs="Times New Roman"/>
          <w:color w:val="212529"/>
          <w:sz w:val="20"/>
          <w:szCs w:val="20"/>
          <w:highlight w:val="white"/>
        </w:rPr>
        <w:t>(2009), obra fundamental no contexto de produção audiovisual periférico. Conferir em:</w:t>
      </w:r>
    </w:p>
    <w:p w14:paraId="5DA29293" w14:textId="77777777" w:rsidR="00332C33" w:rsidRDefault="00332C33">
      <w:pPr>
        <w:spacing w:line="240" w:lineRule="auto"/>
        <w:jc w:val="both"/>
        <w:rPr>
          <w:rFonts w:ascii="Times New Roman" w:eastAsia="Times New Roman" w:hAnsi="Times New Roman" w:cs="Times New Roman"/>
          <w:color w:val="212529"/>
          <w:sz w:val="20"/>
          <w:szCs w:val="20"/>
          <w:highlight w:val="white"/>
        </w:rPr>
      </w:pPr>
      <w:hyperlink r:id="rId21">
        <w:r>
          <w:rPr>
            <w:rFonts w:ascii="Times New Roman" w:eastAsia="Times New Roman" w:hAnsi="Times New Roman" w:cs="Times New Roman"/>
            <w:color w:val="1155CC"/>
            <w:sz w:val="20"/>
            <w:szCs w:val="20"/>
            <w:highlight w:val="white"/>
            <w:u w:val="single"/>
          </w:rPr>
          <w:t>https://ncanarede.blogspot.com/search/label/Apresenta%C3%A7%C3%A3o</w:t>
        </w:r>
      </w:hyperlink>
      <w:r>
        <w:rPr>
          <w:rFonts w:ascii="Times New Roman" w:eastAsia="Times New Roman" w:hAnsi="Times New Roman" w:cs="Times New Roman"/>
          <w:color w:val="212529"/>
          <w:sz w:val="20"/>
          <w:szCs w:val="20"/>
          <w:highlight w:val="white"/>
        </w:rPr>
        <w:t>. Acesso em: 28 de jun. 2025.</w:t>
      </w:r>
    </w:p>
  </w:footnote>
  <w:footnote w:id="48">
    <w:p w14:paraId="40DDF0F0"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color w:val="111111"/>
          <w:sz w:val="20"/>
          <w:szCs w:val="20"/>
        </w:rPr>
        <w:t xml:space="preserve"> </w:t>
      </w:r>
      <w:r>
        <w:rPr>
          <w:rFonts w:ascii="Times New Roman" w:eastAsia="Times New Roman" w:hAnsi="Times New Roman" w:cs="Times New Roman"/>
          <w:color w:val="111111"/>
          <w:sz w:val="20"/>
          <w:szCs w:val="20"/>
        </w:rPr>
        <w:t xml:space="preserve">“Somos um coletivo de produção audiovisual composto por mulheres periféricas, que compartilham o desejo em construir novas narrativas que discutam questões de gênero, raça, classe social e de território, a partir da ótica da periferia, com sensibilidade e de forma genuína. Nos conectamos como coletivo a partir da identificação mas, principalmente por termos tido a oportunidade de sonhar um audiovisual produzido pela periferia. Foi a partir de um interesse comum em inscrever uma ideia para um edital de fomento à cultura, que o Nós, Madalenas nasce.” Texto retirado do site: </w:t>
      </w:r>
      <w:hyperlink r:id="rId22">
        <w:r w:rsidR="00332C33">
          <w:rPr>
            <w:rFonts w:ascii="Times New Roman" w:eastAsia="Times New Roman" w:hAnsi="Times New Roman" w:cs="Times New Roman"/>
            <w:color w:val="1155CC"/>
            <w:sz w:val="20"/>
            <w:szCs w:val="20"/>
            <w:u w:val="single"/>
          </w:rPr>
          <w:t>https://nosmadalenas.com/quem-somos</w:t>
        </w:r>
      </w:hyperlink>
      <w:r>
        <w:rPr>
          <w:rFonts w:ascii="Times New Roman" w:eastAsia="Times New Roman" w:hAnsi="Times New Roman" w:cs="Times New Roman"/>
          <w:color w:val="111111"/>
          <w:sz w:val="20"/>
          <w:szCs w:val="20"/>
        </w:rPr>
        <w:t xml:space="preserve">. Acesso em:  23 mar. 2025. </w:t>
      </w:r>
    </w:p>
  </w:footnote>
  <w:footnote w:id="49">
    <w:p w14:paraId="1D70F15E" w14:textId="77777777" w:rsidR="00332C33" w:rsidRDefault="00000000">
      <w:pPr>
        <w:spacing w:line="240" w:lineRule="auto"/>
        <w:jc w:val="both"/>
        <w:rPr>
          <w:sz w:val="20"/>
          <w:szCs w:val="20"/>
        </w:rPr>
      </w:pPr>
      <w:r>
        <w:rPr>
          <w:vertAlign w:val="superscript"/>
        </w:rPr>
        <w:footnoteRef/>
      </w:r>
      <w:r>
        <w:rPr>
          <w:rFonts w:ascii="Times New Roman" w:eastAsia="Times New Roman" w:hAnsi="Times New Roman" w:cs="Times New Roman"/>
          <w:sz w:val="20"/>
          <w:szCs w:val="20"/>
        </w:rPr>
        <w:t xml:space="preserve"> Fala retirada do documentário jornalístico </w:t>
      </w:r>
      <w:r>
        <w:rPr>
          <w:rFonts w:ascii="Times New Roman" w:eastAsia="Times New Roman" w:hAnsi="Times New Roman" w:cs="Times New Roman"/>
          <w:i/>
          <w:iCs/>
          <w:sz w:val="20"/>
          <w:szCs w:val="20"/>
        </w:rPr>
        <w:t>Cinema Negro Feminino</w:t>
      </w:r>
      <w:r>
        <w:rPr>
          <w:rFonts w:ascii="Times New Roman" w:eastAsia="Times New Roman" w:hAnsi="Times New Roman" w:cs="Times New Roman"/>
          <w:sz w:val="20"/>
          <w:szCs w:val="20"/>
        </w:rPr>
        <w:t xml:space="preserve">, do programa Cinematógrafo da Rede Minas de TV. Disponível em: </w:t>
      </w:r>
      <w:hyperlink r:id="rId23">
        <w:r w:rsidR="00332C33">
          <w:rPr>
            <w:rFonts w:ascii="Times New Roman" w:eastAsia="Times New Roman" w:hAnsi="Times New Roman" w:cs="Times New Roman"/>
            <w:color w:val="1155CC"/>
            <w:sz w:val="20"/>
            <w:szCs w:val="20"/>
            <w:u w:val="single"/>
          </w:rPr>
          <w:t>https://cdn.emcplay.com/video/744/cinema-negro-feminino/</w:t>
        </w:r>
      </w:hyperlink>
      <w:r>
        <w:rPr>
          <w:rFonts w:ascii="Times New Roman" w:eastAsia="Times New Roman" w:hAnsi="Times New Roman" w:cs="Times New Roman"/>
          <w:sz w:val="20"/>
          <w:szCs w:val="20"/>
        </w:rPr>
        <w:t xml:space="preserve">. Acesso em: 27 jul. 2025. </w:t>
      </w:r>
    </w:p>
  </w:footnote>
  <w:footnote w:id="50">
    <w:p w14:paraId="10E8763F"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Conferir: </w:t>
      </w:r>
      <w:hyperlink r:id="rId24">
        <w:r w:rsidR="00332C33">
          <w:rPr>
            <w:rFonts w:ascii="Times New Roman" w:eastAsia="Times New Roman" w:hAnsi="Times New Roman" w:cs="Times New Roman"/>
            <w:color w:val="1155CC"/>
            <w:sz w:val="20"/>
            <w:szCs w:val="20"/>
            <w:u w:val="single"/>
          </w:rPr>
          <w:t>https://apan.com.br/</w:t>
        </w:r>
      </w:hyperlink>
      <w:r>
        <w:rPr>
          <w:rFonts w:ascii="Times New Roman" w:eastAsia="Times New Roman" w:hAnsi="Times New Roman" w:cs="Times New Roman"/>
          <w:sz w:val="20"/>
          <w:szCs w:val="20"/>
        </w:rPr>
        <w:t xml:space="preserve">. </w:t>
      </w:r>
      <w:r>
        <w:rPr>
          <w:rFonts w:ascii="Times New Roman" w:eastAsia="Times New Roman" w:hAnsi="Times New Roman" w:cs="Times New Roman"/>
          <w:color w:val="111111"/>
          <w:sz w:val="20"/>
          <w:szCs w:val="20"/>
        </w:rPr>
        <w:t xml:space="preserve"> Acesso em:  23 mar. 2025. </w:t>
      </w:r>
    </w:p>
  </w:footnote>
  <w:footnote w:id="51">
    <w:p w14:paraId="410D1339"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 #EP31 - O cinema negro paraibano. Disponível em: </w:t>
      </w:r>
      <w:hyperlink r:id="rId25">
        <w:r w:rsidR="00332C33">
          <w:rPr>
            <w:rFonts w:ascii="Times New Roman" w:eastAsia="Times New Roman" w:hAnsi="Times New Roman" w:cs="Times New Roman"/>
            <w:color w:val="1155CC"/>
            <w:sz w:val="20"/>
            <w:szCs w:val="20"/>
            <w:u w:val="single"/>
          </w:rPr>
          <w:t>https://www.youtube.com/watch?v=eN_27aa4YbI</w:t>
        </w:r>
      </w:hyperlink>
      <w:r>
        <w:rPr>
          <w:rFonts w:ascii="Times New Roman" w:eastAsia="Times New Roman" w:hAnsi="Times New Roman" w:cs="Times New Roman"/>
          <w:sz w:val="20"/>
          <w:szCs w:val="20"/>
        </w:rPr>
        <w:t xml:space="preserve">. Acesso em: 24 mar. 2025. </w:t>
      </w:r>
    </w:p>
  </w:footnote>
  <w:footnote w:id="52">
    <w:p w14:paraId="2DA73E5C"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w:t>
      </w:r>
    </w:p>
    <w:p w14:paraId="0410224C" w14:textId="77777777" w:rsidR="00332C33" w:rsidRDefault="00332C33">
      <w:pPr>
        <w:spacing w:line="240" w:lineRule="auto"/>
        <w:jc w:val="both"/>
        <w:rPr>
          <w:rFonts w:ascii="Times New Roman" w:eastAsia="Times New Roman" w:hAnsi="Times New Roman" w:cs="Times New Roman"/>
          <w:sz w:val="20"/>
          <w:szCs w:val="20"/>
        </w:rPr>
      </w:pPr>
      <w:hyperlink r:id="rId26">
        <w:r>
          <w:rPr>
            <w:rFonts w:ascii="Times New Roman" w:eastAsia="Times New Roman" w:hAnsi="Times New Roman" w:cs="Times New Roman"/>
            <w:color w:val="1155CC"/>
            <w:sz w:val="20"/>
            <w:szCs w:val="20"/>
            <w:u w:val="single"/>
          </w:rPr>
          <w:t>https://diariodonordeste.verdesmares.com.br/metro/a-pessoa-e-para-o-que-nasce-vence-festival-1.564711</w:t>
        </w:r>
      </w:hyperlink>
      <w:r>
        <w:rPr>
          <w:rFonts w:ascii="Times New Roman" w:eastAsia="Times New Roman" w:hAnsi="Times New Roman" w:cs="Times New Roman"/>
          <w:sz w:val="20"/>
          <w:szCs w:val="20"/>
        </w:rPr>
        <w:t xml:space="preserve">. Acesso em: 24 mar. 2025.  </w:t>
      </w:r>
    </w:p>
  </w:footnote>
  <w:footnote w:id="53">
    <w:p w14:paraId="7A006D09"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Conferir em: </w:t>
      </w:r>
      <w:hyperlink r:id="rId27">
        <w:r w:rsidR="00332C33">
          <w:rPr>
            <w:rFonts w:ascii="Times New Roman" w:eastAsia="Times New Roman" w:hAnsi="Times New Roman" w:cs="Times New Roman"/>
            <w:color w:val="1155CC"/>
            <w:sz w:val="20"/>
            <w:szCs w:val="20"/>
            <w:u w:val="single"/>
          </w:rPr>
          <w:t>https://www.spcineplay.com.br/pages/106</w:t>
        </w:r>
      </w:hyperlink>
      <w:r>
        <w:rPr>
          <w:rFonts w:ascii="Times New Roman" w:eastAsia="Times New Roman" w:hAnsi="Times New Roman" w:cs="Times New Roman"/>
          <w:sz w:val="20"/>
          <w:szCs w:val="20"/>
        </w:rPr>
        <w:t xml:space="preserve">. Acesso em: 24 mar. 2025. </w:t>
      </w:r>
    </w:p>
  </w:footnote>
  <w:footnote w:id="54">
    <w:p w14:paraId="7D63F1A5"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 em: </w:t>
      </w:r>
      <w:hyperlink r:id="rId28">
        <w:r w:rsidR="00332C33">
          <w:rPr>
            <w:rFonts w:ascii="Times New Roman" w:eastAsia="Times New Roman" w:hAnsi="Times New Roman" w:cs="Times New Roman"/>
            <w:color w:val="1155CC"/>
            <w:sz w:val="20"/>
            <w:szCs w:val="20"/>
            <w:u w:val="single"/>
          </w:rPr>
          <w:t>https://ims.com.br/sessao/cinema-de-movimento-os-filmes-de-lincoln-pericles-lk/</w:t>
        </w:r>
      </w:hyperlink>
      <w:r>
        <w:rPr>
          <w:rFonts w:ascii="Times New Roman" w:eastAsia="Times New Roman" w:hAnsi="Times New Roman" w:cs="Times New Roman"/>
          <w:sz w:val="20"/>
          <w:szCs w:val="20"/>
        </w:rPr>
        <w:t xml:space="preserve">. Acesso em: 24 mar. 2025. </w:t>
      </w:r>
    </w:p>
  </w:footnote>
  <w:footnote w:id="55">
    <w:p w14:paraId="7E3A3F0C" w14:textId="77777777" w:rsidR="00332C33" w:rsidRDefault="00000000">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Conferir em: </w:t>
      </w:r>
      <w:hyperlink r:id="rId29">
        <w:r w:rsidR="00332C33">
          <w:rPr>
            <w:rFonts w:ascii="Times New Roman" w:eastAsia="Times New Roman" w:hAnsi="Times New Roman" w:cs="Times New Roman"/>
            <w:color w:val="1155CC"/>
            <w:sz w:val="20"/>
            <w:szCs w:val="20"/>
            <w:u w:val="single"/>
          </w:rPr>
          <w:t>https://www.spcineplay.com.br/pages/2</w:t>
        </w:r>
      </w:hyperlink>
      <w:r>
        <w:rPr>
          <w:rFonts w:ascii="Times New Roman" w:eastAsia="Times New Roman" w:hAnsi="Times New Roman" w:cs="Times New Roman"/>
          <w:sz w:val="20"/>
          <w:szCs w:val="20"/>
        </w:rPr>
        <w:t xml:space="preserve">. Acesso em: 27 dez. 2025.  </w:t>
      </w:r>
    </w:p>
    <w:p w14:paraId="1B91B628" w14:textId="77777777" w:rsidR="00332C33" w:rsidRDefault="00332C33">
      <w:pPr>
        <w:spacing w:line="240" w:lineRule="auto"/>
        <w:rPr>
          <w:rFonts w:ascii="Times New Roman" w:eastAsia="Times New Roman" w:hAnsi="Times New Roman" w:cs="Times New Roman"/>
          <w:sz w:val="20"/>
          <w:szCs w:val="20"/>
        </w:rPr>
      </w:pPr>
    </w:p>
  </w:footnote>
  <w:footnote w:id="56">
    <w:p w14:paraId="3289359B"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ab/>
        <w:t xml:space="preserve"> Fonte: </w:t>
      </w:r>
      <w:hyperlink r:id="rId30">
        <w:r w:rsidR="00332C33">
          <w:rPr>
            <w:rFonts w:ascii="Times New Roman" w:eastAsia="Times New Roman" w:hAnsi="Times New Roman" w:cs="Times New Roman"/>
            <w:color w:val="0563C1"/>
            <w:sz w:val="20"/>
            <w:szCs w:val="20"/>
            <w:u w:val="single"/>
          </w:rPr>
          <w:t>https://museudapessoa.org/historia-de-vida/do-homem-palito-bruxinha-mais-amada-do-pa-s-/</w:t>
        </w:r>
      </w:hyperlink>
      <w:r>
        <w:rPr>
          <w:rFonts w:ascii="Times New Roman" w:eastAsia="Times New Roman" w:hAnsi="Times New Roman" w:cs="Times New Roman"/>
          <w:sz w:val="20"/>
          <w:szCs w:val="20"/>
        </w:rPr>
        <w:t>. Acesso em: 11 jun. 2025.</w:t>
      </w:r>
    </w:p>
  </w:footnote>
  <w:footnote w:id="57">
    <w:p w14:paraId="5A5E0124" w14:textId="77777777" w:rsidR="00332C33" w:rsidRDefault="00000000">
      <w:pPr>
        <w:spacing w:line="240" w:lineRule="auto"/>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w:t>
      </w:r>
      <w:r>
        <w:rPr>
          <w:rFonts w:ascii="Times New Roman" w:eastAsia="Times New Roman" w:hAnsi="Times New Roman" w:cs="Times New Roman"/>
          <w:sz w:val="20"/>
          <w:szCs w:val="20"/>
        </w:rPr>
        <w:t xml:space="preserve">Produções teatrais em Nova York que ocorrem em teatros menores (até 499 lugares) fora do distrito principal da Broadway. </w:t>
      </w:r>
    </w:p>
  </w:footnote>
  <w:footnote w:id="58">
    <w:p w14:paraId="635EB072"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Altair Lima. São Paulo, 06 de agosto de 1969. In:  Processo de  censura  da  peça Hair. Arquivo  Nacional/DF,  Fundo DCDP,  Seção  Censura  Prévia,  Série  Teatro , Subsérie Peças Teatrais, caixa 118.</w:t>
      </w:r>
    </w:p>
  </w:footnote>
  <w:footnote w:id="59">
    <w:p w14:paraId="42A3F49C"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José Augusto Costa. Brasília, 25 de agosto de 1969. In: Processo de  censura  da  peça Hair. Arquivo  Nacional/DF,  Fundo DCDP,  Seção  Censura  Prévia,  Série  Teatro , Subsérie Peças Teatrais, caixa 118.</w:t>
      </w:r>
    </w:p>
    <w:p w14:paraId="26EBCD6E" w14:textId="77777777" w:rsidR="00332C33" w:rsidRDefault="00332C33">
      <w:pPr>
        <w:spacing w:line="240" w:lineRule="auto"/>
        <w:rPr>
          <w:rFonts w:ascii="Calibri" w:eastAsia="Calibri" w:hAnsi="Calibri" w:cs="Calibri"/>
          <w:sz w:val="20"/>
          <w:szCs w:val="20"/>
        </w:rPr>
      </w:pPr>
    </w:p>
  </w:footnote>
  <w:footnote w:id="60">
    <w:p w14:paraId="3F34B6C0"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 Montebello. Brasília. 27 de agosto de 1969. In: Processo de  censura  da  peça Hair. Arquivo  Nacional/DF,  Fundo DCDP,  Seção  Censura  Prévia,  Série  Teatro , Subsérie Peças Teatrais, caixa 118.</w:t>
      </w:r>
    </w:p>
    <w:p w14:paraId="6453A9A8" w14:textId="77777777" w:rsidR="00332C33" w:rsidRDefault="00332C33">
      <w:pPr>
        <w:spacing w:line="240" w:lineRule="auto"/>
        <w:rPr>
          <w:rFonts w:ascii="Calibri" w:eastAsia="Calibri" w:hAnsi="Calibri" w:cs="Calibri"/>
          <w:sz w:val="20"/>
          <w:szCs w:val="20"/>
        </w:rPr>
      </w:pPr>
    </w:p>
  </w:footnote>
  <w:footnote w:id="61">
    <w:p w14:paraId="78A07DED"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C. Montebello. Brasília. 27 de agosto de 1969. In:  Processo de  censura  da  peça </w:t>
      </w:r>
      <w:r>
        <w:rPr>
          <w:rFonts w:ascii="Times New Roman" w:eastAsia="Times New Roman" w:hAnsi="Times New Roman" w:cs="Times New Roman"/>
          <w:i/>
          <w:iCs/>
          <w:sz w:val="20"/>
          <w:szCs w:val="20"/>
        </w:rPr>
        <w:t>Hair</w:t>
      </w:r>
      <w:r>
        <w:rPr>
          <w:rFonts w:ascii="Times New Roman" w:eastAsia="Times New Roman" w:hAnsi="Times New Roman" w:cs="Times New Roman"/>
          <w:sz w:val="20"/>
          <w:szCs w:val="20"/>
        </w:rPr>
        <w:t>. Arquivo  Nacional/DF,  Fundo DCDP,  Seção  Censura  Prévia,  Série  Teatro , Subsérie Peças Teatrais, caixa 118.</w:t>
      </w:r>
    </w:p>
  </w:footnote>
  <w:footnote w:id="62">
    <w:p w14:paraId="400BDC84" w14:textId="77777777" w:rsidR="00332C33"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Paulo Leite Lacerda. Brasília. 30 de agosto de 1960. In: Processo de  censura  da  peça Hair. Arquivo  Nacional/DF,  Fundo DCDP,  Seção  Censura  Prévia,  Série  Teatro , Subsérie Peças Teatrais, caixa 118.</w:t>
      </w:r>
    </w:p>
    <w:p w14:paraId="221791B1" w14:textId="77777777" w:rsidR="00332C33" w:rsidRDefault="00332C33">
      <w:pPr>
        <w:spacing w:line="240" w:lineRule="auto"/>
        <w:rPr>
          <w:rFonts w:ascii="Calibri" w:eastAsia="Calibri" w:hAnsi="Calibri" w:cs="Calibri"/>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527001"/>
      <w:docPartObj>
        <w:docPartGallery w:val="Page Numbers (Top of Page)"/>
        <w:docPartUnique/>
      </w:docPartObj>
    </w:sdtPr>
    <w:sdtContent>
      <w:p w14:paraId="7DF933E7" w14:textId="0FEA03AC" w:rsidR="004C4435" w:rsidRDefault="004C4435">
        <w:pPr>
          <w:pStyle w:val="Cabealho"/>
          <w:jc w:val="right"/>
        </w:pPr>
        <w:r>
          <w:fldChar w:fldCharType="begin"/>
        </w:r>
        <w:r>
          <w:instrText>PAGE   \* MERGEFORMAT</w:instrText>
        </w:r>
        <w:r>
          <w:fldChar w:fldCharType="separate"/>
        </w:r>
        <w:r>
          <w:t>2</w:t>
        </w:r>
        <w:r>
          <w:fldChar w:fldCharType="end"/>
        </w:r>
      </w:p>
    </w:sdtContent>
  </w:sdt>
  <w:p w14:paraId="0E3B7E4C" w14:textId="77777777" w:rsidR="004C4435" w:rsidRDefault="004C443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A5F73"/>
    <w:multiLevelType w:val="multilevel"/>
    <w:tmpl w:val="817C066C"/>
    <w:lvl w:ilvl="0">
      <w:start w:val="1"/>
      <w:numFmt w:val="decimal"/>
      <w:lvlText w:val=""/>
      <w:lvlJc w:val="left"/>
      <w:pPr>
        <w:ind w:left="0" w:firstLine="0"/>
      </w:pPr>
      <w:rPr>
        <w:u w:val="none"/>
      </w:rPr>
    </w:lvl>
    <w:lvl w:ilvl="1">
      <w:start w:val="1"/>
      <w:numFmt w:val="decimal"/>
      <w:lvlText w:val=""/>
      <w:lvlJc w:val="left"/>
      <w:pPr>
        <w:ind w:left="0" w:firstLine="0"/>
      </w:pPr>
      <w:rPr>
        <w:u w:val="none"/>
      </w:rPr>
    </w:lvl>
    <w:lvl w:ilvl="2">
      <w:start w:val="1"/>
      <w:numFmt w:val="decimal"/>
      <w:lvlText w:val=""/>
      <w:lvlJc w:val="left"/>
      <w:pPr>
        <w:ind w:left="0" w:firstLine="0"/>
      </w:pPr>
      <w:rPr>
        <w:u w:val="none"/>
      </w:rPr>
    </w:lvl>
    <w:lvl w:ilvl="3">
      <w:start w:val="1"/>
      <w:numFmt w:val="decimal"/>
      <w:lvlText w:val=""/>
      <w:lvlJc w:val="left"/>
      <w:pPr>
        <w:ind w:left="0" w:firstLine="0"/>
      </w:pPr>
      <w:rPr>
        <w:u w:val="none"/>
      </w:rPr>
    </w:lvl>
    <w:lvl w:ilvl="4">
      <w:start w:val="1"/>
      <w:numFmt w:val="decimal"/>
      <w:lvlText w:val=""/>
      <w:lvlJc w:val="left"/>
      <w:pPr>
        <w:ind w:left="0" w:firstLine="0"/>
      </w:pPr>
      <w:rPr>
        <w:u w:val="none"/>
      </w:rPr>
    </w:lvl>
    <w:lvl w:ilvl="5">
      <w:start w:val="1"/>
      <w:numFmt w:val="decimal"/>
      <w:lvlText w:val=""/>
      <w:lvlJc w:val="left"/>
      <w:pPr>
        <w:ind w:left="0" w:firstLine="0"/>
      </w:pPr>
      <w:rPr>
        <w:u w:val="none"/>
      </w:rPr>
    </w:lvl>
    <w:lvl w:ilvl="6">
      <w:start w:val="1"/>
      <w:numFmt w:val="decimal"/>
      <w:lvlText w:val=""/>
      <w:lvlJc w:val="left"/>
      <w:pPr>
        <w:ind w:left="0" w:firstLine="0"/>
      </w:pPr>
      <w:rPr>
        <w:u w:val="none"/>
      </w:rPr>
    </w:lvl>
    <w:lvl w:ilvl="7">
      <w:start w:val="1"/>
      <w:numFmt w:val="decimal"/>
      <w:lvlText w:val=""/>
      <w:lvlJc w:val="left"/>
      <w:pPr>
        <w:ind w:left="0" w:firstLine="0"/>
      </w:pPr>
      <w:rPr>
        <w:u w:val="none"/>
      </w:rPr>
    </w:lvl>
    <w:lvl w:ilvl="8">
      <w:start w:val="1"/>
      <w:numFmt w:val="decimal"/>
      <w:lvlText w:val=""/>
      <w:lvlJc w:val="left"/>
      <w:pPr>
        <w:ind w:left="0" w:firstLine="0"/>
      </w:pPr>
      <w:rPr>
        <w:u w:val="none"/>
      </w:rPr>
    </w:lvl>
  </w:abstractNum>
  <w:num w:numId="1" w16cid:durableId="20254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C33"/>
    <w:rsid w:val="00060788"/>
    <w:rsid w:val="000A2F02"/>
    <w:rsid w:val="00130215"/>
    <w:rsid w:val="00144EAA"/>
    <w:rsid w:val="0016432F"/>
    <w:rsid w:val="00166D94"/>
    <w:rsid w:val="00180804"/>
    <w:rsid w:val="001B03E9"/>
    <w:rsid w:val="001D029A"/>
    <w:rsid w:val="002237A1"/>
    <w:rsid w:val="002451B6"/>
    <w:rsid w:val="00251E7B"/>
    <w:rsid w:val="0025423F"/>
    <w:rsid w:val="00271D67"/>
    <w:rsid w:val="002A7568"/>
    <w:rsid w:val="00332C33"/>
    <w:rsid w:val="0036079D"/>
    <w:rsid w:val="00371EA8"/>
    <w:rsid w:val="003754C8"/>
    <w:rsid w:val="003C02C3"/>
    <w:rsid w:val="004272E3"/>
    <w:rsid w:val="00432347"/>
    <w:rsid w:val="00433385"/>
    <w:rsid w:val="00433C2A"/>
    <w:rsid w:val="00442D1A"/>
    <w:rsid w:val="004826BF"/>
    <w:rsid w:val="00487E15"/>
    <w:rsid w:val="0049014A"/>
    <w:rsid w:val="00491F95"/>
    <w:rsid w:val="004A7293"/>
    <w:rsid w:val="004C4435"/>
    <w:rsid w:val="004E19FF"/>
    <w:rsid w:val="004E3494"/>
    <w:rsid w:val="005129E2"/>
    <w:rsid w:val="00530089"/>
    <w:rsid w:val="00555B9E"/>
    <w:rsid w:val="0056322D"/>
    <w:rsid w:val="005A21C4"/>
    <w:rsid w:val="005D7E0C"/>
    <w:rsid w:val="00627259"/>
    <w:rsid w:val="00643FD6"/>
    <w:rsid w:val="00775DDB"/>
    <w:rsid w:val="007869DD"/>
    <w:rsid w:val="007A4CBD"/>
    <w:rsid w:val="007A53C1"/>
    <w:rsid w:val="007B48EA"/>
    <w:rsid w:val="007C075D"/>
    <w:rsid w:val="007D7C15"/>
    <w:rsid w:val="007E3B11"/>
    <w:rsid w:val="00826818"/>
    <w:rsid w:val="00884E34"/>
    <w:rsid w:val="008B02C2"/>
    <w:rsid w:val="008B6F15"/>
    <w:rsid w:val="008D57B5"/>
    <w:rsid w:val="008F0033"/>
    <w:rsid w:val="0095035F"/>
    <w:rsid w:val="00997E97"/>
    <w:rsid w:val="00A00C99"/>
    <w:rsid w:val="00A253EC"/>
    <w:rsid w:val="00A26A58"/>
    <w:rsid w:val="00A42474"/>
    <w:rsid w:val="00A9623C"/>
    <w:rsid w:val="00AF0EF9"/>
    <w:rsid w:val="00B0775C"/>
    <w:rsid w:val="00B101D0"/>
    <w:rsid w:val="00B52711"/>
    <w:rsid w:val="00BC146C"/>
    <w:rsid w:val="00BD1C26"/>
    <w:rsid w:val="00BD2256"/>
    <w:rsid w:val="00BD24A7"/>
    <w:rsid w:val="00BE677D"/>
    <w:rsid w:val="00C040D2"/>
    <w:rsid w:val="00C13431"/>
    <w:rsid w:val="00C27DD5"/>
    <w:rsid w:val="00C86E61"/>
    <w:rsid w:val="00C945CD"/>
    <w:rsid w:val="00CA0F9D"/>
    <w:rsid w:val="00CA56E3"/>
    <w:rsid w:val="00CB2F54"/>
    <w:rsid w:val="00D4621A"/>
    <w:rsid w:val="00D51B02"/>
    <w:rsid w:val="00E11265"/>
    <w:rsid w:val="00E179EA"/>
    <w:rsid w:val="00E76406"/>
    <w:rsid w:val="00EA231D"/>
    <w:rsid w:val="00EA36E8"/>
    <w:rsid w:val="00FA67D8"/>
    <w:rsid w:val="00FC738D"/>
    <w:rsid w:val="00FD3CCD"/>
    <w:rsid w:val="00FE0C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AE32E"/>
  <w15:docId w15:val="{F797AB0F-5452-42F4-9438-5A8CC911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paragraph" w:styleId="Textodenotaderodap">
    <w:name w:val="footnote text"/>
    <w:basedOn w:val="Normal"/>
    <w:link w:val="TextodenotaderodapChar"/>
    <w:uiPriority w:val="99"/>
    <w:semiHidden/>
    <w:unhideWhenUsed/>
    <w:rsid w:val="00FE0C0A"/>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FE0C0A"/>
    <w:rPr>
      <w:sz w:val="20"/>
      <w:szCs w:val="20"/>
    </w:rPr>
  </w:style>
  <w:style w:type="character" w:styleId="Refdenotaderodap">
    <w:name w:val="footnote reference"/>
    <w:basedOn w:val="Fontepargpadro"/>
    <w:uiPriority w:val="99"/>
    <w:semiHidden/>
    <w:unhideWhenUsed/>
    <w:rsid w:val="00FE0C0A"/>
    <w:rPr>
      <w:vertAlign w:val="superscript"/>
    </w:rPr>
  </w:style>
  <w:style w:type="paragraph" w:styleId="Cabealho">
    <w:name w:val="header"/>
    <w:basedOn w:val="Normal"/>
    <w:link w:val="CabealhoChar"/>
    <w:uiPriority w:val="99"/>
    <w:unhideWhenUsed/>
    <w:rsid w:val="00775DDB"/>
    <w:pPr>
      <w:tabs>
        <w:tab w:val="center" w:pos="4252"/>
        <w:tab w:val="right" w:pos="8504"/>
      </w:tabs>
      <w:spacing w:line="240" w:lineRule="auto"/>
    </w:pPr>
  </w:style>
  <w:style w:type="character" w:customStyle="1" w:styleId="CabealhoChar">
    <w:name w:val="Cabeçalho Char"/>
    <w:basedOn w:val="Fontepargpadro"/>
    <w:link w:val="Cabealho"/>
    <w:uiPriority w:val="99"/>
    <w:rsid w:val="00775DDB"/>
  </w:style>
  <w:style w:type="paragraph" w:styleId="Rodap">
    <w:name w:val="footer"/>
    <w:basedOn w:val="Normal"/>
    <w:link w:val="RodapChar"/>
    <w:uiPriority w:val="99"/>
    <w:unhideWhenUsed/>
    <w:rsid w:val="00775DDB"/>
    <w:pPr>
      <w:tabs>
        <w:tab w:val="center" w:pos="4252"/>
        <w:tab w:val="right" w:pos="8504"/>
      </w:tabs>
      <w:spacing w:line="240" w:lineRule="auto"/>
    </w:pPr>
  </w:style>
  <w:style w:type="character" w:customStyle="1" w:styleId="RodapChar">
    <w:name w:val="Rodapé Char"/>
    <w:basedOn w:val="Fontepargpadro"/>
    <w:link w:val="Rodap"/>
    <w:uiPriority w:val="99"/>
    <w:rsid w:val="00775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youtube.com/live/AwEy3H1yrSQ" TargetMode="External"/><Relationship Id="rId21" Type="http://schemas.openxmlformats.org/officeDocument/2006/relationships/hyperlink" Target="https://exame.com/casual/conheca-os-22-filmes-brasileiros-que-concorrem-a-uma-vaga-no-oscar-2019/" TargetMode="External"/><Relationship Id="rId42" Type="http://schemas.openxmlformats.org/officeDocument/2006/relationships/hyperlink" Target="https://capital.sp.gov.br/web/comunicacao/w/noticias/139273" TargetMode="External"/><Relationship Id="rId47" Type="http://schemas.openxmlformats.org/officeDocument/2006/relationships/hyperlink" Target="https://www.usp.br/cinusp/" TargetMode="External"/><Relationship Id="rId63" Type="http://schemas.openxmlformats.org/officeDocument/2006/relationships/hyperlink" Target="https://www.academia.edu/24611235/Allport_Gordon_La_Naturaleza_Del_Prejuicio" TargetMode="External"/><Relationship Id="rId68" Type="http://schemas.openxmlformats.org/officeDocument/2006/relationships/hyperlink" Target="http://portcom.intercom.org.br/revistas/index.php/iniciacom/article/view/377" TargetMode="External"/><Relationship Id="rId84" Type="http://schemas.openxmlformats.org/officeDocument/2006/relationships/hyperlink" Target="https://hum.unne.edu.ar/generoysex/seminario1/s1_18.pdf" TargetMode="External"/><Relationship Id="rId89" Type="http://schemas.openxmlformats.org/officeDocument/2006/relationships/hyperlink" Target="https://www.aularia.org/Articulo.php?idart=227&amp;idsec=1" TargetMode="External"/><Relationship Id="rId16" Type="http://schemas.openxmlformats.org/officeDocument/2006/relationships/hyperlink" Target="https://www.scielo.br/j/ref/a/v9Zjmt8XzN8DmFSyZCcNsKg/abstract/?lang=pt" TargetMode="External"/><Relationship Id="rId11" Type="http://schemas.openxmlformats.org/officeDocument/2006/relationships/hyperlink" Target="https://assets.masp.org.br/uploads/temp/temp-Yh4JU5Diisv5FvmMb8Vl.pdf" TargetMode="External"/><Relationship Id="rId32" Type="http://schemas.openxmlformats.org/officeDocument/2006/relationships/hyperlink" Target="https://entretenimento.uol.com.br/noticias/redacao/2019/04/21/podcast-sobre-menino-assassinado-no-pr-deve-atingir-1-milhao-de-downloads.htm" TargetMode="External"/><Relationship Id="rId37" Type="http://schemas.openxmlformats.org/officeDocument/2006/relationships/hyperlink" Target="https://sti.tjms.jus.br/confluence/spaces/PH/pages/229638279/Processos%2BHist%C3%B3ricos%2Be%2BRelevantes?preview=%2F229638279%2F234129578%2FBruxa%2Bda%2BSapol%C3%A2ndia.pdf" TargetMode="External"/><Relationship Id="rId53" Type="http://schemas.openxmlformats.org/officeDocument/2006/relationships/hyperlink" Target="https://ims.com.br/sessao/cinema-de-movimento-os-filmes-de-lincoln-pericles-lk/" TargetMode="External"/><Relationship Id="rId58" Type="http://schemas.openxmlformats.org/officeDocument/2006/relationships/hyperlink" Target="https://www.youtube.com/watch?v=eN_27aa4YbI" TargetMode="External"/><Relationship Id="rId74" Type="http://schemas.openxmlformats.org/officeDocument/2006/relationships/hyperlink" Target="https://dialnet.unirioja.es/servlet/articulo?codigo=5832797" TargetMode="External"/><Relationship Id="rId79" Type="http://schemas.openxmlformats.org/officeDocument/2006/relationships/hyperlink" Target="https://www.redalyc.org/pdf/3150/315025340009.pdf" TargetMode="External"/><Relationship Id="rId5" Type="http://schemas.openxmlformats.org/officeDocument/2006/relationships/webSettings" Target="webSettings.xml"/><Relationship Id="rId90" Type="http://schemas.openxmlformats.org/officeDocument/2006/relationships/hyperlink" Target="https://revistachilenahumanidades.uchile.cl/index.php/RCM/article/view/19891" TargetMode="External"/><Relationship Id="rId95" Type="http://schemas.openxmlformats.org/officeDocument/2006/relationships/hyperlink" Target="https://primepop.com.br/wicked-novo-trailer-revela-segredos-de-elphaba-e-glinda/" TargetMode="External"/><Relationship Id="rId22" Type="http://schemas.openxmlformats.org/officeDocument/2006/relationships/hyperlink" Target="https://www.brasildefato.com.br/2020/11/19/quando-conseguimos-combater-o-racismo-conseguimos-formas-dignas-para-produzir/" TargetMode="External"/><Relationship Id="rId27" Type="http://schemas.openxmlformats.org/officeDocument/2006/relationships/image" Target="media/image1.png"/><Relationship Id="rId43" Type="http://schemas.openxmlformats.org/officeDocument/2006/relationships/hyperlink" Target="https://capital.sp.gov.br/web/comunicacao/w/noticias/139273" TargetMode="External"/><Relationship Id="rId48" Type="http://schemas.openxmlformats.org/officeDocument/2006/relationships/hyperlink" Target="https://nosmadalenas.com/quem-somos" TargetMode="External"/><Relationship Id="rId64" Type="http://schemas.openxmlformats.org/officeDocument/2006/relationships/hyperlink" Target="http://www.scielo.br/scielo.php?pid=S0102-9722005000100003&amp;script=sci_arttext" TargetMode="External"/><Relationship Id="rId69" Type="http://schemas.openxmlformats.org/officeDocument/2006/relationships/hyperlink" Target="http://portcom.intercom.org.br/revistas/index.php/iniciacom/article/view/377" TargetMode="External"/><Relationship Id="rId80" Type="http://schemas.openxmlformats.org/officeDocument/2006/relationships/hyperlink" Target="https://www.redalyc.org/pdf/3150/315025340009.pdf" TargetMode="External"/><Relationship Id="rId85" Type="http://schemas.openxmlformats.org/officeDocument/2006/relationships/hyperlink" Target="http://scielo.isciii.es/scielo.php?script=sci_arttext&amp;pid=S1132-05592018000300003" TargetMode="External"/><Relationship Id="rId3" Type="http://schemas.openxmlformats.org/officeDocument/2006/relationships/styles" Target="styles.xml"/><Relationship Id="rId12" Type="http://schemas.openxmlformats.org/officeDocument/2006/relationships/hyperlink" Target="https://www.youtube.com/watch?v=lHV2_5naHH8" TargetMode="External"/><Relationship Id="rId17" Type="http://schemas.openxmlformats.org/officeDocument/2006/relationships/hyperlink" Target="https://catarinas.info/antifeminismo-culpabiliza-mulheres-pela-violencia-e-recompensa-parlamentares-da-extrema-direita/" TargetMode="External"/><Relationship Id="rId25" Type="http://schemas.openxmlformats.org/officeDocument/2006/relationships/hyperlink" Target="https://www.youtube.com/watch?v=ot2qOkXfkiE" TargetMode="External"/><Relationship Id="rId33" Type="http://schemas.openxmlformats.org/officeDocument/2006/relationships/hyperlink" Target="https://entretenimento.uol.com.br/noticias/redacao/2019/04/21/podcast-sobre-menino-assassinado-no-pr-deve-atingir-1-milhao-de-downloads.htm" TargetMode="External"/><Relationship Id="rId38" Type="http://schemas.openxmlformats.org/officeDocument/2006/relationships/hyperlink" Target="https://www.gov.br/ancine/pt-br/arquivos/informe-diversidade-2016.pdf" TargetMode="External"/><Relationship Id="rId46" Type="http://schemas.openxmlformats.org/officeDocument/2006/relationships/hyperlink" Target="https://www.usp.br/cinusp/" TargetMode="External"/><Relationship Id="rId59" Type="http://schemas.openxmlformats.org/officeDocument/2006/relationships/hyperlink" Target="https://www.youtube.com/watch?v=eN_27aa4YbI" TargetMode="External"/><Relationship Id="rId67" Type="http://schemas.openxmlformats.org/officeDocument/2006/relationships/hyperlink" Target="https://revistas.uece.br/index.php/opublicoeoprivado/article/view/3861/3689" TargetMode="External"/><Relationship Id="rId20" Type="http://schemas.openxmlformats.org/officeDocument/2006/relationships/hyperlink" Target="https://coletivocritico.com/2025/04/21/melhores-filmes-dirigidos-por-diretoras-brasileiras/" TargetMode="External"/><Relationship Id="rId41" Type="http://schemas.openxmlformats.org/officeDocument/2006/relationships/hyperlink" Target="https://apan.com.br/" TargetMode="External"/><Relationship Id="rId54" Type="http://schemas.openxmlformats.org/officeDocument/2006/relationships/hyperlink" Target="https://www.spcineplay.com.br/pages/2" TargetMode="External"/><Relationship Id="rId62" Type="http://schemas.openxmlformats.org/officeDocument/2006/relationships/hyperlink" Target="https://www.filmaffinity.com/es/search.php?stype=director&amp;sn&amp;stext=Paco%20del%20Toro" TargetMode="External"/><Relationship Id="rId70" Type="http://schemas.openxmlformats.org/officeDocument/2006/relationships/hyperlink" Target="https://dialnet.unirioja.es/descarga/articulo/4055508.pdf" TargetMode="External"/><Relationship Id="rId75" Type="http://schemas.openxmlformats.org/officeDocument/2006/relationships/hyperlink" Target="https://dialnet.unirioja.es/servlet/articulo?codigo=5832797" TargetMode="External"/><Relationship Id="rId83" Type="http://schemas.openxmlformats.org/officeDocument/2006/relationships/hyperlink" Target="https://hum.unne.edu.ar/generoysex/seminario1/s1_18.pdf" TargetMode="External"/><Relationship Id="rId88" Type="http://schemas.openxmlformats.org/officeDocument/2006/relationships/hyperlink" Target="https://www.aularia.org/Articulo.php?idart=227&amp;idsec=1" TargetMode="External"/><Relationship Id="rId91" Type="http://schemas.openxmlformats.org/officeDocument/2006/relationships/hyperlink" Target="https://museudapessoa.org/historia-de-vida/do-homem-palito-bruxinha-mais-amada-do-pa-s/" TargetMode="External"/><Relationship Id="rId96" Type="http://schemas.openxmlformats.org/officeDocument/2006/relationships/hyperlink" Target="https://a-static.mlcdn.com.br/1500x1500/poster-cartaz-wicked-posterflix/poparteskins2/pos-03834-30x45cm/e92bba484442009644de7d4742b2bad0.jpe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cielo.br/pdf/rdp/v9n2/2179-8966-rdp-09-02-1080.pdf.%20Acesso%20em%2006/07/2019" TargetMode="External"/><Relationship Id="rId23" Type="http://schemas.openxmlformats.org/officeDocument/2006/relationships/hyperlink" Target="https://g1.globo.com/sp/santos-regiao/noticia/2024/07/28/operacao-escudo-um-ano-de-violencia-confrontos-e-de-alto-indice-de-mortes-que-era-esperado-diz-defensoria.ghtml" TargetMode="External"/><Relationship Id="rId28" Type="http://schemas.openxmlformats.org/officeDocument/2006/relationships/image" Target="media/image6.png"/><Relationship Id="rId36" Type="http://schemas.openxmlformats.org/officeDocument/2006/relationships/hyperlink" Target="https://sti.tjms.jus.br/confluence/spaces/PH/pages/229638279/Processos%2BHist%C3%B3ricos%2Be%2BRelevantes?preview=%2F229638279%2F234129578%2FBruxa%2Bda%2BSapol%C3%A2ndia.pdf" TargetMode="External"/><Relationship Id="rId49" Type="http://schemas.openxmlformats.org/officeDocument/2006/relationships/hyperlink" Target="https://nosmadalenas.com/quem-somos" TargetMode="External"/><Relationship Id="rId57" Type="http://schemas.openxmlformats.org/officeDocument/2006/relationships/hyperlink" Target="https://www.spcineplay.com.br/pages/106" TargetMode="External"/><Relationship Id="rId10" Type="http://schemas.openxmlformats.org/officeDocument/2006/relationships/hyperlink" Target="https://www.pipaprize.com/pag/artists/musa-michelle-mattiuzzi/" TargetMode="External"/><Relationship Id="rId31" Type="http://schemas.openxmlformats.org/officeDocument/2006/relationships/hyperlink" Target="https://www.campograndenews.com.br/cidades/capital/bruxa-da-sapolandia-e-o-misterio-que-movimentou-campo-grande-em-1969" TargetMode="External"/><Relationship Id="rId44" Type="http://schemas.openxmlformats.org/officeDocument/2006/relationships/hyperlink" Target="https://cdn.emcplay.com/video/744/cinema-negro-feminino/" TargetMode="External"/><Relationship Id="rId52" Type="http://schemas.openxmlformats.org/officeDocument/2006/relationships/hyperlink" Target="https://ims.com.br/sessao/cinema-de-movimento-os-filmes-de-lincoln-pericles-lk/" TargetMode="External"/><Relationship Id="rId60" Type="http://schemas.openxmlformats.org/officeDocument/2006/relationships/hyperlink" Target="https://www.filmaffinity.com/es/search.php?stype=director&amp;sn&amp;stext=Frank%20P%C3%A9rez-Garland" TargetMode="External"/><Relationship Id="rId65" Type="http://schemas.openxmlformats.org/officeDocument/2006/relationships/hyperlink" Target="https://www.tdx.cat/handle/10803/418640" TargetMode="External"/><Relationship Id="rId73" Type="http://schemas.openxmlformats.org/officeDocument/2006/relationships/hyperlink" Target="http://manzanadiscordia.univalle.edu.co/index.php/la_manzana_de_la_discordia/article/view/1439" TargetMode="External"/><Relationship Id="rId78" Type="http://schemas.openxmlformats.org/officeDocument/2006/relationships/hyperlink" Target="https://www.redalyc.org/pdf/3537/353744532008.pdf" TargetMode="External"/><Relationship Id="rId81" Type="http://schemas.openxmlformats.org/officeDocument/2006/relationships/hyperlink" Target="https://academica-e.unavarra.es/handle/2454/20009" TargetMode="External"/><Relationship Id="rId86" Type="http://schemas.openxmlformats.org/officeDocument/2006/relationships/hyperlink" Target="http://periodicos.claec.org/index.php/relacult/article/view/501" TargetMode="External"/><Relationship Id="rId94" Type="http://schemas.openxmlformats.org/officeDocument/2006/relationships/hyperlink" Target="https://www.curitibafun.com.br/wicked-personagens-glinda-e-elphaba-sao-destaque-em-novas-artes-divulgadas-pela-universal-pictures"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vistaecopos.eco.ufrj.br/eco_pos/article/view/27572" TargetMode="External"/><Relationship Id="rId13" Type="http://schemas.openxmlformats.org/officeDocument/2006/relationships/hyperlink" Target="https://www.scielo.br/j/ref/a/Tv5hVNZ5W98QhbHNVV753vS/abstract/?lang=pt" TargetMode="External"/><Relationship Id="rId18" Type="http://schemas.openxmlformats.org/officeDocument/2006/relationships/hyperlink" Target="https://scielo.org.za/scielo.php?script=sci_arttext&amp;pid=S2074-77052017000100005" TargetMode="External"/><Relationship Id="rId39" Type="http://schemas.openxmlformats.org/officeDocument/2006/relationships/hyperlink" Target="https://www.gov.br/ancine/pt-br/arquivos/informe-diversidade-2016.pdf" TargetMode="External"/><Relationship Id="rId34" Type="http://schemas.openxmlformats.org/officeDocument/2006/relationships/hyperlink" Target="https://g1.globo.com/sp/santos-regiao/noticia/2014/05/mulher-espancada-apos-boatos-em-rede-social-morre-em-guaruja-sp.html" TargetMode="External"/><Relationship Id="rId50" Type="http://schemas.openxmlformats.org/officeDocument/2006/relationships/hyperlink" Target="https://diariodonordeste.verdesmares.com.br/metro/a-pessoa-e-para-o-que-nasce-vence-festival-1.564711" TargetMode="External"/><Relationship Id="rId55" Type="http://schemas.openxmlformats.org/officeDocument/2006/relationships/hyperlink" Target="https://www.spcineplay.com.br/pages/2" TargetMode="External"/><Relationship Id="rId76" Type="http://schemas.openxmlformats.org/officeDocument/2006/relationships/hyperlink" Target="https://dialnet.unirioja.es/servlet/articulo?codigo=5637181" TargetMode="External"/><Relationship Id="rId97" Type="http://schemas.openxmlformats.org/officeDocument/2006/relationships/hyperlink" Target="https://a-static.mlcdn.com.br/1500x1500/poster-cartaz-wicked-posterflix/poparteskins2/pos-03834-30x45cm/e92bba484442009644de7d4742b2bad0.jpeg" TargetMode="External"/><Relationship Id="rId7" Type="http://schemas.openxmlformats.org/officeDocument/2006/relationships/endnotes" Target="endnotes.xml"/><Relationship Id="rId71" Type="http://schemas.openxmlformats.org/officeDocument/2006/relationships/hyperlink" Target="https://revistas.um.es/analesps/article/view/analesps.32.3.231901" TargetMode="External"/><Relationship Id="rId92" Type="http://schemas.openxmlformats.org/officeDocument/2006/relationships/hyperlink" Target="https://publicdomainreview.org/essay/woodcuts-and-witches/" TargetMode="External"/><Relationship Id="rId2" Type="http://schemas.openxmlformats.org/officeDocument/2006/relationships/numbering" Target="numbering.xml"/><Relationship Id="rId29" Type="http://schemas.openxmlformats.org/officeDocument/2006/relationships/header" Target="header1.xml"/><Relationship Id="rId24" Type="http://schemas.openxmlformats.org/officeDocument/2006/relationships/hyperlink" Target="https://www.nexojornal.com.br/expresso/2025/10/31/acervo-digital-cultura-negra-brasil-instituto-cultne" TargetMode="External"/><Relationship Id="rId40" Type="http://schemas.openxmlformats.org/officeDocument/2006/relationships/hyperlink" Target="https://apan.com.br/" TargetMode="External"/><Relationship Id="rId45" Type="http://schemas.openxmlformats.org/officeDocument/2006/relationships/hyperlink" Target="https://cdn.emcplay.com/video/744/cinema-negro-feminino/" TargetMode="External"/><Relationship Id="rId66" Type="http://schemas.openxmlformats.org/officeDocument/2006/relationships/hyperlink" Target="https://www.tdx.cat/handle/10803/418640" TargetMode="External"/><Relationship Id="rId87" Type="http://schemas.openxmlformats.org/officeDocument/2006/relationships/hyperlink" Target="https://www.oas.org/es/mesecvi/docs/BelemDoPara-PORTUGUES.pdf" TargetMode="External"/><Relationship Id="rId61" Type="http://schemas.openxmlformats.org/officeDocument/2006/relationships/hyperlink" Target="https://www.filmaffinity.com/es/search.php?stype=director&amp;sn&amp;stext=Paco%20del%20Toro" TargetMode="External"/><Relationship Id="rId82" Type="http://schemas.openxmlformats.org/officeDocument/2006/relationships/hyperlink" Target="https://academica-e.unavarra.es/handle/2454/20009" TargetMode="External"/><Relationship Id="rId19" Type="http://schemas.openxmlformats.org/officeDocument/2006/relationships/hyperlink" Target="https://agenciabrasil.ebc.com.br/geral/noticia/2024-03/ouvidor-classifica-como-massacre-violencia-na-bauxada-santista" TargetMode="External"/><Relationship Id="rId14" Type="http://schemas.openxmlformats.org/officeDocument/2006/relationships/hyperlink" Target="https://www.franca.unesp.br/Home/Publicacoes/e-book---desafios-da-democracia-brasileira---prof-murilo-gaspardo.pdf" TargetMode="External"/><Relationship Id="rId30" Type="http://schemas.openxmlformats.org/officeDocument/2006/relationships/hyperlink" Target="https://www.campograndenews.com.br/cidades/capital/bruxa-da-sapolandia-e-o-misterio-que-movimentou-campo-grande-em-1969" TargetMode="External"/><Relationship Id="rId35" Type="http://schemas.openxmlformats.org/officeDocument/2006/relationships/hyperlink" Target="https://g1.globo.com/sp/santos-regiao/noticia/2014/05/mulher-espancada-apos-boatos-em-rede-social-morre-em-guaruja-sp.html" TargetMode="External"/><Relationship Id="rId56" Type="http://schemas.openxmlformats.org/officeDocument/2006/relationships/hyperlink" Target="https://www.spcineplay.com.br/pages/106" TargetMode="External"/><Relationship Id="rId77" Type="http://schemas.openxmlformats.org/officeDocument/2006/relationships/hyperlink" Target="https://dialnet.unirioja.es/servlet/articulo?codigo=5637181" TargetMode="External"/><Relationship Id="rId100" Type="http://schemas.openxmlformats.org/officeDocument/2006/relationships/theme" Target="theme/theme1.xml"/><Relationship Id="rId8" Type="http://schemas.openxmlformats.org/officeDocument/2006/relationships/hyperlink" Target="http://www.abpnrevista.org.br/revista/index.php/revistaabpn1/article/download/%20304/282%3E.%20Acesso%20em%2013%20jun.%2020" TargetMode="External"/><Relationship Id="rId51" Type="http://schemas.openxmlformats.org/officeDocument/2006/relationships/hyperlink" Target="https://diariodonordeste.verdesmares.com.br/metro/a-pessoa-e-para-o-que-nasce-vence-festival-1.564711" TargetMode="External"/><Relationship Id="rId72" Type="http://schemas.openxmlformats.org/officeDocument/2006/relationships/hyperlink" Target="https://revistas.um.es/analesps/article/view/analesps.32.3.231901" TargetMode="External"/><Relationship Id="rId93" Type="http://schemas.openxmlformats.org/officeDocument/2006/relationships/hyperlink" Target="https://people.com/ariana-grande-says-glinda-voice-might-stay-wicked-role-8768372" TargetMode="External"/><Relationship Id="rId98" Type="http://schemas.openxmlformats.org/officeDocument/2006/relationships/hyperlink" Target="https://pipocamoderna.com.br/2019/09/novos-posteres-destacam-personagens-de-malevola-dona-do-ma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F61QoECAgls&amp;t=120s" TargetMode="External"/><Relationship Id="rId13" Type="http://schemas.openxmlformats.org/officeDocument/2006/relationships/hyperlink" Target="https://www.youtube.com/watch?v=4mdoKLepj10&amp;t=3s" TargetMode="External"/><Relationship Id="rId18" Type="http://schemas.openxmlformats.org/officeDocument/2006/relationships/hyperlink" Target="https://alix.fba.up.pt/em-defesa-das-imagens-pobres" TargetMode="External"/><Relationship Id="rId26" Type="http://schemas.openxmlformats.org/officeDocument/2006/relationships/hyperlink" Target="https://diariodonordeste.verdesmares.com.br/metro/a-pessoa-e-para-o-que-nasce-vence-festival-1.564711" TargetMode="External"/><Relationship Id="rId3" Type="http://schemas.openxmlformats.org/officeDocument/2006/relationships/hyperlink" Target="http://priscilarezendeart.com/projects/bombril-2010/" TargetMode="External"/><Relationship Id="rId21" Type="http://schemas.openxmlformats.org/officeDocument/2006/relationships/hyperlink" Target="https://ncanarede.blogspot.com/search/label/Apresenta%C3%A7%C3%A3o" TargetMode="External"/><Relationship Id="rId7" Type="http://schemas.openxmlformats.org/officeDocument/2006/relationships/hyperlink" Target="https://www1.folha.uol.com.br/poder/2019/07/candidatas-recebem-mais-verba-eleitoral-apos-cota-mas-partidos-descumprem-regras.shtml" TargetMode="External"/><Relationship Id="rId12" Type="http://schemas.openxmlformats.org/officeDocument/2006/relationships/hyperlink" Target="https://www.youtube.com/watch?v=8A4xeA3sooE" TargetMode="External"/><Relationship Id="rId17" Type="http://schemas.openxmlformats.org/officeDocument/2006/relationships/hyperlink" Target="https://spcine.com.br/" TargetMode="External"/><Relationship Id="rId25" Type="http://schemas.openxmlformats.org/officeDocument/2006/relationships/hyperlink" Target="https://www.youtube.com/watch?v=eN_27aa4YbI" TargetMode="External"/><Relationship Id="rId2" Type="http://schemas.openxmlformats.org/officeDocument/2006/relationships/hyperlink" Target="https://site.videobrasil.org.br/acervo/obras/obra/2206502" TargetMode="External"/><Relationship Id="rId16" Type="http://schemas.openxmlformats.org/officeDocument/2006/relationships/hyperlink" Target="https://www.gov.br/ancine/pt-br/arquivos/informe-diversidade-2016.pdf" TargetMode="External"/><Relationship Id="rId20" Type="http://schemas.openxmlformats.org/officeDocument/2006/relationships/hyperlink" Target="https://capital.sp.gov.br/web/comunicacao/w/noticias/139273" TargetMode="External"/><Relationship Id="rId29" Type="http://schemas.openxmlformats.org/officeDocument/2006/relationships/hyperlink" Target="https://www.spcineplay.com.br/pages/2" TargetMode="External"/><Relationship Id="rId1" Type="http://schemas.openxmlformats.org/officeDocument/2006/relationships/hyperlink" Target="https://lab.procomum.org/2018/12/residenciaslabxs-deixa-a-piriguete-falar-o-corpo-negro-e-feminino-na-arte-de-val-souza-e-suas-multiplas-linguagens-por-cassia-sabino/" TargetMode="External"/><Relationship Id="rId6" Type="http://schemas.openxmlformats.org/officeDocument/2006/relationships/hyperlink" Target="https://www.meuvotoserafeminista.com.br/" TargetMode="External"/><Relationship Id="rId11" Type="http://schemas.openxmlformats.org/officeDocument/2006/relationships/hyperlink" Target="https://www.youtube.com/watch?v=ot2qOkXfkiE" TargetMode="External"/><Relationship Id="rId24" Type="http://schemas.openxmlformats.org/officeDocument/2006/relationships/hyperlink" Target="https://apan.com.br/" TargetMode="External"/><Relationship Id="rId5" Type="http://schemas.openxmlformats.org/officeDocument/2006/relationships/hyperlink" Target="https://www.meuvotoserafeminista.com.br/" TargetMode="External"/><Relationship Id="rId15" Type="http://schemas.openxmlformats.org/officeDocument/2006/relationships/hyperlink" Target="https://www.campograndenews.com.br/campo-grande-115-anos/bruxa-da-sapolandia-a-historia-que-de-tanto-assombro-virou-lenda-urbana" TargetMode="External"/><Relationship Id="rId23" Type="http://schemas.openxmlformats.org/officeDocument/2006/relationships/hyperlink" Target="https://cdn.emcplay.com/video/744/cinema-negro-feminino/" TargetMode="External"/><Relationship Id="rId28" Type="http://schemas.openxmlformats.org/officeDocument/2006/relationships/hyperlink" Target="https://ims.com.br/sessao/cinema-de-movimento-os-filmes-de-lincoln-pericles-lk/" TargetMode="External"/><Relationship Id="rId10" Type="http://schemas.openxmlformats.org/officeDocument/2006/relationships/hyperlink" Target="https://www.blackwomendisrupt.com/panelist-por/iqsy3maquagsx8bb64iu9t1vcs6gd4" TargetMode="External"/><Relationship Id="rId19" Type="http://schemas.openxmlformats.org/officeDocument/2006/relationships/hyperlink" Target="https://www.usp.br/cinusp/" TargetMode="External"/><Relationship Id="rId4" Type="http://schemas.openxmlformats.org/officeDocument/2006/relationships/hyperlink" Target="https://rosanapaulino.blogspot.com/2012/05/faltavam-estas.html" TargetMode="External"/><Relationship Id="rId9" Type="http://schemas.openxmlformats.org/officeDocument/2006/relationships/hyperlink" Target="https://www.youtube.com/watch?v=MzcIDfVVM5w" TargetMode="External"/><Relationship Id="rId14" Type="http://schemas.openxmlformats.org/officeDocument/2006/relationships/hyperlink" Target="https://www.campograndenews.com.br/campo-grande-115-anos/bruxa-da-sapolandia-a-historia-que-de-tanto-assombro-virou-lenda-urbana" TargetMode="External"/><Relationship Id="rId22" Type="http://schemas.openxmlformats.org/officeDocument/2006/relationships/hyperlink" Target="https://nosmadalenas.com/quem-somos" TargetMode="External"/><Relationship Id="rId27" Type="http://schemas.openxmlformats.org/officeDocument/2006/relationships/hyperlink" Target="https://www.spcineplay.com.br/pages/106" TargetMode="External"/><Relationship Id="rId30" Type="http://schemas.openxmlformats.org/officeDocument/2006/relationships/hyperlink" Target="https://museudapessoa.org/historia-de-vida/do-homem-palito-bruxinha-mais-amada-do-p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F6001-B723-424B-8D1D-1F605A15D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188</Pages>
  <Words>73026</Words>
  <Characters>394344</Characters>
  <Application>Microsoft Office Word</Application>
  <DocSecurity>0</DocSecurity>
  <Lines>3286</Lines>
  <Paragraphs>932</Paragraphs>
  <ScaleCrop>false</ScaleCrop>
  <Company/>
  <LinksUpToDate>false</LinksUpToDate>
  <CharactersWithSpaces>466438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Cleonice Elias da Silva</cp:lastModifiedBy>
  <cp:revision>70</cp:revision>
  <dcterms:created xsi:type="dcterms:W3CDTF">2026-03-11T16:19:00Z</dcterms:created>
  <dcterms:modified xsi:type="dcterms:W3CDTF">2026-03-12T13:05:00Z</dcterms:modified>
</cp:coreProperties>
</file>