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D452DB4" w14:textId="77777777" w:rsidR="001F49FD" w:rsidRDefault="001F49FD">
      <w:pPr>
        <w:ind w:left="-567" w:firstLine="0"/>
        <w:jc w:val="center"/>
        <w:rPr>
          <w:rFonts w:ascii="Times New Roman" w:eastAsia="Calibri" w:hAnsi="Times New Roman" w:cs="Times New Roman"/>
          <w:szCs w:val="24"/>
          <w:lang w:eastAsia="en-US"/>
        </w:rPr>
      </w:pPr>
    </w:p>
    <w:p w14:paraId="31F70844" w14:textId="77777777" w:rsidR="001F49FD" w:rsidRDefault="001F49FD">
      <w:pPr>
        <w:ind w:left="-567" w:firstLine="0"/>
        <w:jc w:val="center"/>
        <w:rPr>
          <w:rFonts w:ascii="Times New Roman" w:eastAsia="Calibri" w:hAnsi="Times New Roman" w:cs="Times New Roman"/>
          <w:i/>
          <w:szCs w:val="24"/>
          <w:u w:val="single"/>
          <w:lang w:eastAsia="en-US"/>
        </w:rPr>
      </w:pPr>
    </w:p>
    <w:p w14:paraId="6D04E32E" w14:textId="77777777" w:rsidR="001F49FD" w:rsidRDefault="001F49FD">
      <w:pPr>
        <w:ind w:left="-567" w:firstLine="0"/>
        <w:jc w:val="center"/>
        <w:rPr>
          <w:rFonts w:ascii="Times New Roman" w:eastAsia="Calibri" w:hAnsi="Times New Roman" w:cs="Times New Roman"/>
          <w:szCs w:val="24"/>
          <w:lang w:eastAsia="en-US"/>
        </w:rPr>
      </w:pPr>
    </w:p>
    <w:p w14:paraId="6F8C4AAD" w14:textId="77777777" w:rsidR="001F49FD" w:rsidRDefault="001F49FD">
      <w:pPr>
        <w:ind w:left="-567" w:firstLine="0"/>
        <w:jc w:val="center"/>
        <w:rPr>
          <w:rFonts w:ascii="Times New Roman" w:eastAsia="Calibri" w:hAnsi="Times New Roman" w:cs="Times New Roman"/>
          <w:b/>
          <w:szCs w:val="24"/>
          <w:lang w:eastAsia="en-US"/>
        </w:rPr>
      </w:pPr>
    </w:p>
    <w:p w14:paraId="1D3A36B2" w14:textId="77777777" w:rsidR="001F49FD" w:rsidRDefault="001F49FD">
      <w:pPr>
        <w:ind w:left="-567" w:firstLine="0"/>
        <w:jc w:val="center"/>
        <w:rPr>
          <w:rFonts w:ascii="Times New Roman" w:eastAsia="Calibri" w:hAnsi="Times New Roman" w:cs="Times New Roman"/>
          <w:szCs w:val="24"/>
          <w:lang w:eastAsia="en-US"/>
        </w:rPr>
      </w:pPr>
    </w:p>
    <w:p w14:paraId="5D51125E"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 xml:space="preserve">                                                                                        </w:t>
      </w:r>
    </w:p>
    <w:p w14:paraId="0A3A99D6" w14:textId="77777777" w:rsidR="001F49FD" w:rsidRDefault="001F49FD">
      <w:pPr>
        <w:ind w:left="-567" w:firstLine="0"/>
        <w:jc w:val="center"/>
        <w:rPr>
          <w:rFonts w:ascii="Times New Roman" w:eastAsia="Calibri" w:hAnsi="Times New Roman" w:cs="Times New Roman"/>
          <w:szCs w:val="24"/>
          <w:lang w:eastAsia="en-US"/>
        </w:rPr>
      </w:pPr>
    </w:p>
    <w:p w14:paraId="052C599F" w14:textId="77777777" w:rsidR="001F49FD" w:rsidRPr="0065333B" w:rsidRDefault="001F49FD">
      <w:pPr>
        <w:ind w:left="-567" w:firstLine="0"/>
        <w:jc w:val="center"/>
        <w:rPr>
          <w:rFonts w:ascii="Times New Roman" w:eastAsia="Calibri" w:hAnsi="Times New Roman" w:cs="Times New Roman"/>
          <w:szCs w:val="24"/>
          <w:lang w:eastAsia="en-US"/>
        </w:rPr>
      </w:pPr>
    </w:p>
    <w:p w14:paraId="1176E90E" w14:textId="77777777" w:rsidR="001F49FD" w:rsidRPr="0065333B" w:rsidRDefault="00611419">
      <w:pPr>
        <w:ind w:left="-567" w:firstLine="0"/>
        <w:jc w:val="center"/>
        <w:rPr>
          <w:rFonts w:ascii="Times New Roman" w:eastAsia="Calibri" w:hAnsi="Times New Roman" w:cs="Times New Roman"/>
          <w:b/>
          <w:szCs w:val="24"/>
          <w:lang w:eastAsia="en-US"/>
        </w:rPr>
      </w:pPr>
      <w:r w:rsidRPr="0065333B">
        <w:rPr>
          <w:rFonts w:eastAsia="Calibri" w:cs="Times New Roman"/>
          <w:b/>
          <w:szCs w:val="24"/>
          <w:lang w:eastAsia="en-US"/>
        </w:rPr>
        <w:t xml:space="preserve">TÉCNICA VIOLINÍSTICA – </w:t>
      </w:r>
      <w:r w:rsidRPr="0065333B">
        <w:rPr>
          <w:rFonts w:eastAsia="Calibri" w:cs="Times New Roman"/>
          <w:szCs w:val="24"/>
          <w:lang w:eastAsia="en-US"/>
        </w:rPr>
        <w:t>História e conceitos contemporâneos</w:t>
      </w:r>
    </w:p>
    <w:p w14:paraId="19D76BB8" w14:textId="77777777" w:rsidR="001F49FD" w:rsidRDefault="001F49FD">
      <w:pPr>
        <w:ind w:left="-567" w:firstLine="0"/>
        <w:jc w:val="center"/>
        <w:rPr>
          <w:rFonts w:ascii="Times New Roman" w:eastAsia="Calibri" w:hAnsi="Times New Roman" w:cs="Times New Roman"/>
          <w:szCs w:val="24"/>
          <w:lang w:eastAsia="en-US"/>
        </w:rPr>
      </w:pPr>
    </w:p>
    <w:p w14:paraId="784C3D12"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 xml:space="preserve">                                                                               </w:t>
      </w:r>
    </w:p>
    <w:p w14:paraId="1FCFC378" w14:textId="77777777" w:rsidR="001F49FD" w:rsidRDefault="001F49FD">
      <w:pPr>
        <w:ind w:left="-567" w:firstLine="0"/>
        <w:jc w:val="center"/>
        <w:rPr>
          <w:rFonts w:ascii="Times New Roman" w:eastAsia="Calibri" w:hAnsi="Times New Roman" w:cs="Times New Roman"/>
          <w:szCs w:val="24"/>
          <w:lang w:eastAsia="en-US"/>
        </w:rPr>
      </w:pPr>
    </w:p>
    <w:p w14:paraId="008A83AD" w14:textId="77777777" w:rsidR="001F49FD" w:rsidRDefault="001F49FD">
      <w:pPr>
        <w:ind w:left="-567" w:firstLine="0"/>
        <w:jc w:val="center"/>
        <w:rPr>
          <w:rFonts w:ascii="Times New Roman" w:eastAsia="Calibri" w:hAnsi="Times New Roman" w:cs="Times New Roman"/>
          <w:szCs w:val="24"/>
          <w:lang w:eastAsia="en-US"/>
        </w:rPr>
      </w:pPr>
    </w:p>
    <w:p w14:paraId="5CEA3659" w14:textId="77777777" w:rsidR="001F49FD" w:rsidRDefault="001F49FD">
      <w:pPr>
        <w:ind w:left="-567" w:firstLine="0"/>
        <w:jc w:val="center"/>
        <w:rPr>
          <w:rFonts w:ascii="Times New Roman" w:eastAsia="Calibri" w:hAnsi="Times New Roman" w:cs="Times New Roman"/>
          <w:szCs w:val="24"/>
          <w:lang w:eastAsia="en-US"/>
        </w:rPr>
      </w:pPr>
    </w:p>
    <w:p w14:paraId="2033DE82" w14:textId="77777777" w:rsidR="001F49FD" w:rsidRDefault="001F49FD">
      <w:pPr>
        <w:ind w:left="-567" w:firstLine="0"/>
        <w:jc w:val="center"/>
        <w:rPr>
          <w:rFonts w:ascii="Times New Roman" w:eastAsia="Calibri" w:hAnsi="Times New Roman" w:cs="Times New Roman"/>
          <w:szCs w:val="24"/>
          <w:lang w:eastAsia="en-US"/>
        </w:rPr>
      </w:pPr>
    </w:p>
    <w:p w14:paraId="00EBEEEE" w14:textId="77777777" w:rsidR="001F49FD" w:rsidRDefault="001F49FD">
      <w:pPr>
        <w:ind w:left="-567" w:firstLine="0"/>
        <w:jc w:val="center"/>
        <w:rPr>
          <w:rFonts w:ascii="Times New Roman" w:eastAsia="Calibri" w:hAnsi="Times New Roman" w:cs="Times New Roman"/>
          <w:szCs w:val="24"/>
          <w:lang w:eastAsia="en-US"/>
        </w:rPr>
      </w:pPr>
    </w:p>
    <w:p w14:paraId="7639E1CC" w14:textId="77777777" w:rsidR="001F49FD" w:rsidRDefault="001F49FD">
      <w:pPr>
        <w:ind w:left="-567" w:firstLine="0"/>
        <w:jc w:val="center"/>
        <w:rPr>
          <w:rFonts w:ascii="Times New Roman" w:eastAsia="Calibri" w:hAnsi="Times New Roman" w:cs="Times New Roman"/>
          <w:szCs w:val="24"/>
          <w:lang w:eastAsia="en-US"/>
        </w:rPr>
      </w:pPr>
    </w:p>
    <w:p w14:paraId="259837F0" w14:textId="77777777" w:rsidR="001F49FD" w:rsidRDefault="001F49FD">
      <w:pPr>
        <w:ind w:left="-567" w:firstLine="0"/>
        <w:jc w:val="center"/>
        <w:rPr>
          <w:rFonts w:ascii="Times New Roman" w:eastAsia="Calibri" w:hAnsi="Times New Roman" w:cs="Times New Roman"/>
          <w:szCs w:val="24"/>
          <w:lang w:eastAsia="en-US"/>
        </w:rPr>
      </w:pPr>
    </w:p>
    <w:p w14:paraId="5BA6B5B2" w14:textId="77777777" w:rsidR="001F49FD" w:rsidRDefault="001F49FD">
      <w:pPr>
        <w:ind w:left="-567" w:firstLine="0"/>
        <w:jc w:val="center"/>
        <w:rPr>
          <w:rFonts w:ascii="Times New Roman" w:eastAsia="Calibri" w:hAnsi="Times New Roman" w:cs="Times New Roman"/>
          <w:szCs w:val="24"/>
          <w:lang w:eastAsia="en-US"/>
        </w:rPr>
      </w:pPr>
    </w:p>
    <w:p w14:paraId="259560C1" w14:textId="77777777" w:rsidR="001F49FD" w:rsidRDefault="001F49FD">
      <w:pPr>
        <w:ind w:left="-567" w:firstLine="0"/>
        <w:jc w:val="center"/>
        <w:rPr>
          <w:rFonts w:ascii="Times New Roman" w:eastAsia="Calibri" w:hAnsi="Times New Roman" w:cs="Times New Roman"/>
          <w:szCs w:val="24"/>
          <w:lang w:eastAsia="en-US"/>
        </w:rPr>
      </w:pPr>
    </w:p>
    <w:p w14:paraId="6EADA5F3" w14:textId="77777777" w:rsidR="001F49FD" w:rsidRDefault="001F49FD">
      <w:pPr>
        <w:ind w:left="-567" w:firstLine="0"/>
        <w:jc w:val="center"/>
        <w:rPr>
          <w:rFonts w:ascii="Times New Roman" w:eastAsia="Calibri" w:hAnsi="Times New Roman" w:cs="Times New Roman"/>
          <w:szCs w:val="24"/>
          <w:lang w:eastAsia="en-US"/>
        </w:rPr>
      </w:pPr>
    </w:p>
    <w:p w14:paraId="16C45351" w14:textId="77777777" w:rsidR="001F49FD" w:rsidRDefault="001F49FD">
      <w:pPr>
        <w:ind w:left="-567" w:firstLine="0"/>
        <w:jc w:val="center"/>
        <w:rPr>
          <w:rFonts w:ascii="Times New Roman" w:eastAsia="Calibri" w:hAnsi="Times New Roman" w:cs="Times New Roman"/>
          <w:szCs w:val="24"/>
          <w:lang w:eastAsia="en-US"/>
        </w:rPr>
      </w:pPr>
    </w:p>
    <w:p w14:paraId="04BCFD9B" w14:textId="77777777" w:rsidR="001F49FD" w:rsidRDefault="001F49FD">
      <w:pPr>
        <w:ind w:left="-567" w:firstLine="0"/>
        <w:jc w:val="center"/>
        <w:rPr>
          <w:rFonts w:ascii="Times New Roman" w:eastAsia="Calibri" w:hAnsi="Times New Roman" w:cs="Times New Roman"/>
          <w:szCs w:val="24"/>
          <w:lang w:eastAsia="en-US"/>
        </w:rPr>
      </w:pPr>
    </w:p>
    <w:p w14:paraId="6159D91B" w14:textId="77777777" w:rsidR="001F49FD" w:rsidRDefault="001F49FD">
      <w:pPr>
        <w:ind w:left="-567" w:firstLine="0"/>
        <w:jc w:val="center"/>
        <w:rPr>
          <w:rFonts w:ascii="Times New Roman" w:eastAsia="Calibri" w:hAnsi="Times New Roman" w:cs="Times New Roman"/>
          <w:szCs w:val="24"/>
          <w:lang w:eastAsia="en-US"/>
        </w:rPr>
      </w:pPr>
    </w:p>
    <w:p w14:paraId="4EEACAAF" w14:textId="77777777" w:rsidR="001F49FD" w:rsidRDefault="001F49FD">
      <w:pPr>
        <w:ind w:left="-567" w:firstLine="0"/>
        <w:jc w:val="center"/>
        <w:rPr>
          <w:rFonts w:ascii="Times New Roman" w:eastAsia="Calibri" w:hAnsi="Times New Roman" w:cs="Times New Roman"/>
          <w:szCs w:val="24"/>
          <w:lang w:eastAsia="en-US"/>
        </w:rPr>
      </w:pPr>
    </w:p>
    <w:p w14:paraId="206E684E" w14:textId="77777777" w:rsidR="001F49FD" w:rsidRDefault="001F49FD">
      <w:pPr>
        <w:ind w:left="-567" w:firstLine="0"/>
        <w:jc w:val="center"/>
        <w:rPr>
          <w:rFonts w:ascii="Times New Roman" w:eastAsia="Calibri" w:hAnsi="Times New Roman" w:cs="Times New Roman"/>
          <w:szCs w:val="24"/>
          <w:lang w:eastAsia="en-US"/>
        </w:rPr>
      </w:pPr>
    </w:p>
    <w:p w14:paraId="09F5BFE8" w14:textId="77777777" w:rsidR="00E87B8B" w:rsidRDefault="00E87B8B">
      <w:pPr>
        <w:ind w:left="-567" w:firstLine="0"/>
        <w:jc w:val="center"/>
        <w:rPr>
          <w:rFonts w:ascii="Times New Roman" w:eastAsia="Calibri" w:hAnsi="Times New Roman" w:cs="Times New Roman"/>
          <w:szCs w:val="24"/>
          <w:lang w:eastAsia="en-US"/>
        </w:rPr>
      </w:pPr>
    </w:p>
    <w:p w14:paraId="498F048F" w14:textId="77777777" w:rsidR="00E87B8B" w:rsidRDefault="00E87B8B">
      <w:pPr>
        <w:ind w:left="-567" w:firstLine="0"/>
        <w:jc w:val="center"/>
        <w:rPr>
          <w:rFonts w:ascii="Times New Roman" w:eastAsia="Calibri" w:hAnsi="Times New Roman" w:cs="Times New Roman"/>
          <w:szCs w:val="24"/>
          <w:lang w:eastAsia="en-US"/>
        </w:rPr>
      </w:pPr>
    </w:p>
    <w:p w14:paraId="6294ACF7" w14:textId="77777777" w:rsidR="00E87B8B" w:rsidRDefault="00E87B8B">
      <w:pPr>
        <w:ind w:left="-567" w:firstLine="0"/>
        <w:jc w:val="center"/>
        <w:rPr>
          <w:rFonts w:ascii="Times New Roman" w:eastAsia="Calibri" w:hAnsi="Times New Roman" w:cs="Times New Roman"/>
          <w:szCs w:val="24"/>
          <w:lang w:eastAsia="en-US"/>
        </w:rPr>
      </w:pPr>
    </w:p>
    <w:p w14:paraId="619F7DE1" w14:textId="77777777" w:rsidR="00E87B8B" w:rsidRDefault="00E87B8B">
      <w:pPr>
        <w:ind w:left="-567" w:firstLine="0"/>
        <w:jc w:val="center"/>
        <w:rPr>
          <w:rFonts w:ascii="Times New Roman" w:eastAsia="Calibri" w:hAnsi="Times New Roman" w:cs="Times New Roman"/>
          <w:szCs w:val="24"/>
          <w:lang w:eastAsia="en-US"/>
        </w:rPr>
      </w:pPr>
    </w:p>
    <w:p w14:paraId="397B705A" w14:textId="77777777" w:rsidR="00E87B8B" w:rsidRDefault="00E87B8B">
      <w:pPr>
        <w:ind w:left="-567" w:firstLine="0"/>
        <w:jc w:val="center"/>
        <w:rPr>
          <w:rFonts w:ascii="Times New Roman" w:eastAsia="Calibri" w:hAnsi="Times New Roman" w:cs="Times New Roman"/>
          <w:szCs w:val="24"/>
          <w:lang w:eastAsia="en-US"/>
        </w:rPr>
      </w:pPr>
    </w:p>
    <w:p w14:paraId="46A42BD0"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RIO DE JANEIRO</w:t>
      </w:r>
    </w:p>
    <w:p w14:paraId="23319C3D"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2025</w:t>
      </w:r>
    </w:p>
    <w:p w14:paraId="41438330" w14:textId="77777777" w:rsidR="001F49FD" w:rsidRDefault="001F49FD">
      <w:pPr>
        <w:ind w:firstLine="0"/>
        <w:jc w:val="center"/>
        <w:rPr>
          <w:rFonts w:ascii="Times New Roman" w:eastAsia="Calibri" w:hAnsi="Times New Roman" w:cs="Times New Roman"/>
          <w:szCs w:val="24"/>
          <w:lang w:eastAsia="en-US"/>
        </w:rPr>
      </w:pPr>
    </w:p>
    <w:p w14:paraId="560C96A9" w14:textId="77777777" w:rsidR="001F49FD" w:rsidRDefault="001F49FD">
      <w:pPr>
        <w:ind w:firstLine="0"/>
        <w:jc w:val="center"/>
        <w:rPr>
          <w:rFonts w:ascii="Times New Roman" w:eastAsia="Calibri" w:hAnsi="Times New Roman" w:cs="Times New Roman"/>
          <w:szCs w:val="24"/>
          <w:lang w:eastAsia="en-US"/>
        </w:rPr>
      </w:pPr>
    </w:p>
    <w:p w14:paraId="6AE54491" w14:textId="77777777" w:rsidR="001F49FD" w:rsidRDefault="001F49FD">
      <w:pPr>
        <w:ind w:left="-567" w:firstLine="0"/>
        <w:jc w:val="center"/>
        <w:rPr>
          <w:rFonts w:ascii="Times New Roman" w:eastAsia="Calibri" w:hAnsi="Times New Roman" w:cs="Times New Roman"/>
          <w:szCs w:val="24"/>
          <w:lang w:eastAsia="en-US"/>
        </w:rPr>
      </w:pPr>
    </w:p>
    <w:p w14:paraId="78844F8E" w14:textId="77777777" w:rsidR="001F49FD" w:rsidRDefault="001F49FD">
      <w:pPr>
        <w:ind w:left="-567" w:firstLine="0"/>
        <w:jc w:val="center"/>
        <w:rPr>
          <w:rFonts w:ascii="Times New Roman" w:eastAsia="Calibri" w:hAnsi="Times New Roman" w:cs="Times New Roman"/>
          <w:szCs w:val="24"/>
          <w:lang w:eastAsia="en-US"/>
        </w:rPr>
      </w:pPr>
    </w:p>
    <w:p w14:paraId="4B94B22F" w14:textId="77777777" w:rsidR="001F49FD" w:rsidRDefault="001F49FD" w:rsidP="000656F2">
      <w:pPr>
        <w:ind w:firstLine="0"/>
        <w:rPr>
          <w:rFonts w:ascii="Times New Roman" w:eastAsia="Calibri" w:hAnsi="Times New Roman" w:cs="Times New Roman"/>
          <w:szCs w:val="24"/>
          <w:lang w:eastAsia="en-US"/>
        </w:rPr>
      </w:pPr>
    </w:p>
    <w:p w14:paraId="22848300" w14:textId="77777777" w:rsidR="001F49FD" w:rsidRDefault="001F49FD">
      <w:pPr>
        <w:ind w:left="-567" w:firstLine="0"/>
        <w:jc w:val="center"/>
        <w:rPr>
          <w:rFonts w:ascii="Times New Roman" w:eastAsia="Calibri" w:hAnsi="Times New Roman" w:cs="Times New Roman"/>
          <w:szCs w:val="24"/>
          <w:lang w:eastAsia="en-US"/>
        </w:rPr>
      </w:pPr>
    </w:p>
    <w:p w14:paraId="50A26D3E" w14:textId="77777777" w:rsidR="001F49FD" w:rsidRDefault="00611419">
      <w:pPr>
        <w:ind w:left="-567" w:firstLine="0"/>
        <w:jc w:val="center"/>
        <w:rPr>
          <w:rFonts w:eastAsia="Calibri" w:cs="Times New Roman"/>
          <w:szCs w:val="24"/>
          <w:lang w:eastAsia="en-US"/>
        </w:rPr>
      </w:pPr>
      <w:r w:rsidRPr="0065333B">
        <w:rPr>
          <w:rFonts w:eastAsia="Calibri" w:cs="Times New Roman"/>
          <w:b/>
          <w:bCs/>
          <w:szCs w:val="24"/>
          <w:lang w:eastAsia="en-US"/>
        </w:rPr>
        <w:t>TÉCNICA VIOLINÍSTICA</w:t>
      </w:r>
      <w:r>
        <w:rPr>
          <w:rFonts w:eastAsia="Calibri" w:cs="Times New Roman"/>
          <w:szCs w:val="24"/>
          <w:lang w:eastAsia="en-US"/>
        </w:rPr>
        <w:t xml:space="preserve"> – História e conceitos contemporâneos</w:t>
      </w:r>
    </w:p>
    <w:p w14:paraId="2F6ACEF2" w14:textId="77777777" w:rsidR="00E87B8B" w:rsidRDefault="00E87B8B">
      <w:pPr>
        <w:ind w:left="-567" w:firstLine="0"/>
        <w:jc w:val="center"/>
        <w:rPr>
          <w:rFonts w:eastAsia="Calibri" w:cs="Times New Roman"/>
          <w:szCs w:val="24"/>
          <w:lang w:eastAsia="en-US"/>
        </w:rPr>
      </w:pPr>
    </w:p>
    <w:p w14:paraId="08C33885" w14:textId="77777777" w:rsidR="00E87B8B" w:rsidRDefault="00E87B8B">
      <w:pPr>
        <w:ind w:left="-567" w:firstLine="0"/>
        <w:jc w:val="center"/>
        <w:rPr>
          <w:rFonts w:eastAsia="Calibri" w:cs="Times New Roman"/>
          <w:szCs w:val="24"/>
          <w:lang w:eastAsia="en-US"/>
        </w:rPr>
      </w:pPr>
    </w:p>
    <w:p w14:paraId="174B7544" w14:textId="77777777" w:rsidR="00E87B8B" w:rsidRDefault="00E87B8B">
      <w:pPr>
        <w:ind w:left="-567" w:firstLine="0"/>
        <w:jc w:val="center"/>
        <w:rPr>
          <w:rFonts w:eastAsia="Calibri" w:cs="Times New Roman"/>
          <w:szCs w:val="24"/>
          <w:lang w:eastAsia="en-US"/>
        </w:rPr>
      </w:pPr>
    </w:p>
    <w:p w14:paraId="0939BA2F" w14:textId="77777777" w:rsidR="000656F2" w:rsidRDefault="000656F2">
      <w:pPr>
        <w:ind w:left="-567" w:firstLine="0"/>
        <w:jc w:val="center"/>
        <w:rPr>
          <w:rFonts w:eastAsia="Calibri" w:cs="Times New Roman"/>
          <w:szCs w:val="24"/>
          <w:lang w:eastAsia="en-US"/>
        </w:rPr>
      </w:pPr>
    </w:p>
    <w:p w14:paraId="000A9B36" w14:textId="77777777" w:rsidR="000656F2" w:rsidRDefault="000656F2">
      <w:pPr>
        <w:ind w:left="-567" w:firstLine="0"/>
        <w:jc w:val="center"/>
        <w:rPr>
          <w:rFonts w:eastAsia="Calibri" w:cs="Times New Roman"/>
          <w:szCs w:val="24"/>
          <w:lang w:eastAsia="en-US"/>
        </w:rPr>
      </w:pPr>
    </w:p>
    <w:p w14:paraId="0245BFFD" w14:textId="77777777" w:rsidR="001F49FD" w:rsidRDefault="001F49FD">
      <w:pPr>
        <w:ind w:left="-567" w:firstLine="0"/>
        <w:jc w:val="center"/>
        <w:rPr>
          <w:rFonts w:ascii="Times New Roman" w:eastAsia="Calibri" w:hAnsi="Times New Roman" w:cs="Times New Roman"/>
          <w:szCs w:val="24"/>
          <w:lang w:eastAsia="en-US"/>
        </w:rPr>
      </w:pPr>
    </w:p>
    <w:p w14:paraId="48E305EE" w14:textId="77777777" w:rsidR="001F49FD" w:rsidRDefault="001F49FD">
      <w:pPr>
        <w:ind w:left="-567" w:firstLine="0"/>
        <w:jc w:val="center"/>
        <w:rPr>
          <w:rFonts w:ascii="Times New Roman" w:eastAsia="Calibri" w:hAnsi="Times New Roman" w:cs="Times New Roman"/>
          <w:szCs w:val="24"/>
          <w:lang w:eastAsia="en-US"/>
        </w:rPr>
      </w:pPr>
    </w:p>
    <w:p w14:paraId="48675E12" w14:textId="77777777" w:rsidR="001F49FD" w:rsidRDefault="001F49FD">
      <w:pPr>
        <w:ind w:left="-567" w:firstLine="0"/>
        <w:jc w:val="center"/>
        <w:rPr>
          <w:rFonts w:ascii="Times New Roman" w:eastAsia="Calibri" w:hAnsi="Times New Roman" w:cs="Times New Roman"/>
          <w:szCs w:val="24"/>
          <w:lang w:eastAsia="en-US"/>
        </w:rPr>
      </w:pPr>
    </w:p>
    <w:p w14:paraId="4090A484" w14:textId="77777777" w:rsidR="001F49FD" w:rsidRDefault="001F49FD">
      <w:pPr>
        <w:ind w:left="-567" w:firstLine="0"/>
        <w:jc w:val="center"/>
        <w:rPr>
          <w:rFonts w:ascii="Times New Roman" w:eastAsia="Calibri" w:hAnsi="Times New Roman" w:cs="Times New Roman"/>
          <w:szCs w:val="24"/>
          <w:lang w:eastAsia="en-US"/>
        </w:rPr>
      </w:pPr>
    </w:p>
    <w:p w14:paraId="08043CD7" w14:textId="77777777" w:rsidR="001F49FD" w:rsidRDefault="001F49FD">
      <w:pPr>
        <w:ind w:left="-567" w:firstLine="0"/>
        <w:jc w:val="center"/>
        <w:rPr>
          <w:rFonts w:ascii="Times New Roman" w:eastAsia="Calibri" w:hAnsi="Times New Roman" w:cs="Times New Roman"/>
          <w:szCs w:val="24"/>
          <w:lang w:eastAsia="en-US"/>
        </w:rPr>
      </w:pPr>
    </w:p>
    <w:p w14:paraId="259EB243" w14:textId="77777777" w:rsidR="001F49FD" w:rsidRDefault="001F49FD">
      <w:pPr>
        <w:ind w:left="-567" w:firstLine="0"/>
        <w:jc w:val="center"/>
        <w:rPr>
          <w:rFonts w:ascii="Times New Roman" w:eastAsia="Calibri" w:hAnsi="Times New Roman" w:cs="Times New Roman"/>
          <w:szCs w:val="24"/>
          <w:lang w:eastAsia="en-US"/>
        </w:rPr>
      </w:pPr>
    </w:p>
    <w:p w14:paraId="542989FB" w14:textId="77777777" w:rsidR="001F49FD" w:rsidRDefault="001F49FD">
      <w:pPr>
        <w:ind w:left="-567" w:firstLine="0"/>
        <w:jc w:val="center"/>
        <w:rPr>
          <w:rFonts w:ascii="Times New Roman" w:eastAsia="Calibri" w:hAnsi="Times New Roman" w:cs="Times New Roman"/>
          <w:szCs w:val="24"/>
          <w:lang w:eastAsia="en-US"/>
        </w:rPr>
      </w:pPr>
    </w:p>
    <w:p w14:paraId="11496726" w14:textId="77777777" w:rsidR="001F49FD" w:rsidRDefault="001F49FD">
      <w:pPr>
        <w:spacing w:line="240" w:lineRule="auto"/>
        <w:ind w:left="4536" w:firstLine="0"/>
        <w:rPr>
          <w:rFonts w:ascii="Times New Roman" w:eastAsia="Calibri" w:hAnsi="Times New Roman" w:cs="Times New Roman"/>
          <w:szCs w:val="24"/>
          <w:lang w:eastAsia="en-US"/>
        </w:rPr>
      </w:pPr>
    </w:p>
    <w:p w14:paraId="4806C797" w14:textId="77777777" w:rsidR="001F49FD" w:rsidRDefault="001F49FD">
      <w:pPr>
        <w:ind w:left="-567" w:firstLine="0"/>
        <w:jc w:val="center"/>
        <w:rPr>
          <w:rFonts w:ascii="Times New Roman" w:eastAsia="Calibri" w:hAnsi="Times New Roman" w:cs="Times New Roman"/>
          <w:szCs w:val="24"/>
          <w:lang w:eastAsia="en-US"/>
        </w:rPr>
      </w:pPr>
    </w:p>
    <w:p w14:paraId="4723BAD4" w14:textId="77777777" w:rsidR="001F49FD" w:rsidRDefault="001F49FD">
      <w:pPr>
        <w:ind w:firstLine="0"/>
        <w:rPr>
          <w:rFonts w:ascii="Times New Roman" w:eastAsia="Calibri" w:hAnsi="Times New Roman" w:cs="Times New Roman"/>
          <w:szCs w:val="24"/>
          <w:lang w:eastAsia="en-US"/>
        </w:rPr>
      </w:pPr>
    </w:p>
    <w:p w14:paraId="17395684" w14:textId="77777777" w:rsidR="001F49FD" w:rsidRDefault="001F49FD">
      <w:pPr>
        <w:ind w:left="-567" w:firstLine="0"/>
        <w:jc w:val="center"/>
        <w:rPr>
          <w:rFonts w:ascii="Times New Roman" w:eastAsia="Calibri" w:hAnsi="Times New Roman" w:cs="Times New Roman"/>
          <w:szCs w:val="24"/>
          <w:lang w:eastAsia="en-US"/>
        </w:rPr>
      </w:pPr>
    </w:p>
    <w:p w14:paraId="0DB8CD5D" w14:textId="77777777" w:rsidR="001F49FD" w:rsidRDefault="001F49FD">
      <w:pPr>
        <w:ind w:firstLine="0"/>
        <w:rPr>
          <w:rFonts w:ascii="Times New Roman" w:eastAsia="Calibri" w:hAnsi="Times New Roman" w:cs="Times New Roman"/>
          <w:szCs w:val="24"/>
          <w:lang w:eastAsia="en-US"/>
        </w:rPr>
      </w:pPr>
    </w:p>
    <w:p w14:paraId="05AB203C" w14:textId="77777777" w:rsidR="001F49FD" w:rsidRDefault="001F49FD">
      <w:pPr>
        <w:ind w:firstLine="0"/>
        <w:rPr>
          <w:rFonts w:ascii="Times New Roman" w:eastAsia="Calibri" w:hAnsi="Times New Roman" w:cs="Times New Roman"/>
          <w:szCs w:val="24"/>
          <w:lang w:eastAsia="en-US"/>
        </w:rPr>
      </w:pPr>
    </w:p>
    <w:p w14:paraId="11006129" w14:textId="77777777" w:rsidR="001F49FD" w:rsidRDefault="001F49FD">
      <w:pPr>
        <w:ind w:left="-567" w:firstLine="0"/>
        <w:jc w:val="center"/>
        <w:rPr>
          <w:rFonts w:ascii="Times New Roman" w:eastAsia="Calibri" w:hAnsi="Times New Roman" w:cs="Times New Roman"/>
          <w:szCs w:val="24"/>
          <w:lang w:eastAsia="en-US"/>
        </w:rPr>
      </w:pPr>
    </w:p>
    <w:p w14:paraId="569C20AF" w14:textId="77777777" w:rsidR="001F49FD" w:rsidRDefault="001F49FD">
      <w:pPr>
        <w:ind w:left="-567" w:firstLine="0"/>
        <w:jc w:val="center"/>
        <w:rPr>
          <w:rFonts w:ascii="Times New Roman" w:eastAsia="Calibri" w:hAnsi="Times New Roman" w:cs="Times New Roman"/>
          <w:szCs w:val="24"/>
          <w:lang w:eastAsia="en-US"/>
        </w:rPr>
      </w:pPr>
    </w:p>
    <w:p w14:paraId="23056F1A" w14:textId="77777777" w:rsidR="00E87B8B" w:rsidRDefault="00E87B8B">
      <w:pPr>
        <w:ind w:left="-567" w:firstLine="0"/>
        <w:jc w:val="center"/>
        <w:rPr>
          <w:rFonts w:ascii="Times New Roman" w:eastAsia="Calibri" w:hAnsi="Times New Roman" w:cs="Times New Roman"/>
          <w:szCs w:val="24"/>
          <w:lang w:eastAsia="en-US"/>
        </w:rPr>
      </w:pPr>
    </w:p>
    <w:p w14:paraId="3E6DFB53" w14:textId="77777777" w:rsidR="00E87B8B" w:rsidRDefault="00E87B8B">
      <w:pPr>
        <w:ind w:left="-567" w:firstLine="0"/>
        <w:jc w:val="center"/>
        <w:rPr>
          <w:rFonts w:ascii="Times New Roman" w:eastAsia="Calibri" w:hAnsi="Times New Roman" w:cs="Times New Roman"/>
          <w:szCs w:val="24"/>
          <w:lang w:eastAsia="en-US"/>
        </w:rPr>
      </w:pPr>
    </w:p>
    <w:p w14:paraId="2EEFEA89" w14:textId="77777777" w:rsidR="00E87B8B" w:rsidRDefault="00E87B8B" w:rsidP="000656F2">
      <w:pPr>
        <w:ind w:firstLine="0"/>
        <w:rPr>
          <w:rFonts w:ascii="Times New Roman" w:eastAsia="Calibri" w:hAnsi="Times New Roman" w:cs="Times New Roman"/>
          <w:szCs w:val="24"/>
          <w:lang w:eastAsia="en-US"/>
        </w:rPr>
      </w:pPr>
    </w:p>
    <w:p w14:paraId="3E9EBBA8" w14:textId="77777777" w:rsidR="001F49FD" w:rsidRDefault="001F49FD">
      <w:pPr>
        <w:ind w:left="-567" w:firstLine="0"/>
        <w:jc w:val="center"/>
        <w:rPr>
          <w:rFonts w:ascii="Times New Roman" w:eastAsia="Calibri" w:hAnsi="Times New Roman" w:cs="Times New Roman"/>
          <w:szCs w:val="24"/>
          <w:lang w:eastAsia="en-US"/>
        </w:rPr>
      </w:pPr>
    </w:p>
    <w:p w14:paraId="6A91ECF4" w14:textId="77777777" w:rsidR="001F49FD" w:rsidRDefault="001F49FD">
      <w:pPr>
        <w:ind w:left="-567" w:firstLine="0"/>
        <w:jc w:val="center"/>
        <w:rPr>
          <w:rFonts w:ascii="Times New Roman" w:eastAsia="Calibri" w:hAnsi="Times New Roman" w:cs="Times New Roman"/>
          <w:szCs w:val="24"/>
          <w:lang w:eastAsia="en-US"/>
        </w:rPr>
      </w:pPr>
    </w:p>
    <w:p w14:paraId="7B3C2D12"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Rio de Janeiro</w:t>
      </w:r>
    </w:p>
    <w:p w14:paraId="4E9A02F9" w14:textId="77777777" w:rsidR="001F49FD" w:rsidRDefault="00611419">
      <w:pPr>
        <w:ind w:left="-567" w:firstLine="0"/>
        <w:jc w:val="center"/>
        <w:rPr>
          <w:rFonts w:ascii="Times New Roman" w:eastAsia="Calibri" w:hAnsi="Times New Roman" w:cs="Times New Roman"/>
          <w:szCs w:val="24"/>
          <w:lang w:eastAsia="en-US"/>
        </w:rPr>
      </w:pPr>
      <w:r>
        <w:rPr>
          <w:rFonts w:eastAsia="Calibri" w:cs="Times New Roman"/>
          <w:szCs w:val="24"/>
          <w:lang w:eastAsia="en-US"/>
        </w:rPr>
        <w:t>2025</w:t>
      </w:r>
    </w:p>
    <w:p w14:paraId="0570F8FB" w14:textId="77777777" w:rsidR="001F49FD" w:rsidRDefault="001F49FD">
      <w:pPr>
        <w:rPr>
          <w:rFonts w:ascii="Times New Roman" w:eastAsia="Calibri" w:hAnsi="Times New Roman" w:cs="Times New Roman"/>
          <w:szCs w:val="24"/>
          <w:lang w:eastAsia="en-US"/>
        </w:rPr>
      </w:pPr>
    </w:p>
    <w:p w14:paraId="5A0C6596" w14:textId="77777777" w:rsidR="001F49FD" w:rsidRDefault="001F49FD" w:rsidP="000A6E65">
      <w:pPr>
        <w:pStyle w:val="Ttulo1"/>
      </w:pPr>
    </w:p>
    <w:p w14:paraId="28A2125F" w14:textId="77777777" w:rsidR="001F49FD" w:rsidRDefault="001F49FD" w:rsidP="000A6E65">
      <w:pPr>
        <w:pStyle w:val="Ttulo1"/>
      </w:pPr>
    </w:p>
    <w:p w14:paraId="6CA7890C" w14:textId="77777777" w:rsidR="001F49FD" w:rsidRDefault="001F49FD" w:rsidP="000A6E65">
      <w:pPr>
        <w:pStyle w:val="Ttulo1"/>
      </w:pPr>
    </w:p>
    <w:p w14:paraId="72417696" w14:textId="77777777" w:rsidR="001F49FD" w:rsidRDefault="001F49FD">
      <w:pPr>
        <w:rPr>
          <w:lang w:eastAsia="en-US"/>
        </w:rPr>
      </w:pPr>
    </w:p>
    <w:p w14:paraId="546F419E" w14:textId="77777777" w:rsidR="001F49FD" w:rsidRDefault="001F49FD">
      <w:pPr>
        <w:rPr>
          <w:lang w:eastAsia="en-US"/>
        </w:rPr>
      </w:pPr>
    </w:p>
    <w:p w14:paraId="4B351E3E" w14:textId="77777777" w:rsidR="001F49FD" w:rsidRDefault="001F49FD">
      <w:pPr>
        <w:rPr>
          <w:lang w:eastAsia="en-US"/>
        </w:rPr>
      </w:pPr>
    </w:p>
    <w:p w14:paraId="4FD6142D" w14:textId="77777777" w:rsidR="001F49FD" w:rsidRDefault="001F49FD">
      <w:pPr>
        <w:rPr>
          <w:lang w:eastAsia="en-US"/>
        </w:rPr>
      </w:pPr>
    </w:p>
    <w:p w14:paraId="62D0F283" w14:textId="77777777" w:rsidR="001F49FD" w:rsidRDefault="001F49FD">
      <w:pPr>
        <w:rPr>
          <w:lang w:eastAsia="en-US"/>
        </w:rPr>
      </w:pPr>
    </w:p>
    <w:p w14:paraId="04F48893" w14:textId="77777777" w:rsidR="001F49FD" w:rsidRDefault="001F49FD">
      <w:pPr>
        <w:rPr>
          <w:lang w:eastAsia="en-US"/>
        </w:rPr>
      </w:pPr>
    </w:p>
    <w:p w14:paraId="342821FB" w14:textId="77777777" w:rsidR="001F49FD" w:rsidRDefault="001F49FD" w:rsidP="000A6E65">
      <w:pPr>
        <w:pStyle w:val="Ttulo1"/>
      </w:pPr>
    </w:p>
    <w:p w14:paraId="02AC64F7" w14:textId="77777777" w:rsidR="001F49FD" w:rsidRDefault="001F49FD" w:rsidP="000A6E65">
      <w:pPr>
        <w:pStyle w:val="Ttulo1"/>
      </w:pPr>
    </w:p>
    <w:p w14:paraId="2AAA15D9" w14:textId="77777777" w:rsidR="001F49FD" w:rsidRDefault="001F49FD" w:rsidP="000A6E65">
      <w:pPr>
        <w:pStyle w:val="Ttulo1"/>
      </w:pPr>
    </w:p>
    <w:p w14:paraId="5A14EF90" w14:textId="77777777" w:rsidR="001F49FD" w:rsidRDefault="001F49FD">
      <w:pPr>
        <w:jc w:val="right"/>
      </w:pPr>
    </w:p>
    <w:p w14:paraId="70374DF6" w14:textId="77777777" w:rsidR="001F49FD" w:rsidRDefault="001F49FD">
      <w:pPr>
        <w:jc w:val="right"/>
      </w:pPr>
    </w:p>
    <w:p w14:paraId="14B6D0BA" w14:textId="77777777" w:rsidR="001F49FD" w:rsidRDefault="001F49FD">
      <w:pPr>
        <w:jc w:val="right"/>
      </w:pPr>
    </w:p>
    <w:p w14:paraId="44723AE0" w14:textId="77777777" w:rsidR="001F49FD" w:rsidRDefault="001F49FD">
      <w:pPr>
        <w:jc w:val="right"/>
      </w:pPr>
    </w:p>
    <w:p w14:paraId="6D496BE7" w14:textId="77777777" w:rsidR="001F49FD" w:rsidRDefault="001F49FD">
      <w:pPr>
        <w:jc w:val="right"/>
      </w:pPr>
    </w:p>
    <w:p w14:paraId="34BD7687" w14:textId="77777777" w:rsidR="001F49FD" w:rsidRDefault="001F49FD">
      <w:pPr>
        <w:jc w:val="right"/>
      </w:pPr>
    </w:p>
    <w:p w14:paraId="6378EB63" w14:textId="77777777" w:rsidR="001F49FD" w:rsidRDefault="001F49FD">
      <w:pPr>
        <w:jc w:val="right"/>
      </w:pPr>
    </w:p>
    <w:p w14:paraId="30EB26B5" w14:textId="77777777" w:rsidR="001F49FD" w:rsidRDefault="001F49FD">
      <w:pPr>
        <w:jc w:val="right"/>
      </w:pPr>
    </w:p>
    <w:p w14:paraId="4838BD41" w14:textId="77777777" w:rsidR="001F49FD" w:rsidRDefault="001F49FD">
      <w:pPr>
        <w:jc w:val="right"/>
      </w:pPr>
    </w:p>
    <w:p w14:paraId="43C135BD" w14:textId="77777777" w:rsidR="001F49FD" w:rsidRDefault="001F49FD">
      <w:pPr>
        <w:ind w:firstLine="0"/>
      </w:pPr>
    </w:p>
    <w:p w14:paraId="6637664E" w14:textId="77777777" w:rsidR="001F49FD" w:rsidRDefault="00611419">
      <w:pPr>
        <w:jc w:val="right"/>
      </w:pPr>
      <w:r>
        <w:t xml:space="preserve">Aos que estudam violino. </w:t>
      </w:r>
    </w:p>
    <w:p w14:paraId="765CA596" w14:textId="77777777" w:rsidR="001F49FD" w:rsidRDefault="001F49FD">
      <w:pPr>
        <w:rPr>
          <w:lang w:eastAsia="en-US"/>
        </w:rPr>
      </w:pPr>
    </w:p>
    <w:p w14:paraId="5B4950DE" w14:textId="77777777" w:rsidR="001F49FD" w:rsidRDefault="001F49FD">
      <w:pPr>
        <w:rPr>
          <w:lang w:eastAsia="en-US"/>
        </w:rPr>
      </w:pPr>
    </w:p>
    <w:p w14:paraId="26B04BB6" w14:textId="77777777" w:rsidR="001F49FD" w:rsidRDefault="001F49FD" w:rsidP="000A6E65">
      <w:pPr>
        <w:pStyle w:val="Ttulo1"/>
      </w:pPr>
    </w:p>
    <w:p w14:paraId="545550A5" w14:textId="77777777" w:rsidR="001F49FD" w:rsidRDefault="001F49FD">
      <w:pPr>
        <w:spacing w:before="360" w:after="240"/>
        <w:ind w:firstLine="0"/>
        <w:jc w:val="center"/>
        <w:rPr>
          <w:rFonts w:ascii="Times New Roman" w:eastAsia="Calibri" w:hAnsi="Times New Roman" w:cs="Times New Roman"/>
          <w:b/>
          <w:szCs w:val="24"/>
          <w:lang w:eastAsia="en-US"/>
        </w:rPr>
      </w:pPr>
    </w:p>
    <w:p w14:paraId="6803A760" w14:textId="77777777" w:rsidR="001F49FD" w:rsidRDefault="001F49FD">
      <w:pPr>
        <w:spacing w:before="360" w:after="240"/>
        <w:ind w:firstLine="0"/>
        <w:jc w:val="center"/>
        <w:rPr>
          <w:rFonts w:ascii="Times New Roman" w:eastAsia="Calibri" w:hAnsi="Times New Roman" w:cs="Times New Roman"/>
          <w:b/>
          <w:szCs w:val="24"/>
          <w:lang w:eastAsia="en-US"/>
        </w:rPr>
      </w:pPr>
    </w:p>
    <w:p w14:paraId="6F38FB1E"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806A7A7"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325AB851"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5D5DBEA3"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0674A6E"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459F4849"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0AA4E8C5"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38295A5"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3B3D11A"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5469BD84"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77986085" w14:textId="77777777" w:rsidR="001F49FD" w:rsidRDefault="001F49FD">
      <w:pPr>
        <w:spacing w:before="360" w:after="240"/>
        <w:ind w:left="-567" w:firstLine="0"/>
        <w:jc w:val="center"/>
        <w:rPr>
          <w:rFonts w:ascii="Times New Roman" w:eastAsia="Calibri" w:hAnsi="Times New Roman" w:cs="Times New Roman"/>
          <w:b/>
          <w:szCs w:val="24"/>
          <w:lang w:eastAsia="en-US"/>
        </w:rPr>
      </w:pPr>
    </w:p>
    <w:p w14:paraId="2BBBB9EA" w14:textId="77777777" w:rsidR="001F49FD" w:rsidRDefault="001F49FD">
      <w:pPr>
        <w:spacing w:before="360" w:after="240"/>
        <w:ind w:firstLine="0"/>
        <w:rPr>
          <w:rFonts w:ascii="Times New Roman" w:eastAsia="Calibri" w:hAnsi="Times New Roman" w:cs="Times New Roman"/>
          <w:b/>
          <w:szCs w:val="24"/>
          <w:lang w:eastAsia="en-US"/>
        </w:rPr>
      </w:pPr>
    </w:p>
    <w:p w14:paraId="77C02C63" w14:textId="77777777" w:rsidR="00E87B8B" w:rsidRDefault="00E87B8B">
      <w:pPr>
        <w:spacing w:before="360" w:after="240"/>
        <w:ind w:firstLine="0"/>
        <w:rPr>
          <w:rFonts w:ascii="Times New Roman" w:eastAsia="Calibri" w:hAnsi="Times New Roman" w:cs="Times New Roman"/>
          <w:b/>
          <w:szCs w:val="24"/>
          <w:lang w:eastAsia="en-US"/>
        </w:rPr>
      </w:pPr>
    </w:p>
    <w:p w14:paraId="50E526D9" w14:textId="77777777" w:rsidR="00E87B8B" w:rsidRDefault="00E87B8B">
      <w:pPr>
        <w:spacing w:before="360" w:after="240"/>
        <w:ind w:firstLine="0"/>
        <w:rPr>
          <w:rFonts w:ascii="Times New Roman" w:eastAsia="Calibri" w:hAnsi="Times New Roman" w:cs="Times New Roman"/>
          <w:b/>
          <w:szCs w:val="24"/>
          <w:lang w:eastAsia="en-US"/>
        </w:rPr>
      </w:pPr>
    </w:p>
    <w:p w14:paraId="5BD8198D" w14:textId="77777777" w:rsidR="001F49FD" w:rsidRDefault="001F49FD">
      <w:pPr>
        <w:spacing w:before="360" w:after="240"/>
        <w:ind w:firstLine="0"/>
        <w:rPr>
          <w:rFonts w:ascii="Times New Roman" w:eastAsia="Calibri" w:hAnsi="Times New Roman" w:cs="Times New Roman"/>
          <w:b/>
          <w:szCs w:val="24"/>
          <w:lang w:eastAsia="en-US"/>
        </w:rPr>
      </w:pPr>
    </w:p>
    <w:p w14:paraId="0C59245F" w14:textId="201E8DA5" w:rsidR="001F49FD" w:rsidRDefault="00611419">
      <w:pPr>
        <w:jc w:val="right"/>
        <w:rPr>
          <w:i/>
          <w:iCs/>
        </w:rPr>
      </w:pPr>
      <w:r>
        <w:rPr>
          <w:i/>
          <w:iCs/>
        </w:rPr>
        <w:t>A tradição oral não revela nada além das opiniõ</w:t>
      </w:r>
      <w:r w:rsidR="00FC4E86">
        <w:rPr>
          <w:i/>
          <w:iCs/>
        </w:rPr>
        <w:t>e</w:t>
      </w:r>
      <w:r>
        <w:rPr>
          <w:i/>
          <w:iCs/>
        </w:rPr>
        <w:t>s de nossa própria época</w:t>
      </w:r>
    </w:p>
    <w:p w14:paraId="52D50470" w14:textId="77777777" w:rsidR="001F49FD" w:rsidRDefault="00611419">
      <w:pPr>
        <w:jc w:val="right"/>
      </w:pPr>
      <w:r>
        <w:t>Clive Brown</w:t>
      </w:r>
    </w:p>
    <w:p w14:paraId="511811CE" w14:textId="77777777" w:rsidR="001F49FD" w:rsidRDefault="001F49FD">
      <w:pPr>
        <w:jc w:val="right"/>
      </w:pPr>
    </w:p>
    <w:p w14:paraId="6B7056FE" w14:textId="09419011" w:rsidR="001F49FD" w:rsidRDefault="00611419" w:rsidP="00E87B8B">
      <w:pPr>
        <w:ind w:firstLine="0"/>
        <w:jc w:val="center"/>
        <w:rPr>
          <w:rFonts w:eastAsia="Calibri" w:cs="Times New Roman"/>
          <w:b/>
          <w:szCs w:val="24"/>
          <w:lang w:eastAsia="en-US"/>
        </w:rPr>
      </w:pPr>
      <w:r>
        <w:rPr>
          <w:rFonts w:eastAsia="Calibri" w:cs="Times New Roman"/>
          <w:b/>
          <w:szCs w:val="24"/>
          <w:lang w:eastAsia="en-US"/>
        </w:rPr>
        <w:t xml:space="preserve">                             </w:t>
      </w:r>
    </w:p>
    <w:p w14:paraId="04150DB4" w14:textId="77777777" w:rsidR="00FC4E86" w:rsidRDefault="00FC4E86" w:rsidP="00BA3418">
      <w:pPr>
        <w:tabs>
          <w:tab w:val="center" w:pos="4607"/>
          <w:tab w:val="left" w:pos="7580"/>
        </w:tabs>
        <w:spacing w:before="360" w:after="240" w:line="240" w:lineRule="auto"/>
        <w:ind w:firstLine="0"/>
        <w:jc w:val="center"/>
        <w:rPr>
          <w:rFonts w:eastAsia="Calibri" w:cs="Times New Roman"/>
          <w:b/>
          <w:szCs w:val="24"/>
          <w:lang w:eastAsia="en-US"/>
        </w:rPr>
      </w:pPr>
    </w:p>
    <w:p w14:paraId="0D123912" w14:textId="77777777" w:rsidR="00852F3E" w:rsidRDefault="00852F3E" w:rsidP="00BA3418">
      <w:pPr>
        <w:tabs>
          <w:tab w:val="center" w:pos="4607"/>
          <w:tab w:val="left" w:pos="7580"/>
        </w:tabs>
        <w:spacing w:before="360" w:after="240" w:line="240" w:lineRule="auto"/>
        <w:ind w:firstLine="0"/>
        <w:jc w:val="center"/>
        <w:rPr>
          <w:rFonts w:eastAsia="Calibri" w:cs="Times New Roman"/>
          <w:b/>
          <w:szCs w:val="24"/>
          <w:lang w:eastAsia="en-US"/>
        </w:rPr>
      </w:pPr>
    </w:p>
    <w:p w14:paraId="74A7A3DB" w14:textId="315460CC" w:rsidR="00BA3418" w:rsidRDefault="00BA3418" w:rsidP="00BA3418">
      <w:pPr>
        <w:tabs>
          <w:tab w:val="center" w:pos="4607"/>
          <w:tab w:val="left" w:pos="7580"/>
        </w:tabs>
        <w:spacing w:before="360" w:after="240" w:line="240" w:lineRule="auto"/>
        <w:ind w:firstLine="0"/>
        <w:jc w:val="center"/>
        <w:rPr>
          <w:rFonts w:ascii="Times New Roman" w:eastAsia="Calibri" w:hAnsi="Times New Roman" w:cs="Times New Roman"/>
          <w:b/>
          <w:szCs w:val="24"/>
          <w:lang w:eastAsia="en-US"/>
        </w:rPr>
      </w:pPr>
      <w:r>
        <w:rPr>
          <w:rFonts w:eastAsia="Calibri" w:cs="Times New Roman"/>
          <w:b/>
          <w:szCs w:val="24"/>
          <w:lang w:eastAsia="en-US"/>
        </w:rPr>
        <w:lastRenderedPageBreak/>
        <w:t>SUMÁRIO</w:t>
      </w:r>
    </w:p>
    <w:p w14:paraId="5E460B3B" w14:textId="77777777" w:rsidR="00BA3418" w:rsidRDefault="00BA3418" w:rsidP="00BA3418">
      <w:pPr>
        <w:tabs>
          <w:tab w:val="center" w:pos="4607"/>
          <w:tab w:val="left" w:pos="7580"/>
        </w:tabs>
        <w:spacing w:before="360" w:after="240" w:line="240" w:lineRule="auto"/>
        <w:ind w:firstLine="0"/>
        <w:jc w:val="center"/>
        <w:rPr>
          <w:rFonts w:ascii="Times New Roman" w:eastAsia="Calibri" w:hAnsi="Times New Roman" w:cs="Times New Roman"/>
          <w:b/>
          <w:szCs w:val="24"/>
          <w:lang w:eastAsia="en-US"/>
        </w:rPr>
      </w:pPr>
    </w:p>
    <w:sdt>
      <w:sdtPr>
        <w:id w:val="678626535"/>
        <w:docPartObj>
          <w:docPartGallery w:val="Table of Contents"/>
          <w:docPartUnique/>
        </w:docPartObj>
      </w:sdtPr>
      <w:sdtContent>
        <w:p w14:paraId="397AD8A5" w14:textId="614A7648" w:rsidR="000656F2" w:rsidRDefault="00BA3418" w:rsidP="00FE41EC">
          <w:pPr>
            <w:pStyle w:val="Sumrio1"/>
            <w:rPr>
              <w:noProof/>
              <w:kern w:val="2"/>
              <w:szCs w:val="24"/>
              <w14:ligatures w14:val="standardContextual"/>
            </w:rPr>
          </w:pPr>
          <w:r>
            <w:fldChar w:fldCharType="begin"/>
          </w:r>
          <w:r>
            <w:rPr>
              <w:rStyle w:val="Vnculodendice"/>
              <w:webHidden/>
            </w:rPr>
            <w:instrText xml:space="preserve"> TOC \z \o "1-4" \u \h</w:instrText>
          </w:r>
          <w:r>
            <w:rPr>
              <w:rStyle w:val="Vnculodendice"/>
            </w:rPr>
            <w:fldChar w:fldCharType="separate"/>
          </w:r>
          <w:hyperlink w:anchor="_Toc219359017" w:history="1">
            <w:r w:rsidR="000656F2" w:rsidRPr="0003146A">
              <w:rPr>
                <w:rStyle w:val="Hyperlink"/>
                <w:noProof/>
              </w:rPr>
              <w:t>INTRODUÇÃO</w:t>
            </w:r>
            <w:r w:rsidR="000656F2">
              <w:rPr>
                <w:noProof/>
                <w:webHidden/>
              </w:rPr>
              <w:tab/>
            </w:r>
            <w:r w:rsidR="000656F2">
              <w:rPr>
                <w:noProof/>
                <w:webHidden/>
              </w:rPr>
              <w:fldChar w:fldCharType="begin"/>
            </w:r>
            <w:r w:rsidR="000656F2">
              <w:rPr>
                <w:noProof/>
                <w:webHidden/>
              </w:rPr>
              <w:instrText xml:space="preserve"> PAGEREF _Toc219359017 \h </w:instrText>
            </w:r>
            <w:r w:rsidR="000656F2">
              <w:rPr>
                <w:noProof/>
                <w:webHidden/>
              </w:rPr>
            </w:r>
            <w:r w:rsidR="000656F2">
              <w:rPr>
                <w:noProof/>
                <w:webHidden/>
              </w:rPr>
              <w:fldChar w:fldCharType="separate"/>
            </w:r>
            <w:r w:rsidR="000656F2">
              <w:rPr>
                <w:noProof/>
                <w:webHidden/>
              </w:rPr>
              <w:t>14</w:t>
            </w:r>
            <w:r w:rsidR="000656F2">
              <w:rPr>
                <w:noProof/>
                <w:webHidden/>
              </w:rPr>
              <w:fldChar w:fldCharType="end"/>
            </w:r>
          </w:hyperlink>
        </w:p>
        <w:p w14:paraId="38D5F59A" w14:textId="272A1317" w:rsidR="000656F2" w:rsidRDefault="000656F2" w:rsidP="00FE41EC">
          <w:pPr>
            <w:pStyle w:val="Sumrio1"/>
            <w:rPr>
              <w:noProof/>
              <w:kern w:val="2"/>
              <w:szCs w:val="24"/>
              <w14:ligatures w14:val="standardContextual"/>
            </w:rPr>
          </w:pPr>
          <w:hyperlink w:anchor="_Toc219359018" w:history="1">
            <w:r w:rsidRPr="0003146A">
              <w:rPr>
                <w:rStyle w:val="Hyperlink"/>
                <w:noProof/>
              </w:rPr>
              <w:t xml:space="preserve">1     </w:t>
            </w:r>
            <w:r w:rsidR="00FE41EC">
              <w:rPr>
                <w:rStyle w:val="Hyperlink"/>
                <w:noProof/>
              </w:rPr>
              <w:t xml:space="preserve">  </w:t>
            </w:r>
            <w:r w:rsidRPr="0003146A">
              <w:rPr>
                <w:rStyle w:val="Hyperlink"/>
                <w:noProof/>
              </w:rPr>
              <w:t>PRINCÍPIOS TÉCNICOS DE MÉTODOS DO SÉCULO XIX</w:t>
            </w:r>
            <w:r>
              <w:rPr>
                <w:noProof/>
                <w:webHidden/>
              </w:rPr>
              <w:tab/>
            </w:r>
            <w:r>
              <w:rPr>
                <w:noProof/>
                <w:webHidden/>
              </w:rPr>
              <w:fldChar w:fldCharType="begin"/>
            </w:r>
            <w:r>
              <w:rPr>
                <w:noProof/>
                <w:webHidden/>
              </w:rPr>
              <w:instrText xml:space="preserve"> PAGEREF _Toc219359018 \h </w:instrText>
            </w:r>
            <w:r>
              <w:rPr>
                <w:noProof/>
                <w:webHidden/>
              </w:rPr>
            </w:r>
            <w:r>
              <w:rPr>
                <w:noProof/>
                <w:webHidden/>
              </w:rPr>
              <w:fldChar w:fldCharType="separate"/>
            </w:r>
            <w:r>
              <w:rPr>
                <w:noProof/>
                <w:webHidden/>
              </w:rPr>
              <w:t>19</w:t>
            </w:r>
            <w:r>
              <w:rPr>
                <w:noProof/>
                <w:webHidden/>
              </w:rPr>
              <w:fldChar w:fldCharType="end"/>
            </w:r>
          </w:hyperlink>
        </w:p>
        <w:p w14:paraId="033BEF9D" w14:textId="4DCD284F" w:rsidR="000656F2" w:rsidRDefault="000656F2" w:rsidP="00FE41EC">
          <w:pPr>
            <w:pStyle w:val="Sumrio2"/>
            <w:rPr>
              <w:noProof/>
              <w:kern w:val="2"/>
              <w:szCs w:val="24"/>
              <w14:ligatures w14:val="standardContextual"/>
            </w:rPr>
          </w:pPr>
          <w:hyperlink w:anchor="_Toc219359019" w:history="1">
            <w:r w:rsidRPr="0003146A">
              <w:rPr>
                <w:rStyle w:val="Hyperlink"/>
                <w:noProof/>
              </w:rPr>
              <w:t xml:space="preserve">1.1    </w:t>
            </w:r>
            <w:r w:rsidRPr="0003146A">
              <w:rPr>
                <w:rStyle w:val="Hyperlink"/>
                <w:i/>
                <w:noProof/>
              </w:rPr>
              <w:t>L’Art du violon</w:t>
            </w:r>
            <w:r w:rsidRPr="0003146A">
              <w:rPr>
                <w:rStyle w:val="Hyperlink"/>
                <w:noProof/>
              </w:rPr>
              <w:t xml:space="preserve"> de Pierre Baillot e a consolidação do conceito de Escola de violino</w:t>
            </w:r>
            <w:r>
              <w:rPr>
                <w:noProof/>
                <w:webHidden/>
              </w:rPr>
              <w:tab/>
            </w:r>
            <w:r>
              <w:rPr>
                <w:noProof/>
                <w:webHidden/>
              </w:rPr>
              <w:fldChar w:fldCharType="begin"/>
            </w:r>
            <w:r>
              <w:rPr>
                <w:noProof/>
                <w:webHidden/>
              </w:rPr>
              <w:instrText xml:space="preserve"> PAGEREF _Toc219359019 \h </w:instrText>
            </w:r>
            <w:r>
              <w:rPr>
                <w:noProof/>
                <w:webHidden/>
              </w:rPr>
            </w:r>
            <w:r>
              <w:rPr>
                <w:noProof/>
                <w:webHidden/>
              </w:rPr>
              <w:fldChar w:fldCharType="separate"/>
            </w:r>
            <w:r>
              <w:rPr>
                <w:noProof/>
                <w:webHidden/>
              </w:rPr>
              <w:t>21</w:t>
            </w:r>
            <w:r>
              <w:rPr>
                <w:noProof/>
                <w:webHidden/>
              </w:rPr>
              <w:fldChar w:fldCharType="end"/>
            </w:r>
          </w:hyperlink>
        </w:p>
        <w:p w14:paraId="2D640545" w14:textId="31650610" w:rsidR="000656F2" w:rsidRDefault="00FE41EC" w:rsidP="00FE41EC">
          <w:pPr>
            <w:pStyle w:val="Sumrio2"/>
            <w:rPr>
              <w:noProof/>
              <w:kern w:val="2"/>
              <w:szCs w:val="24"/>
              <w14:ligatures w14:val="standardContextual"/>
            </w:rPr>
          </w:pPr>
          <w:r>
            <w:t xml:space="preserve">  </w:t>
          </w:r>
          <w:hyperlink w:anchor="_Toc219359020" w:history="1">
            <w:r w:rsidR="000656F2" w:rsidRPr="0003146A">
              <w:rPr>
                <w:rStyle w:val="Hyperlink"/>
                <w:noProof/>
              </w:rPr>
              <w:t>Principais preceitos do método de Baillot</w:t>
            </w:r>
            <w:r>
              <w:rPr>
                <w:noProof/>
                <w:webHidden/>
              </w:rPr>
              <w:t>........................................................................</w:t>
            </w:r>
            <w:r w:rsidR="000656F2">
              <w:rPr>
                <w:noProof/>
                <w:webHidden/>
              </w:rPr>
              <w:fldChar w:fldCharType="begin"/>
            </w:r>
            <w:r w:rsidR="000656F2">
              <w:rPr>
                <w:noProof/>
                <w:webHidden/>
              </w:rPr>
              <w:instrText xml:space="preserve"> PAGEREF _Toc219359020 \h </w:instrText>
            </w:r>
            <w:r w:rsidR="000656F2">
              <w:rPr>
                <w:noProof/>
                <w:webHidden/>
              </w:rPr>
            </w:r>
            <w:r w:rsidR="000656F2">
              <w:rPr>
                <w:noProof/>
                <w:webHidden/>
              </w:rPr>
              <w:fldChar w:fldCharType="separate"/>
            </w:r>
            <w:r w:rsidR="000656F2">
              <w:rPr>
                <w:noProof/>
                <w:webHidden/>
              </w:rPr>
              <w:t>24</w:t>
            </w:r>
            <w:r w:rsidR="000656F2">
              <w:rPr>
                <w:noProof/>
                <w:webHidden/>
              </w:rPr>
              <w:fldChar w:fldCharType="end"/>
            </w:r>
          </w:hyperlink>
        </w:p>
        <w:p w14:paraId="712AFA7D" w14:textId="0948386C" w:rsidR="000656F2" w:rsidRDefault="000656F2" w:rsidP="00FE41EC">
          <w:pPr>
            <w:pStyle w:val="Sumrio2"/>
            <w:rPr>
              <w:noProof/>
              <w:kern w:val="2"/>
              <w:szCs w:val="24"/>
              <w14:ligatures w14:val="standardContextual"/>
            </w:rPr>
          </w:pPr>
          <w:hyperlink w:anchor="_Toc219359021" w:history="1">
            <w:r w:rsidRPr="0003146A">
              <w:rPr>
                <w:rStyle w:val="Hyperlink"/>
                <w:noProof/>
              </w:rPr>
              <w:t xml:space="preserve">1.2   </w:t>
            </w:r>
            <w:r w:rsidR="00FE41EC">
              <w:rPr>
                <w:rStyle w:val="Hyperlink"/>
                <w:noProof/>
              </w:rPr>
              <w:t xml:space="preserve"> </w:t>
            </w:r>
            <w:r w:rsidRPr="0003146A">
              <w:rPr>
                <w:rStyle w:val="Hyperlink"/>
                <w:i/>
                <w:noProof/>
              </w:rPr>
              <w:t>Violinschule</w:t>
            </w:r>
            <w:r w:rsidRPr="0003146A">
              <w:rPr>
                <w:rStyle w:val="Hyperlink"/>
                <w:noProof/>
              </w:rPr>
              <w:t xml:space="preserve"> de Spohr – um método contemporâneo ao </w:t>
            </w:r>
            <w:r w:rsidRPr="0003146A">
              <w:rPr>
                <w:rStyle w:val="Hyperlink"/>
                <w:i/>
                <w:noProof/>
              </w:rPr>
              <w:t>L’ Art du violon</w:t>
            </w:r>
            <w:r>
              <w:rPr>
                <w:noProof/>
                <w:webHidden/>
              </w:rPr>
              <w:tab/>
            </w:r>
            <w:r>
              <w:rPr>
                <w:noProof/>
                <w:webHidden/>
              </w:rPr>
              <w:fldChar w:fldCharType="begin"/>
            </w:r>
            <w:r>
              <w:rPr>
                <w:noProof/>
                <w:webHidden/>
              </w:rPr>
              <w:instrText xml:space="preserve"> PAGEREF _Toc219359021 \h </w:instrText>
            </w:r>
            <w:r>
              <w:rPr>
                <w:noProof/>
                <w:webHidden/>
              </w:rPr>
            </w:r>
            <w:r>
              <w:rPr>
                <w:noProof/>
                <w:webHidden/>
              </w:rPr>
              <w:fldChar w:fldCharType="separate"/>
            </w:r>
            <w:r>
              <w:rPr>
                <w:noProof/>
                <w:webHidden/>
              </w:rPr>
              <w:t>29</w:t>
            </w:r>
            <w:r>
              <w:rPr>
                <w:noProof/>
                <w:webHidden/>
              </w:rPr>
              <w:fldChar w:fldCharType="end"/>
            </w:r>
          </w:hyperlink>
        </w:p>
        <w:p w14:paraId="18D876C3" w14:textId="0F29D975"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22" w:history="1">
            <w:r w:rsidR="000656F2" w:rsidRPr="0003146A">
              <w:rPr>
                <w:rStyle w:val="Hyperlink"/>
                <w:noProof/>
              </w:rPr>
              <w:t>Principais preceitos do método de Spohr</w:t>
            </w:r>
            <w:r w:rsidR="001B3428">
              <w:rPr>
                <w:rStyle w:val="Hyperlink"/>
                <w:noProof/>
              </w:rPr>
              <w:t>.</w:t>
            </w:r>
            <w:r>
              <w:rPr>
                <w:noProof/>
                <w:webHidden/>
              </w:rPr>
              <w:t>........................................................................</w:t>
            </w:r>
            <w:r w:rsidR="000656F2">
              <w:rPr>
                <w:noProof/>
                <w:webHidden/>
              </w:rPr>
              <w:fldChar w:fldCharType="begin"/>
            </w:r>
            <w:r w:rsidR="000656F2">
              <w:rPr>
                <w:noProof/>
                <w:webHidden/>
              </w:rPr>
              <w:instrText xml:space="preserve"> PAGEREF _Toc219359022 \h </w:instrText>
            </w:r>
            <w:r w:rsidR="000656F2">
              <w:rPr>
                <w:noProof/>
                <w:webHidden/>
              </w:rPr>
            </w:r>
            <w:r w:rsidR="000656F2">
              <w:rPr>
                <w:noProof/>
                <w:webHidden/>
              </w:rPr>
              <w:fldChar w:fldCharType="separate"/>
            </w:r>
            <w:r w:rsidR="000656F2">
              <w:rPr>
                <w:noProof/>
                <w:webHidden/>
              </w:rPr>
              <w:t>32</w:t>
            </w:r>
            <w:r w:rsidR="000656F2">
              <w:rPr>
                <w:noProof/>
                <w:webHidden/>
              </w:rPr>
              <w:fldChar w:fldCharType="end"/>
            </w:r>
          </w:hyperlink>
        </w:p>
        <w:p w14:paraId="4350D94D" w14:textId="16A1DC57" w:rsidR="000656F2" w:rsidRDefault="000656F2" w:rsidP="00FE41EC">
          <w:pPr>
            <w:pStyle w:val="Sumrio2"/>
            <w:rPr>
              <w:noProof/>
              <w:kern w:val="2"/>
              <w:szCs w:val="24"/>
              <w14:ligatures w14:val="standardContextual"/>
            </w:rPr>
          </w:pPr>
          <w:hyperlink w:anchor="_Toc219359023" w:history="1">
            <w:r w:rsidRPr="0003146A">
              <w:rPr>
                <w:rStyle w:val="Hyperlink"/>
                <w:noProof/>
              </w:rPr>
              <w:t>1.3    A preeminência da Escola Franco-belga e o Método de Charles de Bériot</w:t>
            </w:r>
            <w:r>
              <w:rPr>
                <w:noProof/>
                <w:webHidden/>
              </w:rPr>
              <w:tab/>
            </w:r>
            <w:r>
              <w:rPr>
                <w:noProof/>
                <w:webHidden/>
              </w:rPr>
              <w:fldChar w:fldCharType="begin"/>
            </w:r>
            <w:r>
              <w:rPr>
                <w:noProof/>
                <w:webHidden/>
              </w:rPr>
              <w:instrText xml:space="preserve"> PAGEREF _Toc219359023 \h </w:instrText>
            </w:r>
            <w:r>
              <w:rPr>
                <w:noProof/>
                <w:webHidden/>
              </w:rPr>
            </w:r>
            <w:r>
              <w:rPr>
                <w:noProof/>
                <w:webHidden/>
              </w:rPr>
              <w:fldChar w:fldCharType="separate"/>
            </w:r>
            <w:r>
              <w:rPr>
                <w:noProof/>
                <w:webHidden/>
              </w:rPr>
              <w:t>36</w:t>
            </w:r>
            <w:r>
              <w:rPr>
                <w:noProof/>
                <w:webHidden/>
              </w:rPr>
              <w:fldChar w:fldCharType="end"/>
            </w:r>
          </w:hyperlink>
        </w:p>
        <w:p w14:paraId="0FAD3D3C" w14:textId="0EBDCF2C"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24" w:history="1">
            <w:r w:rsidR="000656F2" w:rsidRPr="0003146A">
              <w:rPr>
                <w:rStyle w:val="Hyperlink"/>
                <w:noProof/>
              </w:rPr>
              <w:t>Principais preceitos do método de Bériot</w:t>
            </w:r>
            <w:r w:rsidR="000656F2">
              <w:rPr>
                <w:noProof/>
                <w:webHidden/>
              </w:rPr>
              <w:tab/>
            </w:r>
            <w:r w:rsidR="000656F2">
              <w:rPr>
                <w:noProof/>
                <w:webHidden/>
              </w:rPr>
              <w:fldChar w:fldCharType="begin"/>
            </w:r>
            <w:r w:rsidR="000656F2">
              <w:rPr>
                <w:noProof/>
                <w:webHidden/>
              </w:rPr>
              <w:instrText xml:space="preserve"> PAGEREF _Toc219359024 \h </w:instrText>
            </w:r>
            <w:r w:rsidR="000656F2">
              <w:rPr>
                <w:noProof/>
                <w:webHidden/>
              </w:rPr>
            </w:r>
            <w:r w:rsidR="000656F2">
              <w:rPr>
                <w:noProof/>
                <w:webHidden/>
              </w:rPr>
              <w:fldChar w:fldCharType="separate"/>
            </w:r>
            <w:r w:rsidR="000656F2">
              <w:rPr>
                <w:noProof/>
                <w:webHidden/>
              </w:rPr>
              <w:t>38</w:t>
            </w:r>
            <w:r w:rsidR="000656F2">
              <w:rPr>
                <w:noProof/>
                <w:webHidden/>
              </w:rPr>
              <w:fldChar w:fldCharType="end"/>
            </w:r>
          </w:hyperlink>
        </w:p>
        <w:p w14:paraId="0412ED9C" w14:textId="40DF65BB" w:rsidR="000656F2" w:rsidRDefault="000656F2" w:rsidP="00FE41EC">
          <w:pPr>
            <w:pStyle w:val="Sumrio2"/>
            <w:rPr>
              <w:noProof/>
              <w:kern w:val="2"/>
              <w:szCs w:val="24"/>
              <w14:ligatures w14:val="standardContextual"/>
            </w:rPr>
          </w:pPr>
          <w:hyperlink w:anchor="_Toc219359025" w:history="1">
            <w:r w:rsidRPr="0003146A">
              <w:rPr>
                <w:rStyle w:val="Hyperlink"/>
                <w:noProof/>
              </w:rPr>
              <w:t>1.4    A busca da tradição germânica no método de Moser e Joachim</w:t>
            </w:r>
            <w:r>
              <w:rPr>
                <w:noProof/>
                <w:webHidden/>
              </w:rPr>
              <w:tab/>
            </w:r>
            <w:r>
              <w:rPr>
                <w:noProof/>
                <w:webHidden/>
              </w:rPr>
              <w:fldChar w:fldCharType="begin"/>
            </w:r>
            <w:r>
              <w:rPr>
                <w:noProof/>
                <w:webHidden/>
              </w:rPr>
              <w:instrText xml:space="preserve"> PAGEREF _Toc219359025 \h </w:instrText>
            </w:r>
            <w:r>
              <w:rPr>
                <w:noProof/>
                <w:webHidden/>
              </w:rPr>
            </w:r>
            <w:r>
              <w:rPr>
                <w:noProof/>
                <w:webHidden/>
              </w:rPr>
              <w:fldChar w:fldCharType="separate"/>
            </w:r>
            <w:r>
              <w:rPr>
                <w:noProof/>
                <w:webHidden/>
              </w:rPr>
              <w:t>41</w:t>
            </w:r>
            <w:r>
              <w:rPr>
                <w:noProof/>
                <w:webHidden/>
              </w:rPr>
              <w:fldChar w:fldCharType="end"/>
            </w:r>
          </w:hyperlink>
        </w:p>
        <w:p w14:paraId="65321FBC" w14:textId="6F2E0983"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26" w:history="1">
            <w:r w:rsidR="000656F2" w:rsidRPr="0003146A">
              <w:rPr>
                <w:rStyle w:val="Hyperlink"/>
                <w:noProof/>
              </w:rPr>
              <w:t>Principais preceitos do método de Moser e Joachim</w:t>
            </w:r>
            <w:r w:rsidR="000656F2">
              <w:rPr>
                <w:noProof/>
                <w:webHidden/>
              </w:rPr>
              <w:tab/>
            </w:r>
            <w:r w:rsidR="000656F2">
              <w:rPr>
                <w:noProof/>
                <w:webHidden/>
              </w:rPr>
              <w:fldChar w:fldCharType="begin"/>
            </w:r>
            <w:r w:rsidR="000656F2">
              <w:rPr>
                <w:noProof/>
                <w:webHidden/>
              </w:rPr>
              <w:instrText xml:space="preserve"> PAGEREF _Toc219359026 \h </w:instrText>
            </w:r>
            <w:r w:rsidR="000656F2">
              <w:rPr>
                <w:noProof/>
                <w:webHidden/>
              </w:rPr>
            </w:r>
            <w:r w:rsidR="000656F2">
              <w:rPr>
                <w:noProof/>
                <w:webHidden/>
              </w:rPr>
              <w:fldChar w:fldCharType="separate"/>
            </w:r>
            <w:r w:rsidR="000656F2">
              <w:rPr>
                <w:noProof/>
                <w:webHidden/>
              </w:rPr>
              <w:t>44</w:t>
            </w:r>
            <w:r w:rsidR="000656F2">
              <w:rPr>
                <w:noProof/>
                <w:webHidden/>
              </w:rPr>
              <w:fldChar w:fldCharType="end"/>
            </w:r>
          </w:hyperlink>
        </w:p>
        <w:p w14:paraId="4EF853A0" w14:textId="7565CFB2" w:rsidR="000656F2" w:rsidRDefault="000656F2" w:rsidP="00FE41EC">
          <w:pPr>
            <w:pStyle w:val="Sumrio1"/>
            <w:rPr>
              <w:noProof/>
              <w:kern w:val="2"/>
              <w:szCs w:val="24"/>
              <w14:ligatures w14:val="standardContextual"/>
            </w:rPr>
          </w:pPr>
          <w:hyperlink w:anchor="_Toc219359027" w:history="1">
            <w:r w:rsidRPr="0003146A">
              <w:rPr>
                <w:rStyle w:val="Hyperlink"/>
                <w:noProof/>
              </w:rPr>
              <w:t xml:space="preserve">2     </w:t>
            </w:r>
            <w:r w:rsidR="00FE41EC">
              <w:rPr>
                <w:rStyle w:val="Hyperlink"/>
                <w:noProof/>
              </w:rPr>
              <w:t xml:space="preserve">  </w:t>
            </w:r>
            <w:r w:rsidRPr="0003146A">
              <w:rPr>
                <w:rStyle w:val="Hyperlink"/>
                <w:noProof/>
              </w:rPr>
              <w:t>PRINCÍPIOS TÉCNICOS DE MÉTODOS DO SÉCULO XX</w:t>
            </w:r>
            <w:r>
              <w:rPr>
                <w:noProof/>
                <w:webHidden/>
              </w:rPr>
              <w:tab/>
            </w:r>
            <w:r>
              <w:rPr>
                <w:noProof/>
                <w:webHidden/>
              </w:rPr>
              <w:fldChar w:fldCharType="begin"/>
            </w:r>
            <w:r>
              <w:rPr>
                <w:noProof/>
                <w:webHidden/>
              </w:rPr>
              <w:instrText xml:space="preserve"> PAGEREF _Toc219359027 \h </w:instrText>
            </w:r>
            <w:r>
              <w:rPr>
                <w:noProof/>
                <w:webHidden/>
              </w:rPr>
            </w:r>
            <w:r>
              <w:rPr>
                <w:noProof/>
                <w:webHidden/>
              </w:rPr>
              <w:fldChar w:fldCharType="separate"/>
            </w:r>
            <w:r>
              <w:rPr>
                <w:noProof/>
                <w:webHidden/>
              </w:rPr>
              <w:t>49</w:t>
            </w:r>
            <w:r>
              <w:rPr>
                <w:noProof/>
                <w:webHidden/>
              </w:rPr>
              <w:fldChar w:fldCharType="end"/>
            </w:r>
          </w:hyperlink>
        </w:p>
        <w:p w14:paraId="27AD0348" w14:textId="460E1E8A" w:rsidR="000656F2" w:rsidRDefault="000656F2" w:rsidP="00FE41EC">
          <w:pPr>
            <w:pStyle w:val="Sumrio2"/>
            <w:rPr>
              <w:noProof/>
              <w:kern w:val="2"/>
              <w:szCs w:val="24"/>
              <w14:ligatures w14:val="standardContextual"/>
            </w:rPr>
          </w:pPr>
          <w:hyperlink w:anchor="_Toc219359028" w:history="1">
            <w:r w:rsidRPr="0003146A">
              <w:rPr>
                <w:rStyle w:val="Hyperlink"/>
                <w:noProof/>
              </w:rPr>
              <w:t>2.1    Leopoldo Auer e a Escola Russa</w:t>
            </w:r>
            <w:r>
              <w:rPr>
                <w:noProof/>
                <w:webHidden/>
              </w:rPr>
              <w:tab/>
            </w:r>
            <w:r>
              <w:rPr>
                <w:noProof/>
                <w:webHidden/>
              </w:rPr>
              <w:fldChar w:fldCharType="begin"/>
            </w:r>
            <w:r>
              <w:rPr>
                <w:noProof/>
                <w:webHidden/>
              </w:rPr>
              <w:instrText xml:space="preserve"> PAGEREF _Toc219359028 \h </w:instrText>
            </w:r>
            <w:r>
              <w:rPr>
                <w:noProof/>
                <w:webHidden/>
              </w:rPr>
            </w:r>
            <w:r>
              <w:rPr>
                <w:noProof/>
                <w:webHidden/>
              </w:rPr>
              <w:fldChar w:fldCharType="separate"/>
            </w:r>
            <w:r>
              <w:rPr>
                <w:noProof/>
                <w:webHidden/>
              </w:rPr>
              <w:t>49</w:t>
            </w:r>
            <w:r>
              <w:rPr>
                <w:noProof/>
                <w:webHidden/>
              </w:rPr>
              <w:fldChar w:fldCharType="end"/>
            </w:r>
          </w:hyperlink>
        </w:p>
        <w:p w14:paraId="3363B90C" w14:textId="4E4C8DA5"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29" w:history="1">
            <w:r w:rsidR="000656F2" w:rsidRPr="0003146A">
              <w:rPr>
                <w:rStyle w:val="Hyperlink"/>
                <w:noProof/>
              </w:rPr>
              <w:t>Principais preceitos de Auer</w:t>
            </w:r>
            <w:r w:rsidR="000656F2">
              <w:rPr>
                <w:noProof/>
                <w:webHidden/>
              </w:rPr>
              <w:tab/>
            </w:r>
            <w:r w:rsidR="000656F2">
              <w:rPr>
                <w:noProof/>
                <w:webHidden/>
              </w:rPr>
              <w:fldChar w:fldCharType="begin"/>
            </w:r>
            <w:r w:rsidR="000656F2">
              <w:rPr>
                <w:noProof/>
                <w:webHidden/>
              </w:rPr>
              <w:instrText xml:space="preserve"> PAGEREF _Toc219359029 \h </w:instrText>
            </w:r>
            <w:r w:rsidR="000656F2">
              <w:rPr>
                <w:noProof/>
                <w:webHidden/>
              </w:rPr>
            </w:r>
            <w:r w:rsidR="000656F2">
              <w:rPr>
                <w:noProof/>
                <w:webHidden/>
              </w:rPr>
              <w:fldChar w:fldCharType="separate"/>
            </w:r>
            <w:r w:rsidR="000656F2">
              <w:rPr>
                <w:noProof/>
                <w:webHidden/>
              </w:rPr>
              <w:t>51</w:t>
            </w:r>
            <w:r w:rsidR="000656F2">
              <w:rPr>
                <w:noProof/>
                <w:webHidden/>
              </w:rPr>
              <w:fldChar w:fldCharType="end"/>
            </w:r>
          </w:hyperlink>
        </w:p>
        <w:p w14:paraId="13BEDDAD" w14:textId="024D0298" w:rsidR="000656F2" w:rsidRDefault="000656F2" w:rsidP="00FE41EC">
          <w:pPr>
            <w:pStyle w:val="Sumrio2"/>
            <w:rPr>
              <w:noProof/>
              <w:kern w:val="2"/>
              <w:szCs w:val="24"/>
              <w14:ligatures w14:val="standardContextual"/>
            </w:rPr>
          </w:pPr>
          <w:hyperlink w:anchor="_Toc219359030" w:history="1">
            <w:r w:rsidRPr="0003146A">
              <w:rPr>
                <w:rStyle w:val="Hyperlink"/>
                <w:noProof/>
              </w:rPr>
              <w:t>2.2    A definição das Escolas de violino por Carl Flesch</w:t>
            </w:r>
            <w:r>
              <w:rPr>
                <w:noProof/>
                <w:webHidden/>
              </w:rPr>
              <w:tab/>
            </w:r>
            <w:r>
              <w:rPr>
                <w:noProof/>
                <w:webHidden/>
              </w:rPr>
              <w:fldChar w:fldCharType="begin"/>
            </w:r>
            <w:r>
              <w:rPr>
                <w:noProof/>
                <w:webHidden/>
              </w:rPr>
              <w:instrText xml:space="preserve"> PAGEREF _Toc219359030 \h </w:instrText>
            </w:r>
            <w:r>
              <w:rPr>
                <w:noProof/>
                <w:webHidden/>
              </w:rPr>
            </w:r>
            <w:r>
              <w:rPr>
                <w:noProof/>
                <w:webHidden/>
              </w:rPr>
              <w:fldChar w:fldCharType="separate"/>
            </w:r>
            <w:r>
              <w:rPr>
                <w:noProof/>
                <w:webHidden/>
              </w:rPr>
              <w:t>56</w:t>
            </w:r>
            <w:r>
              <w:rPr>
                <w:noProof/>
                <w:webHidden/>
              </w:rPr>
              <w:fldChar w:fldCharType="end"/>
            </w:r>
          </w:hyperlink>
        </w:p>
        <w:p w14:paraId="1C4AE0EF" w14:textId="680C2650"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1" w:history="1">
            <w:r w:rsidR="000656F2" w:rsidRPr="0003146A">
              <w:rPr>
                <w:rStyle w:val="Hyperlink"/>
                <w:noProof/>
              </w:rPr>
              <w:t>Principais preceitos do método de Carl</w:t>
            </w:r>
            <w:r w:rsidR="000656F2" w:rsidRPr="0003146A">
              <w:rPr>
                <w:rStyle w:val="Hyperlink"/>
                <w:rFonts w:asciiTheme="majorHAnsi" w:eastAsiaTheme="majorEastAsia" w:hAnsiTheme="majorHAnsi" w:cstheme="majorHAnsi"/>
                <w:noProof/>
              </w:rPr>
              <w:t xml:space="preserve"> </w:t>
            </w:r>
            <w:r w:rsidR="000656F2" w:rsidRPr="0003146A">
              <w:rPr>
                <w:rStyle w:val="Hyperlink"/>
                <w:noProof/>
              </w:rPr>
              <w:t>Flesch</w:t>
            </w:r>
            <w:r w:rsidR="000656F2">
              <w:rPr>
                <w:noProof/>
                <w:webHidden/>
              </w:rPr>
              <w:tab/>
            </w:r>
            <w:r w:rsidR="000656F2">
              <w:rPr>
                <w:noProof/>
                <w:webHidden/>
              </w:rPr>
              <w:fldChar w:fldCharType="begin"/>
            </w:r>
            <w:r w:rsidR="000656F2">
              <w:rPr>
                <w:noProof/>
                <w:webHidden/>
              </w:rPr>
              <w:instrText xml:space="preserve"> PAGEREF _Toc219359031 \h </w:instrText>
            </w:r>
            <w:r w:rsidR="000656F2">
              <w:rPr>
                <w:noProof/>
                <w:webHidden/>
              </w:rPr>
            </w:r>
            <w:r w:rsidR="000656F2">
              <w:rPr>
                <w:noProof/>
                <w:webHidden/>
              </w:rPr>
              <w:fldChar w:fldCharType="separate"/>
            </w:r>
            <w:r w:rsidR="000656F2">
              <w:rPr>
                <w:noProof/>
                <w:webHidden/>
              </w:rPr>
              <w:t>57</w:t>
            </w:r>
            <w:r w:rsidR="000656F2">
              <w:rPr>
                <w:noProof/>
                <w:webHidden/>
              </w:rPr>
              <w:fldChar w:fldCharType="end"/>
            </w:r>
          </w:hyperlink>
        </w:p>
        <w:p w14:paraId="7FA3F54E" w14:textId="658AE7AB" w:rsidR="000656F2" w:rsidRDefault="000656F2" w:rsidP="00FE41EC">
          <w:pPr>
            <w:pStyle w:val="Sumrio2"/>
            <w:rPr>
              <w:noProof/>
              <w:kern w:val="2"/>
              <w:szCs w:val="24"/>
              <w14:ligatures w14:val="standardContextual"/>
            </w:rPr>
          </w:pPr>
          <w:hyperlink w:anchor="_Toc219359032" w:history="1">
            <w:r w:rsidRPr="0003146A">
              <w:rPr>
                <w:rStyle w:val="Hyperlink"/>
                <w:noProof/>
              </w:rPr>
              <w:t>2.3    Ivan Galamian, ícone da pedagogia violinística</w:t>
            </w:r>
            <w:r>
              <w:rPr>
                <w:noProof/>
                <w:webHidden/>
              </w:rPr>
              <w:tab/>
            </w:r>
            <w:r>
              <w:rPr>
                <w:noProof/>
                <w:webHidden/>
              </w:rPr>
              <w:fldChar w:fldCharType="begin"/>
            </w:r>
            <w:r>
              <w:rPr>
                <w:noProof/>
                <w:webHidden/>
              </w:rPr>
              <w:instrText xml:space="preserve"> PAGEREF _Toc219359032 \h </w:instrText>
            </w:r>
            <w:r>
              <w:rPr>
                <w:noProof/>
                <w:webHidden/>
              </w:rPr>
            </w:r>
            <w:r>
              <w:rPr>
                <w:noProof/>
                <w:webHidden/>
              </w:rPr>
              <w:fldChar w:fldCharType="separate"/>
            </w:r>
            <w:r>
              <w:rPr>
                <w:noProof/>
                <w:webHidden/>
              </w:rPr>
              <w:t>62</w:t>
            </w:r>
            <w:r>
              <w:rPr>
                <w:noProof/>
                <w:webHidden/>
              </w:rPr>
              <w:fldChar w:fldCharType="end"/>
            </w:r>
          </w:hyperlink>
        </w:p>
        <w:p w14:paraId="5006B249" w14:textId="13F18CDE"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3" w:history="1">
            <w:r w:rsidR="000656F2" w:rsidRPr="0003146A">
              <w:rPr>
                <w:rStyle w:val="Hyperlink"/>
                <w:noProof/>
              </w:rPr>
              <w:t>Principais preceitos do método de Galamian</w:t>
            </w:r>
            <w:r w:rsidR="000656F2">
              <w:rPr>
                <w:noProof/>
                <w:webHidden/>
              </w:rPr>
              <w:tab/>
            </w:r>
            <w:r w:rsidR="000656F2">
              <w:rPr>
                <w:noProof/>
                <w:webHidden/>
              </w:rPr>
              <w:fldChar w:fldCharType="begin"/>
            </w:r>
            <w:r w:rsidR="000656F2">
              <w:rPr>
                <w:noProof/>
                <w:webHidden/>
              </w:rPr>
              <w:instrText xml:space="preserve"> PAGEREF _Toc219359033 \h </w:instrText>
            </w:r>
            <w:r w:rsidR="000656F2">
              <w:rPr>
                <w:noProof/>
                <w:webHidden/>
              </w:rPr>
            </w:r>
            <w:r w:rsidR="000656F2">
              <w:rPr>
                <w:noProof/>
                <w:webHidden/>
              </w:rPr>
              <w:fldChar w:fldCharType="separate"/>
            </w:r>
            <w:r w:rsidR="000656F2">
              <w:rPr>
                <w:noProof/>
                <w:webHidden/>
              </w:rPr>
              <w:t>63</w:t>
            </w:r>
            <w:r w:rsidR="000656F2">
              <w:rPr>
                <w:noProof/>
                <w:webHidden/>
              </w:rPr>
              <w:fldChar w:fldCharType="end"/>
            </w:r>
          </w:hyperlink>
        </w:p>
        <w:p w14:paraId="2BF28B96" w14:textId="0DD96AE6" w:rsidR="000656F2" w:rsidRDefault="000656F2" w:rsidP="00FE41EC">
          <w:pPr>
            <w:pStyle w:val="Sumrio2"/>
            <w:rPr>
              <w:noProof/>
              <w:kern w:val="2"/>
              <w:szCs w:val="24"/>
              <w14:ligatures w14:val="standardContextual"/>
            </w:rPr>
          </w:pPr>
          <w:hyperlink w:anchor="_Toc219359034" w:history="1">
            <w:r w:rsidRPr="0003146A">
              <w:rPr>
                <w:rStyle w:val="Hyperlink"/>
                <w:noProof/>
              </w:rPr>
              <w:t>2.4    Simon Fischer, violinista contemporâneo</w:t>
            </w:r>
            <w:r>
              <w:rPr>
                <w:noProof/>
                <w:webHidden/>
              </w:rPr>
              <w:tab/>
            </w:r>
            <w:r>
              <w:rPr>
                <w:noProof/>
                <w:webHidden/>
              </w:rPr>
              <w:fldChar w:fldCharType="begin"/>
            </w:r>
            <w:r>
              <w:rPr>
                <w:noProof/>
                <w:webHidden/>
              </w:rPr>
              <w:instrText xml:space="preserve"> PAGEREF _Toc219359034 \h </w:instrText>
            </w:r>
            <w:r>
              <w:rPr>
                <w:noProof/>
                <w:webHidden/>
              </w:rPr>
            </w:r>
            <w:r>
              <w:rPr>
                <w:noProof/>
                <w:webHidden/>
              </w:rPr>
              <w:fldChar w:fldCharType="separate"/>
            </w:r>
            <w:r>
              <w:rPr>
                <w:noProof/>
                <w:webHidden/>
              </w:rPr>
              <w:t>66</w:t>
            </w:r>
            <w:r>
              <w:rPr>
                <w:noProof/>
                <w:webHidden/>
              </w:rPr>
              <w:fldChar w:fldCharType="end"/>
            </w:r>
          </w:hyperlink>
        </w:p>
        <w:p w14:paraId="12E1D701" w14:textId="6DFC8E38"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5" w:history="1">
            <w:r w:rsidR="000656F2" w:rsidRPr="0003146A">
              <w:rPr>
                <w:rStyle w:val="Hyperlink"/>
                <w:noProof/>
              </w:rPr>
              <w:t>Principais preceitos de Fischer</w:t>
            </w:r>
            <w:r w:rsidR="000656F2">
              <w:rPr>
                <w:noProof/>
                <w:webHidden/>
              </w:rPr>
              <w:tab/>
            </w:r>
            <w:r w:rsidR="000656F2">
              <w:rPr>
                <w:noProof/>
                <w:webHidden/>
              </w:rPr>
              <w:fldChar w:fldCharType="begin"/>
            </w:r>
            <w:r w:rsidR="000656F2">
              <w:rPr>
                <w:noProof/>
                <w:webHidden/>
              </w:rPr>
              <w:instrText xml:space="preserve"> PAGEREF _Toc219359035 \h </w:instrText>
            </w:r>
            <w:r w:rsidR="000656F2">
              <w:rPr>
                <w:noProof/>
                <w:webHidden/>
              </w:rPr>
            </w:r>
            <w:r w:rsidR="000656F2">
              <w:rPr>
                <w:noProof/>
                <w:webHidden/>
              </w:rPr>
              <w:fldChar w:fldCharType="separate"/>
            </w:r>
            <w:r w:rsidR="000656F2">
              <w:rPr>
                <w:noProof/>
                <w:webHidden/>
              </w:rPr>
              <w:t>67</w:t>
            </w:r>
            <w:r w:rsidR="000656F2">
              <w:rPr>
                <w:noProof/>
                <w:webHidden/>
              </w:rPr>
              <w:fldChar w:fldCharType="end"/>
            </w:r>
          </w:hyperlink>
        </w:p>
        <w:p w14:paraId="7D020F36" w14:textId="75725E91" w:rsidR="000656F2" w:rsidRDefault="000656F2" w:rsidP="00FE41EC">
          <w:pPr>
            <w:pStyle w:val="Sumrio1"/>
            <w:rPr>
              <w:noProof/>
              <w:kern w:val="2"/>
              <w:szCs w:val="24"/>
              <w14:ligatures w14:val="standardContextual"/>
            </w:rPr>
          </w:pPr>
          <w:hyperlink w:anchor="_Toc219359036" w:history="1">
            <w:r w:rsidRPr="0003146A">
              <w:rPr>
                <w:rStyle w:val="Hyperlink"/>
                <w:noProof/>
              </w:rPr>
              <w:t xml:space="preserve">3    </w:t>
            </w:r>
            <w:r w:rsidR="00FE41EC">
              <w:rPr>
                <w:rStyle w:val="Hyperlink"/>
                <w:noProof/>
              </w:rPr>
              <w:t xml:space="preserve">   </w:t>
            </w:r>
            <w:r w:rsidRPr="0003146A">
              <w:rPr>
                <w:rStyle w:val="Hyperlink"/>
                <w:noProof/>
              </w:rPr>
              <w:t>ANÁLISE COMPARATIVA</w:t>
            </w:r>
            <w:r>
              <w:rPr>
                <w:noProof/>
                <w:webHidden/>
              </w:rPr>
              <w:tab/>
            </w:r>
            <w:r>
              <w:rPr>
                <w:noProof/>
                <w:webHidden/>
              </w:rPr>
              <w:fldChar w:fldCharType="begin"/>
            </w:r>
            <w:r>
              <w:rPr>
                <w:noProof/>
                <w:webHidden/>
              </w:rPr>
              <w:instrText xml:space="preserve"> PAGEREF _Toc219359036 \h </w:instrText>
            </w:r>
            <w:r>
              <w:rPr>
                <w:noProof/>
                <w:webHidden/>
              </w:rPr>
            </w:r>
            <w:r>
              <w:rPr>
                <w:noProof/>
                <w:webHidden/>
              </w:rPr>
              <w:fldChar w:fldCharType="separate"/>
            </w:r>
            <w:r>
              <w:rPr>
                <w:noProof/>
                <w:webHidden/>
              </w:rPr>
              <w:t>73</w:t>
            </w:r>
            <w:r>
              <w:rPr>
                <w:noProof/>
                <w:webHidden/>
              </w:rPr>
              <w:fldChar w:fldCharType="end"/>
            </w:r>
          </w:hyperlink>
        </w:p>
        <w:p w14:paraId="530E8041" w14:textId="5561A9E5" w:rsidR="000656F2" w:rsidRDefault="000656F2" w:rsidP="00FE41EC">
          <w:pPr>
            <w:pStyle w:val="Sumrio2"/>
            <w:rPr>
              <w:noProof/>
              <w:kern w:val="2"/>
              <w:szCs w:val="24"/>
              <w14:ligatures w14:val="standardContextual"/>
            </w:rPr>
          </w:pPr>
          <w:hyperlink w:anchor="_Toc219359037" w:history="1">
            <w:r w:rsidRPr="0003146A">
              <w:rPr>
                <w:rStyle w:val="Hyperlink"/>
                <w:noProof/>
              </w:rPr>
              <w:t>3.1    Postura corporal e sustentação do violino</w:t>
            </w:r>
            <w:r>
              <w:rPr>
                <w:noProof/>
                <w:webHidden/>
              </w:rPr>
              <w:tab/>
            </w:r>
            <w:r>
              <w:rPr>
                <w:noProof/>
                <w:webHidden/>
              </w:rPr>
              <w:fldChar w:fldCharType="begin"/>
            </w:r>
            <w:r>
              <w:rPr>
                <w:noProof/>
                <w:webHidden/>
              </w:rPr>
              <w:instrText xml:space="preserve"> PAGEREF _Toc219359037 \h </w:instrText>
            </w:r>
            <w:r>
              <w:rPr>
                <w:noProof/>
                <w:webHidden/>
              </w:rPr>
            </w:r>
            <w:r>
              <w:rPr>
                <w:noProof/>
                <w:webHidden/>
              </w:rPr>
              <w:fldChar w:fldCharType="separate"/>
            </w:r>
            <w:r>
              <w:rPr>
                <w:noProof/>
                <w:webHidden/>
              </w:rPr>
              <w:t>73</w:t>
            </w:r>
            <w:r>
              <w:rPr>
                <w:noProof/>
                <w:webHidden/>
              </w:rPr>
              <w:fldChar w:fldCharType="end"/>
            </w:r>
          </w:hyperlink>
        </w:p>
        <w:p w14:paraId="6E5B1E58" w14:textId="75BD44CA"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8" w:history="1">
            <w:r w:rsidR="000656F2" w:rsidRPr="0003146A">
              <w:rPr>
                <w:rStyle w:val="Hyperlink"/>
                <w:noProof/>
              </w:rPr>
              <w:t>Equilíbrio do corpo</w:t>
            </w:r>
            <w:r w:rsidR="000656F2">
              <w:rPr>
                <w:noProof/>
                <w:webHidden/>
              </w:rPr>
              <w:tab/>
            </w:r>
            <w:r w:rsidR="000656F2">
              <w:rPr>
                <w:noProof/>
                <w:webHidden/>
              </w:rPr>
              <w:fldChar w:fldCharType="begin"/>
            </w:r>
            <w:r w:rsidR="000656F2">
              <w:rPr>
                <w:noProof/>
                <w:webHidden/>
              </w:rPr>
              <w:instrText xml:space="preserve"> PAGEREF _Toc219359038 \h </w:instrText>
            </w:r>
            <w:r w:rsidR="000656F2">
              <w:rPr>
                <w:noProof/>
                <w:webHidden/>
              </w:rPr>
            </w:r>
            <w:r w:rsidR="000656F2">
              <w:rPr>
                <w:noProof/>
                <w:webHidden/>
              </w:rPr>
              <w:fldChar w:fldCharType="separate"/>
            </w:r>
            <w:r w:rsidR="000656F2">
              <w:rPr>
                <w:noProof/>
                <w:webHidden/>
              </w:rPr>
              <w:t>73</w:t>
            </w:r>
            <w:r w:rsidR="000656F2">
              <w:rPr>
                <w:noProof/>
                <w:webHidden/>
              </w:rPr>
              <w:fldChar w:fldCharType="end"/>
            </w:r>
          </w:hyperlink>
        </w:p>
        <w:p w14:paraId="38A802EA" w14:textId="0F9BAE12"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39" w:history="1">
            <w:r w:rsidR="000656F2" w:rsidRPr="0003146A">
              <w:rPr>
                <w:rStyle w:val="Hyperlink"/>
                <w:noProof/>
              </w:rPr>
              <w:t>Local de posicionamento do violino</w:t>
            </w:r>
            <w:r w:rsidR="000656F2">
              <w:rPr>
                <w:noProof/>
                <w:webHidden/>
              </w:rPr>
              <w:tab/>
            </w:r>
            <w:r w:rsidR="000656F2">
              <w:rPr>
                <w:noProof/>
                <w:webHidden/>
              </w:rPr>
              <w:fldChar w:fldCharType="begin"/>
            </w:r>
            <w:r w:rsidR="000656F2">
              <w:rPr>
                <w:noProof/>
                <w:webHidden/>
              </w:rPr>
              <w:instrText xml:space="preserve"> PAGEREF _Toc219359039 \h </w:instrText>
            </w:r>
            <w:r w:rsidR="000656F2">
              <w:rPr>
                <w:noProof/>
                <w:webHidden/>
              </w:rPr>
            </w:r>
            <w:r w:rsidR="000656F2">
              <w:rPr>
                <w:noProof/>
                <w:webHidden/>
              </w:rPr>
              <w:fldChar w:fldCharType="separate"/>
            </w:r>
            <w:r w:rsidR="000656F2">
              <w:rPr>
                <w:noProof/>
                <w:webHidden/>
              </w:rPr>
              <w:t>75</w:t>
            </w:r>
            <w:r w:rsidR="000656F2">
              <w:rPr>
                <w:noProof/>
                <w:webHidden/>
              </w:rPr>
              <w:fldChar w:fldCharType="end"/>
            </w:r>
          </w:hyperlink>
        </w:p>
        <w:p w14:paraId="2084A90C" w14:textId="5A57E04D"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40" w:history="1">
            <w:r w:rsidR="000656F2" w:rsidRPr="0003146A">
              <w:rPr>
                <w:rStyle w:val="Hyperlink"/>
                <w:noProof/>
              </w:rPr>
              <w:t>Sustentação do violino</w:t>
            </w:r>
            <w:r w:rsidR="000656F2">
              <w:rPr>
                <w:noProof/>
                <w:webHidden/>
              </w:rPr>
              <w:tab/>
            </w:r>
            <w:r w:rsidR="000656F2">
              <w:rPr>
                <w:noProof/>
                <w:webHidden/>
              </w:rPr>
              <w:fldChar w:fldCharType="begin"/>
            </w:r>
            <w:r w:rsidR="000656F2">
              <w:rPr>
                <w:noProof/>
                <w:webHidden/>
              </w:rPr>
              <w:instrText xml:space="preserve"> PAGEREF _Toc219359040 \h </w:instrText>
            </w:r>
            <w:r w:rsidR="000656F2">
              <w:rPr>
                <w:noProof/>
                <w:webHidden/>
              </w:rPr>
            </w:r>
            <w:r w:rsidR="000656F2">
              <w:rPr>
                <w:noProof/>
                <w:webHidden/>
              </w:rPr>
              <w:fldChar w:fldCharType="separate"/>
            </w:r>
            <w:r w:rsidR="000656F2">
              <w:rPr>
                <w:noProof/>
                <w:webHidden/>
              </w:rPr>
              <w:t>76</w:t>
            </w:r>
            <w:r w:rsidR="000656F2">
              <w:rPr>
                <w:noProof/>
                <w:webHidden/>
              </w:rPr>
              <w:fldChar w:fldCharType="end"/>
            </w:r>
          </w:hyperlink>
        </w:p>
        <w:p w14:paraId="1C55E344" w14:textId="017FD132" w:rsidR="000656F2" w:rsidRDefault="000656F2" w:rsidP="00FE41EC">
          <w:pPr>
            <w:pStyle w:val="Sumrio2"/>
            <w:rPr>
              <w:noProof/>
              <w:kern w:val="2"/>
              <w:szCs w:val="24"/>
              <w14:ligatures w14:val="standardContextual"/>
            </w:rPr>
          </w:pPr>
          <w:hyperlink w:anchor="_Toc219359041" w:history="1">
            <w:r w:rsidRPr="0003146A">
              <w:rPr>
                <w:rStyle w:val="Hyperlink"/>
                <w:noProof/>
              </w:rPr>
              <w:t>3.2    Técnica de mão esquerda</w:t>
            </w:r>
            <w:r>
              <w:rPr>
                <w:noProof/>
                <w:webHidden/>
              </w:rPr>
              <w:tab/>
            </w:r>
            <w:r>
              <w:rPr>
                <w:noProof/>
                <w:webHidden/>
              </w:rPr>
              <w:fldChar w:fldCharType="begin"/>
            </w:r>
            <w:r>
              <w:rPr>
                <w:noProof/>
                <w:webHidden/>
              </w:rPr>
              <w:instrText xml:space="preserve"> PAGEREF _Toc219359041 \h </w:instrText>
            </w:r>
            <w:r>
              <w:rPr>
                <w:noProof/>
                <w:webHidden/>
              </w:rPr>
            </w:r>
            <w:r>
              <w:rPr>
                <w:noProof/>
                <w:webHidden/>
              </w:rPr>
              <w:fldChar w:fldCharType="separate"/>
            </w:r>
            <w:r>
              <w:rPr>
                <w:noProof/>
                <w:webHidden/>
              </w:rPr>
              <w:t>82</w:t>
            </w:r>
            <w:r>
              <w:rPr>
                <w:noProof/>
                <w:webHidden/>
              </w:rPr>
              <w:fldChar w:fldCharType="end"/>
            </w:r>
          </w:hyperlink>
        </w:p>
        <w:p w14:paraId="25FC5A22" w14:textId="51C38657" w:rsidR="000656F2" w:rsidRDefault="00FE41EC" w:rsidP="00FE41EC">
          <w:pPr>
            <w:pStyle w:val="Sumrio2"/>
            <w:rPr>
              <w:noProof/>
              <w:kern w:val="2"/>
              <w:szCs w:val="24"/>
              <w14:ligatures w14:val="standardContextual"/>
            </w:rPr>
          </w:pPr>
          <w:r>
            <w:t xml:space="preserve">         </w:t>
          </w:r>
          <w:hyperlink w:anchor="_Toc219359042" w:history="1">
            <w:r w:rsidR="000656F2" w:rsidRPr="0003146A">
              <w:rPr>
                <w:rStyle w:val="Hyperlink"/>
                <w:noProof/>
              </w:rPr>
              <w:t>Ponto de contato dos dedos polegar e indicador na 1ª posição</w:t>
            </w:r>
            <w:r w:rsidR="000656F2">
              <w:rPr>
                <w:noProof/>
                <w:webHidden/>
              </w:rPr>
              <w:tab/>
            </w:r>
            <w:r w:rsidR="000656F2">
              <w:rPr>
                <w:noProof/>
                <w:webHidden/>
              </w:rPr>
              <w:fldChar w:fldCharType="begin"/>
            </w:r>
            <w:r w:rsidR="000656F2">
              <w:rPr>
                <w:noProof/>
                <w:webHidden/>
              </w:rPr>
              <w:instrText xml:space="preserve"> PAGEREF _Toc219359042 \h </w:instrText>
            </w:r>
            <w:r w:rsidR="000656F2">
              <w:rPr>
                <w:noProof/>
                <w:webHidden/>
              </w:rPr>
            </w:r>
            <w:r w:rsidR="000656F2">
              <w:rPr>
                <w:noProof/>
                <w:webHidden/>
              </w:rPr>
              <w:fldChar w:fldCharType="separate"/>
            </w:r>
            <w:r w:rsidR="000656F2">
              <w:rPr>
                <w:noProof/>
                <w:webHidden/>
              </w:rPr>
              <w:t>82</w:t>
            </w:r>
            <w:r w:rsidR="000656F2">
              <w:rPr>
                <w:noProof/>
                <w:webHidden/>
              </w:rPr>
              <w:fldChar w:fldCharType="end"/>
            </w:r>
          </w:hyperlink>
        </w:p>
        <w:p w14:paraId="5D1A8731" w14:textId="5505AAC5"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43" w:history="1">
            <w:r w:rsidR="000656F2" w:rsidRPr="0003146A">
              <w:rPr>
                <w:rStyle w:val="Hyperlink"/>
                <w:noProof/>
              </w:rPr>
              <w:t>Posicionamento do dedo indicador e direcionamento dos dedos</w:t>
            </w:r>
            <w:r w:rsidR="000656F2">
              <w:rPr>
                <w:noProof/>
                <w:webHidden/>
              </w:rPr>
              <w:tab/>
            </w:r>
            <w:r w:rsidR="000656F2">
              <w:rPr>
                <w:noProof/>
                <w:webHidden/>
              </w:rPr>
              <w:fldChar w:fldCharType="begin"/>
            </w:r>
            <w:r w:rsidR="000656F2">
              <w:rPr>
                <w:noProof/>
                <w:webHidden/>
              </w:rPr>
              <w:instrText xml:space="preserve"> PAGEREF _Toc219359043 \h </w:instrText>
            </w:r>
            <w:r w:rsidR="000656F2">
              <w:rPr>
                <w:noProof/>
                <w:webHidden/>
              </w:rPr>
            </w:r>
            <w:r w:rsidR="000656F2">
              <w:rPr>
                <w:noProof/>
                <w:webHidden/>
              </w:rPr>
              <w:fldChar w:fldCharType="separate"/>
            </w:r>
            <w:r w:rsidR="000656F2">
              <w:rPr>
                <w:noProof/>
                <w:webHidden/>
              </w:rPr>
              <w:t>84</w:t>
            </w:r>
            <w:r w:rsidR="000656F2">
              <w:rPr>
                <w:noProof/>
                <w:webHidden/>
              </w:rPr>
              <w:fldChar w:fldCharType="end"/>
            </w:r>
          </w:hyperlink>
        </w:p>
        <w:p w14:paraId="5DC14F85" w14:textId="5575285F"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44" w:history="1">
            <w:r w:rsidR="000656F2" w:rsidRPr="0003146A">
              <w:rPr>
                <w:rStyle w:val="Hyperlink"/>
                <w:noProof/>
              </w:rPr>
              <w:t>Grau de elevação dos dedos</w:t>
            </w:r>
            <w:r w:rsidR="000656F2">
              <w:rPr>
                <w:noProof/>
                <w:webHidden/>
              </w:rPr>
              <w:tab/>
            </w:r>
            <w:r w:rsidR="000656F2">
              <w:rPr>
                <w:noProof/>
                <w:webHidden/>
              </w:rPr>
              <w:fldChar w:fldCharType="begin"/>
            </w:r>
            <w:r w:rsidR="000656F2">
              <w:rPr>
                <w:noProof/>
                <w:webHidden/>
              </w:rPr>
              <w:instrText xml:space="preserve"> PAGEREF _Toc219359044 \h </w:instrText>
            </w:r>
            <w:r w:rsidR="000656F2">
              <w:rPr>
                <w:noProof/>
                <w:webHidden/>
              </w:rPr>
            </w:r>
            <w:r w:rsidR="000656F2">
              <w:rPr>
                <w:noProof/>
                <w:webHidden/>
              </w:rPr>
              <w:fldChar w:fldCharType="separate"/>
            </w:r>
            <w:r w:rsidR="000656F2">
              <w:rPr>
                <w:noProof/>
                <w:webHidden/>
              </w:rPr>
              <w:t>87</w:t>
            </w:r>
            <w:r w:rsidR="000656F2">
              <w:rPr>
                <w:noProof/>
                <w:webHidden/>
              </w:rPr>
              <w:fldChar w:fldCharType="end"/>
            </w:r>
          </w:hyperlink>
        </w:p>
        <w:p w14:paraId="5C1490A9" w14:textId="02F8912A" w:rsidR="000656F2" w:rsidRDefault="000656F2" w:rsidP="00FE41EC">
          <w:pPr>
            <w:pStyle w:val="Sumrio2"/>
            <w:rPr>
              <w:noProof/>
              <w:kern w:val="2"/>
              <w:szCs w:val="24"/>
              <w14:ligatures w14:val="standardContextual"/>
            </w:rPr>
          </w:pPr>
          <w:hyperlink w:anchor="_Toc219359045" w:history="1">
            <w:r w:rsidRPr="0003146A">
              <w:rPr>
                <w:rStyle w:val="Hyperlink"/>
                <w:noProof/>
              </w:rPr>
              <w:t>3.3    Técnica de arco</w:t>
            </w:r>
            <w:r>
              <w:rPr>
                <w:noProof/>
                <w:webHidden/>
              </w:rPr>
              <w:tab/>
            </w:r>
            <w:r>
              <w:rPr>
                <w:noProof/>
                <w:webHidden/>
              </w:rPr>
              <w:fldChar w:fldCharType="begin"/>
            </w:r>
            <w:r>
              <w:rPr>
                <w:noProof/>
                <w:webHidden/>
              </w:rPr>
              <w:instrText xml:space="preserve"> PAGEREF _Toc219359045 \h </w:instrText>
            </w:r>
            <w:r>
              <w:rPr>
                <w:noProof/>
                <w:webHidden/>
              </w:rPr>
            </w:r>
            <w:r>
              <w:rPr>
                <w:noProof/>
                <w:webHidden/>
              </w:rPr>
              <w:fldChar w:fldCharType="separate"/>
            </w:r>
            <w:r>
              <w:rPr>
                <w:noProof/>
                <w:webHidden/>
              </w:rPr>
              <w:t>88</w:t>
            </w:r>
            <w:r>
              <w:rPr>
                <w:noProof/>
                <w:webHidden/>
              </w:rPr>
              <w:fldChar w:fldCharType="end"/>
            </w:r>
          </w:hyperlink>
        </w:p>
        <w:p w14:paraId="1BFE7A17" w14:textId="7EDFCC37" w:rsidR="000656F2" w:rsidRDefault="00FE41EC" w:rsidP="00FE41EC">
          <w:pPr>
            <w:pStyle w:val="Sumrio2"/>
            <w:rPr>
              <w:noProof/>
              <w:kern w:val="2"/>
              <w:szCs w:val="24"/>
              <w14:ligatures w14:val="standardContextual"/>
            </w:rPr>
          </w:pPr>
          <w:r>
            <w:t xml:space="preserve">          </w:t>
          </w:r>
          <w:hyperlink w:anchor="_Toc219359046" w:history="1">
            <w:r w:rsidR="000656F2" w:rsidRPr="0003146A">
              <w:rPr>
                <w:rStyle w:val="Hyperlink"/>
                <w:noProof/>
              </w:rPr>
              <w:t>Nível do braço em relação às cordas</w:t>
            </w:r>
            <w:r w:rsidR="000656F2">
              <w:rPr>
                <w:noProof/>
                <w:webHidden/>
              </w:rPr>
              <w:tab/>
            </w:r>
            <w:r w:rsidR="000656F2">
              <w:rPr>
                <w:noProof/>
                <w:webHidden/>
              </w:rPr>
              <w:fldChar w:fldCharType="begin"/>
            </w:r>
            <w:r w:rsidR="000656F2">
              <w:rPr>
                <w:noProof/>
                <w:webHidden/>
              </w:rPr>
              <w:instrText xml:space="preserve"> PAGEREF _Toc219359046 \h </w:instrText>
            </w:r>
            <w:r w:rsidR="000656F2">
              <w:rPr>
                <w:noProof/>
                <w:webHidden/>
              </w:rPr>
            </w:r>
            <w:r w:rsidR="000656F2">
              <w:rPr>
                <w:noProof/>
                <w:webHidden/>
              </w:rPr>
              <w:fldChar w:fldCharType="separate"/>
            </w:r>
            <w:r w:rsidR="000656F2">
              <w:rPr>
                <w:noProof/>
                <w:webHidden/>
              </w:rPr>
              <w:t>88</w:t>
            </w:r>
            <w:r w:rsidR="000656F2">
              <w:rPr>
                <w:noProof/>
                <w:webHidden/>
              </w:rPr>
              <w:fldChar w:fldCharType="end"/>
            </w:r>
          </w:hyperlink>
        </w:p>
        <w:p w14:paraId="0C9E7DE7" w14:textId="186718EE" w:rsidR="000656F2" w:rsidRDefault="00FE41EC" w:rsidP="00FE41EC">
          <w:pPr>
            <w:pStyle w:val="Sumrio2"/>
            <w:rPr>
              <w:noProof/>
              <w:kern w:val="2"/>
              <w:szCs w:val="24"/>
              <w14:ligatures w14:val="standardContextual"/>
            </w:rPr>
          </w:pPr>
          <w:r>
            <w:t xml:space="preserve">         </w:t>
          </w:r>
          <w:hyperlink w:anchor="_Toc219359047" w:history="1">
            <w:r w:rsidR="000656F2" w:rsidRPr="0003146A">
              <w:rPr>
                <w:rStyle w:val="Hyperlink"/>
                <w:noProof/>
              </w:rPr>
              <w:t>Distribuição do espaço entre os dedos e ponto de contato do dedo indicador</w:t>
            </w:r>
            <w:r w:rsidR="000656F2">
              <w:rPr>
                <w:noProof/>
                <w:webHidden/>
              </w:rPr>
              <w:tab/>
            </w:r>
            <w:r w:rsidR="000656F2">
              <w:rPr>
                <w:noProof/>
                <w:webHidden/>
              </w:rPr>
              <w:fldChar w:fldCharType="begin"/>
            </w:r>
            <w:r w:rsidR="000656F2">
              <w:rPr>
                <w:noProof/>
                <w:webHidden/>
              </w:rPr>
              <w:instrText xml:space="preserve"> PAGEREF _Toc219359047 \h </w:instrText>
            </w:r>
            <w:r w:rsidR="000656F2">
              <w:rPr>
                <w:noProof/>
                <w:webHidden/>
              </w:rPr>
            </w:r>
            <w:r w:rsidR="000656F2">
              <w:rPr>
                <w:noProof/>
                <w:webHidden/>
              </w:rPr>
              <w:fldChar w:fldCharType="separate"/>
            </w:r>
            <w:r w:rsidR="000656F2">
              <w:rPr>
                <w:noProof/>
                <w:webHidden/>
              </w:rPr>
              <w:t>90</w:t>
            </w:r>
            <w:r w:rsidR="000656F2">
              <w:rPr>
                <w:noProof/>
                <w:webHidden/>
              </w:rPr>
              <w:fldChar w:fldCharType="end"/>
            </w:r>
          </w:hyperlink>
        </w:p>
        <w:p w14:paraId="3750CD94" w14:textId="4AF1DDF4" w:rsidR="000656F2" w:rsidRDefault="00FE41EC" w:rsidP="00FE41EC">
          <w:pPr>
            <w:pStyle w:val="Sumrio2"/>
            <w:rPr>
              <w:noProof/>
              <w:kern w:val="2"/>
              <w:szCs w:val="24"/>
              <w14:ligatures w14:val="standardContextual"/>
            </w:rPr>
          </w:pPr>
          <w:r>
            <w:t xml:space="preserve">         </w:t>
          </w:r>
          <w:hyperlink w:anchor="_Toc219359048" w:history="1">
            <w:r w:rsidR="000656F2" w:rsidRPr="0003146A">
              <w:rPr>
                <w:rStyle w:val="Hyperlink"/>
                <w:noProof/>
              </w:rPr>
              <w:t>Mobilidade do dedo indicador e direcionamento dos dedos sobre a vareta</w:t>
            </w:r>
            <w:r w:rsidR="000656F2">
              <w:rPr>
                <w:noProof/>
                <w:webHidden/>
              </w:rPr>
              <w:tab/>
            </w:r>
            <w:r w:rsidR="000656F2">
              <w:rPr>
                <w:noProof/>
                <w:webHidden/>
              </w:rPr>
              <w:fldChar w:fldCharType="begin"/>
            </w:r>
            <w:r w:rsidR="000656F2">
              <w:rPr>
                <w:noProof/>
                <w:webHidden/>
              </w:rPr>
              <w:instrText xml:space="preserve"> PAGEREF _Toc219359048 \h </w:instrText>
            </w:r>
            <w:r w:rsidR="000656F2">
              <w:rPr>
                <w:noProof/>
                <w:webHidden/>
              </w:rPr>
            </w:r>
            <w:r w:rsidR="000656F2">
              <w:rPr>
                <w:noProof/>
                <w:webHidden/>
              </w:rPr>
              <w:fldChar w:fldCharType="separate"/>
            </w:r>
            <w:r w:rsidR="000656F2">
              <w:rPr>
                <w:noProof/>
                <w:webHidden/>
              </w:rPr>
              <w:t>92</w:t>
            </w:r>
            <w:r w:rsidR="000656F2">
              <w:rPr>
                <w:noProof/>
                <w:webHidden/>
              </w:rPr>
              <w:fldChar w:fldCharType="end"/>
            </w:r>
          </w:hyperlink>
        </w:p>
        <w:p w14:paraId="31EB6542" w14:textId="35DB301B"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49" w:history="1">
            <w:r w:rsidR="000656F2" w:rsidRPr="0003146A">
              <w:rPr>
                <w:rStyle w:val="Hyperlink"/>
                <w:noProof/>
              </w:rPr>
              <w:t>Grau de elevação do punho ao se aproximar do talão</w:t>
            </w:r>
            <w:r w:rsidR="000656F2">
              <w:rPr>
                <w:noProof/>
                <w:webHidden/>
              </w:rPr>
              <w:tab/>
            </w:r>
            <w:r w:rsidR="000656F2">
              <w:rPr>
                <w:noProof/>
                <w:webHidden/>
              </w:rPr>
              <w:fldChar w:fldCharType="begin"/>
            </w:r>
            <w:r w:rsidR="000656F2">
              <w:rPr>
                <w:noProof/>
                <w:webHidden/>
              </w:rPr>
              <w:instrText xml:space="preserve"> PAGEREF _Toc219359049 \h </w:instrText>
            </w:r>
            <w:r w:rsidR="000656F2">
              <w:rPr>
                <w:noProof/>
                <w:webHidden/>
              </w:rPr>
            </w:r>
            <w:r w:rsidR="000656F2">
              <w:rPr>
                <w:noProof/>
                <w:webHidden/>
              </w:rPr>
              <w:fldChar w:fldCharType="separate"/>
            </w:r>
            <w:r w:rsidR="000656F2">
              <w:rPr>
                <w:noProof/>
                <w:webHidden/>
              </w:rPr>
              <w:t>93</w:t>
            </w:r>
            <w:r w:rsidR="000656F2">
              <w:rPr>
                <w:noProof/>
                <w:webHidden/>
              </w:rPr>
              <w:fldChar w:fldCharType="end"/>
            </w:r>
          </w:hyperlink>
        </w:p>
        <w:p w14:paraId="2E985B30" w14:textId="2D787439" w:rsidR="000656F2" w:rsidRDefault="00FE41EC" w:rsidP="00FE41EC">
          <w:pPr>
            <w:pStyle w:val="Sumrio3"/>
            <w:rPr>
              <w:rFonts w:asciiTheme="minorHAnsi" w:hAnsiTheme="minorHAnsi" w:cstheme="minorBidi"/>
              <w:noProof/>
              <w:kern w:val="2"/>
              <w:szCs w:val="24"/>
              <w14:ligatures w14:val="standardContextual"/>
            </w:rPr>
          </w:pPr>
          <w:r>
            <w:t xml:space="preserve">         </w:t>
          </w:r>
          <w:hyperlink w:anchor="_Toc219359050" w:history="1">
            <w:r w:rsidR="000656F2" w:rsidRPr="0003146A">
              <w:rPr>
                <w:rStyle w:val="Hyperlink"/>
                <w:noProof/>
              </w:rPr>
              <w:t>Inclinação do arco</w:t>
            </w:r>
            <w:r w:rsidR="000656F2">
              <w:rPr>
                <w:noProof/>
                <w:webHidden/>
              </w:rPr>
              <w:tab/>
            </w:r>
            <w:r w:rsidR="000656F2">
              <w:rPr>
                <w:noProof/>
                <w:webHidden/>
              </w:rPr>
              <w:fldChar w:fldCharType="begin"/>
            </w:r>
            <w:r w:rsidR="000656F2">
              <w:rPr>
                <w:noProof/>
                <w:webHidden/>
              </w:rPr>
              <w:instrText xml:space="preserve"> PAGEREF _Toc219359050 \h </w:instrText>
            </w:r>
            <w:r w:rsidR="000656F2">
              <w:rPr>
                <w:noProof/>
                <w:webHidden/>
              </w:rPr>
            </w:r>
            <w:r w:rsidR="000656F2">
              <w:rPr>
                <w:noProof/>
                <w:webHidden/>
              </w:rPr>
              <w:fldChar w:fldCharType="separate"/>
            </w:r>
            <w:r w:rsidR="000656F2">
              <w:rPr>
                <w:noProof/>
                <w:webHidden/>
              </w:rPr>
              <w:t>95</w:t>
            </w:r>
            <w:r w:rsidR="000656F2">
              <w:rPr>
                <w:noProof/>
                <w:webHidden/>
              </w:rPr>
              <w:fldChar w:fldCharType="end"/>
            </w:r>
          </w:hyperlink>
        </w:p>
        <w:p w14:paraId="25EEFB7C" w14:textId="4C8655E9" w:rsidR="000656F2" w:rsidRDefault="000656F2" w:rsidP="00FE41EC">
          <w:pPr>
            <w:pStyle w:val="Sumrio1"/>
            <w:rPr>
              <w:noProof/>
              <w:kern w:val="2"/>
              <w:szCs w:val="24"/>
              <w14:ligatures w14:val="standardContextual"/>
            </w:rPr>
          </w:pPr>
          <w:hyperlink w:anchor="_Toc219359051" w:history="1">
            <w:r w:rsidRPr="0003146A">
              <w:rPr>
                <w:rStyle w:val="Hyperlink"/>
                <w:noProof/>
              </w:rPr>
              <w:t xml:space="preserve">4 </w:t>
            </w:r>
            <w:r>
              <w:rPr>
                <w:noProof/>
                <w:kern w:val="2"/>
                <w:szCs w:val="24"/>
                <w14:ligatures w14:val="standardContextual"/>
              </w:rPr>
              <w:tab/>
            </w:r>
            <w:r w:rsidRPr="0003146A">
              <w:rPr>
                <w:rStyle w:val="Hyperlink"/>
                <w:noProof/>
              </w:rPr>
              <w:t>ANÁLISE DOS RESULTADOS DAS ENTREVISTAS</w:t>
            </w:r>
            <w:r>
              <w:rPr>
                <w:noProof/>
                <w:webHidden/>
              </w:rPr>
              <w:tab/>
            </w:r>
            <w:r>
              <w:rPr>
                <w:noProof/>
                <w:webHidden/>
              </w:rPr>
              <w:fldChar w:fldCharType="begin"/>
            </w:r>
            <w:r>
              <w:rPr>
                <w:noProof/>
                <w:webHidden/>
              </w:rPr>
              <w:instrText xml:space="preserve"> PAGEREF _Toc219359051 \h </w:instrText>
            </w:r>
            <w:r>
              <w:rPr>
                <w:noProof/>
                <w:webHidden/>
              </w:rPr>
            </w:r>
            <w:r>
              <w:rPr>
                <w:noProof/>
                <w:webHidden/>
              </w:rPr>
              <w:fldChar w:fldCharType="separate"/>
            </w:r>
            <w:r>
              <w:rPr>
                <w:noProof/>
                <w:webHidden/>
              </w:rPr>
              <w:t>97</w:t>
            </w:r>
            <w:r>
              <w:rPr>
                <w:noProof/>
                <w:webHidden/>
              </w:rPr>
              <w:fldChar w:fldCharType="end"/>
            </w:r>
          </w:hyperlink>
        </w:p>
        <w:p w14:paraId="5C327C9E" w14:textId="40DC6B6F" w:rsidR="000656F2" w:rsidRDefault="000656F2" w:rsidP="00FE41EC">
          <w:pPr>
            <w:pStyle w:val="Sumrio3"/>
            <w:rPr>
              <w:rFonts w:asciiTheme="minorHAnsi" w:hAnsiTheme="minorHAnsi" w:cstheme="minorBidi"/>
              <w:noProof/>
              <w:kern w:val="2"/>
              <w:szCs w:val="24"/>
              <w14:ligatures w14:val="standardContextual"/>
            </w:rPr>
          </w:pPr>
          <w:hyperlink w:anchor="_Toc219359052" w:history="1">
            <w:r w:rsidRPr="0003146A">
              <w:rPr>
                <w:rStyle w:val="Hyperlink"/>
                <w:noProof/>
              </w:rPr>
              <w:t>4.1    Postura corporal e sustentação do violino</w:t>
            </w:r>
            <w:r>
              <w:rPr>
                <w:noProof/>
                <w:webHidden/>
              </w:rPr>
              <w:tab/>
            </w:r>
            <w:r>
              <w:rPr>
                <w:noProof/>
                <w:webHidden/>
              </w:rPr>
              <w:fldChar w:fldCharType="begin"/>
            </w:r>
            <w:r>
              <w:rPr>
                <w:noProof/>
                <w:webHidden/>
              </w:rPr>
              <w:instrText xml:space="preserve"> PAGEREF _Toc219359052 \h </w:instrText>
            </w:r>
            <w:r>
              <w:rPr>
                <w:noProof/>
                <w:webHidden/>
              </w:rPr>
            </w:r>
            <w:r>
              <w:rPr>
                <w:noProof/>
                <w:webHidden/>
              </w:rPr>
              <w:fldChar w:fldCharType="separate"/>
            </w:r>
            <w:r>
              <w:rPr>
                <w:noProof/>
                <w:webHidden/>
              </w:rPr>
              <w:t>98</w:t>
            </w:r>
            <w:r>
              <w:rPr>
                <w:noProof/>
                <w:webHidden/>
              </w:rPr>
              <w:fldChar w:fldCharType="end"/>
            </w:r>
          </w:hyperlink>
        </w:p>
        <w:p w14:paraId="17E3988F" w14:textId="0F20BA7C" w:rsidR="000656F2" w:rsidRPr="00FE41EC" w:rsidRDefault="00655FF0" w:rsidP="00FE41EC">
          <w:pPr>
            <w:pStyle w:val="Sumrio1"/>
            <w:rPr>
              <w:b w:val="0"/>
              <w:bCs/>
              <w:noProof/>
            </w:rPr>
          </w:pPr>
          <w:r w:rsidRPr="00FE41EC">
            <w:rPr>
              <w:b w:val="0"/>
              <w:bCs/>
              <w:noProof/>
            </w:rPr>
            <w:t>4.2    Técnica de mão esquerda...............................................................................................103</w:t>
          </w:r>
        </w:p>
        <w:p w14:paraId="116073A7" w14:textId="4A490CEA" w:rsidR="000656F2" w:rsidRDefault="000656F2" w:rsidP="00FE41EC">
          <w:pPr>
            <w:pStyle w:val="Sumrio2"/>
            <w:rPr>
              <w:noProof/>
              <w:kern w:val="2"/>
              <w:szCs w:val="24"/>
              <w14:ligatures w14:val="standardContextual"/>
            </w:rPr>
          </w:pPr>
          <w:hyperlink w:anchor="_Toc219359054" w:history="1">
            <w:r w:rsidRPr="0003146A">
              <w:rPr>
                <w:rStyle w:val="Hyperlink"/>
                <w:noProof/>
              </w:rPr>
              <w:t>4.3    Técnica de arco</w:t>
            </w:r>
            <w:r>
              <w:rPr>
                <w:noProof/>
                <w:webHidden/>
              </w:rPr>
              <w:tab/>
            </w:r>
            <w:r>
              <w:rPr>
                <w:noProof/>
                <w:webHidden/>
              </w:rPr>
              <w:fldChar w:fldCharType="begin"/>
            </w:r>
            <w:r>
              <w:rPr>
                <w:noProof/>
                <w:webHidden/>
              </w:rPr>
              <w:instrText xml:space="preserve"> PAGEREF _Toc219359054 \h </w:instrText>
            </w:r>
            <w:r>
              <w:rPr>
                <w:noProof/>
                <w:webHidden/>
              </w:rPr>
            </w:r>
            <w:r>
              <w:rPr>
                <w:noProof/>
                <w:webHidden/>
              </w:rPr>
              <w:fldChar w:fldCharType="separate"/>
            </w:r>
            <w:r>
              <w:rPr>
                <w:noProof/>
                <w:webHidden/>
              </w:rPr>
              <w:t>107</w:t>
            </w:r>
            <w:r>
              <w:rPr>
                <w:noProof/>
                <w:webHidden/>
              </w:rPr>
              <w:fldChar w:fldCharType="end"/>
            </w:r>
          </w:hyperlink>
        </w:p>
        <w:p w14:paraId="3C418F02" w14:textId="4885739F" w:rsidR="000656F2" w:rsidRDefault="00FE41EC" w:rsidP="00FE41EC">
          <w:pPr>
            <w:pStyle w:val="Sumrio2"/>
            <w:rPr>
              <w:noProof/>
              <w:kern w:val="2"/>
              <w:szCs w:val="24"/>
              <w14:ligatures w14:val="standardContextual"/>
            </w:rPr>
          </w:pPr>
          <w:hyperlink w:anchor="_Toc219359055" w:history="1">
            <w:r>
              <w:rPr>
                <w:rStyle w:val="Hyperlink"/>
                <w:noProof/>
              </w:rPr>
              <w:t>4</w:t>
            </w:r>
            <w:r w:rsidR="000656F2" w:rsidRPr="0003146A">
              <w:rPr>
                <w:rStyle w:val="Hyperlink"/>
                <w:noProof/>
              </w:rPr>
              <w:t>.4    Considerações principais</w:t>
            </w:r>
            <w:r w:rsidR="000656F2">
              <w:rPr>
                <w:noProof/>
                <w:webHidden/>
              </w:rPr>
              <w:tab/>
            </w:r>
            <w:r w:rsidR="000656F2">
              <w:rPr>
                <w:noProof/>
                <w:webHidden/>
              </w:rPr>
              <w:fldChar w:fldCharType="begin"/>
            </w:r>
            <w:r w:rsidR="000656F2">
              <w:rPr>
                <w:noProof/>
                <w:webHidden/>
              </w:rPr>
              <w:instrText xml:space="preserve"> PAGEREF _Toc219359055 \h </w:instrText>
            </w:r>
            <w:r w:rsidR="000656F2">
              <w:rPr>
                <w:noProof/>
                <w:webHidden/>
              </w:rPr>
            </w:r>
            <w:r w:rsidR="000656F2">
              <w:rPr>
                <w:noProof/>
                <w:webHidden/>
              </w:rPr>
              <w:fldChar w:fldCharType="separate"/>
            </w:r>
            <w:r w:rsidR="000656F2">
              <w:rPr>
                <w:noProof/>
                <w:webHidden/>
              </w:rPr>
              <w:t>111</w:t>
            </w:r>
            <w:r w:rsidR="000656F2">
              <w:rPr>
                <w:noProof/>
                <w:webHidden/>
              </w:rPr>
              <w:fldChar w:fldCharType="end"/>
            </w:r>
          </w:hyperlink>
        </w:p>
        <w:p w14:paraId="3A180230" w14:textId="15FF1AB3" w:rsidR="000656F2" w:rsidRDefault="000656F2" w:rsidP="00FE41EC">
          <w:pPr>
            <w:pStyle w:val="Sumrio1"/>
            <w:rPr>
              <w:noProof/>
              <w:kern w:val="2"/>
              <w:szCs w:val="24"/>
              <w14:ligatures w14:val="standardContextual"/>
            </w:rPr>
          </w:pPr>
          <w:hyperlink w:anchor="_Toc219359056" w:history="1">
            <w:r w:rsidRPr="0003146A">
              <w:rPr>
                <w:rStyle w:val="Hyperlink"/>
                <w:noProof/>
              </w:rPr>
              <w:t>CONCLUSÃO</w:t>
            </w:r>
            <w:r>
              <w:rPr>
                <w:noProof/>
                <w:webHidden/>
              </w:rPr>
              <w:tab/>
            </w:r>
            <w:r>
              <w:rPr>
                <w:noProof/>
                <w:webHidden/>
              </w:rPr>
              <w:fldChar w:fldCharType="begin"/>
            </w:r>
            <w:r>
              <w:rPr>
                <w:noProof/>
                <w:webHidden/>
              </w:rPr>
              <w:instrText xml:space="preserve"> PAGEREF _Toc219359056 \h </w:instrText>
            </w:r>
            <w:r>
              <w:rPr>
                <w:noProof/>
                <w:webHidden/>
              </w:rPr>
            </w:r>
            <w:r>
              <w:rPr>
                <w:noProof/>
                <w:webHidden/>
              </w:rPr>
              <w:fldChar w:fldCharType="separate"/>
            </w:r>
            <w:r>
              <w:rPr>
                <w:noProof/>
                <w:webHidden/>
              </w:rPr>
              <w:t>114</w:t>
            </w:r>
            <w:r>
              <w:rPr>
                <w:noProof/>
                <w:webHidden/>
              </w:rPr>
              <w:fldChar w:fldCharType="end"/>
            </w:r>
          </w:hyperlink>
        </w:p>
        <w:p w14:paraId="4618C9B2" w14:textId="08577B72" w:rsidR="000656F2" w:rsidRDefault="000656F2" w:rsidP="00FE41EC">
          <w:pPr>
            <w:pStyle w:val="Sumrio1"/>
            <w:rPr>
              <w:noProof/>
              <w:kern w:val="2"/>
              <w:szCs w:val="24"/>
              <w14:ligatures w14:val="standardContextual"/>
            </w:rPr>
          </w:pPr>
          <w:hyperlink w:anchor="_Toc219359057" w:history="1">
            <w:r w:rsidRPr="0003146A">
              <w:rPr>
                <w:rStyle w:val="Hyperlink"/>
                <w:noProof/>
              </w:rPr>
              <w:t>REFERÊNCIAS</w:t>
            </w:r>
            <w:r>
              <w:rPr>
                <w:noProof/>
                <w:webHidden/>
              </w:rPr>
              <w:tab/>
            </w:r>
            <w:r>
              <w:rPr>
                <w:noProof/>
                <w:webHidden/>
              </w:rPr>
              <w:fldChar w:fldCharType="begin"/>
            </w:r>
            <w:r>
              <w:rPr>
                <w:noProof/>
                <w:webHidden/>
              </w:rPr>
              <w:instrText xml:space="preserve"> PAGEREF _Toc219359057 \h </w:instrText>
            </w:r>
            <w:r>
              <w:rPr>
                <w:noProof/>
                <w:webHidden/>
              </w:rPr>
            </w:r>
            <w:r>
              <w:rPr>
                <w:noProof/>
                <w:webHidden/>
              </w:rPr>
              <w:fldChar w:fldCharType="separate"/>
            </w:r>
            <w:r>
              <w:rPr>
                <w:noProof/>
                <w:webHidden/>
              </w:rPr>
              <w:t>120</w:t>
            </w:r>
            <w:r>
              <w:rPr>
                <w:noProof/>
                <w:webHidden/>
              </w:rPr>
              <w:fldChar w:fldCharType="end"/>
            </w:r>
          </w:hyperlink>
        </w:p>
        <w:p w14:paraId="3FFE9ED6" w14:textId="4411D82E" w:rsidR="000656F2" w:rsidRDefault="000656F2" w:rsidP="00FE41EC">
          <w:pPr>
            <w:pStyle w:val="Sumrio1"/>
            <w:rPr>
              <w:noProof/>
              <w:kern w:val="2"/>
              <w:szCs w:val="24"/>
              <w14:ligatures w14:val="standardContextual"/>
            </w:rPr>
          </w:pPr>
          <w:hyperlink w:anchor="_Toc219359058" w:history="1">
            <w:r w:rsidRPr="0003146A">
              <w:rPr>
                <w:rStyle w:val="Hyperlink"/>
                <w:noProof/>
              </w:rPr>
              <w:t>APÊNDICE – RESULTADOS DAS ENTREVISTAS</w:t>
            </w:r>
            <w:r>
              <w:rPr>
                <w:noProof/>
                <w:webHidden/>
              </w:rPr>
              <w:tab/>
            </w:r>
            <w:r>
              <w:rPr>
                <w:noProof/>
                <w:webHidden/>
              </w:rPr>
              <w:fldChar w:fldCharType="begin"/>
            </w:r>
            <w:r>
              <w:rPr>
                <w:noProof/>
                <w:webHidden/>
              </w:rPr>
              <w:instrText xml:space="preserve"> PAGEREF _Toc219359058 \h </w:instrText>
            </w:r>
            <w:r>
              <w:rPr>
                <w:noProof/>
                <w:webHidden/>
              </w:rPr>
            </w:r>
            <w:r>
              <w:rPr>
                <w:noProof/>
                <w:webHidden/>
              </w:rPr>
              <w:fldChar w:fldCharType="separate"/>
            </w:r>
            <w:r>
              <w:rPr>
                <w:noProof/>
                <w:webHidden/>
              </w:rPr>
              <w:t>125</w:t>
            </w:r>
            <w:r>
              <w:rPr>
                <w:noProof/>
                <w:webHidden/>
              </w:rPr>
              <w:fldChar w:fldCharType="end"/>
            </w:r>
          </w:hyperlink>
        </w:p>
        <w:p w14:paraId="2620442C" w14:textId="6D4FC24B" w:rsidR="000656F2" w:rsidRDefault="000656F2" w:rsidP="00FE41EC">
          <w:pPr>
            <w:pStyle w:val="Sumrio1"/>
            <w:rPr>
              <w:noProof/>
              <w:kern w:val="2"/>
              <w:szCs w:val="24"/>
              <w14:ligatures w14:val="standardContextual"/>
            </w:rPr>
          </w:pPr>
          <w:hyperlink w:anchor="_Toc219359059" w:history="1">
            <w:r w:rsidRPr="0003146A">
              <w:rPr>
                <w:rStyle w:val="Hyperlink"/>
                <w:noProof/>
              </w:rPr>
              <w:t>ANEXO 1 - ENTREVISTAS</w:t>
            </w:r>
            <w:r>
              <w:rPr>
                <w:noProof/>
                <w:webHidden/>
              </w:rPr>
              <w:tab/>
            </w:r>
            <w:r>
              <w:rPr>
                <w:noProof/>
                <w:webHidden/>
              </w:rPr>
              <w:fldChar w:fldCharType="begin"/>
            </w:r>
            <w:r>
              <w:rPr>
                <w:noProof/>
                <w:webHidden/>
              </w:rPr>
              <w:instrText xml:space="preserve"> PAGEREF _Toc219359059 \h </w:instrText>
            </w:r>
            <w:r>
              <w:rPr>
                <w:noProof/>
                <w:webHidden/>
              </w:rPr>
            </w:r>
            <w:r>
              <w:rPr>
                <w:noProof/>
                <w:webHidden/>
              </w:rPr>
              <w:fldChar w:fldCharType="separate"/>
            </w:r>
            <w:r>
              <w:rPr>
                <w:noProof/>
                <w:webHidden/>
              </w:rPr>
              <w:t>136</w:t>
            </w:r>
            <w:r>
              <w:rPr>
                <w:noProof/>
                <w:webHidden/>
              </w:rPr>
              <w:fldChar w:fldCharType="end"/>
            </w:r>
          </w:hyperlink>
        </w:p>
        <w:p w14:paraId="5FA99FBA" w14:textId="76821494" w:rsidR="00BA3418" w:rsidRPr="00FC4E86" w:rsidRDefault="00BA3418" w:rsidP="00FE41EC">
          <w:pPr>
            <w:pStyle w:val="Sumrio1"/>
          </w:pPr>
          <w:r>
            <w:rPr>
              <w:rStyle w:val="Vnculodendice"/>
            </w:rPr>
            <w:fldChar w:fldCharType="end"/>
          </w:r>
        </w:p>
      </w:sdtContent>
    </w:sdt>
    <w:p w14:paraId="10324C59" w14:textId="77777777" w:rsidR="00BA3418" w:rsidRPr="00E87B8B" w:rsidRDefault="00BA3418" w:rsidP="00E87B8B">
      <w:pPr>
        <w:ind w:firstLine="0"/>
        <w:jc w:val="center"/>
        <w:rPr>
          <w:rFonts w:ascii="Times New Roman" w:eastAsia="Calibri" w:hAnsi="Times New Roman" w:cs="Times New Roman"/>
          <w:b/>
          <w:szCs w:val="24"/>
          <w:lang w:eastAsia="en-US"/>
        </w:rPr>
      </w:pPr>
    </w:p>
    <w:p w14:paraId="4FC6482E" w14:textId="77777777" w:rsidR="001F49FD" w:rsidRDefault="001F49FD">
      <w:pPr>
        <w:ind w:firstLine="0"/>
        <w:jc w:val="center"/>
        <w:rPr>
          <w:b/>
        </w:rPr>
      </w:pPr>
    </w:p>
    <w:p w14:paraId="04CBFAEF" w14:textId="77777777" w:rsidR="001F49FD" w:rsidRDefault="001F49FD">
      <w:pPr>
        <w:ind w:firstLine="0"/>
        <w:jc w:val="center"/>
        <w:rPr>
          <w:b/>
        </w:rPr>
      </w:pPr>
    </w:p>
    <w:p w14:paraId="20665DB8" w14:textId="77777777" w:rsidR="001F49FD" w:rsidRDefault="001F49FD">
      <w:pPr>
        <w:ind w:firstLine="0"/>
        <w:jc w:val="center"/>
        <w:rPr>
          <w:b/>
        </w:rPr>
      </w:pPr>
    </w:p>
    <w:p w14:paraId="12262CD8" w14:textId="77777777" w:rsidR="001F49FD" w:rsidRDefault="001F49FD">
      <w:pPr>
        <w:ind w:firstLine="0"/>
        <w:jc w:val="center"/>
        <w:rPr>
          <w:b/>
        </w:rPr>
      </w:pPr>
    </w:p>
    <w:p w14:paraId="3A46FC17" w14:textId="77777777" w:rsidR="002F2718" w:rsidRDefault="002F2718">
      <w:pPr>
        <w:ind w:firstLine="0"/>
        <w:jc w:val="center"/>
        <w:rPr>
          <w:b/>
        </w:rPr>
      </w:pPr>
    </w:p>
    <w:p w14:paraId="5D931B81" w14:textId="77777777" w:rsidR="001F49FD" w:rsidRDefault="001F49FD">
      <w:pPr>
        <w:ind w:firstLine="0"/>
        <w:jc w:val="center"/>
        <w:rPr>
          <w:b/>
        </w:rPr>
      </w:pPr>
    </w:p>
    <w:p w14:paraId="6F93172D" w14:textId="77777777" w:rsidR="001F49FD" w:rsidRDefault="001F49FD">
      <w:pPr>
        <w:ind w:firstLine="0"/>
        <w:jc w:val="center"/>
        <w:rPr>
          <w:b/>
        </w:rPr>
      </w:pPr>
    </w:p>
    <w:p w14:paraId="317F45B5" w14:textId="77777777" w:rsidR="00BA3418" w:rsidRDefault="00BA3418" w:rsidP="00BA3418">
      <w:pPr>
        <w:ind w:firstLine="709"/>
        <w:rPr>
          <w:rFonts w:ascii="Times New Roman" w:eastAsia="Calibri" w:hAnsi="Times New Roman" w:cs="Times New Roman"/>
          <w:b/>
          <w:szCs w:val="24"/>
          <w:lang w:eastAsia="en-US"/>
        </w:rPr>
      </w:pPr>
      <w:r>
        <w:rPr>
          <w:rFonts w:eastAsia="Calibri" w:cs="Times New Roman"/>
          <w:szCs w:val="24"/>
          <w:lang w:eastAsia="en-US"/>
        </w:rPr>
        <w:lastRenderedPageBreak/>
        <w:t xml:space="preserve">Agradeço a todos que foram fundamentais na pesquisa da tese que deu origem a este livro, em especial à professora Ana Paula </w:t>
      </w:r>
      <w:proofErr w:type="spellStart"/>
      <w:r>
        <w:rPr>
          <w:rFonts w:eastAsia="Calibri" w:cs="Times New Roman"/>
          <w:szCs w:val="24"/>
          <w:lang w:eastAsia="en-US"/>
        </w:rPr>
        <w:t>Avvad</w:t>
      </w:r>
      <w:proofErr w:type="spellEnd"/>
      <w:r>
        <w:rPr>
          <w:rFonts w:eastAsia="Calibri" w:cs="Times New Roman"/>
          <w:szCs w:val="24"/>
          <w:lang w:eastAsia="en-US"/>
        </w:rPr>
        <w:t xml:space="preserve">, ao professor Clive Brown, aos professores da PPG em Música da UFRJ e aos servidores do mesmo programa.  Agradeço, igualmente, aos membros da banca de qualificação André Cardoso e Marcelo </w:t>
      </w:r>
      <w:proofErr w:type="spellStart"/>
      <w:r>
        <w:rPr>
          <w:rFonts w:eastAsia="Calibri" w:cs="Times New Roman"/>
          <w:szCs w:val="24"/>
          <w:lang w:eastAsia="en-US"/>
        </w:rPr>
        <w:t>Fagerlande</w:t>
      </w:r>
      <w:proofErr w:type="spellEnd"/>
      <w:r>
        <w:rPr>
          <w:rFonts w:eastAsia="Calibri" w:cs="Times New Roman"/>
          <w:szCs w:val="24"/>
          <w:lang w:eastAsia="en-US"/>
        </w:rPr>
        <w:t xml:space="preserve">. Expresso meus agradecimentos também aos colegas violinistas com quem tive valiosas trocas. Por fim, agradeço às minhas filhas e à minha esposa </w:t>
      </w:r>
      <w:proofErr w:type="spellStart"/>
      <w:r>
        <w:rPr>
          <w:rFonts w:eastAsia="Calibri" w:cs="Times New Roman"/>
          <w:szCs w:val="24"/>
          <w:lang w:eastAsia="en-US"/>
        </w:rPr>
        <w:t>Titi</w:t>
      </w:r>
      <w:proofErr w:type="spellEnd"/>
      <w:r>
        <w:rPr>
          <w:rFonts w:eastAsia="Calibri" w:cs="Times New Roman"/>
          <w:szCs w:val="24"/>
          <w:lang w:eastAsia="en-US"/>
        </w:rPr>
        <w:t xml:space="preserve"> por todo o afeto recebido durante a elaboração desta obra.</w:t>
      </w:r>
    </w:p>
    <w:p w14:paraId="78ED0817" w14:textId="77777777" w:rsidR="001F49FD" w:rsidRDefault="001F49FD">
      <w:pPr>
        <w:ind w:firstLine="0"/>
        <w:jc w:val="center"/>
        <w:rPr>
          <w:b/>
        </w:rPr>
      </w:pPr>
    </w:p>
    <w:p w14:paraId="385C462E" w14:textId="77777777" w:rsidR="001F49FD" w:rsidRDefault="001F49FD">
      <w:pPr>
        <w:ind w:firstLine="0"/>
        <w:jc w:val="center"/>
        <w:rPr>
          <w:b/>
        </w:rPr>
      </w:pPr>
    </w:p>
    <w:p w14:paraId="37185207" w14:textId="77777777" w:rsidR="001F49FD" w:rsidRDefault="001F49FD" w:rsidP="000A6E65">
      <w:pPr>
        <w:pStyle w:val="Ttulo1"/>
      </w:pPr>
      <w:bookmarkStart w:id="0" w:name="_Toc522439222"/>
      <w:bookmarkEnd w:id="0"/>
    </w:p>
    <w:p w14:paraId="3B0F9855" w14:textId="77777777" w:rsidR="001F49FD" w:rsidRDefault="001F49FD" w:rsidP="000A6E65">
      <w:pPr>
        <w:pStyle w:val="Ttulo1"/>
      </w:pPr>
    </w:p>
    <w:p w14:paraId="6053BAC9" w14:textId="77777777" w:rsidR="001F49FD" w:rsidRDefault="001F49FD" w:rsidP="000A6E65">
      <w:pPr>
        <w:pStyle w:val="Ttulo1"/>
      </w:pPr>
    </w:p>
    <w:p w14:paraId="07319CEC" w14:textId="77777777" w:rsidR="001F49FD" w:rsidRDefault="001F49FD">
      <w:pPr>
        <w:ind w:firstLine="0"/>
        <w:rPr>
          <w:rFonts w:asciiTheme="majorHAnsi" w:eastAsia="Calibri" w:hAnsiTheme="majorHAnsi" w:cstheme="majorHAnsi"/>
          <w:b/>
          <w:bCs/>
          <w:szCs w:val="24"/>
          <w:shd w:val="clear" w:color="auto" w:fill="FFFFFF"/>
          <w:lang w:eastAsia="en-US"/>
        </w:rPr>
      </w:pPr>
    </w:p>
    <w:p w14:paraId="1F8B5E66" w14:textId="77777777" w:rsidR="00BA3418" w:rsidRDefault="00BA3418">
      <w:pPr>
        <w:ind w:firstLine="0"/>
        <w:rPr>
          <w:rFonts w:asciiTheme="majorHAnsi" w:eastAsia="Calibri" w:hAnsiTheme="majorHAnsi" w:cstheme="majorHAnsi"/>
          <w:b/>
          <w:bCs/>
          <w:szCs w:val="24"/>
          <w:shd w:val="clear" w:color="auto" w:fill="FFFFFF"/>
          <w:lang w:eastAsia="en-US"/>
        </w:rPr>
      </w:pPr>
    </w:p>
    <w:p w14:paraId="6B74744D" w14:textId="77777777" w:rsidR="00BA3418" w:rsidRDefault="00BA3418">
      <w:pPr>
        <w:ind w:firstLine="0"/>
        <w:rPr>
          <w:rFonts w:asciiTheme="majorHAnsi" w:eastAsia="Calibri" w:hAnsiTheme="majorHAnsi" w:cstheme="majorHAnsi"/>
          <w:b/>
          <w:bCs/>
          <w:szCs w:val="24"/>
          <w:shd w:val="clear" w:color="auto" w:fill="FFFFFF"/>
          <w:lang w:eastAsia="en-US"/>
        </w:rPr>
      </w:pPr>
    </w:p>
    <w:p w14:paraId="155DAC6E" w14:textId="77777777" w:rsidR="001F49FD" w:rsidRDefault="001F49FD">
      <w:pPr>
        <w:ind w:firstLine="0"/>
        <w:rPr>
          <w:b/>
        </w:rPr>
      </w:pPr>
    </w:p>
    <w:p w14:paraId="45ACAF42" w14:textId="77777777" w:rsidR="001F49FD" w:rsidRDefault="001F49FD">
      <w:pPr>
        <w:ind w:firstLine="0"/>
        <w:rPr>
          <w:b/>
        </w:rPr>
      </w:pPr>
    </w:p>
    <w:p w14:paraId="0CCC52C4" w14:textId="77777777" w:rsidR="001F49FD" w:rsidRDefault="001F49FD">
      <w:pPr>
        <w:ind w:firstLine="0"/>
        <w:rPr>
          <w:b/>
        </w:rPr>
      </w:pPr>
    </w:p>
    <w:p w14:paraId="431E96E3" w14:textId="77777777" w:rsidR="001F49FD" w:rsidRDefault="001F49FD">
      <w:pPr>
        <w:rPr>
          <w:lang w:val="en-GB"/>
        </w:rPr>
      </w:pPr>
      <w:bookmarkStart w:id="1" w:name="_Toc5224392221"/>
      <w:bookmarkEnd w:id="1"/>
    </w:p>
    <w:p w14:paraId="078F5E55" w14:textId="77777777" w:rsidR="001F49FD" w:rsidRDefault="001F49FD">
      <w:pPr>
        <w:spacing w:before="360" w:after="480" w:line="240" w:lineRule="auto"/>
        <w:ind w:left="-567" w:firstLine="0"/>
        <w:jc w:val="center"/>
        <w:rPr>
          <w:rFonts w:ascii="Times New Roman" w:eastAsia="Calibri" w:hAnsi="Times New Roman" w:cs="Times New Roman"/>
          <w:b/>
          <w:szCs w:val="24"/>
          <w:lang w:val="en-GB" w:eastAsia="en-US"/>
        </w:rPr>
      </w:pPr>
    </w:p>
    <w:p w14:paraId="22228A85" w14:textId="77777777" w:rsidR="001F49FD" w:rsidRDefault="001F49FD">
      <w:pPr>
        <w:spacing w:before="360" w:after="480" w:line="240" w:lineRule="auto"/>
        <w:ind w:left="-567" w:firstLine="0"/>
        <w:jc w:val="center"/>
        <w:rPr>
          <w:rFonts w:ascii="Times New Roman" w:eastAsia="Calibri" w:hAnsi="Times New Roman" w:cs="Times New Roman"/>
          <w:b/>
          <w:szCs w:val="24"/>
          <w:lang w:val="en-GB" w:eastAsia="en-US"/>
        </w:rPr>
      </w:pPr>
    </w:p>
    <w:p w14:paraId="2228C72B" w14:textId="77777777" w:rsidR="001F49FD" w:rsidRDefault="001F49FD">
      <w:pPr>
        <w:spacing w:before="360" w:after="480" w:line="240" w:lineRule="auto"/>
        <w:ind w:left="-567" w:firstLine="0"/>
        <w:jc w:val="center"/>
        <w:rPr>
          <w:rFonts w:ascii="Times New Roman" w:eastAsia="Calibri" w:hAnsi="Times New Roman" w:cs="Times New Roman"/>
          <w:b/>
          <w:szCs w:val="24"/>
          <w:lang w:val="en-GB" w:eastAsia="en-US"/>
        </w:rPr>
      </w:pPr>
    </w:p>
    <w:p w14:paraId="116D6E9A" w14:textId="77777777" w:rsidR="001F49FD" w:rsidRDefault="001F49FD">
      <w:pPr>
        <w:spacing w:before="360" w:after="480" w:line="240" w:lineRule="auto"/>
        <w:ind w:left="-567" w:firstLine="0"/>
        <w:jc w:val="center"/>
        <w:rPr>
          <w:rFonts w:ascii="Times New Roman" w:eastAsia="Calibri" w:hAnsi="Times New Roman" w:cs="Times New Roman"/>
          <w:b/>
          <w:szCs w:val="24"/>
          <w:lang w:val="en-GB" w:eastAsia="en-US"/>
        </w:rPr>
      </w:pPr>
    </w:p>
    <w:p w14:paraId="7A92B145" w14:textId="77777777" w:rsidR="00BA3418" w:rsidRDefault="00BA3418">
      <w:pPr>
        <w:spacing w:before="360" w:after="480" w:line="240" w:lineRule="auto"/>
        <w:ind w:left="-567" w:firstLine="0"/>
        <w:jc w:val="center"/>
        <w:rPr>
          <w:rFonts w:ascii="Times New Roman" w:eastAsia="Calibri" w:hAnsi="Times New Roman" w:cs="Times New Roman"/>
          <w:b/>
          <w:szCs w:val="24"/>
          <w:lang w:val="en-GB" w:eastAsia="en-US"/>
        </w:rPr>
      </w:pPr>
    </w:p>
    <w:p w14:paraId="7E8468C8" w14:textId="77777777" w:rsidR="00BA3418" w:rsidRDefault="00BA3418">
      <w:pPr>
        <w:spacing w:before="360" w:after="480" w:line="240" w:lineRule="auto"/>
        <w:ind w:left="-567" w:firstLine="0"/>
        <w:jc w:val="center"/>
        <w:rPr>
          <w:rFonts w:ascii="Times New Roman" w:eastAsia="Calibri" w:hAnsi="Times New Roman" w:cs="Times New Roman"/>
          <w:b/>
          <w:szCs w:val="24"/>
          <w:lang w:val="en-GB" w:eastAsia="en-US"/>
        </w:rPr>
      </w:pPr>
    </w:p>
    <w:p w14:paraId="07943E0D" w14:textId="77777777" w:rsidR="00BA3418" w:rsidRDefault="00BA3418">
      <w:pPr>
        <w:spacing w:before="360" w:after="480" w:line="240" w:lineRule="auto"/>
        <w:ind w:left="-567" w:firstLine="0"/>
        <w:jc w:val="center"/>
        <w:rPr>
          <w:rFonts w:ascii="Times New Roman" w:eastAsia="Calibri" w:hAnsi="Times New Roman" w:cs="Times New Roman"/>
          <w:b/>
          <w:szCs w:val="24"/>
          <w:lang w:val="en-GB" w:eastAsia="en-US"/>
        </w:rPr>
      </w:pPr>
    </w:p>
    <w:p w14:paraId="2E38C358" w14:textId="740658B1" w:rsidR="001F49FD" w:rsidRDefault="00611419">
      <w:pPr>
        <w:spacing w:before="360" w:after="480" w:line="240" w:lineRule="auto"/>
        <w:ind w:firstLine="0"/>
        <w:jc w:val="center"/>
        <w:rPr>
          <w:rFonts w:ascii="Times New Roman" w:eastAsia="Calibri" w:hAnsi="Times New Roman" w:cs="Times New Roman"/>
          <w:b/>
          <w:szCs w:val="24"/>
          <w:lang w:eastAsia="en-US"/>
        </w:rPr>
      </w:pPr>
      <w:r>
        <w:rPr>
          <w:rFonts w:eastAsia="Calibri" w:cs="Times New Roman"/>
          <w:b/>
          <w:szCs w:val="24"/>
          <w:lang w:eastAsia="en-US"/>
        </w:rPr>
        <w:lastRenderedPageBreak/>
        <w:t xml:space="preserve">LISTA DE </w:t>
      </w:r>
      <w:r w:rsidR="00BA3418">
        <w:rPr>
          <w:rFonts w:eastAsia="Calibri" w:cs="Times New Roman"/>
          <w:b/>
          <w:szCs w:val="24"/>
          <w:lang w:eastAsia="en-US"/>
        </w:rPr>
        <w:t>ILUSTRAÇÕES</w:t>
      </w:r>
    </w:p>
    <w:p w14:paraId="52AABFB0" w14:textId="27E3BA5B" w:rsidR="001F49FD" w:rsidRDefault="00611419">
      <w:pPr>
        <w:ind w:firstLine="0"/>
        <w:rPr>
          <w:rFonts w:ascii="Times New Roman" w:eastAsia="Calibri" w:hAnsi="Times New Roman" w:cs="Calibri"/>
          <w:szCs w:val="20"/>
          <w:lang w:eastAsia="en-US"/>
        </w:rPr>
      </w:pPr>
      <w:r>
        <w:fldChar w:fldCharType="begin"/>
      </w:r>
      <w:r>
        <w:rPr>
          <w:rStyle w:val="Vnculodendice"/>
          <w:rFonts w:eastAsia="Calibri" w:cs="Calibri"/>
          <w:b/>
          <w:szCs w:val="20"/>
          <w:lang w:eastAsia="en-US"/>
        </w:rPr>
        <w:instrText xml:space="preserve"> TOC \c "Figura" </w:instrText>
      </w:r>
      <w:r>
        <w:rPr>
          <w:rStyle w:val="Vnculodendice"/>
          <w:rFonts w:cs="Calibri"/>
          <w:b/>
          <w:szCs w:val="20"/>
        </w:rPr>
        <w:fldChar w:fldCharType="separate"/>
      </w:r>
      <w:hyperlink w:anchor="_Toc522542750">
        <w:r w:rsidR="001F49FD">
          <w:rPr>
            <w:rStyle w:val="Vnculodendice"/>
            <w:rFonts w:eastAsia="Calibri" w:cs="Calibri"/>
            <w:b/>
            <w:szCs w:val="20"/>
            <w:lang w:eastAsia="en-US"/>
          </w:rPr>
          <w:t>Figura 1</w:t>
        </w:r>
        <w:r w:rsidR="001F49FD">
          <w:rPr>
            <w:rStyle w:val="Vnculodendice"/>
            <w:rFonts w:eastAsia="Calibri" w:cs="Calibri"/>
            <w:szCs w:val="20"/>
            <w:lang w:eastAsia="en-US"/>
          </w:rPr>
          <w:t>:</w:t>
        </w:r>
        <w:r w:rsidR="001F49FD">
          <w:rPr>
            <w:rStyle w:val="Vnculodendice"/>
            <w:rFonts w:eastAsia="Calibri" w:cs="Calibri"/>
            <w:b/>
            <w:szCs w:val="20"/>
            <w:lang w:eastAsia="en-US"/>
          </w:rPr>
          <w:t xml:space="preserve"> </w:t>
        </w:r>
        <w:r w:rsidR="001F49FD">
          <w:rPr>
            <w:rStyle w:val="Vnculodendice"/>
            <w:rFonts w:eastAsia="Calibri" w:cs="Calibri"/>
            <w:szCs w:val="20"/>
            <w:lang w:eastAsia="en-US"/>
          </w:rPr>
          <w:t xml:space="preserve">Postura corporal – </w:t>
        </w:r>
        <w:r w:rsidR="001F49FD">
          <w:rPr>
            <w:rStyle w:val="Vnculodendice"/>
            <w:rFonts w:eastAsia="Calibri" w:cs="Calibri"/>
            <w:i/>
            <w:szCs w:val="20"/>
            <w:lang w:eastAsia="en-US"/>
          </w:rPr>
          <w:t>L’Art du violon</w:t>
        </w:r>
        <w:r w:rsidR="001F49FD">
          <w:rPr>
            <w:webHidden/>
          </w:rPr>
          <w:fldChar w:fldCharType="begin"/>
        </w:r>
        <w:r w:rsidR="001F49FD">
          <w:rPr>
            <w:webHidden/>
          </w:rPr>
          <w:instrText>PAGEREF _Toc522542750 \h</w:instrText>
        </w:r>
        <w:r w:rsidR="001F49FD">
          <w:rPr>
            <w:webHidden/>
          </w:rPr>
        </w:r>
        <w:r w:rsidR="001F49FD">
          <w:rPr>
            <w:webHidden/>
          </w:rPr>
          <w:fldChar w:fldCharType="separate"/>
        </w:r>
        <w:r w:rsidR="001F49FD">
          <w:rPr>
            <w:rStyle w:val="Vnculodendice"/>
            <w:rFonts w:eastAsia="Calibri" w:cs="Calibri"/>
            <w:szCs w:val="20"/>
            <w:lang w:eastAsia="en-US"/>
          </w:rPr>
          <w:t>......................................................................... 2</w:t>
        </w:r>
        <w:r w:rsidR="006E33AD">
          <w:rPr>
            <w:rStyle w:val="Vnculodendice"/>
            <w:rFonts w:eastAsia="Calibri" w:cs="Calibri"/>
            <w:szCs w:val="20"/>
            <w:lang w:eastAsia="en-US"/>
          </w:rPr>
          <w:t>6</w:t>
        </w:r>
        <w:r w:rsidR="001F49FD">
          <w:rPr>
            <w:webHidden/>
          </w:rPr>
          <w:fldChar w:fldCharType="end"/>
        </w:r>
      </w:hyperlink>
    </w:p>
    <w:p w14:paraId="7B88B008" w14:textId="18447706"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2</w:t>
      </w:r>
      <w:r>
        <w:rPr>
          <w:rFonts w:eastAsia="Calibri" w:cs="Times New Roman"/>
          <w:szCs w:val="24"/>
          <w:lang w:eastAsia="en-US"/>
        </w:rPr>
        <w:t>: Nomenclatura das articulações e das falanges dos dedos....................................... 2</w:t>
      </w:r>
      <w:r w:rsidR="006E33AD">
        <w:rPr>
          <w:rFonts w:eastAsia="Calibri" w:cs="Times New Roman"/>
          <w:szCs w:val="24"/>
          <w:lang w:eastAsia="en-US"/>
        </w:rPr>
        <w:t>7</w:t>
      </w:r>
    </w:p>
    <w:p w14:paraId="45D60EBA" w14:textId="5ABE90C8"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3</w:t>
      </w:r>
      <w:r>
        <w:rPr>
          <w:rFonts w:eastAsia="Calibri" w:cs="Times New Roman"/>
          <w:szCs w:val="24"/>
          <w:lang w:eastAsia="en-US"/>
        </w:rPr>
        <w:t>: Movimentos dos dedos............................................................................................2</w:t>
      </w:r>
      <w:r w:rsidR="006E33AD">
        <w:rPr>
          <w:rFonts w:eastAsia="Calibri" w:cs="Times New Roman"/>
          <w:szCs w:val="24"/>
          <w:lang w:eastAsia="en-US"/>
        </w:rPr>
        <w:t>7</w:t>
      </w:r>
    </w:p>
    <w:p w14:paraId="3FFFDE18" w14:textId="37CB9126"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4</w:t>
      </w:r>
      <w:r>
        <w:rPr>
          <w:rFonts w:eastAsia="Calibri" w:cs="Times New Roman"/>
          <w:szCs w:val="24"/>
          <w:lang w:eastAsia="en-US"/>
        </w:rPr>
        <w:t xml:space="preserve">: Queixeira – </w:t>
      </w:r>
      <w:r>
        <w:rPr>
          <w:rFonts w:eastAsia="Calibri" w:cs="Times New Roman"/>
          <w:i/>
          <w:szCs w:val="24"/>
          <w:lang w:eastAsia="en-US"/>
        </w:rPr>
        <w:t>Violinschule..........................................................................................</w:t>
      </w:r>
      <w:r>
        <w:rPr>
          <w:rFonts w:eastAsia="Calibri" w:cs="Times New Roman"/>
          <w:szCs w:val="24"/>
          <w:lang w:eastAsia="en-US"/>
        </w:rPr>
        <w:tab/>
        <w:t>3</w:t>
      </w:r>
      <w:r w:rsidR="006E33AD">
        <w:rPr>
          <w:rFonts w:eastAsia="Calibri" w:cs="Times New Roman"/>
          <w:szCs w:val="24"/>
          <w:lang w:eastAsia="en-US"/>
        </w:rPr>
        <w:t>2</w:t>
      </w:r>
    </w:p>
    <w:p w14:paraId="55F82778" w14:textId="7A8B166B"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5</w:t>
      </w:r>
      <w:r>
        <w:rPr>
          <w:rFonts w:eastAsia="Calibri" w:cs="Times New Roman"/>
          <w:szCs w:val="24"/>
          <w:lang w:eastAsia="en-US"/>
        </w:rPr>
        <w:t xml:space="preserve">: Postura corporal – </w:t>
      </w:r>
      <w:r>
        <w:rPr>
          <w:rFonts w:eastAsia="Calibri" w:cs="Times New Roman"/>
          <w:i/>
          <w:szCs w:val="24"/>
          <w:lang w:eastAsia="en-US"/>
        </w:rPr>
        <w:t>Violinschule...............................................................................</w:t>
      </w:r>
      <w:r>
        <w:rPr>
          <w:rFonts w:eastAsia="Calibri" w:cs="Times New Roman"/>
          <w:szCs w:val="24"/>
          <w:lang w:eastAsia="en-US"/>
        </w:rPr>
        <w:tab/>
        <w:t>3</w:t>
      </w:r>
      <w:r w:rsidR="006E33AD">
        <w:rPr>
          <w:rFonts w:eastAsia="Calibri" w:cs="Times New Roman"/>
          <w:szCs w:val="24"/>
          <w:lang w:eastAsia="en-US"/>
        </w:rPr>
        <w:t>4</w:t>
      </w:r>
    </w:p>
    <w:p w14:paraId="2C0EFDE3" w14:textId="14923395"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6</w:t>
      </w:r>
      <w:r>
        <w:rPr>
          <w:rFonts w:eastAsia="Calibri" w:cs="Times New Roman"/>
          <w:szCs w:val="24"/>
          <w:lang w:eastAsia="en-US"/>
        </w:rPr>
        <w:t xml:space="preserve">: Postura corporal – </w:t>
      </w:r>
      <w:r>
        <w:rPr>
          <w:rFonts w:eastAsia="Calibri" w:cs="Times New Roman"/>
          <w:i/>
          <w:szCs w:val="24"/>
          <w:lang w:eastAsia="en-US"/>
        </w:rPr>
        <w:t>Méthode de violon.....................................................................</w:t>
      </w:r>
      <w:r>
        <w:rPr>
          <w:rFonts w:eastAsia="Calibri" w:cs="Times New Roman"/>
          <w:szCs w:val="24"/>
          <w:lang w:eastAsia="en-US"/>
        </w:rPr>
        <w:tab/>
        <w:t>4</w:t>
      </w:r>
      <w:r w:rsidR="006E33AD">
        <w:rPr>
          <w:rFonts w:eastAsia="Calibri" w:cs="Times New Roman"/>
          <w:szCs w:val="24"/>
          <w:lang w:eastAsia="en-US"/>
        </w:rPr>
        <w:t>1</w:t>
      </w:r>
    </w:p>
    <w:p w14:paraId="562EB864" w14:textId="5DD48051"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7</w:t>
      </w:r>
      <w:r>
        <w:rPr>
          <w:rFonts w:eastAsia="Calibri" w:cs="Times New Roman"/>
          <w:szCs w:val="24"/>
          <w:lang w:eastAsia="en-US"/>
        </w:rPr>
        <w:t xml:space="preserve">: Posição no talão com pouca elevação do punho – </w:t>
      </w:r>
      <w:r>
        <w:rPr>
          <w:rFonts w:eastAsia="Calibri" w:cs="Times New Roman"/>
          <w:i/>
          <w:szCs w:val="24"/>
          <w:lang w:eastAsia="en-US"/>
        </w:rPr>
        <w:t>Violinschule..............................</w:t>
      </w:r>
      <w:r>
        <w:rPr>
          <w:rFonts w:eastAsia="Calibri" w:cs="Times New Roman"/>
          <w:szCs w:val="24"/>
          <w:lang w:eastAsia="en-US"/>
        </w:rPr>
        <w:tab/>
      </w:r>
      <w:r w:rsidR="006E33AD">
        <w:rPr>
          <w:rFonts w:eastAsia="Calibri" w:cs="Times New Roman"/>
          <w:szCs w:val="24"/>
          <w:lang w:eastAsia="en-US"/>
        </w:rPr>
        <w:t>47</w:t>
      </w:r>
      <w:r>
        <w:rPr>
          <w:rFonts w:eastAsia="Calibri" w:cs="Times New Roman"/>
          <w:szCs w:val="24"/>
          <w:lang w:eastAsia="en-US"/>
        </w:rPr>
        <w:t xml:space="preserve"> </w:t>
      </w:r>
    </w:p>
    <w:p w14:paraId="5964C6BE" w14:textId="5BB72DE3"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8</w:t>
      </w:r>
      <w:r>
        <w:rPr>
          <w:rFonts w:eastAsia="Calibri" w:cs="Times New Roman"/>
          <w:szCs w:val="24"/>
          <w:lang w:eastAsia="en-US"/>
        </w:rPr>
        <w:t>: Posição da mão no arco de Leopold Auer..............................................................</w:t>
      </w:r>
      <w:r>
        <w:rPr>
          <w:rFonts w:eastAsia="Calibri" w:cs="Times New Roman"/>
          <w:szCs w:val="24"/>
          <w:lang w:eastAsia="en-US"/>
        </w:rPr>
        <w:tab/>
      </w:r>
      <w:r w:rsidR="006E33AD">
        <w:rPr>
          <w:rFonts w:eastAsia="Calibri" w:cs="Times New Roman"/>
          <w:szCs w:val="24"/>
          <w:lang w:eastAsia="en-US"/>
        </w:rPr>
        <w:t>55</w:t>
      </w:r>
    </w:p>
    <w:p w14:paraId="0A294EE1" w14:textId="3DDE9734"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9</w:t>
      </w:r>
      <w:r>
        <w:rPr>
          <w:rFonts w:eastAsia="Calibri" w:cs="Times New Roman"/>
          <w:szCs w:val="24"/>
          <w:lang w:eastAsia="en-US"/>
        </w:rPr>
        <w:t>: Posição da mão no arco das diferentes Escolas de violino.....................................</w:t>
      </w:r>
      <w:r>
        <w:rPr>
          <w:rFonts w:eastAsia="Calibri" w:cs="Times New Roman"/>
          <w:szCs w:val="24"/>
          <w:lang w:eastAsia="en-US"/>
        </w:rPr>
        <w:tab/>
      </w:r>
      <w:r w:rsidR="006E33AD">
        <w:rPr>
          <w:rFonts w:eastAsia="Calibri" w:cs="Times New Roman"/>
          <w:szCs w:val="24"/>
          <w:lang w:eastAsia="en-US"/>
        </w:rPr>
        <w:t>62</w:t>
      </w:r>
    </w:p>
    <w:p w14:paraId="6DC3B7C5" w14:textId="0B24610C"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10</w:t>
      </w:r>
      <w:r>
        <w:rPr>
          <w:rFonts w:eastAsia="Calibri" w:cs="Times New Roman"/>
          <w:szCs w:val="24"/>
          <w:lang w:eastAsia="en-US"/>
        </w:rPr>
        <w:t xml:space="preserve">: Postura corporal – </w:t>
      </w:r>
      <w:r>
        <w:rPr>
          <w:rFonts w:eastAsia="Calibri" w:cs="Times New Roman"/>
          <w:i/>
          <w:szCs w:val="24"/>
          <w:lang w:eastAsia="en-US"/>
        </w:rPr>
        <w:t>Practice...................................................................................</w:t>
      </w:r>
      <w:r>
        <w:rPr>
          <w:rFonts w:eastAsia="Calibri" w:cs="Times New Roman"/>
          <w:szCs w:val="24"/>
          <w:lang w:eastAsia="en-US"/>
        </w:rPr>
        <w:tab/>
      </w:r>
      <w:r w:rsidR="006E33AD">
        <w:rPr>
          <w:rFonts w:eastAsia="Calibri" w:cs="Times New Roman"/>
          <w:szCs w:val="24"/>
          <w:lang w:eastAsia="en-US"/>
        </w:rPr>
        <w:t>69</w:t>
      </w:r>
    </w:p>
    <w:p w14:paraId="086DFCF3" w14:textId="155E1A91" w:rsidR="001F49FD" w:rsidRDefault="00611419">
      <w:pPr>
        <w:ind w:firstLine="0"/>
        <w:rPr>
          <w:rFonts w:ascii="Times New Roman" w:eastAsia="Calibri" w:hAnsi="Times New Roman" w:cs="Times New Roman"/>
          <w:szCs w:val="24"/>
          <w:lang w:eastAsia="en-US"/>
        </w:rPr>
      </w:pPr>
      <w:r>
        <w:rPr>
          <w:rFonts w:eastAsia="Calibri" w:cs="Times New Roman"/>
          <w:b/>
          <w:szCs w:val="24"/>
          <w:lang w:eastAsia="en-US"/>
        </w:rPr>
        <w:t>Figura 11</w:t>
      </w:r>
      <w:r>
        <w:rPr>
          <w:rFonts w:eastAsia="Calibri" w:cs="Times New Roman"/>
          <w:szCs w:val="24"/>
          <w:lang w:eastAsia="en-US"/>
        </w:rPr>
        <w:t xml:space="preserve">: Posição da mão no talão – </w:t>
      </w:r>
      <w:r>
        <w:rPr>
          <w:rFonts w:eastAsia="Calibri" w:cs="Times New Roman"/>
          <w:i/>
          <w:szCs w:val="24"/>
          <w:lang w:eastAsia="en-US"/>
        </w:rPr>
        <w:t>Practice.......................................................................</w:t>
      </w:r>
      <w:r>
        <w:rPr>
          <w:rFonts w:eastAsia="Calibri" w:cs="Times New Roman"/>
          <w:szCs w:val="24"/>
          <w:lang w:eastAsia="en-US"/>
        </w:rPr>
        <w:tab/>
      </w:r>
      <w:r w:rsidR="006E33AD">
        <w:rPr>
          <w:rFonts w:eastAsia="Calibri" w:cs="Times New Roman"/>
          <w:szCs w:val="24"/>
          <w:lang w:eastAsia="en-US"/>
        </w:rPr>
        <w:t>72</w:t>
      </w:r>
    </w:p>
    <w:p w14:paraId="7E8DBDD5" w14:textId="798C43D0" w:rsidR="001F49FD" w:rsidRDefault="00611419">
      <w:pPr>
        <w:ind w:right="-1" w:firstLine="0"/>
        <w:jc w:val="left"/>
        <w:rPr>
          <w:szCs w:val="24"/>
        </w:rPr>
      </w:pPr>
      <w:r>
        <w:rPr>
          <w:rFonts w:eastAsia="Calibri" w:cs="Times New Roman"/>
          <w:b/>
          <w:szCs w:val="24"/>
          <w:lang w:eastAsia="en-US"/>
        </w:rPr>
        <w:t>Figura 12</w:t>
      </w:r>
      <w:r>
        <w:rPr>
          <w:rFonts w:eastAsia="Calibri" w:cs="Times New Roman"/>
          <w:szCs w:val="24"/>
          <w:lang w:eastAsia="en-US"/>
        </w:rPr>
        <w:t xml:space="preserve">: </w:t>
      </w:r>
      <w:r>
        <w:rPr>
          <w:szCs w:val="24"/>
        </w:rPr>
        <w:t>Posição extremada para exemplifcar a perpendicularidade dos dedos com relação às cordas e o paralelismo da base da mão com relação ao braço</w:t>
      </w:r>
      <w:r>
        <w:t xml:space="preserve"> do violino........................... </w:t>
      </w:r>
      <w:r w:rsidR="006E33AD">
        <w:t>86</w:t>
      </w:r>
    </w:p>
    <w:p w14:paraId="1EB88021" w14:textId="196AE249" w:rsidR="001F49FD" w:rsidRDefault="00611419">
      <w:pPr>
        <w:spacing w:line="240" w:lineRule="auto"/>
        <w:ind w:firstLine="0"/>
        <w:rPr>
          <w:szCs w:val="24"/>
        </w:rPr>
      </w:pPr>
      <w:r>
        <w:rPr>
          <w:b/>
          <w:szCs w:val="24"/>
        </w:rPr>
        <w:t>Figura13</w:t>
      </w:r>
      <w:r>
        <w:rPr>
          <w:szCs w:val="24"/>
        </w:rPr>
        <w:t>:</w:t>
      </w:r>
      <w:r>
        <w:t xml:space="preserve"> </w:t>
      </w:r>
      <w:r>
        <w:rPr>
          <w:rFonts w:eastAsia="Calibri" w:cs="Times New Roman"/>
          <w:szCs w:val="24"/>
          <w:lang w:eastAsia="en-US"/>
        </w:rPr>
        <w:t>Nomenclatura das articulações e das falanges dos dedos.....................................1</w:t>
      </w:r>
      <w:r w:rsidR="006E33AD">
        <w:rPr>
          <w:rFonts w:eastAsia="Calibri" w:cs="Times New Roman"/>
          <w:szCs w:val="24"/>
          <w:lang w:eastAsia="en-US"/>
        </w:rPr>
        <w:t>03</w:t>
      </w:r>
      <w:r>
        <w:rPr>
          <w:rFonts w:eastAsia="Calibri" w:cs="Times New Roman"/>
          <w:szCs w:val="24"/>
          <w:lang w:eastAsia="en-US"/>
        </w:rPr>
        <w:fldChar w:fldCharType="end"/>
      </w:r>
    </w:p>
    <w:p w14:paraId="27182D42" w14:textId="77777777" w:rsidR="001F49FD" w:rsidRDefault="001F49FD">
      <w:pPr>
        <w:ind w:firstLine="0"/>
        <w:rPr>
          <w:rFonts w:ascii="Times New Roman" w:eastAsia="Calibri" w:hAnsi="Times New Roman" w:cs="Times New Roman"/>
          <w:szCs w:val="24"/>
          <w:lang w:eastAsia="en-US"/>
        </w:rPr>
      </w:pPr>
    </w:p>
    <w:p w14:paraId="658D0A73" w14:textId="77777777" w:rsidR="001F49FD" w:rsidRDefault="001F49FD">
      <w:pPr>
        <w:rPr>
          <w:rFonts w:ascii="Times New Roman" w:eastAsia="Calibri" w:hAnsi="Times New Roman" w:cs="Calibri"/>
          <w:smallCaps/>
          <w:sz w:val="20"/>
          <w:szCs w:val="20"/>
          <w:lang w:eastAsia="en-US"/>
        </w:rPr>
      </w:pPr>
    </w:p>
    <w:p w14:paraId="6ED6D6EF" w14:textId="77777777" w:rsidR="001F49FD" w:rsidRDefault="001F49FD">
      <w:pPr>
        <w:ind w:firstLine="0"/>
        <w:rPr>
          <w:rFonts w:ascii="Times New Roman" w:eastAsia="Calibri" w:hAnsi="Times New Roman" w:cs="Calibri"/>
          <w:smallCaps/>
          <w:sz w:val="20"/>
          <w:szCs w:val="20"/>
          <w:lang w:eastAsia="en-US"/>
        </w:rPr>
      </w:pPr>
    </w:p>
    <w:p w14:paraId="43008403" w14:textId="77777777" w:rsidR="001F49FD" w:rsidRDefault="001F49FD">
      <w:pPr>
        <w:ind w:firstLine="0"/>
        <w:rPr>
          <w:rFonts w:ascii="Times New Roman" w:eastAsia="Calibri" w:hAnsi="Times New Roman" w:cs="Times New Roman"/>
          <w:b/>
          <w:szCs w:val="24"/>
          <w:lang w:eastAsia="en-US"/>
        </w:rPr>
      </w:pPr>
    </w:p>
    <w:p w14:paraId="05D5443B" w14:textId="77777777" w:rsidR="001F49FD" w:rsidRDefault="001F49FD">
      <w:pPr>
        <w:ind w:firstLine="0"/>
        <w:rPr>
          <w:b/>
        </w:rPr>
      </w:pPr>
    </w:p>
    <w:p w14:paraId="61A73671" w14:textId="77777777" w:rsidR="001F49FD" w:rsidRDefault="00611419" w:rsidP="000A6E65">
      <w:pPr>
        <w:pStyle w:val="Ttulo1"/>
      </w:pPr>
      <w:r>
        <w:br w:type="page"/>
      </w:r>
    </w:p>
    <w:p w14:paraId="66E070EE" w14:textId="77777777" w:rsidR="001F49FD" w:rsidRDefault="00611419">
      <w:pPr>
        <w:pStyle w:val="NotadeRodap"/>
        <w:spacing w:before="360" w:after="480"/>
        <w:jc w:val="center"/>
        <w:rPr>
          <w:b/>
          <w:sz w:val="24"/>
          <w:szCs w:val="24"/>
        </w:rPr>
      </w:pPr>
      <w:bookmarkStart w:id="2" w:name="_Toc475619746"/>
      <w:bookmarkStart w:id="3" w:name="_Toc482439690"/>
      <w:r>
        <w:rPr>
          <w:b/>
          <w:sz w:val="24"/>
          <w:szCs w:val="24"/>
        </w:rPr>
        <w:lastRenderedPageBreak/>
        <w:t xml:space="preserve">LISTA DE </w:t>
      </w:r>
      <w:bookmarkEnd w:id="2"/>
      <w:bookmarkEnd w:id="3"/>
      <w:r>
        <w:rPr>
          <w:b/>
          <w:sz w:val="24"/>
          <w:szCs w:val="24"/>
        </w:rPr>
        <w:t>QUADROS</w:t>
      </w:r>
    </w:p>
    <w:p w14:paraId="4B59392C" w14:textId="389223EB" w:rsidR="001F49FD" w:rsidRDefault="00611419">
      <w:pPr>
        <w:ind w:firstLine="0"/>
        <w:rPr>
          <w:rFonts w:ascii="Times New Roman" w:eastAsia="Times New Roman" w:hAnsi="Times New Roman" w:cs="Times New Roman"/>
        </w:rPr>
      </w:pPr>
      <w:r>
        <w:fldChar w:fldCharType="begin"/>
      </w:r>
      <w:r>
        <w:rPr>
          <w:rStyle w:val="Vnculodendice"/>
          <w:rFonts w:eastAsia="Times New Roman" w:cs="Times New Roman"/>
          <w:b/>
        </w:rPr>
        <w:instrText xml:space="preserve"> TOC \c "Quadro" </w:instrText>
      </w:r>
      <w:r>
        <w:rPr>
          <w:rStyle w:val="Vnculodendice"/>
          <w:b/>
        </w:rPr>
        <w:fldChar w:fldCharType="separate"/>
      </w:r>
      <w:hyperlink w:anchor="_Toc517913204">
        <w:r w:rsidR="001F49FD">
          <w:rPr>
            <w:rStyle w:val="Vnculodendice"/>
            <w:rFonts w:eastAsia="Times New Roman" w:cs="Times New Roman"/>
            <w:b/>
          </w:rPr>
          <w:t>Quadro 1</w:t>
        </w:r>
        <w:r w:rsidR="001F49FD">
          <w:rPr>
            <w:rStyle w:val="Vnculodendice"/>
            <w:rFonts w:eastAsia="Times New Roman" w:cs="Times New Roman"/>
          </w:rPr>
          <w:t>:</w:t>
        </w:r>
        <w:r w:rsidR="001F49FD">
          <w:rPr>
            <w:rStyle w:val="Vnculodendice"/>
            <w:rFonts w:eastAsia="Times New Roman" w:cs="Times New Roman"/>
            <w:b/>
          </w:rPr>
          <w:t xml:space="preserve"> </w:t>
        </w:r>
        <w:r w:rsidR="001F49FD">
          <w:rPr>
            <w:rStyle w:val="Vnculodendice"/>
            <w:rFonts w:eastAsia="Times New Roman" w:cs="Times New Roman"/>
          </w:rPr>
          <w:t>Equilíbrio do corpo...............................................................................................</w:t>
        </w:r>
        <w:r w:rsidR="001F49FD">
          <w:rPr>
            <w:rStyle w:val="Vnculodendice"/>
            <w:rFonts w:eastAsia="Times New Roman" w:cs="Times New Roman"/>
          </w:rPr>
          <w:tab/>
        </w:r>
        <w:r w:rsidR="006E33AD">
          <w:rPr>
            <w:webHidden/>
          </w:rPr>
          <w:t>73</w:t>
        </w:r>
      </w:hyperlink>
    </w:p>
    <w:p w14:paraId="38F3173D" w14:textId="35784977" w:rsidR="001F49FD" w:rsidRDefault="00611419">
      <w:pPr>
        <w:ind w:firstLine="0"/>
        <w:rPr>
          <w:rFonts w:ascii="Times New Roman" w:eastAsia="Times New Roman" w:hAnsi="Times New Roman" w:cs="Times New Roman"/>
        </w:rPr>
      </w:pPr>
      <w:r>
        <w:rPr>
          <w:rFonts w:eastAsia="Times New Roman" w:cs="Times New Roman"/>
          <w:b/>
        </w:rPr>
        <w:t>Quadro 2</w:t>
      </w:r>
      <w:r>
        <w:rPr>
          <w:rFonts w:eastAsia="Times New Roman" w:cs="Times New Roman"/>
        </w:rPr>
        <w:t>: Local de posicionamento do violino......................................................................</w:t>
      </w:r>
      <w:r>
        <w:rPr>
          <w:rFonts w:eastAsia="Times New Roman" w:cs="Times New Roman"/>
        </w:rPr>
        <w:tab/>
      </w:r>
      <w:r w:rsidR="006E33AD">
        <w:rPr>
          <w:rFonts w:eastAsia="Times New Roman" w:cs="Times New Roman"/>
        </w:rPr>
        <w:t>75</w:t>
      </w:r>
    </w:p>
    <w:p w14:paraId="60CF5939" w14:textId="3B0D30E5" w:rsidR="001F49FD" w:rsidRDefault="00611419">
      <w:pPr>
        <w:ind w:firstLine="0"/>
        <w:rPr>
          <w:rFonts w:ascii="Times New Roman" w:eastAsia="Times New Roman" w:hAnsi="Times New Roman" w:cs="Times New Roman"/>
        </w:rPr>
      </w:pPr>
      <w:r>
        <w:rPr>
          <w:rFonts w:eastAsia="Times New Roman" w:cs="Times New Roman"/>
          <w:b/>
        </w:rPr>
        <w:t>Quadro 3</w:t>
      </w:r>
      <w:r>
        <w:rPr>
          <w:rFonts w:eastAsia="Times New Roman" w:cs="Times New Roman"/>
        </w:rPr>
        <w:t>: Sustentação do violino...........................................................................................</w:t>
      </w:r>
      <w:r>
        <w:rPr>
          <w:rFonts w:eastAsia="Times New Roman" w:cs="Times New Roman"/>
        </w:rPr>
        <w:tab/>
      </w:r>
      <w:r w:rsidR="006E33AD">
        <w:rPr>
          <w:rFonts w:eastAsia="Times New Roman" w:cs="Times New Roman"/>
        </w:rPr>
        <w:t>76</w:t>
      </w:r>
    </w:p>
    <w:p w14:paraId="0D9EC64A" w14:textId="07E5308E" w:rsidR="001F49FD" w:rsidRDefault="00611419">
      <w:pPr>
        <w:ind w:firstLine="0"/>
        <w:rPr>
          <w:rFonts w:ascii="Times New Roman" w:eastAsia="Times New Roman" w:hAnsi="Times New Roman" w:cs="Times New Roman"/>
        </w:rPr>
      </w:pPr>
      <w:r>
        <w:rPr>
          <w:rFonts w:eastAsia="Times New Roman" w:cs="Times New Roman"/>
          <w:b/>
        </w:rPr>
        <w:t>Quadro 4</w:t>
      </w:r>
      <w:r>
        <w:rPr>
          <w:rFonts w:eastAsia="Times New Roman" w:cs="Times New Roman"/>
        </w:rPr>
        <w:t>: Ponto de contato dos dedos polegar e indicador na 1ª posição..............................</w:t>
      </w:r>
      <w:r>
        <w:rPr>
          <w:rFonts w:eastAsia="Times New Roman" w:cs="Times New Roman"/>
        </w:rPr>
        <w:tab/>
      </w:r>
      <w:r w:rsidR="006E33AD">
        <w:rPr>
          <w:rFonts w:eastAsia="Times New Roman" w:cs="Times New Roman"/>
        </w:rPr>
        <w:t>82</w:t>
      </w:r>
    </w:p>
    <w:p w14:paraId="1F29AB8C" w14:textId="3F4DB37F" w:rsidR="001F49FD" w:rsidRDefault="00611419">
      <w:pPr>
        <w:ind w:firstLine="0"/>
        <w:rPr>
          <w:rFonts w:ascii="Times New Roman" w:eastAsia="Calibri" w:hAnsi="Times New Roman" w:cs="Times New Roman"/>
          <w:sz w:val="20"/>
          <w:szCs w:val="20"/>
          <w:lang w:eastAsia="en-US"/>
        </w:rPr>
      </w:pPr>
      <w:r>
        <w:rPr>
          <w:rFonts w:eastAsia="Times New Roman" w:cs="Times New Roman"/>
          <w:b/>
        </w:rPr>
        <w:t>Quadro 5</w:t>
      </w:r>
      <w:r>
        <w:rPr>
          <w:rFonts w:eastAsia="Times New Roman" w:cs="Times New Roman"/>
        </w:rPr>
        <w:t xml:space="preserve">: </w:t>
      </w:r>
      <w:r>
        <w:rPr>
          <w:rFonts w:eastAsia="Calibri" w:cs="Times New Roman"/>
          <w:szCs w:val="24"/>
          <w:lang w:eastAsia="en-US"/>
        </w:rPr>
        <w:t>Posicionamento do dedo indicador e direcionamento dos dedos...........................</w:t>
      </w:r>
      <w:r>
        <w:rPr>
          <w:rFonts w:eastAsia="Calibri" w:cs="Times New Roman"/>
          <w:szCs w:val="24"/>
          <w:lang w:eastAsia="en-US"/>
        </w:rPr>
        <w:tab/>
      </w:r>
      <w:r w:rsidR="006E33AD">
        <w:rPr>
          <w:rFonts w:eastAsia="Times New Roman" w:cs="Times New Roman"/>
        </w:rPr>
        <w:t>84</w:t>
      </w:r>
    </w:p>
    <w:p w14:paraId="1CA6E936" w14:textId="0926C8DE" w:rsidR="001F49FD" w:rsidRDefault="00611419">
      <w:pPr>
        <w:ind w:firstLine="0"/>
        <w:rPr>
          <w:rFonts w:ascii="Times New Roman" w:eastAsia="Times New Roman" w:hAnsi="Times New Roman" w:cs="Times New Roman"/>
        </w:rPr>
      </w:pPr>
      <w:r>
        <w:rPr>
          <w:rFonts w:eastAsia="Times New Roman" w:cs="Times New Roman"/>
          <w:b/>
        </w:rPr>
        <w:t>Quadro 6</w:t>
      </w:r>
      <w:r>
        <w:rPr>
          <w:rFonts w:eastAsia="Times New Roman" w:cs="Times New Roman"/>
        </w:rPr>
        <w:t>:</w:t>
      </w:r>
      <w:r>
        <w:rPr>
          <w:rFonts w:eastAsia="Times New Roman" w:cs="Times New Roman"/>
          <w:szCs w:val="24"/>
        </w:rPr>
        <w:t xml:space="preserve"> </w:t>
      </w:r>
      <w:r>
        <w:rPr>
          <w:rFonts w:eastAsia="Calibri" w:cs="Times New Roman"/>
          <w:szCs w:val="24"/>
          <w:lang w:eastAsia="en-US"/>
        </w:rPr>
        <w:t>Grau de elevação dos dedos...................................................................................</w:t>
      </w:r>
      <w:r>
        <w:rPr>
          <w:rFonts w:eastAsia="Times New Roman" w:cs="Times New Roman"/>
          <w:szCs w:val="24"/>
        </w:rPr>
        <w:tab/>
      </w:r>
      <w:r w:rsidR="006E33AD">
        <w:rPr>
          <w:rFonts w:eastAsia="Times New Roman" w:cs="Times New Roman"/>
        </w:rPr>
        <w:t>87</w:t>
      </w:r>
    </w:p>
    <w:p w14:paraId="4A4D7DCE" w14:textId="2BA22925" w:rsidR="001F49FD" w:rsidRDefault="00611419">
      <w:pPr>
        <w:ind w:firstLine="0"/>
        <w:rPr>
          <w:rFonts w:ascii="Times New Roman" w:eastAsia="Times New Roman" w:hAnsi="Times New Roman" w:cs="Times New Roman"/>
        </w:rPr>
      </w:pPr>
      <w:r>
        <w:rPr>
          <w:rFonts w:eastAsia="Times New Roman" w:cs="Times New Roman"/>
          <w:b/>
        </w:rPr>
        <w:t>Quadro 7</w:t>
      </w:r>
      <w:r>
        <w:rPr>
          <w:rFonts w:eastAsia="Times New Roman" w:cs="Times New Roman"/>
        </w:rPr>
        <w:t>:</w:t>
      </w:r>
      <w:r>
        <w:rPr>
          <w:rFonts w:eastAsia="Times New Roman" w:cs="Times New Roman"/>
          <w:b/>
        </w:rPr>
        <w:t xml:space="preserve"> </w:t>
      </w:r>
      <w:r>
        <w:rPr>
          <w:rFonts w:eastAsia="Calibri" w:cs="Times New Roman"/>
          <w:szCs w:val="24"/>
          <w:lang w:eastAsia="en-US"/>
        </w:rPr>
        <w:t>Nível do braço em relação às cordas...........................................................</w:t>
      </w:r>
      <w:r w:rsidR="006E33AD">
        <w:rPr>
          <w:rFonts w:eastAsia="Calibri" w:cs="Times New Roman"/>
          <w:szCs w:val="24"/>
          <w:lang w:eastAsia="en-US"/>
        </w:rPr>
        <w:t>..</w:t>
      </w:r>
      <w:r>
        <w:rPr>
          <w:rFonts w:eastAsia="Calibri" w:cs="Times New Roman"/>
          <w:szCs w:val="24"/>
          <w:lang w:eastAsia="en-US"/>
        </w:rPr>
        <w:t>.........</w:t>
      </w:r>
      <w:r w:rsidR="006E33AD">
        <w:rPr>
          <w:rFonts w:eastAsia="Calibri" w:cs="Times New Roman"/>
          <w:szCs w:val="24"/>
          <w:lang w:eastAsia="en-US"/>
        </w:rPr>
        <w:t>88</w:t>
      </w:r>
    </w:p>
    <w:p w14:paraId="19E022BA" w14:textId="75119DF5" w:rsidR="001F49FD" w:rsidRDefault="00611419">
      <w:pPr>
        <w:ind w:firstLine="0"/>
        <w:rPr>
          <w:rFonts w:ascii="Times New Roman" w:eastAsia="Times New Roman" w:hAnsi="Times New Roman" w:cs="Times New Roman"/>
        </w:rPr>
      </w:pPr>
      <w:r>
        <w:rPr>
          <w:rFonts w:eastAsia="Times New Roman" w:cs="Times New Roman"/>
          <w:b/>
          <w:szCs w:val="24"/>
        </w:rPr>
        <w:t xml:space="preserve">Quadro 8: </w:t>
      </w:r>
      <w:r>
        <w:rPr>
          <w:rFonts w:eastAsia="Calibri" w:cs="Times New Roman"/>
          <w:szCs w:val="24"/>
          <w:lang w:eastAsia="en-US"/>
        </w:rPr>
        <w:t>Distribuição do espaço entre os dedos e ponto de contato do dedo indicador....</w:t>
      </w:r>
      <w:r w:rsidR="006E33AD">
        <w:rPr>
          <w:rFonts w:eastAsia="Calibri" w:cs="Times New Roman"/>
          <w:szCs w:val="24"/>
          <w:lang w:eastAsia="en-US"/>
        </w:rPr>
        <w:t>..</w:t>
      </w:r>
      <w:r>
        <w:rPr>
          <w:rFonts w:eastAsia="Calibri" w:cs="Times New Roman"/>
          <w:szCs w:val="24"/>
          <w:lang w:eastAsia="en-US"/>
        </w:rPr>
        <w:t>.</w:t>
      </w:r>
      <w:r w:rsidR="006E33AD">
        <w:rPr>
          <w:rFonts w:eastAsia="Calibri" w:cs="Times New Roman"/>
          <w:szCs w:val="24"/>
          <w:lang w:eastAsia="en-US"/>
        </w:rPr>
        <w:t>90</w:t>
      </w:r>
    </w:p>
    <w:p w14:paraId="46A0F9B5" w14:textId="1FC057B9" w:rsidR="001F49FD" w:rsidRDefault="00611419">
      <w:pPr>
        <w:ind w:firstLine="0"/>
        <w:rPr>
          <w:rFonts w:ascii="Times New Roman" w:eastAsia="Times New Roman" w:hAnsi="Times New Roman" w:cs="Times New Roman"/>
        </w:rPr>
      </w:pPr>
      <w:r>
        <w:rPr>
          <w:rFonts w:eastAsia="Times New Roman" w:cs="Times New Roman"/>
          <w:b/>
        </w:rPr>
        <w:t>Quadro 9</w:t>
      </w:r>
      <w:r>
        <w:rPr>
          <w:rFonts w:eastAsia="Times New Roman" w:cs="Times New Roman"/>
        </w:rPr>
        <w:t xml:space="preserve">: </w:t>
      </w:r>
      <w:r>
        <w:rPr>
          <w:rFonts w:eastAsia="Calibri" w:cs="Times New Roman"/>
          <w:szCs w:val="24"/>
          <w:lang w:eastAsia="en-US"/>
        </w:rPr>
        <w:t>Mobilidade do dedo indicador e direcionamento dos dedos................................</w:t>
      </w:r>
      <w:r w:rsidR="006E33AD">
        <w:rPr>
          <w:rFonts w:eastAsia="Calibri" w:cs="Times New Roman"/>
          <w:szCs w:val="24"/>
          <w:lang w:eastAsia="en-US"/>
        </w:rPr>
        <w:t>. 92</w:t>
      </w:r>
    </w:p>
    <w:p w14:paraId="2898812D" w14:textId="21C7133E" w:rsidR="001F49FD" w:rsidRDefault="00611419">
      <w:pPr>
        <w:ind w:firstLine="0"/>
        <w:rPr>
          <w:rFonts w:ascii="Times New Roman" w:eastAsia="Calibri" w:hAnsi="Times New Roman" w:cs="Times New Roman"/>
          <w:szCs w:val="24"/>
          <w:lang w:eastAsia="en-US"/>
        </w:rPr>
      </w:pPr>
      <w:r>
        <w:rPr>
          <w:rFonts w:eastAsia="Times New Roman" w:cs="Times New Roman"/>
          <w:b/>
        </w:rPr>
        <w:t>Quadro 10</w:t>
      </w:r>
      <w:r>
        <w:rPr>
          <w:rFonts w:eastAsia="Times New Roman" w:cs="Times New Roman"/>
        </w:rPr>
        <w:t xml:space="preserve">: </w:t>
      </w:r>
      <w:r>
        <w:rPr>
          <w:rFonts w:eastAsia="Calibri" w:cs="Times New Roman"/>
          <w:szCs w:val="24"/>
          <w:lang w:eastAsia="en-US"/>
        </w:rPr>
        <w:t>Grau de elevação do punho ao se aproximar do talão...............................</w:t>
      </w:r>
      <w:r w:rsidR="006E33AD">
        <w:rPr>
          <w:rFonts w:eastAsia="Calibri" w:cs="Times New Roman"/>
          <w:szCs w:val="24"/>
          <w:lang w:eastAsia="en-US"/>
        </w:rPr>
        <w:t>..</w:t>
      </w:r>
      <w:r>
        <w:rPr>
          <w:rFonts w:eastAsia="Calibri" w:cs="Times New Roman"/>
          <w:szCs w:val="24"/>
          <w:lang w:eastAsia="en-US"/>
        </w:rPr>
        <w:t>.........</w:t>
      </w:r>
      <w:r w:rsidR="006E33AD">
        <w:rPr>
          <w:rFonts w:eastAsia="Times New Roman" w:cs="Times New Roman"/>
        </w:rPr>
        <w:t>93</w:t>
      </w:r>
    </w:p>
    <w:p w14:paraId="7DA06ED0" w14:textId="3725B767" w:rsidR="001F49FD" w:rsidRDefault="00611419">
      <w:pPr>
        <w:ind w:firstLine="0"/>
        <w:rPr>
          <w:rFonts w:ascii="Times New Roman" w:eastAsia="Times New Roman" w:hAnsi="Times New Roman" w:cs="Times New Roman"/>
        </w:rPr>
      </w:pPr>
      <w:r>
        <w:rPr>
          <w:rFonts w:eastAsia="Times New Roman" w:cs="Times New Roman"/>
          <w:b/>
        </w:rPr>
        <w:t>Quadro 11</w:t>
      </w:r>
      <w:r>
        <w:rPr>
          <w:rFonts w:eastAsia="Times New Roman" w:cs="Times New Roman"/>
        </w:rPr>
        <w:t>: Inclinação do arco...................................................................................</w:t>
      </w:r>
      <w:r w:rsidR="006E33AD">
        <w:rPr>
          <w:rFonts w:eastAsia="Times New Roman" w:cs="Times New Roman"/>
        </w:rPr>
        <w:t>.</w:t>
      </w:r>
      <w:r>
        <w:rPr>
          <w:rFonts w:eastAsia="Times New Roman" w:cs="Times New Roman"/>
        </w:rPr>
        <w:t>............</w:t>
      </w:r>
      <w:r w:rsidR="006E33AD">
        <w:rPr>
          <w:rFonts w:eastAsia="Times New Roman" w:cs="Times New Roman"/>
        </w:rPr>
        <w:t>95</w:t>
      </w:r>
      <w:r>
        <w:rPr>
          <w:rFonts w:eastAsia="Times New Roman" w:cs="Times New Roman"/>
        </w:rPr>
        <w:fldChar w:fldCharType="end"/>
      </w:r>
    </w:p>
    <w:p w14:paraId="0EC82F1B" w14:textId="77777777" w:rsidR="001F49FD" w:rsidRDefault="00611419">
      <w:pPr>
        <w:ind w:firstLine="0"/>
      </w:pPr>
      <w:r>
        <w:tab/>
      </w:r>
    </w:p>
    <w:p w14:paraId="30C3D6EE" w14:textId="77777777" w:rsidR="001F49FD" w:rsidRDefault="001F49FD"/>
    <w:p w14:paraId="6419442C" w14:textId="77777777" w:rsidR="001F49FD" w:rsidRDefault="001F49FD">
      <w:pPr>
        <w:tabs>
          <w:tab w:val="left" w:pos="9072"/>
        </w:tabs>
      </w:pPr>
    </w:p>
    <w:p w14:paraId="3859326A" w14:textId="77777777" w:rsidR="001F49FD" w:rsidRDefault="001F49FD"/>
    <w:p w14:paraId="50EFCB99" w14:textId="77777777" w:rsidR="001F49FD" w:rsidRDefault="001F49FD"/>
    <w:p w14:paraId="1A62842D" w14:textId="77777777" w:rsidR="001F49FD" w:rsidRDefault="001F49FD"/>
    <w:p w14:paraId="507572C9" w14:textId="77777777" w:rsidR="001F49FD" w:rsidRDefault="001F49FD"/>
    <w:p w14:paraId="44C16AF3" w14:textId="77777777" w:rsidR="001F49FD" w:rsidRDefault="001F49FD"/>
    <w:p w14:paraId="4B30D5A0" w14:textId="77777777" w:rsidR="001F49FD" w:rsidRDefault="001F49FD"/>
    <w:p w14:paraId="2B8043CD" w14:textId="77777777" w:rsidR="001F49FD" w:rsidRDefault="001F49FD"/>
    <w:p w14:paraId="72B5DFCB" w14:textId="77777777" w:rsidR="001F49FD" w:rsidRDefault="001F49FD"/>
    <w:p w14:paraId="46576429" w14:textId="77777777" w:rsidR="001F49FD" w:rsidRDefault="001F49FD"/>
    <w:p w14:paraId="21AA44A6" w14:textId="77777777" w:rsidR="001F49FD" w:rsidRDefault="001F49FD"/>
    <w:p w14:paraId="1C186049" w14:textId="77777777" w:rsidR="001F49FD" w:rsidRDefault="001F49FD"/>
    <w:p w14:paraId="6E328B09" w14:textId="77777777" w:rsidR="001F49FD" w:rsidRDefault="001F49FD"/>
    <w:p w14:paraId="240CD327" w14:textId="77777777" w:rsidR="001F49FD" w:rsidRDefault="001F49FD"/>
    <w:p w14:paraId="1B0D54D0" w14:textId="77777777" w:rsidR="001F49FD" w:rsidRDefault="001F49FD"/>
    <w:p w14:paraId="697B7AA3" w14:textId="77777777" w:rsidR="001F49FD" w:rsidRDefault="001F49FD"/>
    <w:p w14:paraId="411CBF91" w14:textId="77777777" w:rsidR="001F49FD" w:rsidRDefault="001F49FD"/>
    <w:p w14:paraId="3EC835DA" w14:textId="6F736690" w:rsidR="001F49FD" w:rsidRPr="00BA3418" w:rsidRDefault="00611419" w:rsidP="00BA3418">
      <w:pPr>
        <w:tabs>
          <w:tab w:val="center" w:pos="4607"/>
          <w:tab w:val="left" w:pos="7580"/>
        </w:tabs>
        <w:spacing w:before="360" w:after="240" w:line="240" w:lineRule="auto"/>
        <w:ind w:firstLine="0"/>
        <w:jc w:val="left"/>
        <w:rPr>
          <w:rFonts w:ascii="Times New Roman" w:eastAsia="Calibri" w:hAnsi="Times New Roman" w:cs="Times New Roman"/>
          <w:b/>
          <w:szCs w:val="24"/>
          <w:lang w:eastAsia="en-US"/>
        </w:rPr>
      </w:pPr>
      <w:r>
        <w:rPr>
          <w:rFonts w:eastAsia="Calibri" w:cs="Times New Roman"/>
          <w:b/>
          <w:szCs w:val="24"/>
          <w:lang w:eastAsia="en-US"/>
        </w:rPr>
        <w:tab/>
        <w:t xml:space="preserve">                                                                   </w:t>
      </w:r>
      <w:r>
        <w:rPr>
          <w:b/>
        </w:rPr>
        <w:tab/>
      </w:r>
    </w:p>
    <w:p w14:paraId="21C6CF41" w14:textId="33AFE126" w:rsidR="001F49FD" w:rsidRDefault="001F49FD" w:rsidP="00BA3418">
      <w:pPr>
        <w:tabs>
          <w:tab w:val="left" w:pos="709"/>
          <w:tab w:val="left" w:pos="1418"/>
          <w:tab w:val="left" w:pos="6936"/>
          <w:tab w:val="left" w:pos="7906"/>
          <w:tab w:val="left" w:pos="9072"/>
        </w:tabs>
        <w:spacing w:before="120"/>
        <w:ind w:firstLine="0"/>
        <w:rPr>
          <w:rFonts w:ascii="Times New Roman" w:eastAsia="Calibri" w:hAnsi="Times New Roman" w:cs="Times New Roman"/>
          <w:szCs w:val="24"/>
          <w:lang w:eastAsia="en-US"/>
        </w:rPr>
        <w:sectPr w:rsidR="001F49FD" w:rsidSect="00E42483">
          <w:pgSz w:w="11906" w:h="16838"/>
          <w:pgMar w:top="1701" w:right="1134" w:bottom="1134" w:left="1701" w:header="0" w:footer="0" w:gutter="0"/>
          <w:pgNumType w:fmt="lowerRoman" w:start="1"/>
          <w:cols w:space="720"/>
          <w:formProt w:val="0"/>
          <w:docGrid w:linePitch="100"/>
        </w:sectPr>
      </w:pPr>
    </w:p>
    <w:p w14:paraId="6309A908" w14:textId="77777777" w:rsidR="001F49FD" w:rsidRDefault="00611419" w:rsidP="000A6E65">
      <w:pPr>
        <w:pStyle w:val="Ttulo1"/>
      </w:pPr>
      <w:bookmarkStart w:id="4" w:name="_Toc14331005"/>
      <w:bookmarkStart w:id="5" w:name="_Toc219359017"/>
      <w:r>
        <w:lastRenderedPageBreak/>
        <w:t>INTRODUÇÃ</w:t>
      </w:r>
      <w:bookmarkEnd w:id="4"/>
      <w:r>
        <w:t>O</w:t>
      </w:r>
      <w:bookmarkEnd w:id="5"/>
    </w:p>
    <w:p w14:paraId="04A68F7F" w14:textId="77777777" w:rsidR="001F49FD" w:rsidRDefault="00611419" w:rsidP="000E2335">
      <w:pPr>
        <w:ind w:firstLine="709"/>
      </w:pPr>
      <w:r>
        <w:t xml:space="preserve">Após quatro séculos de prática do violino, nos deparamos seguidamente com um questionamento: um bom violinista contemporâneo seria considerado um artista extraordinário nos séculos XVIII e XIX, tal como eram considerados Giuseppe </w:t>
      </w:r>
      <w:proofErr w:type="spellStart"/>
      <w:r>
        <w:t>Tartini</w:t>
      </w:r>
      <w:proofErr w:type="spellEnd"/>
      <w:r>
        <w:t xml:space="preserve"> (1692-1770), Giovanni Battista Viotti (1755-1824), Ferdinand David (1810-1873) e outros dos quais não há registros fonográficos? Ainda que esta questão não possa ser verificada cientificamente, sabemos que, devido ao protagonismo do violino no repertório barroco e sua relevância nos períodos clássico e romântico, as sucessivas demandas artísticas implicaram – assim como para outros instrumentos – numa busca contínua de domínio instrumental. Hoje, mesmo que renunciando às contestáveis ideias de ascensão, apogeu e declínio para o campo das Artes, é possível afirmar que a prática violinística vive um período de excelência, não apenas pela multiplicidade de solistas, mas especialmente pelo elevado nível de inúmeros violinistas, sejam estes profissionais de orquestras, professores, cameristas ou mesmo estudantes. </w:t>
      </w:r>
    </w:p>
    <w:p w14:paraId="04DBAAB8" w14:textId="66D41427" w:rsidR="001F49FD" w:rsidRDefault="00611419" w:rsidP="000E2335">
      <w:pPr>
        <w:ind w:firstLine="709"/>
      </w:pPr>
      <w:r>
        <w:t xml:space="preserve">Analogamente a esse dinamismo na </w:t>
      </w:r>
      <w:r w:rsidR="00131036">
        <w:t>h</w:t>
      </w:r>
      <w:r>
        <w:t xml:space="preserve">istória da prática violinística, o instrumentista acumula em sua trajetória artística um vasto conhecimento, através de seus anos de formação, de sua troca de experiências e de suas descobertas pessoais. A transmissão desse conhecimento tende a seguir um modelo semelhante: um processo dinâmico, fundamentado na experiência prática e na tradição oral. Hoje cada violinista carrega em si a </w:t>
      </w:r>
      <w:r w:rsidR="00ED1114">
        <w:t>h</w:t>
      </w:r>
      <w:r>
        <w:t>istória da prática do instrumento, embora pouco a conheça, pois consideramos que, mesmo vivenciando um alto padrão de domínio instrumental, grande parte dos violinistas contemporâneos não possui informações precisas – seja sobre os paradigmas pregressos, seja sobre os parâmetros predominantes atualmente. Será que é o sentimento de certo estágio de prosperidade, fruto do empenho ao longo dos séculos, que induz a pouca reflexão e, portanto, pouco conhecimento sobre nossos conceitos e suas origens? Além dessa possibilidade intuída, observamos dois fatores responsáveis por essa lacuna:</w:t>
      </w:r>
    </w:p>
    <w:p w14:paraId="7A31156E" w14:textId="6A0DFA52" w:rsidR="001F49FD" w:rsidRDefault="00611419" w:rsidP="000E2335">
      <w:pPr>
        <w:tabs>
          <w:tab w:val="left" w:pos="1134"/>
        </w:tabs>
        <w:ind w:firstLine="709"/>
      </w:pPr>
      <w:r>
        <w:t xml:space="preserve">. A </w:t>
      </w:r>
      <w:r w:rsidR="00CD15A8">
        <w:t>h</w:t>
      </w:r>
      <w:r>
        <w:t xml:space="preserve">istória da prática violinística não é contemplada nos tradicionais cursos de graduação do instrumento e, menos ainda, nas fases anteriores a essa etapa de formação, tanto no Brasil como no exterior. </w:t>
      </w:r>
    </w:p>
    <w:p w14:paraId="48100CD4" w14:textId="354900F1" w:rsidR="001F49FD" w:rsidRDefault="00611419" w:rsidP="000E2335">
      <w:pPr>
        <w:tabs>
          <w:tab w:val="left" w:pos="1134"/>
        </w:tabs>
        <w:ind w:firstLine="709"/>
      </w:pPr>
      <w:r>
        <w:t xml:space="preserve">. A historiografia pouco relaciona a série de transformações ao longo dos séculos com o pensamento contemporâneo. </w:t>
      </w:r>
    </w:p>
    <w:p w14:paraId="2AC90233" w14:textId="00DA67E5" w:rsidR="001F49FD" w:rsidRDefault="00611419" w:rsidP="000E2335">
      <w:pPr>
        <w:tabs>
          <w:tab w:val="left" w:pos="1134"/>
        </w:tabs>
        <w:ind w:firstLine="709"/>
      </w:pPr>
      <w:r>
        <w:lastRenderedPageBreak/>
        <w:t xml:space="preserve">Dessa dupla problemática surgiu o objetivo deste livro: investigar os conceitos contemporâneos, fundamentando-os nos processos históricos de transformação da prática do instrumento. </w:t>
      </w:r>
    </w:p>
    <w:p w14:paraId="762EBB1B" w14:textId="50BB99EF" w:rsidR="001F49FD" w:rsidRDefault="00611419" w:rsidP="000E2335">
      <w:pPr>
        <w:tabs>
          <w:tab w:val="left" w:pos="1134"/>
        </w:tabs>
        <w:ind w:firstLine="709"/>
      </w:pPr>
      <w:r>
        <w:tab/>
      </w:r>
      <w:r w:rsidRPr="00D171DB">
        <w:t xml:space="preserve">Embora a prática instrumental envolva </w:t>
      </w:r>
      <w:r w:rsidR="00D171DB" w:rsidRPr="00D171DB">
        <w:t xml:space="preserve">diversos </w:t>
      </w:r>
      <w:r w:rsidRPr="00D171DB">
        <w:t>temas, todos fascinantes</w:t>
      </w:r>
      <w:r w:rsidR="00D171DB" w:rsidRPr="00D171DB">
        <w:t xml:space="preserve"> – tais como estilos interpretativos em determinados períodos; a influência de obras musicais no desenvolvimento da prática do instrumento; as relações entre compositores e violinistas – </w:t>
      </w:r>
      <w:r w:rsidRPr="00D171DB">
        <w:t>este livro procura debruçar-se sobre os elementos fundamentais da postura corporal, da técnica de mão esquerda e da técnica</w:t>
      </w:r>
      <w:r w:rsidR="00D171DB" w:rsidRPr="00D171DB">
        <w:t xml:space="preserve"> de arco. </w:t>
      </w:r>
      <w:r w:rsidRPr="00D171DB">
        <w:t xml:space="preserve"> </w:t>
      </w:r>
    </w:p>
    <w:p w14:paraId="79CCEDD2" w14:textId="77777777" w:rsidR="001F49FD" w:rsidRDefault="00611419" w:rsidP="000E2335">
      <w:pPr>
        <w:ind w:firstLine="709"/>
        <w:rPr>
          <w:rFonts w:asciiTheme="majorHAnsi" w:eastAsia="Times New Roman" w:hAnsiTheme="majorHAnsi" w:cstheme="majorHAnsi"/>
          <w:szCs w:val="24"/>
        </w:rPr>
      </w:pPr>
      <w:r>
        <w:rPr>
          <w:rFonts w:eastAsia="Times New Roman" w:cstheme="majorHAnsi"/>
          <w:szCs w:val="24"/>
        </w:rPr>
        <w:t xml:space="preserve">No artigo: </w:t>
      </w:r>
      <w:r>
        <w:rPr>
          <w:rFonts w:eastAsia="Times New Roman" w:cstheme="majorHAnsi"/>
          <w:i/>
          <w:szCs w:val="24"/>
        </w:rPr>
        <w:t>Gravações violinísticas antigas: evidência para quê?</w:t>
      </w:r>
      <w:r>
        <w:rPr>
          <w:rStyle w:val="Refdenotaderodap"/>
          <w:rFonts w:eastAsia="Times New Roman" w:cstheme="majorHAnsi"/>
          <w:szCs w:val="24"/>
          <w:lang w:val="en-GB"/>
        </w:rPr>
        <w:footnoteReference w:id="1"/>
      </w:r>
      <w:r>
        <w:rPr>
          <w:rFonts w:eastAsia="Times New Roman" w:cstheme="majorHAnsi"/>
          <w:i/>
          <w:szCs w:val="24"/>
        </w:rPr>
        <w:t xml:space="preserve"> </w:t>
      </w:r>
      <w:r>
        <w:rPr>
          <w:rFonts w:eastAsia="Times New Roman" w:cstheme="majorHAnsi"/>
          <w:szCs w:val="24"/>
        </w:rPr>
        <w:t xml:space="preserve">Wilkinson (2006) trata das dificuldades da pesquisa sobre performance histórica. Tal problemática é exemplificada através dos fonogramas de Leopold </w:t>
      </w:r>
      <w:proofErr w:type="spellStart"/>
      <w:r>
        <w:rPr>
          <w:rFonts w:eastAsia="Times New Roman" w:cstheme="majorHAnsi"/>
          <w:szCs w:val="24"/>
        </w:rPr>
        <w:t>Auer</w:t>
      </w:r>
      <w:proofErr w:type="spellEnd"/>
      <w:r>
        <w:rPr>
          <w:rFonts w:eastAsia="Times New Roman" w:cstheme="majorHAnsi"/>
          <w:szCs w:val="24"/>
        </w:rPr>
        <w:t xml:space="preserve"> (1845-1930) que, segundo Wilkinson, em nada correspondem aos registros escritos do violinista sobre suas próprias performances – apontando, consequentemente, que fontes primárias – não fornecem subsídios confiáveis para a compreensão de características estilísticas. </w:t>
      </w:r>
    </w:p>
    <w:p w14:paraId="45CC8A99" w14:textId="77777777" w:rsidR="001F49FD" w:rsidRDefault="00611419" w:rsidP="000E2335">
      <w:pPr>
        <w:ind w:firstLine="709"/>
        <w:rPr>
          <w:rFonts w:asciiTheme="majorHAnsi" w:eastAsia="Times New Roman" w:hAnsiTheme="majorHAnsi" w:cstheme="majorHAnsi"/>
          <w:szCs w:val="24"/>
        </w:rPr>
      </w:pPr>
      <w:r>
        <w:rPr>
          <w:rFonts w:eastAsia="Times New Roman" w:cstheme="majorHAnsi"/>
          <w:szCs w:val="24"/>
        </w:rPr>
        <w:t xml:space="preserve">Se há dúvidas sobre a contribuição dos registros escritos dos violinistas antepassados ao estudo de aspectos estilísticos, consideramos que esses contêm valiosas informações para a pesquisa dos parâmetros técnicos existentes nas diversas etapas da prática do instrumento – </w:t>
      </w:r>
      <w:r>
        <w:t>especialmente</w:t>
      </w:r>
      <w:r>
        <w:rPr>
          <w:rFonts w:eastAsia="Times New Roman" w:cstheme="majorHAnsi"/>
          <w:szCs w:val="24"/>
        </w:rPr>
        <w:t xml:space="preserve"> no conteúdo encontrado nas obras didáticas. Ainda</w:t>
      </w:r>
      <w:r>
        <w:t xml:space="preserve"> que os processos de transformação ocorram raramente de forma linear, essas fontes favorecem a compreensão sobre o grau de continuidade ou de ruptura dos elementos técnicos. Assim, os</w:t>
      </w:r>
      <w:r>
        <w:rPr>
          <w:rFonts w:eastAsia="Times New Roman" w:cstheme="majorHAnsi"/>
          <w:szCs w:val="24"/>
        </w:rPr>
        <w:t xml:space="preserve"> métodos de violino constituem um material essencial de investigação e análise.</w:t>
      </w:r>
      <w:r>
        <w:t xml:space="preserve"> </w:t>
      </w:r>
      <w:r>
        <w:rPr>
          <w:rFonts w:eastAsia="Times New Roman" w:cstheme="majorHAnsi"/>
          <w:szCs w:val="24"/>
        </w:rPr>
        <w:t xml:space="preserve">E, certamente, eles são uma via esclarecedora das incertezas da tradicional transmissão oral do conhecimento.                                                         </w:t>
      </w:r>
    </w:p>
    <w:p w14:paraId="52EDEC6B" w14:textId="45848F89" w:rsidR="001F49FD" w:rsidRDefault="00611419" w:rsidP="000E2335">
      <w:pPr>
        <w:ind w:firstLine="709"/>
        <w:rPr>
          <w:rFonts w:asciiTheme="majorHAnsi" w:eastAsia="Times New Roman" w:hAnsiTheme="majorHAnsi" w:cstheme="majorHAnsi"/>
          <w:szCs w:val="24"/>
        </w:rPr>
      </w:pPr>
      <w:r>
        <w:rPr>
          <w:rFonts w:eastAsia="Times New Roman" w:cstheme="majorHAnsi"/>
          <w:szCs w:val="24"/>
        </w:rPr>
        <w:t>Os grandes compêndios sobre violino (B</w:t>
      </w:r>
      <w:r w:rsidR="00D171DB">
        <w:rPr>
          <w:rFonts w:eastAsia="Times New Roman" w:cstheme="majorHAnsi"/>
          <w:szCs w:val="24"/>
        </w:rPr>
        <w:t>achmann</w:t>
      </w:r>
      <w:r>
        <w:rPr>
          <w:rFonts w:eastAsia="Times New Roman" w:cstheme="majorHAnsi"/>
          <w:szCs w:val="24"/>
        </w:rPr>
        <w:t>, 1925 e G</w:t>
      </w:r>
      <w:r w:rsidR="00D171DB">
        <w:rPr>
          <w:rFonts w:eastAsia="Times New Roman" w:cstheme="majorHAnsi"/>
          <w:szCs w:val="24"/>
        </w:rPr>
        <w:t>ill</w:t>
      </w:r>
      <w:r>
        <w:rPr>
          <w:rFonts w:eastAsia="Times New Roman" w:cstheme="majorHAnsi"/>
          <w:szCs w:val="24"/>
        </w:rPr>
        <w:t>, 1984) reportam-se às obras didáticas elaboradas pelos violinistas reconhecidos historicamente, muitas vezes para apontar as caraterísticas das Escolas de violino. Essas fontes surgem majoritariamente a partir da segunda metade do século XVIII. No</w:t>
      </w:r>
      <w:r>
        <w:rPr>
          <w:rFonts w:eastAsia="Times New Roman" w:cstheme="majorHAnsi"/>
          <w:i/>
          <w:szCs w:val="24"/>
        </w:rPr>
        <w:t xml:space="preserve"> Compêndio de Cambridge para o violino </w:t>
      </w:r>
      <w:r>
        <w:rPr>
          <w:rFonts w:eastAsia="Times New Roman" w:cstheme="majorHAnsi"/>
          <w:szCs w:val="24"/>
        </w:rPr>
        <w:t>(1992)</w:t>
      </w:r>
      <w:r>
        <w:rPr>
          <w:rFonts w:eastAsia="Times New Roman" w:cstheme="majorHAnsi"/>
          <w:i/>
          <w:szCs w:val="24"/>
        </w:rPr>
        <w:t>,</w:t>
      </w:r>
      <w:r>
        <w:rPr>
          <w:rFonts w:eastAsia="Times New Roman" w:cstheme="majorHAnsi"/>
          <w:szCs w:val="24"/>
        </w:rPr>
        <w:t xml:space="preserve"> Robin </w:t>
      </w:r>
      <w:proofErr w:type="spellStart"/>
      <w:r>
        <w:rPr>
          <w:rFonts w:eastAsia="Times New Roman" w:cstheme="majorHAnsi"/>
          <w:szCs w:val="24"/>
        </w:rPr>
        <w:t>Stowell</w:t>
      </w:r>
      <w:proofErr w:type="spellEnd"/>
      <w:r>
        <w:rPr>
          <w:rFonts w:eastAsia="Times New Roman" w:cstheme="majorHAnsi"/>
          <w:szCs w:val="24"/>
        </w:rPr>
        <w:t xml:space="preserve"> estabelece uma extensa lista dos “Principais tratados violinísticos”, onde notamos o quanto sua cronologia é reveladora das diferentes etapas históricas da prática do instrumento.</w:t>
      </w:r>
    </w:p>
    <w:p w14:paraId="0C93A0BD" w14:textId="5B788DB3" w:rsidR="001F49FD" w:rsidRDefault="00611419" w:rsidP="000E2335">
      <w:pPr>
        <w:ind w:firstLine="709"/>
        <w:rPr>
          <w:rFonts w:asciiTheme="majorHAnsi" w:eastAsia="Times New Roman" w:hAnsiTheme="majorHAnsi" w:cstheme="majorHAnsi"/>
          <w:color w:val="FF0000"/>
          <w:szCs w:val="24"/>
        </w:rPr>
      </w:pPr>
      <w:r>
        <w:rPr>
          <w:rFonts w:eastAsia="Times New Roman" w:cstheme="majorHAnsi"/>
          <w:szCs w:val="24"/>
        </w:rPr>
        <w:t xml:space="preserve">Segundo </w:t>
      </w:r>
      <w:proofErr w:type="spellStart"/>
      <w:r>
        <w:rPr>
          <w:rFonts w:eastAsia="Times New Roman" w:cstheme="majorHAnsi"/>
          <w:szCs w:val="24"/>
        </w:rPr>
        <w:t>Stowell</w:t>
      </w:r>
      <w:proofErr w:type="spellEnd"/>
      <w:r>
        <w:rPr>
          <w:rFonts w:eastAsia="Times New Roman" w:cstheme="majorHAnsi"/>
          <w:szCs w:val="24"/>
        </w:rPr>
        <w:t xml:space="preserve"> (2004), a obra de David </w:t>
      </w:r>
      <w:proofErr w:type="spellStart"/>
      <w:r>
        <w:rPr>
          <w:rFonts w:eastAsia="Times New Roman" w:cstheme="majorHAnsi"/>
          <w:szCs w:val="24"/>
        </w:rPr>
        <w:t>Boyden</w:t>
      </w:r>
      <w:proofErr w:type="spellEnd"/>
      <w:r>
        <w:rPr>
          <w:rFonts w:eastAsia="Times New Roman" w:cstheme="majorHAnsi"/>
          <w:szCs w:val="24"/>
        </w:rPr>
        <w:t xml:space="preserve">, </w:t>
      </w:r>
      <w:r>
        <w:rPr>
          <w:rFonts w:eastAsia="Times New Roman" w:cstheme="majorHAnsi"/>
          <w:i/>
          <w:szCs w:val="24"/>
        </w:rPr>
        <w:t xml:space="preserve">A </w:t>
      </w:r>
      <w:r w:rsidR="00D171DB">
        <w:rPr>
          <w:rFonts w:eastAsia="Times New Roman" w:cstheme="majorHAnsi"/>
          <w:i/>
          <w:szCs w:val="24"/>
        </w:rPr>
        <w:t>h</w:t>
      </w:r>
      <w:r>
        <w:rPr>
          <w:rFonts w:eastAsia="Times New Roman" w:cstheme="majorHAnsi"/>
          <w:i/>
          <w:szCs w:val="24"/>
        </w:rPr>
        <w:t>istória da prática do violino desde sua origem ao ano de 1761</w:t>
      </w:r>
      <w:r>
        <w:t xml:space="preserve"> (1965),</w:t>
      </w:r>
      <w:r>
        <w:rPr>
          <w:rFonts w:eastAsia="Times New Roman" w:cstheme="majorHAnsi"/>
          <w:szCs w:val="24"/>
        </w:rPr>
        <w:t xml:space="preserve"> impulsiona uma produção bibliográfica mais </w:t>
      </w:r>
      <w:r>
        <w:rPr>
          <w:rFonts w:eastAsia="Times New Roman" w:cstheme="majorHAnsi"/>
          <w:szCs w:val="24"/>
        </w:rPr>
        <w:lastRenderedPageBreak/>
        <w:t xml:space="preserve">aprofundada, que se insere no movimento de </w:t>
      </w:r>
      <w:r>
        <w:rPr>
          <w:rFonts w:eastAsia="Times New Roman" w:cstheme="majorHAnsi"/>
          <w:i/>
          <w:szCs w:val="24"/>
        </w:rPr>
        <w:t>Performance Historicamente Informada.</w:t>
      </w:r>
      <w:r>
        <w:rPr>
          <w:rStyle w:val="Refdenotaderodap"/>
          <w:rFonts w:eastAsia="Times New Roman" w:cstheme="majorHAnsi"/>
          <w:szCs w:val="24"/>
        </w:rPr>
        <w:footnoteReference w:id="2"/>
      </w:r>
      <w:r>
        <w:rPr>
          <w:rFonts w:eastAsia="Times New Roman" w:cstheme="majorHAnsi"/>
          <w:szCs w:val="24"/>
        </w:rPr>
        <w:t xml:space="preserve"> Na historiografia sobre performance violinística, encontramos em </w:t>
      </w:r>
      <w:proofErr w:type="spellStart"/>
      <w:r>
        <w:rPr>
          <w:rFonts w:eastAsia="Times New Roman" w:cstheme="majorHAnsi"/>
          <w:szCs w:val="24"/>
        </w:rPr>
        <w:t>Stowell</w:t>
      </w:r>
      <w:proofErr w:type="spellEnd"/>
      <w:r>
        <w:rPr>
          <w:rFonts w:eastAsia="Times New Roman" w:cstheme="majorHAnsi"/>
          <w:szCs w:val="24"/>
        </w:rPr>
        <w:t xml:space="preserve"> </w:t>
      </w:r>
      <w:r>
        <w:t>(1985)</w:t>
      </w:r>
      <w:r>
        <w:rPr>
          <w:rFonts w:eastAsia="Times New Roman" w:cstheme="majorHAnsi"/>
          <w:szCs w:val="24"/>
        </w:rPr>
        <w:t>, Clive Brown (</w:t>
      </w:r>
      <w:r>
        <w:t xml:space="preserve">1999) e David </w:t>
      </w:r>
      <w:proofErr w:type="spellStart"/>
      <w:r>
        <w:t>Milsom</w:t>
      </w:r>
      <w:proofErr w:type="spellEnd"/>
      <w:r>
        <w:t xml:space="preserve"> (2003), as principais referências, especialmente para os períodos clássico e romântico.</w:t>
      </w:r>
      <w:r>
        <w:rPr>
          <w:rFonts w:eastAsia="Times New Roman" w:cstheme="majorHAnsi"/>
          <w:szCs w:val="24"/>
        </w:rPr>
        <w:t xml:space="preserve"> Em suas obras, principalmente focadas em questões estilísticas, verificamos que os relatos dos violinistas antepassados em seus respectivos métodos sobre temas como articulação,</w:t>
      </w:r>
      <w:r>
        <w:rPr>
          <w:rFonts w:eastAsia="Times New Roman" w:cstheme="majorHAnsi"/>
          <w:i/>
          <w:szCs w:val="24"/>
        </w:rPr>
        <w:t xml:space="preserve"> </w:t>
      </w:r>
      <w:r>
        <w:rPr>
          <w:rFonts w:eastAsia="Times New Roman" w:cstheme="majorHAnsi"/>
          <w:szCs w:val="24"/>
        </w:rPr>
        <w:t xml:space="preserve">rubato, vibrato e portamento são fontes primordiais. </w:t>
      </w:r>
      <w:r>
        <w:t>Do mesmo modo, recentes teses e artigos (H</w:t>
      </w:r>
      <w:r w:rsidR="006C6B1E">
        <w:t>e</w:t>
      </w:r>
      <w:r>
        <w:t xml:space="preserve">, 2014; </w:t>
      </w:r>
      <w:proofErr w:type="spellStart"/>
      <w:r>
        <w:t>W</w:t>
      </w:r>
      <w:r w:rsidR="006C6B1E">
        <w:t>ilsom</w:t>
      </w:r>
      <w:proofErr w:type="spellEnd"/>
      <w:r>
        <w:t xml:space="preserve">, 2014; e </w:t>
      </w:r>
      <w:proofErr w:type="spellStart"/>
      <w:r>
        <w:t>V</w:t>
      </w:r>
      <w:r w:rsidR="006C6B1E">
        <w:t>isser</w:t>
      </w:r>
      <w:proofErr w:type="spellEnd"/>
      <w:r>
        <w:t xml:space="preserve">, 2016), ainda que com propósitos diferenciados, utilizam os métodos como uma das principais fontes de informação.  </w:t>
      </w:r>
    </w:p>
    <w:p w14:paraId="168A1A4D" w14:textId="77777777" w:rsidR="001F49FD" w:rsidRDefault="00611419" w:rsidP="000E2335">
      <w:pPr>
        <w:ind w:firstLine="709"/>
      </w:pPr>
      <w:r>
        <w:t xml:space="preserve">Os estudos sobre a prática do violino no século XX dedicam-se prioritariamente às caraterísticas pedagógicas de eminentes professores, não apenas individualmente, como em Rodrigues (2009), sobre Leopold </w:t>
      </w:r>
      <w:proofErr w:type="spellStart"/>
      <w:r>
        <w:t>Auer</w:t>
      </w:r>
      <w:proofErr w:type="spellEnd"/>
      <w:r>
        <w:t xml:space="preserve">, e em Curtis (2014), sobre Ivan </w:t>
      </w:r>
      <w:proofErr w:type="spellStart"/>
      <w:r>
        <w:t>Galamian</w:t>
      </w:r>
      <w:proofErr w:type="spellEnd"/>
      <w:r>
        <w:t xml:space="preserve">, mas também através de estudos comparativos que reúnem dois ou mais violinistas influentes na pedagogia do século XX. Nesse modelo metodológico, destacamos os trabalhos de Suzanne Nelson (1994), </w:t>
      </w:r>
      <w:proofErr w:type="spellStart"/>
      <w:r>
        <w:t>Bryn</w:t>
      </w:r>
      <w:proofErr w:type="spellEnd"/>
      <w:r>
        <w:t xml:space="preserve"> </w:t>
      </w:r>
      <w:proofErr w:type="spellStart"/>
      <w:r>
        <w:t>Seegmiller</w:t>
      </w:r>
      <w:proofErr w:type="spellEnd"/>
      <w:r>
        <w:t xml:space="preserve"> (2014) e especialmente Kelley </w:t>
      </w:r>
      <w:proofErr w:type="spellStart"/>
      <w:r>
        <w:t>Arney</w:t>
      </w:r>
      <w:proofErr w:type="spellEnd"/>
      <w:r>
        <w:t xml:space="preserve"> (2006), que estabelece um sumário unificado para os diversos temas abordados por </w:t>
      </w:r>
      <w:proofErr w:type="spellStart"/>
      <w:r>
        <w:t>Auer</w:t>
      </w:r>
      <w:proofErr w:type="spellEnd"/>
      <w:r>
        <w:t xml:space="preserve">, Flesch e </w:t>
      </w:r>
      <w:proofErr w:type="spellStart"/>
      <w:r>
        <w:t>Galamian</w:t>
      </w:r>
      <w:proofErr w:type="spellEnd"/>
      <w:r>
        <w:t xml:space="preserve"> em seus registros escritos. Evidentemente, em todas essas obras, os métodos de cada violinista constituem o material de base.</w:t>
      </w:r>
    </w:p>
    <w:p w14:paraId="4B1FB2D2" w14:textId="689EF46F" w:rsidR="001F49FD" w:rsidRDefault="00611419" w:rsidP="000E2335">
      <w:pPr>
        <w:ind w:firstLine="709"/>
      </w:pPr>
      <w:r>
        <w:t>Os métodos para violino são também apreciados na produção bibliográfica sobre o instrumento no Brasil. Seguindo o viés da análise pedagógica, destacamos a tese de doutorado de Luís Otavio Santos (2011), que utiliza os tratados e métodos de violino para estabelecer uma discussão mais ampla sobre diferenças conceituais entre o ensino baseado na tradicional relação mestre/aprendiz e o sistema metodizado de ensino — iniciado com a fundação do Conservatório de Paris. Alguns trabalhos historiográficos sobre violinistas brasileiros recorrem aos métodos para analisar as características de certas Escolas de violino que influenciaram a trajetória desses artistas. É o caso dos trabalhos sobre Manoel Joaquim de Macedo (V</w:t>
      </w:r>
      <w:r w:rsidR="00545B7C">
        <w:t>entura</w:t>
      </w:r>
      <w:r>
        <w:t xml:space="preserve"> F</w:t>
      </w:r>
      <w:r w:rsidR="00545B7C">
        <w:t>resca</w:t>
      </w:r>
      <w:r>
        <w:t>, 2014; e R</w:t>
      </w:r>
      <w:r w:rsidR="00545B7C">
        <w:t>eis</w:t>
      </w:r>
      <w:r>
        <w:t>, 2016), e sobre Paulina d’</w:t>
      </w:r>
      <w:proofErr w:type="spellStart"/>
      <w:r>
        <w:t>Ambrosio</w:t>
      </w:r>
      <w:proofErr w:type="spellEnd"/>
      <w:r>
        <w:t xml:space="preserve"> (B</w:t>
      </w:r>
      <w:r w:rsidR="00545B7C">
        <w:t>osisio</w:t>
      </w:r>
      <w:r>
        <w:t xml:space="preserve">, 1996).  </w:t>
      </w:r>
    </w:p>
    <w:p w14:paraId="1A1BFAA2" w14:textId="33115952" w:rsidR="001F49FD" w:rsidRDefault="00611419" w:rsidP="000E2335">
      <w:pPr>
        <w:ind w:firstLine="709"/>
      </w:pPr>
      <w:r>
        <w:t xml:space="preserve">A respeito de trabalhos que possuem aspectos similares a este, citamos principalmente </w:t>
      </w:r>
      <w:r>
        <w:rPr>
          <w:i/>
        </w:rPr>
        <w:t>Parâmetros físicos violinísticos do século 19 e início do século 20</w:t>
      </w:r>
      <w:r>
        <w:t xml:space="preserve"> (B</w:t>
      </w:r>
      <w:r w:rsidR="00545B7C">
        <w:t>rown</w:t>
      </w:r>
      <w:r>
        <w:t>, 2013). Por sua abordagem exclusiva sobre parâmetros técnicos, esse artigo influenciou os rumos desta pesquisa, pois, motivados pelo próprio autor</w:t>
      </w:r>
      <w:r w:rsidR="00545B7C">
        <w:t>,</w:t>
      </w:r>
      <w:r>
        <w:t xml:space="preserve"> decidimos investigar os conceitos técnicos contemporâneos sob a luz da </w:t>
      </w:r>
      <w:r w:rsidR="00545B7C">
        <w:t>h</w:t>
      </w:r>
      <w:r>
        <w:t xml:space="preserve">istória da prática violinística. Essa característica de relacionar </w:t>
      </w:r>
      <w:r>
        <w:lastRenderedPageBreak/>
        <w:t>etapas históricas com o pensamento atual – apesar de conterem enfoques e metodologias distintos – foi encontrada em duas recentes dissertações: Amaral (2013) trata de aspectos pedagógicos e conceitos técnicos da tradição Flesch-</w:t>
      </w:r>
      <w:proofErr w:type="spellStart"/>
      <w:r>
        <w:t>Rostal</w:t>
      </w:r>
      <w:proofErr w:type="spellEnd"/>
      <w:r>
        <w:t xml:space="preserve"> na Alemanha e sua continuidade no Brasil através da atuação do professor Paulo Bosisio; a dissertação de mestrado de </w:t>
      </w:r>
      <w:proofErr w:type="spellStart"/>
      <w:r>
        <w:t>Kakizaki</w:t>
      </w:r>
      <w:proofErr w:type="spellEnd"/>
      <w:r>
        <w:t xml:space="preserve"> (2011) compara os aspectos e parâmetros contidos nas obras de Flesch e </w:t>
      </w:r>
      <w:proofErr w:type="spellStart"/>
      <w:r>
        <w:t>Galamian</w:t>
      </w:r>
      <w:proofErr w:type="spellEnd"/>
      <w:r>
        <w:t xml:space="preserve"> com os materiais pedagógicos postados na internet pelos professores Todd Ehle e Kurt </w:t>
      </w:r>
      <w:proofErr w:type="spellStart"/>
      <w:r>
        <w:t>Sassmannshaus</w:t>
      </w:r>
      <w:proofErr w:type="spellEnd"/>
      <w:r>
        <w:t>, observando como as informações transmitidas por esses últimos se relacionam com as técnicas sugeridas por seus predecessores.</w:t>
      </w:r>
    </w:p>
    <w:p w14:paraId="3E6AD23F" w14:textId="3B9C6F7D" w:rsidR="001F49FD" w:rsidRDefault="00611419" w:rsidP="000E2335">
      <w:pPr>
        <w:ind w:firstLine="709"/>
      </w:pPr>
      <w:r>
        <w:t>O objeto de estudo nos conduziu a uma abordagem pragmática dos métodos selecionados: extrair os preceitos dos autores sobre os diversos elementos técnicos. Assim, no primeiro capítulo</w:t>
      </w:r>
      <w:r w:rsidR="00545B7C">
        <w:t>,</w:t>
      </w:r>
      <w:r>
        <w:t xml:space="preserve"> são apresentados quatro métodos escritos no século XIX. Em primeiro, contextualizamos historicamente o percurso dos violinistas e suas respectivas obras, de onde se justificam as razões de nossa escolha. Em seguida elencamos os princípios técnicos. Nessa etapa inicial, reproduzimos fidedignamente os tópicos e os termos</w:t>
      </w:r>
      <w:r>
        <w:rPr>
          <w:rStyle w:val="Refdenotaderodap"/>
        </w:rPr>
        <w:footnoteReference w:id="3"/>
      </w:r>
      <w:r>
        <w:t xml:space="preserve"> utilizados nos métodos a fim de que o leitor possa verificar como os autores abordam cada tema. Além disso, dispomos os preceitos em forma de citação, para que seja observado seu grau de solidez ou de imprecisão. Nesse mesmo objetivo, esforçamo-nos em não ingressar em uma análise prematura, apontando apenas certos pontos relevantes. A título de organização, nossa maior interferência foi estabelecer sempre a mesma ordem para os três grandes temas: Postura corporal; Técnica de mão esquerda; Técnica de arco – ainda que sob as nomenclaturas originais de cada fonte.  </w:t>
      </w:r>
    </w:p>
    <w:p w14:paraId="231099F9" w14:textId="43FC7CA6" w:rsidR="001F49FD" w:rsidRDefault="00611419" w:rsidP="000E2335">
      <w:pPr>
        <w:tabs>
          <w:tab w:val="left" w:pos="1134"/>
        </w:tabs>
        <w:ind w:firstLine="709"/>
      </w:pPr>
      <w:r>
        <w:t xml:space="preserve">O segundo capítulo é destinado aos métodos de quatro violinistas do século XX e segue a metodologia do segundo, excetuando o fato de que, para certos autores, foi consultado mais de um método. </w:t>
      </w:r>
    </w:p>
    <w:p w14:paraId="4EEFAC30" w14:textId="4846C34C" w:rsidR="001F49FD" w:rsidRDefault="00611419" w:rsidP="000E2335">
      <w:pPr>
        <w:tabs>
          <w:tab w:val="left" w:pos="1134"/>
        </w:tabs>
        <w:ind w:firstLine="709"/>
      </w:pPr>
      <w:r>
        <w:t>Em seguida, no capítulo III, realizamos a análise comparativa dos principais preceitos coletados. Para tal, uniformizamos a nomenclatura dos elementos técnicos e os dispomos em quadros. Essa metodologia buscou uma clara observação das modificações ao longo dos dois últimos séculos e, principalmente, o entendimento dos parâmetros técnicos remanescentes para os violinistas contemporâneos.</w:t>
      </w:r>
    </w:p>
    <w:p w14:paraId="2DDD616E" w14:textId="03721088" w:rsidR="001F49FD" w:rsidRPr="008B2A8B" w:rsidRDefault="00611419" w:rsidP="000E2335">
      <w:pPr>
        <w:tabs>
          <w:tab w:val="left" w:pos="709"/>
          <w:tab w:val="left" w:pos="1134"/>
        </w:tabs>
        <w:ind w:firstLine="0"/>
      </w:pPr>
      <w:r>
        <w:t xml:space="preserve">      </w:t>
      </w:r>
      <w:r w:rsidR="000E2335">
        <w:t xml:space="preserve">      </w:t>
      </w:r>
      <w:r>
        <w:t>É o resultado dessa análise comparativa que constitui o material de base da pesquisa junto aos violinistas contemporâneos, através de entrevista de modelo estruturado com questões fechadas. Por conter algumas características próprias a um questionário, apoiamo-</w:t>
      </w:r>
      <w:r>
        <w:lastRenderedPageBreak/>
        <w:t xml:space="preserve">nos na obra </w:t>
      </w:r>
      <w:r>
        <w:rPr>
          <w:i/>
        </w:rPr>
        <w:t xml:space="preserve">O método em sociologia </w:t>
      </w:r>
      <w:r>
        <w:t>(</w:t>
      </w:r>
      <w:proofErr w:type="spellStart"/>
      <w:r w:rsidR="00545B7C">
        <w:t>Combessie</w:t>
      </w:r>
      <w:proofErr w:type="spellEnd"/>
      <w:r>
        <w:t>, 2007) para estabelecer nossos procedimentos, tais como: o caráter presencial, a formulação das perguntas e opções de respostas, e o aproveitamento de informações suplementares que possam contribuir para o trabalho. Finalmente, nossa amostragem é composta por cinquenta violinistas, escolhidos indistintamente. Estabelecemos unicamente três faixas etárias – entre 20 e 40 anos de idade; entre 40 e 60 anos de idade; acima de 60 anos de idade –, mantendo uma equivalência numérica entre as duas primeiras e uma equivalência proporcional com a terceira, uma vez que esta última apresentou mais dificuldades de encontros presenciais.</w:t>
      </w:r>
    </w:p>
    <w:p w14:paraId="1D5088A7" w14:textId="39F6BEDC" w:rsidR="001F49FD" w:rsidRDefault="000E2335" w:rsidP="000E2335">
      <w:pPr>
        <w:tabs>
          <w:tab w:val="left" w:pos="709"/>
          <w:tab w:val="left" w:pos="1134"/>
        </w:tabs>
        <w:ind w:firstLine="0"/>
        <w:rPr>
          <w:b/>
        </w:rPr>
      </w:pPr>
      <w:r>
        <w:tab/>
      </w:r>
      <w:r w:rsidR="00611419" w:rsidRPr="008B2A8B">
        <w:t>Por meio deste livro, esperamos incentivar a constante reflexão sobre conceitos essenciais, caros à técnica violinística, a fim de contribuir tanto no campo artístico quanto pedagógico, que, no nosso entender, devem estar sempre atrelados na prática instrumental.</w:t>
      </w:r>
      <w:r w:rsidR="008B2A8B" w:rsidRPr="008B2A8B">
        <w:t xml:space="preserve"> Além disso, buscamos fornecer conteúdo histórico e atualizado</w:t>
      </w:r>
      <w:r w:rsidR="008B2A8B" w:rsidRPr="008B2A8B">
        <w:rPr>
          <w:b/>
        </w:rPr>
        <w:t xml:space="preserve"> </w:t>
      </w:r>
      <w:r w:rsidR="008B2A8B" w:rsidRPr="008B2A8B">
        <w:t>para os violinistas, principalmente em vernáculo.</w:t>
      </w:r>
    </w:p>
    <w:p w14:paraId="1091A714" w14:textId="35A963AE" w:rsidR="001F49FD" w:rsidRPr="008B2A8B" w:rsidRDefault="008B2A8B" w:rsidP="000E2335">
      <w:pPr>
        <w:pStyle w:val="Recuodecorpodetexto"/>
        <w:tabs>
          <w:tab w:val="left" w:pos="709"/>
        </w:tabs>
        <w:ind w:firstLine="709"/>
        <w:rPr>
          <w:rFonts w:ascii="Roboto" w:hAnsi="Roboto"/>
          <w:bCs/>
          <w:color w:val="5E5E5E"/>
          <w:sz w:val="23"/>
          <w:szCs w:val="23"/>
          <w:shd w:val="clear" w:color="auto" w:fill="FFFFFF"/>
        </w:rPr>
      </w:pPr>
      <w:r w:rsidRPr="008B2A8B">
        <w:rPr>
          <w:rFonts w:cstheme="majorHAnsi"/>
          <w:bCs/>
          <w:szCs w:val="24"/>
          <w:shd w:val="clear" w:color="auto" w:fill="FFFFFF"/>
        </w:rPr>
        <w:t>Antes de adentrarmos nos capítulos do livro, sugerimos um breve glossário:</w:t>
      </w:r>
      <w:r w:rsidR="00611419" w:rsidRPr="008B2A8B">
        <w:rPr>
          <w:rFonts w:cstheme="majorHAnsi"/>
          <w:bCs/>
          <w:szCs w:val="24"/>
          <w:shd w:val="clear" w:color="auto" w:fill="FFFFFF"/>
        </w:rPr>
        <w:t xml:space="preserve">                                               </w:t>
      </w:r>
    </w:p>
    <w:p w14:paraId="3EC36BCA" w14:textId="77777777" w:rsidR="001F49FD" w:rsidRDefault="00611419" w:rsidP="00865328">
      <w:pPr>
        <w:pStyle w:val="PargrafodaLista"/>
        <w:tabs>
          <w:tab w:val="left" w:pos="1276"/>
        </w:tabs>
        <w:ind w:left="0" w:firstLine="709"/>
        <w:rPr>
          <w:rFonts w:asciiTheme="majorHAnsi" w:hAnsiTheme="majorHAnsi" w:cstheme="majorHAnsi"/>
          <w:szCs w:val="24"/>
          <w:shd w:val="clear" w:color="auto" w:fill="FFFFFF"/>
        </w:rPr>
      </w:pPr>
      <w:r>
        <w:rPr>
          <w:rFonts w:cstheme="majorHAnsi"/>
          <w:b/>
          <w:szCs w:val="24"/>
          <w:shd w:val="clear" w:color="auto" w:fill="FFFFFF"/>
        </w:rPr>
        <w:t xml:space="preserve">. </w:t>
      </w:r>
      <w:r>
        <w:rPr>
          <w:rFonts w:cstheme="majorHAnsi"/>
          <w:szCs w:val="24"/>
          <w:shd w:val="clear" w:color="auto" w:fill="FFFFFF"/>
        </w:rPr>
        <w:t xml:space="preserve">Elementos técnicos: </w:t>
      </w:r>
      <w:r>
        <w:rPr>
          <w:rFonts w:cstheme="majorHAnsi"/>
          <w:szCs w:val="24"/>
        </w:rPr>
        <w:t>são os componentes dos grandes temas de nosso objeto de estudo: </w:t>
      </w:r>
      <w:r>
        <w:rPr>
          <w:rFonts w:cstheme="majorHAnsi"/>
          <w:szCs w:val="24"/>
          <w:shd w:val="clear" w:color="auto" w:fill="FFFFFF"/>
        </w:rPr>
        <w:t xml:space="preserve">Postura corporal e sustentação do violino; Técnica de mão esquerda; Técnica de arco. </w:t>
      </w:r>
    </w:p>
    <w:p w14:paraId="6A0B0B72" w14:textId="77777777" w:rsidR="001F49FD" w:rsidRDefault="00611419" w:rsidP="00865328">
      <w:pPr>
        <w:pStyle w:val="PargrafodaLista"/>
        <w:ind w:left="0" w:firstLine="709"/>
        <w:rPr>
          <w:rFonts w:asciiTheme="majorHAnsi" w:hAnsiTheme="majorHAnsi" w:cstheme="majorHAnsi"/>
          <w:szCs w:val="24"/>
        </w:rPr>
      </w:pPr>
      <w:r>
        <w:rPr>
          <w:rFonts w:cstheme="majorHAnsi"/>
          <w:b/>
          <w:szCs w:val="24"/>
          <w:shd w:val="clear" w:color="auto" w:fill="FFFFFF"/>
        </w:rPr>
        <w:t>.</w:t>
      </w:r>
      <w:r>
        <w:rPr>
          <w:rFonts w:cstheme="majorHAnsi"/>
          <w:szCs w:val="24"/>
          <w:shd w:val="clear" w:color="auto" w:fill="FFFFFF"/>
        </w:rPr>
        <w:t xml:space="preserve"> Parâmetros: as possibilidades – posturais e mecânicas – que um elemento técnico dispõe.</w:t>
      </w:r>
    </w:p>
    <w:p w14:paraId="44C2FB84" w14:textId="77777777" w:rsidR="001F49FD" w:rsidRDefault="00611419" w:rsidP="00865328">
      <w:pPr>
        <w:pStyle w:val="PargrafodaLista"/>
        <w:ind w:left="0" w:firstLine="709"/>
        <w:rPr>
          <w:rFonts w:asciiTheme="majorHAnsi" w:hAnsiTheme="majorHAnsi" w:cstheme="majorHAnsi"/>
          <w:szCs w:val="24"/>
          <w:shd w:val="clear" w:color="auto" w:fill="FFFFFF"/>
        </w:rPr>
      </w:pPr>
      <w:r>
        <w:rPr>
          <w:rFonts w:cstheme="majorHAnsi"/>
          <w:b/>
          <w:szCs w:val="24"/>
          <w:shd w:val="clear" w:color="auto" w:fill="FFFFFF"/>
        </w:rPr>
        <w:t>.</w:t>
      </w:r>
      <w:r>
        <w:rPr>
          <w:rFonts w:cstheme="majorHAnsi"/>
          <w:szCs w:val="24"/>
          <w:shd w:val="clear" w:color="auto" w:fill="FFFFFF"/>
        </w:rPr>
        <w:t xml:space="preserve"> Preceito: aquilo que é preconizado pelo violinista. Indica o parâmetro escolhido. </w:t>
      </w:r>
    </w:p>
    <w:p w14:paraId="02F5D18F" w14:textId="4CEF8697" w:rsidR="001F49FD" w:rsidRDefault="00611419" w:rsidP="00865328">
      <w:pPr>
        <w:pStyle w:val="PargrafodaLista"/>
        <w:ind w:left="0" w:firstLine="709"/>
        <w:rPr>
          <w:rFonts w:cstheme="majorHAnsi"/>
          <w:szCs w:val="24"/>
          <w:shd w:val="clear" w:color="auto" w:fill="FFFFFF"/>
        </w:rPr>
      </w:pPr>
      <w:r>
        <w:rPr>
          <w:rFonts w:cstheme="majorHAnsi"/>
          <w:b/>
          <w:szCs w:val="24"/>
          <w:shd w:val="clear" w:color="auto" w:fill="FFFFFF"/>
        </w:rPr>
        <w:t>.</w:t>
      </w:r>
      <w:r>
        <w:rPr>
          <w:rFonts w:cstheme="majorHAnsi"/>
          <w:szCs w:val="24"/>
          <w:shd w:val="clear" w:color="auto" w:fill="FFFFFF"/>
        </w:rPr>
        <w:t xml:space="preserve"> Conceito: é o pensamento que norteia o preceito. </w:t>
      </w:r>
    </w:p>
    <w:p w14:paraId="7410BBBA" w14:textId="77777777" w:rsidR="00042173" w:rsidRDefault="00042173" w:rsidP="00865328">
      <w:pPr>
        <w:pStyle w:val="PargrafodaLista"/>
        <w:ind w:left="0" w:firstLine="709"/>
        <w:rPr>
          <w:rFonts w:asciiTheme="majorHAnsi" w:hAnsiTheme="majorHAnsi" w:cstheme="majorHAnsi"/>
          <w:szCs w:val="24"/>
          <w:shd w:val="clear" w:color="auto" w:fill="FFFFFF"/>
        </w:rPr>
      </w:pPr>
    </w:p>
    <w:p w14:paraId="2B751EC3" w14:textId="77777777" w:rsidR="001F49FD" w:rsidRDefault="00611419" w:rsidP="00865328">
      <w:pPr>
        <w:ind w:firstLine="709"/>
        <w:rPr>
          <w:rFonts w:asciiTheme="majorHAnsi" w:hAnsiTheme="majorHAnsi" w:cstheme="majorHAnsi"/>
          <w:b/>
          <w:szCs w:val="24"/>
          <w:shd w:val="clear" w:color="auto" w:fill="FFFFFF"/>
        </w:rPr>
      </w:pPr>
      <w:r>
        <w:rPr>
          <w:rFonts w:cstheme="majorHAnsi"/>
          <w:b/>
          <w:szCs w:val="24"/>
          <w:shd w:val="clear" w:color="auto" w:fill="FFFFFF"/>
        </w:rPr>
        <w:t xml:space="preserve">Exemplo: </w:t>
      </w:r>
    </w:p>
    <w:p w14:paraId="4729E114" w14:textId="2D965FB7" w:rsidR="001F49FD" w:rsidRPr="00865328" w:rsidRDefault="00611419" w:rsidP="00865328">
      <w:pPr>
        <w:tabs>
          <w:tab w:val="left" w:pos="1134"/>
        </w:tabs>
        <w:ind w:firstLine="709"/>
        <w:rPr>
          <w:rFonts w:asciiTheme="majorHAnsi" w:hAnsiTheme="majorHAnsi" w:cstheme="majorHAnsi"/>
          <w:szCs w:val="24"/>
          <w:shd w:val="clear" w:color="auto" w:fill="FFFFFF"/>
        </w:rPr>
      </w:pPr>
      <w:r w:rsidRPr="00865328">
        <w:rPr>
          <w:rFonts w:cstheme="majorHAnsi"/>
          <w:b/>
          <w:szCs w:val="24"/>
          <w:shd w:val="clear" w:color="auto" w:fill="FFFFFF"/>
        </w:rPr>
        <w:t>.</w:t>
      </w:r>
      <w:r w:rsidRPr="00865328">
        <w:rPr>
          <w:rFonts w:cstheme="majorHAnsi"/>
          <w:szCs w:val="24"/>
          <w:shd w:val="clear" w:color="auto" w:fill="FFFFFF"/>
        </w:rPr>
        <w:t xml:space="preserve"> Elemento técnico: Equilíbrio do corpo. </w:t>
      </w:r>
    </w:p>
    <w:p w14:paraId="2CAC9CA0" w14:textId="77777777" w:rsidR="001F49FD" w:rsidRPr="00865328" w:rsidRDefault="00611419" w:rsidP="00865328">
      <w:pPr>
        <w:ind w:firstLine="709"/>
        <w:rPr>
          <w:rFonts w:asciiTheme="majorHAnsi" w:hAnsiTheme="majorHAnsi" w:cstheme="majorHAnsi"/>
          <w:szCs w:val="24"/>
          <w:shd w:val="clear" w:color="auto" w:fill="FFFFFF"/>
        </w:rPr>
      </w:pPr>
      <w:r w:rsidRPr="00865328">
        <w:rPr>
          <w:rFonts w:cstheme="majorHAnsi"/>
          <w:b/>
          <w:szCs w:val="24"/>
          <w:shd w:val="clear" w:color="auto" w:fill="FFFFFF"/>
        </w:rPr>
        <w:t>.</w:t>
      </w:r>
      <w:r w:rsidRPr="00865328">
        <w:rPr>
          <w:rFonts w:cstheme="majorHAnsi"/>
          <w:szCs w:val="24"/>
          <w:shd w:val="clear" w:color="auto" w:fill="FFFFFF"/>
        </w:rPr>
        <w:t xml:space="preserve"> Parâmetros: Apoio sobre as duas pernas [ou] Apoio sobre a perna esquerda.</w:t>
      </w:r>
      <w:r w:rsidRPr="00865328">
        <w:rPr>
          <w:rFonts w:cstheme="majorHAnsi"/>
          <w:szCs w:val="24"/>
          <w:shd w:val="clear" w:color="auto" w:fill="FFFFFF"/>
        </w:rPr>
        <w:tab/>
        <w:t xml:space="preserve">   </w:t>
      </w:r>
    </w:p>
    <w:p w14:paraId="7501703A" w14:textId="77777777" w:rsidR="001F49FD" w:rsidRPr="00865328" w:rsidRDefault="00611419" w:rsidP="00865328">
      <w:pPr>
        <w:ind w:firstLine="709"/>
        <w:rPr>
          <w:rFonts w:asciiTheme="majorHAnsi" w:hAnsiTheme="majorHAnsi" w:cstheme="majorHAnsi"/>
          <w:szCs w:val="24"/>
          <w:shd w:val="clear" w:color="auto" w:fill="FFFFFF"/>
        </w:rPr>
      </w:pPr>
      <w:r w:rsidRPr="00865328">
        <w:rPr>
          <w:rFonts w:cstheme="majorHAnsi"/>
          <w:b/>
          <w:szCs w:val="24"/>
          <w:shd w:val="clear" w:color="auto" w:fill="FFFFFF"/>
        </w:rPr>
        <w:t>.</w:t>
      </w:r>
      <w:r w:rsidRPr="00865328">
        <w:rPr>
          <w:rFonts w:cstheme="majorHAnsi"/>
          <w:szCs w:val="24"/>
          <w:shd w:val="clear" w:color="auto" w:fill="FFFFFF"/>
        </w:rPr>
        <w:t xml:space="preserve"> Preceito: “O peso do corpo deve recair sobre as duas pernas.” </w:t>
      </w:r>
    </w:p>
    <w:p w14:paraId="533B538F" w14:textId="77777777" w:rsidR="001F49FD" w:rsidRDefault="00611419" w:rsidP="00865328">
      <w:pPr>
        <w:ind w:firstLine="709"/>
      </w:pPr>
      <w:bookmarkStart w:id="6" w:name="_Toc14331006"/>
      <w:bookmarkStart w:id="7" w:name="_Toc4841956801"/>
      <w:bookmarkEnd w:id="6"/>
      <w:bookmarkEnd w:id="7"/>
      <w:r>
        <w:rPr>
          <w:b/>
        </w:rPr>
        <w:t xml:space="preserve">. </w:t>
      </w:r>
      <w:r>
        <w:t>Conceito: Preservação física.</w:t>
      </w:r>
    </w:p>
    <w:p w14:paraId="1DA92F2D" w14:textId="77777777" w:rsidR="001F49FD" w:rsidRDefault="001F49FD" w:rsidP="008B2A8B">
      <w:pPr>
        <w:ind w:firstLine="0"/>
        <w:rPr>
          <w:lang w:eastAsia="en-US"/>
        </w:rPr>
      </w:pPr>
      <w:bookmarkStart w:id="8" w:name="_Toc14331007"/>
      <w:bookmarkStart w:id="9" w:name="_Toc14331008"/>
      <w:bookmarkStart w:id="10" w:name="_Toc14331009"/>
      <w:bookmarkStart w:id="11" w:name="_Toc14331010"/>
      <w:bookmarkStart w:id="12" w:name="_Toc14331011"/>
      <w:bookmarkStart w:id="13" w:name="_Toc14331012"/>
      <w:bookmarkStart w:id="14" w:name="_Toc14331013"/>
      <w:bookmarkStart w:id="15" w:name="_Toc14331015"/>
      <w:bookmarkEnd w:id="8"/>
      <w:bookmarkEnd w:id="9"/>
      <w:bookmarkEnd w:id="10"/>
      <w:bookmarkEnd w:id="11"/>
      <w:bookmarkEnd w:id="12"/>
      <w:bookmarkEnd w:id="13"/>
      <w:bookmarkEnd w:id="14"/>
      <w:bookmarkEnd w:id="15"/>
    </w:p>
    <w:p w14:paraId="7FACAD08" w14:textId="77777777" w:rsidR="00865328" w:rsidRDefault="00865328" w:rsidP="008B2A8B">
      <w:pPr>
        <w:ind w:firstLine="0"/>
        <w:rPr>
          <w:lang w:eastAsia="en-US"/>
        </w:rPr>
      </w:pPr>
    </w:p>
    <w:p w14:paraId="55ED98F4" w14:textId="77777777" w:rsidR="00865328" w:rsidRDefault="00865328" w:rsidP="008B2A8B">
      <w:pPr>
        <w:ind w:firstLine="0"/>
        <w:rPr>
          <w:lang w:eastAsia="en-US"/>
        </w:rPr>
      </w:pPr>
    </w:p>
    <w:p w14:paraId="1B0EB4CC" w14:textId="77777777" w:rsidR="00865328" w:rsidRDefault="00865328" w:rsidP="008B2A8B">
      <w:pPr>
        <w:ind w:firstLine="0"/>
        <w:rPr>
          <w:lang w:eastAsia="en-US"/>
        </w:rPr>
      </w:pPr>
    </w:p>
    <w:p w14:paraId="20F3AD8F" w14:textId="77777777" w:rsidR="00833225" w:rsidRDefault="00833225" w:rsidP="008B2A8B">
      <w:pPr>
        <w:ind w:firstLine="0"/>
        <w:rPr>
          <w:lang w:eastAsia="en-US"/>
        </w:rPr>
      </w:pPr>
    </w:p>
    <w:p w14:paraId="7E839CA6" w14:textId="005F4C27" w:rsidR="001F49FD" w:rsidRDefault="00611419" w:rsidP="000A6E65">
      <w:pPr>
        <w:pStyle w:val="Ttulo1"/>
      </w:pPr>
      <w:bookmarkStart w:id="16" w:name="_Toc219359018"/>
      <w:r>
        <w:lastRenderedPageBreak/>
        <w:t>1</w:t>
      </w:r>
      <w:bookmarkStart w:id="17" w:name="_Toc14331016"/>
      <w:r>
        <w:t xml:space="preserve">     PRINCÍPIOS TÉCNICOS DE MÉTODOS DO SÉCULO XIX</w:t>
      </w:r>
      <w:bookmarkEnd w:id="16"/>
      <w:bookmarkEnd w:id="17"/>
    </w:p>
    <w:p w14:paraId="1A1D7B34" w14:textId="265416BB" w:rsidR="001F49FD" w:rsidRDefault="00611419" w:rsidP="00865328">
      <w:pPr>
        <w:pStyle w:val="Recuodecorpodetexto"/>
        <w:tabs>
          <w:tab w:val="left" w:pos="709"/>
        </w:tabs>
        <w:ind w:firstLine="709"/>
      </w:pPr>
      <w:r>
        <w:t xml:space="preserve">Os métodos específicos para violino surgem majoritariamente ao longo da segunda metade do século XVIII. Dentre os mais relevantes desse período estão </w:t>
      </w:r>
      <w:r>
        <w:rPr>
          <w:i/>
          <w:lang w:eastAsia="en-US"/>
        </w:rPr>
        <w:t>A Arte de tocar violino</w:t>
      </w:r>
      <w:r>
        <w:rPr>
          <w:lang w:eastAsia="en-US"/>
        </w:rPr>
        <w:t xml:space="preserve"> </w:t>
      </w:r>
      <w:r>
        <w:t>(G</w:t>
      </w:r>
      <w:r w:rsidR="00E00EAB">
        <w:t>eminiani</w:t>
      </w:r>
      <w:r>
        <w:t xml:space="preserve">, 1751), de Francesco Geminiani (1687-1762), </w:t>
      </w:r>
      <w:r>
        <w:rPr>
          <w:i/>
          <w:lang w:eastAsia="en-US"/>
        </w:rPr>
        <w:t xml:space="preserve">Experimento de um método completo de violino </w:t>
      </w:r>
      <w:r>
        <w:rPr>
          <w:iCs/>
        </w:rPr>
        <w:t>(M</w:t>
      </w:r>
      <w:r w:rsidR="00E00EAB">
        <w:rPr>
          <w:iCs/>
        </w:rPr>
        <w:t>ozart</w:t>
      </w:r>
      <w:r>
        <w:rPr>
          <w:iCs/>
        </w:rPr>
        <w:t>, 1756),</w:t>
      </w:r>
      <w:r>
        <w:rPr>
          <w:i/>
          <w:iCs/>
        </w:rPr>
        <w:t xml:space="preserve"> </w:t>
      </w:r>
      <w:r>
        <w:rPr>
          <w:iCs/>
        </w:rPr>
        <w:t>de Leopold</w:t>
      </w:r>
      <w:r>
        <w:t xml:space="preserve"> Mozart (1719-1787) </w:t>
      </w:r>
      <w:r>
        <w:rPr>
          <w:lang w:eastAsia="en-US"/>
        </w:rPr>
        <w:t xml:space="preserve">e </w:t>
      </w:r>
      <w:r>
        <w:rPr>
          <w:i/>
          <w:lang w:eastAsia="en-US"/>
        </w:rPr>
        <w:t xml:space="preserve">Princípios para aprender o dedilhado do violino e suas diferentes particularidades </w:t>
      </w:r>
      <w:r>
        <w:rPr>
          <w:rFonts w:eastAsia="Times New Roman" w:cs="Times New Roman"/>
          <w:bCs/>
          <w:szCs w:val="24"/>
        </w:rPr>
        <w:t>(A</w:t>
      </w:r>
      <w:r w:rsidR="00E00EAB">
        <w:rPr>
          <w:rFonts w:eastAsia="Times New Roman" w:cs="Times New Roman"/>
          <w:bCs/>
          <w:szCs w:val="24"/>
        </w:rPr>
        <w:t>bbé</w:t>
      </w:r>
      <w:r>
        <w:rPr>
          <w:rFonts w:eastAsia="Times New Roman" w:cs="Times New Roman"/>
          <w:bCs/>
          <w:szCs w:val="24"/>
        </w:rPr>
        <w:t xml:space="preserve"> </w:t>
      </w:r>
      <w:proofErr w:type="spellStart"/>
      <w:r>
        <w:rPr>
          <w:rFonts w:eastAsia="Times New Roman" w:cs="Times New Roman"/>
          <w:bCs/>
          <w:szCs w:val="24"/>
        </w:rPr>
        <w:t>le</w:t>
      </w:r>
      <w:proofErr w:type="spellEnd"/>
      <w:r>
        <w:rPr>
          <w:rFonts w:eastAsia="Times New Roman" w:cs="Times New Roman"/>
          <w:bCs/>
          <w:szCs w:val="24"/>
        </w:rPr>
        <w:t xml:space="preserve"> F</w:t>
      </w:r>
      <w:r w:rsidR="00E00EAB">
        <w:rPr>
          <w:rFonts w:eastAsia="Times New Roman" w:cs="Times New Roman"/>
          <w:bCs/>
          <w:szCs w:val="24"/>
        </w:rPr>
        <w:t>ils</w:t>
      </w:r>
      <w:r>
        <w:rPr>
          <w:rFonts w:eastAsia="Times New Roman" w:cs="Times New Roman"/>
          <w:bCs/>
          <w:szCs w:val="24"/>
        </w:rPr>
        <w:t xml:space="preserve">, 1761), de Abbé </w:t>
      </w:r>
      <w:proofErr w:type="spellStart"/>
      <w:r>
        <w:rPr>
          <w:rFonts w:eastAsia="Times New Roman" w:cs="Times New Roman"/>
          <w:bCs/>
          <w:szCs w:val="24"/>
        </w:rPr>
        <w:t>le</w:t>
      </w:r>
      <w:proofErr w:type="spellEnd"/>
      <w:r>
        <w:rPr>
          <w:rFonts w:eastAsia="Times New Roman" w:cs="Times New Roman"/>
          <w:bCs/>
          <w:szCs w:val="24"/>
        </w:rPr>
        <w:t xml:space="preserve"> Fils (1727-1803)</w:t>
      </w:r>
      <w:r>
        <w:t xml:space="preserve">. Apesar de essas publicações terem sido fundamentais no desenvolvimento da prática do instrumento, certos princípios técnicos nelas estabelecidos encontram-se distantes da técnica moderna de violino, uma vez que ao longo daquele século sucediam-se ainda alterações morfológicas no instrumento, tais como: o aumento da altura do cavalete, a acentuação da curvatura do espelho e, especialmente, o alongamento do braço do violino. No arco, as modificações foram ainda mais significativas: François-Xavier </w:t>
      </w:r>
      <w:proofErr w:type="spellStart"/>
      <w:r>
        <w:t>Tourte</w:t>
      </w:r>
      <w:proofErr w:type="spellEnd"/>
      <w:r>
        <w:t xml:space="preserve"> (1747-1835), ao utilizar a madeira pau-brasil, redimensionou o peso e o equilíbrio dos diversos modelos precedentes, estabelecendo definitivamente a curvatura do arco no formato côncavo. O então surgido </w:t>
      </w:r>
      <w:r>
        <w:rPr>
          <w:i/>
        </w:rPr>
        <w:t xml:space="preserve">Arco </w:t>
      </w:r>
      <w:proofErr w:type="spellStart"/>
      <w:r>
        <w:rPr>
          <w:i/>
        </w:rPr>
        <w:t>Tourte</w:t>
      </w:r>
      <w:proofErr w:type="spellEnd"/>
      <w:r>
        <w:t xml:space="preserve"> foi determinante tanto para uma maior capacidade de produção sonora quanto para a ampliação de recursos na técnica de arco. Tais alterações nas características físicas do instrumento – que incidiram diretamente sobre elementos técnicos fundamentais – ocorreram na passagem do século XVIII para o século XIX, quando as medidas do violino e, principalmente, o formato do arco tornaram-se semelhantes aos atuais. Um dos processos que resultou na simplificada distinção </w:t>
      </w:r>
      <w:r>
        <w:rPr>
          <w:i/>
        </w:rPr>
        <w:t>violino barroco</w:t>
      </w:r>
      <w:r>
        <w:t xml:space="preserve"> e </w:t>
      </w:r>
      <w:r>
        <w:rPr>
          <w:i/>
        </w:rPr>
        <w:t>violino moderno</w:t>
      </w:r>
      <w:r>
        <w:t xml:space="preserve">, embora seja de extrema complexidade, como afirma Kai </w:t>
      </w:r>
      <w:proofErr w:type="spellStart"/>
      <w:r>
        <w:t>Köpp</w:t>
      </w:r>
      <w:proofErr w:type="spellEnd"/>
      <w:r>
        <w:t>, em palestra</w:t>
      </w:r>
      <w:r>
        <w:rPr>
          <w:rStyle w:val="Refdenotaderodap"/>
        </w:rPr>
        <w:footnoteReference w:id="4"/>
      </w:r>
      <w:r>
        <w:t xml:space="preserve"> sobre a utilização dos arcos </w:t>
      </w:r>
      <w:proofErr w:type="spellStart"/>
      <w:r>
        <w:rPr>
          <w:i/>
        </w:rPr>
        <w:t>Tourte</w:t>
      </w:r>
      <w:proofErr w:type="spellEnd"/>
      <w:r>
        <w:t xml:space="preserve"> ou </w:t>
      </w:r>
      <w:r>
        <w:rPr>
          <w:i/>
        </w:rPr>
        <w:t>Cramer</w:t>
      </w:r>
      <w:r>
        <w:rPr>
          <w:rStyle w:val="Refdenotaderodap"/>
        </w:rPr>
        <w:footnoteReference w:id="5"/>
      </w:r>
      <w:r>
        <w:t>, nas primeiras décadas do século XIX: “A História moderna nos diz que não há transições lógicas. As coisas não emergem e desaparecem de uma maneira lógica e nem de maneira direta”.</w:t>
      </w:r>
    </w:p>
    <w:p w14:paraId="780C26C5" w14:textId="1E4A1EA9" w:rsidR="001F49FD" w:rsidRDefault="00611419" w:rsidP="00865328">
      <w:pPr>
        <w:ind w:firstLine="709"/>
      </w:pPr>
      <w:r>
        <w:t xml:space="preserve">Ainda que concordemos com o pensamento de </w:t>
      </w:r>
      <w:proofErr w:type="spellStart"/>
      <w:r>
        <w:t>Köpp</w:t>
      </w:r>
      <w:proofErr w:type="spellEnd"/>
      <w:r>
        <w:t>, as significativas alterações morfológicas no violino e no arco ao fim do século XVIII nos conduzem a utilizar somente as fontes literárias elaboradas a partir do século XIX. E, tendo em vista o significativo número de obras sobre o tema ao longo dos dois últimos séculos,</w:t>
      </w:r>
      <w:r>
        <w:rPr>
          <w:rStyle w:val="Refdenotaderodap"/>
          <w:rFonts w:cs="Times New Roman"/>
          <w:szCs w:val="24"/>
        </w:rPr>
        <w:footnoteReference w:id="6"/>
      </w:r>
      <w:r>
        <w:t xml:space="preserve"> foram selecionadas aquelas cujo reconhecimento histórico das atividades artísticas e/ou pedagógicas de seus autores determinou etapas na </w:t>
      </w:r>
      <w:r w:rsidR="00E00EAB">
        <w:t>h</w:t>
      </w:r>
      <w:r>
        <w:t>istória da prática do instrumento.</w:t>
      </w:r>
    </w:p>
    <w:p w14:paraId="4F833097" w14:textId="76EBECB7" w:rsidR="00865328" w:rsidRDefault="00611419" w:rsidP="00865328">
      <w:pPr>
        <w:pStyle w:val="Recuodecorpodetexto"/>
        <w:ind w:firstLine="709"/>
      </w:pPr>
      <w:r>
        <w:lastRenderedPageBreak/>
        <w:t>Científica e culturalmente, um dos recursos mais utilizados na busca de definição das características e das etapas históricas de manifestações artísticas é o conceito de Escola (MILSOM, 2013).</w:t>
      </w:r>
      <w:r>
        <w:rPr>
          <w:b/>
        </w:rPr>
        <w:t xml:space="preserve"> </w:t>
      </w:r>
      <w:r>
        <w:t>No caso da prática do violino, essa ideia vigorou no século XIX e permaneceu presente na visão dos pesquisadores e violinistas do século XX, mesmo que permeada de dúvidas e contestações:</w:t>
      </w:r>
    </w:p>
    <w:p w14:paraId="5BD02B73" w14:textId="77777777" w:rsidR="001F49FD" w:rsidRDefault="00611419">
      <w:pPr>
        <w:pStyle w:val="Primeirorecuodecorpodetexto2"/>
        <w:spacing w:line="240" w:lineRule="auto"/>
        <w:ind w:left="2268" w:firstLine="0"/>
        <w:rPr>
          <w:sz w:val="20"/>
          <w:szCs w:val="20"/>
        </w:rPr>
      </w:pPr>
      <w:r>
        <w:rPr>
          <w:sz w:val="20"/>
          <w:szCs w:val="20"/>
        </w:rPr>
        <w:t>O termo “escola” é frequentemente usado, em diversos contextos, como uma forma de compreender diferentes correntes de estilo e de prática. Por vezes o termo sugere um vínculo com uma dada instituição, com um conjunto de relações genealógicas entre professores e discípulos, e às vezes aparece como termo musicológico, tal como “Clássico” ou “</w:t>
      </w:r>
      <w:proofErr w:type="gramStart"/>
      <w:r>
        <w:rPr>
          <w:sz w:val="20"/>
          <w:szCs w:val="20"/>
        </w:rPr>
        <w:t>Romântico”-</w:t>
      </w:r>
      <w:proofErr w:type="gramEnd"/>
      <w:r>
        <w:rPr>
          <w:sz w:val="20"/>
          <w:szCs w:val="20"/>
        </w:rPr>
        <w:t xml:space="preserve"> uma forma de generalizar parâmetros cronológicos e característicos. Na prática violinística o termo foi usado em vários níveis de eficácia, e a necessidade de utilizá-lo e examiná-lo de forma crítica (ou ao menos definir seu uso) é, obviamente, relevante e importante (MILSOM, 2013, p. 1).</w:t>
      </w:r>
    </w:p>
    <w:p w14:paraId="5C1FBC55" w14:textId="77777777" w:rsidR="001F49FD" w:rsidRDefault="001F49FD">
      <w:pPr>
        <w:pStyle w:val="Primeirorecuodecorpodetexto2"/>
        <w:ind w:left="0" w:firstLine="0"/>
        <w:rPr>
          <w:sz w:val="20"/>
          <w:szCs w:val="20"/>
        </w:rPr>
      </w:pPr>
    </w:p>
    <w:p w14:paraId="4888F5C0" w14:textId="77777777" w:rsidR="001F49FD" w:rsidRDefault="00611419" w:rsidP="00865328">
      <w:pPr>
        <w:pStyle w:val="Recuodecorpodetexto"/>
        <w:ind w:firstLine="709"/>
      </w:pPr>
      <w:r>
        <w:t>Acertada ou equivocadamente, a ideia de Escola na prática violinística contribuiu para o estabelecimento de paradigmas técnicos e estilísticos, com implicações diretas na transmissão do conhecimento. Para a presente pesquisa sobre elementos técnicos, esse conceito também norteou a seleção dos métodos do século XIX: as quatro obras selecionadas foram escritas por violinistas considerados historicamente fundamentais para o surgimento de três Escolas de violino do século XIX: a Francesa, a Germânica e a Franco-belga.</w:t>
      </w:r>
    </w:p>
    <w:p w14:paraId="49489DAB" w14:textId="77777777" w:rsidR="001F49FD" w:rsidRDefault="00611419" w:rsidP="00865328">
      <w:pPr>
        <w:pStyle w:val="Recuodecorpodetexto"/>
        <w:ind w:firstLine="709"/>
        <w:rPr>
          <w:b/>
        </w:rPr>
      </w:pPr>
      <w:r>
        <w:t>A elaboração desses métodos advém do esforço de organização e elucidação dos aspectos relativos à prática do instrumento por parte de violinistas atuantes artisticamente e comprometidos com o ensino e aprendizagem. O conteúdo da maior parte dessas obras é diverso e abrangente, pois os autores – ainda que empenhados em transmitir seus preceitos técnicos – discorrem amplamente sobre estilo musical, sobre a posição social do músico em seu tempo e tecem comentários sobre compositores e obras de épocas precedentes e contemporâneas. Por fim, somadas à afirmação de conceitos técnicos específicos e ao conteúdo histórico, social e artístico, as obras contêm ainda um vasto material didático-musical. Dessas três valiosas fontes de informação contidas em cada obra – a concepção da técnica instrumental; as considerações estilísticas, musicais e sociais; o material didático – é a primeira que será utilizada ao longo de nosso trabalho.</w:t>
      </w:r>
    </w:p>
    <w:p w14:paraId="01D57793" w14:textId="77777777" w:rsidR="001F49FD" w:rsidRDefault="00611419" w:rsidP="00865328">
      <w:pPr>
        <w:pStyle w:val="Recuodecorpodetexto"/>
        <w:tabs>
          <w:tab w:val="left" w:pos="1092"/>
        </w:tabs>
        <w:ind w:firstLine="709"/>
      </w:pPr>
      <w:r>
        <w:t xml:space="preserve">Cada uma das fontes literárias contém uma organização singular, sendo necessário detectar e selecionar os pontos concernentes à pesquisa. Aqui, a apresentação dos temas estabelecidos pelos autores preserva a nomenclatura original dos tópicos e dos termos, mesmo que esses possuam ambiguidades ou incongruências. Nesse objetivo de transmitir o pensamento dos autores, os preceitos técnicos selecionados são elencados majoritariamente </w:t>
      </w:r>
      <w:r>
        <w:lastRenderedPageBreak/>
        <w:t xml:space="preserve">em forma de citação e traduzidos de forma literal (tradução do autor) sem adaptações ou modernizações do vocabulário técnico. </w:t>
      </w:r>
    </w:p>
    <w:p w14:paraId="7558FCB2" w14:textId="77777777" w:rsidR="001F49FD" w:rsidRDefault="00611419" w:rsidP="0052458F">
      <w:pPr>
        <w:pStyle w:val="Ttulo2"/>
      </w:pPr>
      <w:bookmarkStart w:id="18" w:name="_Toc219359019"/>
      <w:r>
        <w:t>1</w:t>
      </w:r>
      <w:bookmarkStart w:id="19" w:name="_Toc484195681"/>
      <w:bookmarkStart w:id="20" w:name="_Toc522439226"/>
      <w:bookmarkStart w:id="21" w:name="_Toc14331017"/>
      <w:r>
        <w:t xml:space="preserve">.1    </w:t>
      </w: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t xml:space="preserve"> de Pierre </w:t>
      </w:r>
      <w:proofErr w:type="spellStart"/>
      <w:r>
        <w:t>Baillot</w:t>
      </w:r>
      <w:proofErr w:type="spellEnd"/>
      <w:r>
        <w:t xml:space="preserve"> e a consolidação do conceito de Escola de violino</w:t>
      </w:r>
      <w:bookmarkEnd w:id="18"/>
      <w:bookmarkEnd w:id="19"/>
      <w:bookmarkEnd w:id="20"/>
      <w:bookmarkEnd w:id="21"/>
    </w:p>
    <w:p w14:paraId="71E31EA4" w14:textId="77777777" w:rsidR="001F49FD" w:rsidRDefault="00611419" w:rsidP="00865328">
      <w:pPr>
        <w:pStyle w:val="Recuodecorpodetexto"/>
        <w:ind w:firstLine="709"/>
      </w:pPr>
      <w:r>
        <w:t xml:space="preserve">Ao longo do século XVIII, certos violinistas-compositores italianos desfrutavam de uma notoriedade que os levava a atuar fora dos diversos reinos da Península Itálica, tais como Francesco Maria </w:t>
      </w:r>
      <w:proofErr w:type="spellStart"/>
      <w:r>
        <w:t>Veracini</w:t>
      </w:r>
      <w:proofErr w:type="spellEnd"/>
      <w:r>
        <w:t xml:space="preserve"> (1690-1768) e Francesco </w:t>
      </w:r>
      <w:proofErr w:type="spellStart"/>
      <w:r>
        <w:t>Geminani</w:t>
      </w:r>
      <w:proofErr w:type="spellEnd"/>
      <w:r>
        <w:t xml:space="preserve">, em Londres, Giuseppe </w:t>
      </w:r>
      <w:proofErr w:type="spellStart"/>
      <w:r>
        <w:t>Tartini</w:t>
      </w:r>
      <w:proofErr w:type="spellEnd"/>
      <w:r>
        <w:t xml:space="preserve"> (1692-1770), em Praga, e Gaetano </w:t>
      </w:r>
      <w:proofErr w:type="spellStart"/>
      <w:r>
        <w:t>Pugnani</w:t>
      </w:r>
      <w:proofErr w:type="spellEnd"/>
      <w:r>
        <w:t xml:space="preserve"> (1731-1798), em Paris. No entanto, nenhum dentre esses foi tão determinante para a prática do violino na França quanto Giovanni Battista Viotti.</w:t>
      </w:r>
    </w:p>
    <w:p w14:paraId="12D9F003" w14:textId="53E51CD8" w:rsidR="00865328" w:rsidRDefault="00611419" w:rsidP="00865328">
      <w:pPr>
        <w:pStyle w:val="Recuodecorpodetexto"/>
        <w:ind w:firstLine="709"/>
      </w:pPr>
      <w:r>
        <w:t>Viotti residiu em Paris entre os anos de 1782 e 1792,</w:t>
      </w:r>
      <w:r>
        <w:rPr>
          <w:rStyle w:val="Refdenotaderodap"/>
          <w:rFonts w:cs="Times New Roman"/>
          <w:szCs w:val="24"/>
        </w:rPr>
        <w:footnoteReference w:id="7"/>
      </w:r>
      <w:r>
        <w:t xml:space="preserve"> desempenhando um papel decisivo no meio musical da França, não apenas por sua atuação como concertista, mas principalmente por ter sido o grande mentor de três violinistas franceses: Pierre </w:t>
      </w:r>
      <w:proofErr w:type="spellStart"/>
      <w:r>
        <w:t>Baillot</w:t>
      </w:r>
      <w:proofErr w:type="spellEnd"/>
      <w:r>
        <w:t xml:space="preserve"> (1771-1842), </w:t>
      </w:r>
      <w:proofErr w:type="spellStart"/>
      <w:r>
        <w:t>Rodolph</w:t>
      </w:r>
      <w:proofErr w:type="spellEnd"/>
      <w:r>
        <w:t xml:space="preserve"> </w:t>
      </w:r>
      <w:proofErr w:type="spellStart"/>
      <w:r>
        <w:t>Kreuzter</w:t>
      </w:r>
      <w:proofErr w:type="spellEnd"/>
      <w:r>
        <w:t xml:space="preserve"> (1766-1831), e Pierre Rode (1774-1830), seu aluno mais assíduo. Sob a aura de Viotti, esses violinistas compunham o quadro de professores do Conservatório de Paris desde o ano de sua fundação, em 1795, e a qualidade de suas atividades artísticas e pedagógicas fez ecoar nos países vizinhos a ideia de uma Escola Francesa de violino:</w:t>
      </w:r>
    </w:p>
    <w:p w14:paraId="0507CBD2" w14:textId="5A37FBDA" w:rsidR="001F49FD" w:rsidRDefault="00611419">
      <w:pPr>
        <w:pStyle w:val="Primeirorecuodecorpodetexto2"/>
        <w:spacing w:line="240" w:lineRule="auto"/>
        <w:ind w:left="2268" w:firstLine="0"/>
        <w:rPr>
          <w:sz w:val="20"/>
          <w:szCs w:val="20"/>
        </w:rPr>
      </w:pPr>
      <w:r>
        <w:rPr>
          <w:sz w:val="20"/>
          <w:szCs w:val="20"/>
        </w:rPr>
        <w:t xml:space="preserve">Por volta de 1825, G. C. F. </w:t>
      </w:r>
      <w:proofErr w:type="spellStart"/>
      <w:r>
        <w:rPr>
          <w:sz w:val="20"/>
          <w:szCs w:val="20"/>
        </w:rPr>
        <w:t>Lobedanz</w:t>
      </w:r>
      <w:proofErr w:type="spellEnd"/>
      <w:r>
        <w:rPr>
          <w:sz w:val="20"/>
          <w:szCs w:val="20"/>
        </w:rPr>
        <w:t>, ao discutir a possibilidade de haver escolas na música tal como eram observadas nas pinturas, afirmou que a pré-condição para a sua existência era que seus fundadores tenham “desenvolvido um estilo ainda desconhecido e que tenha sido reconhecido como um modelo pelas maiores autoridades de seu tempo’’ (no artigo: ‘</w:t>
      </w:r>
      <w:proofErr w:type="spellStart"/>
      <w:r>
        <w:rPr>
          <w:sz w:val="20"/>
          <w:szCs w:val="20"/>
        </w:rPr>
        <w:t>Gibt</w:t>
      </w:r>
      <w:proofErr w:type="spellEnd"/>
      <w:r>
        <w:rPr>
          <w:sz w:val="20"/>
          <w:szCs w:val="20"/>
        </w:rPr>
        <w:t xml:space="preserve"> es in der Musik, </w:t>
      </w:r>
      <w:proofErr w:type="spellStart"/>
      <w:r>
        <w:rPr>
          <w:sz w:val="20"/>
          <w:szCs w:val="20"/>
        </w:rPr>
        <w:t>wie</w:t>
      </w:r>
      <w:proofErr w:type="spellEnd"/>
      <w:r>
        <w:rPr>
          <w:sz w:val="20"/>
          <w:szCs w:val="20"/>
        </w:rPr>
        <w:t xml:space="preserve"> in der </w:t>
      </w:r>
      <w:proofErr w:type="spellStart"/>
      <w:r>
        <w:rPr>
          <w:sz w:val="20"/>
          <w:szCs w:val="20"/>
        </w:rPr>
        <w:t>Malerey</w:t>
      </w:r>
      <w:proofErr w:type="spellEnd"/>
      <w:r>
        <w:rPr>
          <w:sz w:val="20"/>
          <w:szCs w:val="20"/>
        </w:rPr>
        <w:t xml:space="preserve">, </w:t>
      </w:r>
      <w:proofErr w:type="spellStart"/>
      <w:r>
        <w:rPr>
          <w:sz w:val="20"/>
          <w:szCs w:val="20"/>
        </w:rPr>
        <w:t>verschiedene</w:t>
      </w:r>
      <w:proofErr w:type="spellEnd"/>
      <w:r>
        <w:rPr>
          <w:sz w:val="20"/>
          <w:szCs w:val="20"/>
        </w:rPr>
        <w:t xml:space="preserve"> </w:t>
      </w:r>
      <w:proofErr w:type="spellStart"/>
      <w:r>
        <w:rPr>
          <w:sz w:val="20"/>
          <w:szCs w:val="20"/>
        </w:rPr>
        <w:t>Schulen</w:t>
      </w:r>
      <w:proofErr w:type="spellEnd"/>
      <w:r>
        <w:rPr>
          <w:sz w:val="20"/>
          <w:szCs w:val="20"/>
        </w:rPr>
        <w:t xml:space="preserve">, </w:t>
      </w:r>
      <w:proofErr w:type="spellStart"/>
      <w:r>
        <w:rPr>
          <w:sz w:val="20"/>
          <w:szCs w:val="20"/>
        </w:rPr>
        <w:t>und</w:t>
      </w:r>
      <w:proofErr w:type="spellEnd"/>
      <w:r>
        <w:rPr>
          <w:sz w:val="20"/>
          <w:szCs w:val="20"/>
        </w:rPr>
        <w:t xml:space="preserve"> </w:t>
      </w:r>
      <w:proofErr w:type="spellStart"/>
      <w:r>
        <w:rPr>
          <w:sz w:val="20"/>
          <w:szCs w:val="20"/>
        </w:rPr>
        <w:t>wie</w:t>
      </w:r>
      <w:proofErr w:type="spellEnd"/>
      <w:r>
        <w:rPr>
          <w:sz w:val="20"/>
          <w:szCs w:val="20"/>
        </w:rPr>
        <w:t xml:space="preserve"> </w:t>
      </w:r>
      <w:proofErr w:type="spellStart"/>
      <w:r>
        <w:rPr>
          <w:sz w:val="20"/>
          <w:szCs w:val="20"/>
        </w:rPr>
        <w:t>wären</w:t>
      </w:r>
      <w:proofErr w:type="spellEnd"/>
      <w:r>
        <w:rPr>
          <w:sz w:val="20"/>
          <w:szCs w:val="20"/>
        </w:rPr>
        <w:t xml:space="preserve"> </w:t>
      </w:r>
      <w:proofErr w:type="spellStart"/>
      <w:r>
        <w:rPr>
          <w:sz w:val="20"/>
          <w:szCs w:val="20"/>
        </w:rPr>
        <w:t>solche</w:t>
      </w:r>
      <w:proofErr w:type="spellEnd"/>
      <w:r>
        <w:rPr>
          <w:sz w:val="20"/>
          <w:szCs w:val="20"/>
        </w:rPr>
        <w:t xml:space="preserve"> </w:t>
      </w:r>
      <w:proofErr w:type="spellStart"/>
      <w:r>
        <w:rPr>
          <w:sz w:val="20"/>
          <w:szCs w:val="20"/>
        </w:rPr>
        <w:t>wohl</w:t>
      </w:r>
      <w:proofErr w:type="spellEnd"/>
      <w:r>
        <w:rPr>
          <w:sz w:val="20"/>
          <w:szCs w:val="20"/>
        </w:rPr>
        <w:t xml:space="preserve"> </w:t>
      </w:r>
      <w:proofErr w:type="spellStart"/>
      <w:r>
        <w:rPr>
          <w:sz w:val="20"/>
          <w:szCs w:val="20"/>
        </w:rPr>
        <w:t>zu</w:t>
      </w:r>
      <w:proofErr w:type="spellEnd"/>
      <w:r>
        <w:rPr>
          <w:sz w:val="20"/>
          <w:szCs w:val="20"/>
        </w:rPr>
        <w:t xml:space="preserve"> </w:t>
      </w:r>
      <w:proofErr w:type="spellStart"/>
      <w:r>
        <w:rPr>
          <w:sz w:val="20"/>
          <w:szCs w:val="20"/>
        </w:rPr>
        <w:t>bestimmen</w:t>
      </w:r>
      <w:proofErr w:type="spellEnd"/>
      <w:r>
        <w:rPr>
          <w:sz w:val="20"/>
          <w:szCs w:val="20"/>
        </w:rPr>
        <w:t>?’</w:t>
      </w:r>
      <w:r w:rsidR="00865328">
        <w:rPr>
          <w:sz w:val="20"/>
          <w:szCs w:val="20"/>
        </w:rPr>
        <w:t xml:space="preserve"> </w:t>
      </w:r>
      <w:proofErr w:type="spellStart"/>
      <w:r>
        <w:rPr>
          <w:i/>
          <w:iCs/>
          <w:sz w:val="20"/>
          <w:szCs w:val="20"/>
        </w:rPr>
        <w:t>Cäcilia</w:t>
      </w:r>
      <w:proofErr w:type="spellEnd"/>
      <w:r>
        <w:rPr>
          <w:sz w:val="20"/>
          <w:szCs w:val="20"/>
        </w:rPr>
        <w:t xml:space="preserve">, 2 (1825), p. 265). Sobre a prática do violino, ele observou que a “Escola Francesa, fundada por Viotti, Rode e </w:t>
      </w:r>
      <w:proofErr w:type="spellStart"/>
      <w:r>
        <w:rPr>
          <w:sz w:val="20"/>
          <w:szCs w:val="20"/>
        </w:rPr>
        <w:t>Kreutzer</w:t>
      </w:r>
      <w:proofErr w:type="spellEnd"/>
      <w:r>
        <w:rPr>
          <w:sz w:val="20"/>
          <w:szCs w:val="20"/>
        </w:rPr>
        <w:t>” foi adotada praticamente por todos os violinistas virtuosos contemporâneos (B</w:t>
      </w:r>
      <w:r w:rsidR="00F46AEE">
        <w:rPr>
          <w:sz w:val="20"/>
          <w:szCs w:val="20"/>
        </w:rPr>
        <w:t>rown</w:t>
      </w:r>
      <w:r>
        <w:rPr>
          <w:sz w:val="20"/>
          <w:szCs w:val="20"/>
        </w:rPr>
        <w:t xml:space="preserve">, 2013, p. 1). </w:t>
      </w:r>
    </w:p>
    <w:p w14:paraId="1722FD46" w14:textId="77777777" w:rsidR="001F49FD" w:rsidRDefault="001F49FD" w:rsidP="00865328">
      <w:pPr>
        <w:pStyle w:val="Primeirorecuodecorpodetexto2"/>
        <w:ind w:left="0" w:firstLine="0"/>
        <w:rPr>
          <w:sz w:val="20"/>
          <w:szCs w:val="20"/>
        </w:rPr>
      </w:pPr>
    </w:p>
    <w:p w14:paraId="345B32EF" w14:textId="2148CD67" w:rsidR="001F49FD" w:rsidRDefault="00611419" w:rsidP="00865328">
      <w:pPr>
        <w:ind w:firstLine="709"/>
        <w:rPr>
          <w:rFonts w:ascii="Times New Roman" w:hAnsi="Times New Roman" w:cs="Times New Roman"/>
          <w:color w:val="FF0000"/>
          <w:szCs w:val="24"/>
        </w:rPr>
      </w:pPr>
      <w:r>
        <w:rPr>
          <w:rFonts w:cs="Times New Roman"/>
          <w:szCs w:val="24"/>
        </w:rPr>
        <w:t xml:space="preserve">Em 1801, sob encomenda da instituição, </w:t>
      </w:r>
      <w:proofErr w:type="spellStart"/>
      <w:r>
        <w:rPr>
          <w:rFonts w:cs="Times New Roman"/>
          <w:szCs w:val="24"/>
        </w:rPr>
        <w:t>Kreutzer</w:t>
      </w:r>
      <w:proofErr w:type="spellEnd"/>
      <w:r>
        <w:rPr>
          <w:rFonts w:cs="Times New Roman"/>
          <w:szCs w:val="24"/>
        </w:rPr>
        <w:t xml:space="preserve">, </w:t>
      </w:r>
      <w:proofErr w:type="spellStart"/>
      <w:r>
        <w:rPr>
          <w:rFonts w:cs="Times New Roman"/>
          <w:szCs w:val="24"/>
        </w:rPr>
        <w:t>Baillot</w:t>
      </w:r>
      <w:proofErr w:type="spellEnd"/>
      <w:r>
        <w:rPr>
          <w:rFonts w:cs="Times New Roman"/>
          <w:szCs w:val="24"/>
        </w:rPr>
        <w:t xml:space="preserve"> e Rode escreveram o </w:t>
      </w:r>
      <w:r>
        <w:rPr>
          <w:rFonts w:cs="Times New Roman"/>
          <w:i/>
          <w:szCs w:val="24"/>
        </w:rPr>
        <w:t>Método de violino</w:t>
      </w:r>
      <w:r>
        <w:rPr>
          <w:rFonts w:cs="Times New Roman"/>
          <w:szCs w:val="24"/>
        </w:rPr>
        <w:t xml:space="preserve"> (</w:t>
      </w:r>
      <w:proofErr w:type="spellStart"/>
      <w:r>
        <w:rPr>
          <w:rFonts w:cs="Times New Roman"/>
          <w:szCs w:val="24"/>
        </w:rPr>
        <w:t>K</w:t>
      </w:r>
      <w:r w:rsidR="00E00EAB">
        <w:rPr>
          <w:rFonts w:cs="Times New Roman"/>
          <w:szCs w:val="24"/>
        </w:rPr>
        <w:t>reutzer</w:t>
      </w:r>
      <w:proofErr w:type="spellEnd"/>
      <w:r>
        <w:rPr>
          <w:rFonts w:cs="Times New Roman"/>
          <w:szCs w:val="24"/>
        </w:rPr>
        <w:t xml:space="preserve">; </w:t>
      </w:r>
      <w:proofErr w:type="spellStart"/>
      <w:r>
        <w:rPr>
          <w:rFonts w:cs="Times New Roman"/>
          <w:szCs w:val="24"/>
        </w:rPr>
        <w:t>B</w:t>
      </w:r>
      <w:r w:rsidR="00E00EAB">
        <w:rPr>
          <w:rFonts w:cs="Times New Roman"/>
          <w:szCs w:val="24"/>
        </w:rPr>
        <w:t>aillot</w:t>
      </w:r>
      <w:proofErr w:type="spellEnd"/>
      <w:r>
        <w:rPr>
          <w:rFonts w:cs="Times New Roman"/>
          <w:szCs w:val="24"/>
        </w:rPr>
        <w:t xml:space="preserve">; </w:t>
      </w:r>
      <w:proofErr w:type="gramStart"/>
      <w:r>
        <w:rPr>
          <w:rFonts w:cs="Times New Roman"/>
          <w:szCs w:val="24"/>
        </w:rPr>
        <w:t>R</w:t>
      </w:r>
      <w:r w:rsidR="00E00EAB">
        <w:rPr>
          <w:rFonts w:cs="Times New Roman"/>
          <w:szCs w:val="24"/>
        </w:rPr>
        <w:t>ode</w:t>
      </w:r>
      <w:proofErr w:type="gramEnd"/>
      <w:r>
        <w:rPr>
          <w:rFonts w:cs="Times New Roman"/>
          <w:szCs w:val="24"/>
        </w:rPr>
        <w:t>, 1803), cujo objetivo era estabelecer os princípios de sua instrução violinística. Por sua ligação intrínseca com a recente fundação do Conservatório de Paris, é possível afirmar que essa obra lançou as bases da Escola Francesa,</w:t>
      </w:r>
      <w:r>
        <w:rPr>
          <w:rStyle w:val="Refdenotaderodap"/>
          <w:rFonts w:cs="Times New Roman"/>
          <w:szCs w:val="24"/>
        </w:rPr>
        <w:footnoteReference w:id="8"/>
      </w:r>
      <w:r>
        <w:rPr>
          <w:rFonts w:cs="Times New Roman"/>
          <w:szCs w:val="24"/>
        </w:rPr>
        <w:t xml:space="preserve"> e foi determinante para sua ampla influência na </w:t>
      </w:r>
      <w:r w:rsidR="00F46AEE">
        <w:rPr>
          <w:rFonts w:cs="Times New Roman"/>
          <w:szCs w:val="24"/>
        </w:rPr>
        <w:t>h</w:t>
      </w:r>
      <w:r>
        <w:rPr>
          <w:rFonts w:cs="Times New Roman"/>
          <w:szCs w:val="24"/>
        </w:rPr>
        <w:t>istória da prática do violino.</w:t>
      </w:r>
    </w:p>
    <w:p w14:paraId="29BDBFC3" w14:textId="77777777" w:rsidR="001F49FD" w:rsidRDefault="00611419" w:rsidP="00865328">
      <w:pPr>
        <w:pStyle w:val="Recuodecorpodetexto"/>
        <w:ind w:firstLine="709"/>
      </w:pPr>
      <w:r>
        <w:t xml:space="preserve">Nesse método já estão presentes certos conceitos que norteiam a prática violinística da primeira metade do XIX: a importância de uma postura elegante – segundo o ideal da época – </w:t>
      </w:r>
      <w:r>
        <w:lastRenderedPageBreak/>
        <w:t xml:space="preserve">e natural; a estabilização do violino, posicionado entre o queixo e a clavícula; a busca de total liberdade do arco, através da ação da mão, do punho e do antebraço para arcadas lentas e vivas. </w:t>
      </w:r>
    </w:p>
    <w:p w14:paraId="6F725382" w14:textId="0B552C5B" w:rsidR="001F49FD" w:rsidRDefault="00611419" w:rsidP="00144078">
      <w:pPr>
        <w:pStyle w:val="Recuodecorpodetexto"/>
        <w:ind w:left="283" w:firstLine="426"/>
      </w:pPr>
      <w:r>
        <w:t xml:space="preserve">Trinta anos mais tarde, Pierre </w:t>
      </w:r>
      <w:proofErr w:type="spellStart"/>
      <w:r>
        <w:t>Baillot</w:t>
      </w:r>
      <w:proofErr w:type="spellEnd"/>
      <w:r>
        <w:t xml:space="preserve"> escreve o tratado </w:t>
      </w: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rPr>
          <w:rStyle w:val="Refdenotaderodap"/>
        </w:rPr>
        <w:footnoteReference w:id="9"/>
      </w:r>
      <w:r>
        <w:t xml:space="preserve"> (</w:t>
      </w:r>
      <w:proofErr w:type="spellStart"/>
      <w:r>
        <w:t>B</w:t>
      </w:r>
      <w:r w:rsidR="004F43E7">
        <w:t>aillot</w:t>
      </w:r>
      <w:proofErr w:type="spellEnd"/>
      <w:r>
        <w:t>, 1835), cujo texto introdutório justifica a necessidade de aprimoramento do primeiro método:</w:t>
      </w:r>
    </w:p>
    <w:p w14:paraId="0FFAA0DC" w14:textId="6D4AD6E7" w:rsidR="001F49FD" w:rsidRDefault="00611419">
      <w:pPr>
        <w:pStyle w:val="Primeirorecuodecorpodetexto2"/>
        <w:tabs>
          <w:tab w:val="left" w:pos="1134"/>
        </w:tabs>
        <w:spacing w:line="240" w:lineRule="auto"/>
        <w:ind w:left="2268" w:firstLine="0"/>
        <w:rPr>
          <w:sz w:val="20"/>
          <w:szCs w:val="20"/>
        </w:rPr>
      </w:pPr>
      <w:r>
        <w:rPr>
          <w:sz w:val="20"/>
          <w:szCs w:val="20"/>
        </w:rPr>
        <w:t xml:space="preserve">Quando nós fomos incumbidos, há mais de trinta anos, de estabelecer as bases do ensino do violino no Conservatório de música, nós não tínhamos adquirido previamente nenhum conhecimento adequado sobre a arte de estudar esse instrumento; nossa instrução não havia ido além de certas noções vagas e de algumas tradições incompletas: foi necessário vagar ou tatear durante anos para encontrarmos alguns dos procedimentos dos segredos da arte. Apoiados em nossos estudos pessoais, nós pesquisamos as principais obras elementares; nós deveríamos, sem dúvida, ter começado por elas, mas nos faltavam condições favoráveis: essas obras eram escassas, e foram elaboradas em uma época muito remota para que pudessem contribuir para superar as novas dificuldades e fornecer a flexibilidade de recursos cada vez mais necessária nas composições modernas [...]. Fomos convidados a complementar tal lacuna, publicando o resultado de nossas próprias descobertas. Nosso amor pela arte nos rendeu um dever, hoje ele nos obriga a tirar proveito das lições da experiência para refazer esse primeiro método, cuja revisão, ao fim de certo período, havia sido considerada necessária e havia sido decidida desde sua adoção [...]. Essa obra foi então completamente refeita por nós, ainda que os princípios fundamentais tenham sido conservados. Procuramos completá-los ao tratarmos de </w:t>
      </w:r>
      <w:proofErr w:type="gramStart"/>
      <w:r>
        <w:rPr>
          <w:sz w:val="20"/>
          <w:szCs w:val="20"/>
        </w:rPr>
        <w:t>um grande número de temas novos</w:t>
      </w:r>
      <w:proofErr w:type="gramEnd"/>
      <w:r>
        <w:rPr>
          <w:sz w:val="20"/>
          <w:szCs w:val="20"/>
        </w:rPr>
        <w:t xml:space="preserve"> que, até agora, ao menos de nosso conhecimento, não tinham sido aplicados ao estudo do violino (</w:t>
      </w:r>
      <w:proofErr w:type="spellStart"/>
      <w:r w:rsidR="004F43E7">
        <w:rPr>
          <w:sz w:val="20"/>
          <w:szCs w:val="20"/>
        </w:rPr>
        <w:t>Baillot</w:t>
      </w:r>
      <w:proofErr w:type="spellEnd"/>
      <w:r>
        <w:rPr>
          <w:sz w:val="20"/>
          <w:szCs w:val="20"/>
        </w:rPr>
        <w:t>, 1835, p. 2)</w:t>
      </w:r>
    </w:p>
    <w:p w14:paraId="1CF9CA80" w14:textId="77777777" w:rsidR="001F49FD" w:rsidRDefault="001F49FD">
      <w:pPr>
        <w:pStyle w:val="Primeirorecuodecorpodetexto2"/>
        <w:tabs>
          <w:tab w:val="left" w:pos="1134"/>
        </w:tabs>
        <w:spacing w:line="240" w:lineRule="auto"/>
        <w:ind w:left="2268" w:firstLine="0"/>
        <w:rPr>
          <w:sz w:val="20"/>
          <w:szCs w:val="20"/>
        </w:rPr>
      </w:pPr>
    </w:p>
    <w:p w14:paraId="35DA5B48" w14:textId="77777777" w:rsidR="001F49FD" w:rsidRDefault="00611419" w:rsidP="00144078">
      <w:pPr>
        <w:pStyle w:val="Recuodecorpodetexto"/>
        <w:ind w:firstLine="709"/>
      </w:pPr>
      <w:r>
        <w:t xml:space="preserve">No que tange o material de estudo de nosso trabalho, as duas obras se assemelham na ordenação das ideias e dos tópicos para cada aspecto técnico. No entanto, é possível notar que em </w:t>
      </w: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t xml:space="preserve"> </w:t>
      </w:r>
      <w:proofErr w:type="spellStart"/>
      <w:r>
        <w:t>Baillot</w:t>
      </w:r>
      <w:proofErr w:type="spellEnd"/>
      <w:r>
        <w:t xml:space="preserve"> busca uma maior exatidão nos princípios estabelecidos, a exemplo dos pontos de contato dos dedos polegar e indicador no braço do violino: </w:t>
      </w:r>
    </w:p>
    <w:p w14:paraId="14EC9746" w14:textId="7D222E2C" w:rsidR="001F49FD" w:rsidRDefault="00611419" w:rsidP="00144078">
      <w:pPr>
        <w:pStyle w:val="Recuodecorpodetexto"/>
        <w:ind w:firstLine="709"/>
      </w:pPr>
      <w:r>
        <w:rPr>
          <w:szCs w:val="24"/>
        </w:rPr>
        <w:t>Em</w:t>
      </w:r>
      <w:r>
        <w:rPr>
          <w:i/>
          <w:szCs w:val="24"/>
        </w:rPr>
        <w:t xml:space="preserve"> Método de violino</w:t>
      </w:r>
      <w:r>
        <w:rPr>
          <w:szCs w:val="24"/>
        </w:rPr>
        <w:t>:</w:t>
      </w:r>
      <w:r>
        <w:rPr>
          <w:i/>
          <w:szCs w:val="24"/>
        </w:rPr>
        <w:t xml:space="preserve"> </w:t>
      </w:r>
      <w:r>
        <w:rPr>
          <w:szCs w:val="24"/>
        </w:rPr>
        <w:t xml:space="preserve">“A parte inferior da articulação do dedo polegar e a terceira articulação do dedo indicador devem sustentar o violino” </w:t>
      </w:r>
      <w:r>
        <w:rPr>
          <w:rFonts w:cs="Times New Roman"/>
          <w:szCs w:val="24"/>
        </w:rPr>
        <w:t>(</w:t>
      </w:r>
      <w:proofErr w:type="spellStart"/>
      <w:r w:rsidR="004F43E7">
        <w:rPr>
          <w:rFonts w:cs="Times New Roman"/>
          <w:szCs w:val="24"/>
        </w:rPr>
        <w:t>Kreutzer</w:t>
      </w:r>
      <w:proofErr w:type="spellEnd"/>
      <w:r>
        <w:rPr>
          <w:rFonts w:cs="Times New Roman"/>
          <w:szCs w:val="24"/>
        </w:rPr>
        <w:t xml:space="preserve">; </w:t>
      </w:r>
      <w:proofErr w:type="spellStart"/>
      <w:r w:rsidR="004F43E7">
        <w:rPr>
          <w:rFonts w:cs="Times New Roman"/>
          <w:szCs w:val="24"/>
        </w:rPr>
        <w:t>Baillot</w:t>
      </w:r>
      <w:proofErr w:type="spellEnd"/>
      <w:r>
        <w:rPr>
          <w:rFonts w:cs="Times New Roman"/>
          <w:szCs w:val="24"/>
        </w:rPr>
        <w:t>;</w:t>
      </w:r>
      <w:r w:rsidR="00F46AEE">
        <w:rPr>
          <w:rFonts w:cs="Times New Roman"/>
          <w:szCs w:val="24"/>
        </w:rPr>
        <w:t xml:space="preserve"> </w:t>
      </w:r>
      <w:proofErr w:type="gramStart"/>
      <w:r w:rsidR="004F43E7">
        <w:rPr>
          <w:rFonts w:cs="Times New Roman"/>
          <w:szCs w:val="24"/>
        </w:rPr>
        <w:t>Rode</w:t>
      </w:r>
      <w:proofErr w:type="gramEnd"/>
      <w:r>
        <w:rPr>
          <w:rFonts w:cs="Times New Roman"/>
          <w:szCs w:val="24"/>
        </w:rPr>
        <w:t>, 1803, p. 6).</w:t>
      </w:r>
    </w:p>
    <w:p w14:paraId="53742229" w14:textId="7F8F5D05" w:rsidR="001F49FD" w:rsidRDefault="00611419" w:rsidP="00144078">
      <w:pPr>
        <w:pStyle w:val="Recuodecorpodetexto"/>
        <w:ind w:firstLine="709"/>
      </w:pPr>
      <w:r>
        <w:rPr>
          <w:rFonts w:cs="Times New Roman"/>
          <w:szCs w:val="24"/>
        </w:rPr>
        <w:t>Em</w:t>
      </w:r>
      <w:r>
        <w:rPr>
          <w:rFonts w:cs="Times New Roman"/>
          <w:i/>
          <w:szCs w:val="24"/>
        </w:rPr>
        <w:t xml:space="preserve"> </w:t>
      </w:r>
      <w:proofErr w:type="spellStart"/>
      <w:r>
        <w:rPr>
          <w:rFonts w:cs="Times New Roman"/>
          <w:i/>
          <w:szCs w:val="24"/>
        </w:rPr>
        <w:t>L’Art</w:t>
      </w:r>
      <w:proofErr w:type="spellEnd"/>
      <w:r>
        <w:rPr>
          <w:rFonts w:cs="Times New Roman"/>
          <w:i/>
          <w:szCs w:val="24"/>
        </w:rPr>
        <w:t xml:space="preserve"> </w:t>
      </w:r>
      <w:proofErr w:type="spellStart"/>
      <w:r>
        <w:rPr>
          <w:rFonts w:cs="Times New Roman"/>
          <w:i/>
          <w:szCs w:val="24"/>
        </w:rPr>
        <w:t>du</w:t>
      </w:r>
      <w:proofErr w:type="spellEnd"/>
      <w:r>
        <w:rPr>
          <w:rFonts w:cs="Times New Roman"/>
          <w:i/>
          <w:szCs w:val="24"/>
        </w:rPr>
        <w:t xml:space="preserve"> </w:t>
      </w:r>
      <w:proofErr w:type="spellStart"/>
      <w:r>
        <w:rPr>
          <w:rFonts w:cs="Times New Roman"/>
          <w:i/>
          <w:szCs w:val="24"/>
        </w:rPr>
        <w:t>violon</w:t>
      </w:r>
      <w:proofErr w:type="spellEnd"/>
      <w:r>
        <w:rPr>
          <w:rFonts w:cs="Times New Roman"/>
          <w:szCs w:val="24"/>
        </w:rPr>
        <w:t>:</w:t>
      </w:r>
      <w:r>
        <w:rPr>
          <w:rFonts w:cs="Times New Roman"/>
          <w:i/>
          <w:szCs w:val="24"/>
        </w:rPr>
        <w:t xml:space="preserve"> </w:t>
      </w:r>
      <w:r>
        <w:rPr>
          <w:rFonts w:cs="Times New Roman"/>
          <w:szCs w:val="24"/>
        </w:rPr>
        <w:t xml:space="preserve">“Sustentar o violino, sem apertá-lo, entre o centro da </w:t>
      </w:r>
      <w:r>
        <w:t>1</w:t>
      </w:r>
      <w:proofErr w:type="gramStart"/>
      <w:r>
        <w:t>ª</w:t>
      </w:r>
      <w:r>
        <w:rPr>
          <w:rFonts w:cs="Times New Roman"/>
          <w:szCs w:val="24"/>
        </w:rPr>
        <w:t xml:space="preserve">  falange</w:t>
      </w:r>
      <w:proofErr w:type="gramEnd"/>
      <w:r w:rsidR="00F46AEE">
        <w:rPr>
          <w:rFonts w:cs="Times New Roman"/>
          <w:szCs w:val="24"/>
        </w:rPr>
        <w:t xml:space="preserve"> </w:t>
      </w:r>
      <w:r>
        <w:rPr>
          <w:rFonts w:cs="Times New Roman"/>
          <w:szCs w:val="24"/>
        </w:rPr>
        <w:t>[distal]</w:t>
      </w:r>
      <w:r>
        <w:rPr>
          <w:rStyle w:val="Refdenotaderodap"/>
          <w:rFonts w:cs="Times New Roman"/>
          <w:szCs w:val="24"/>
        </w:rPr>
        <w:footnoteReference w:id="10"/>
      </w:r>
      <w:r>
        <w:rPr>
          <w:rFonts w:cs="Times New Roman"/>
          <w:szCs w:val="24"/>
        </w:rPr>
        <w:t xml:space="preserve"> do dedo polegar e o centro da </w:t>
      </w:r>
      <w:r>
        <w:t xml:space="preserve">3ª </w:t>
      </w:r>
      <w:r>
        <w:rPr>
          <w:rFonts w:cs="Times New Roman"/>
          <w:szCs w:val="24"/>
        </w:rPr>
        <w:t xml:space="preserve">falange </w:t>
      </w:r>
      <w:r>
        <w:t>[proximal]</w:t>
      </w:r>
      <w:r>
        <w:rPr>
          <w:rFonts w:cs="Times New Roman"/>
          <w:szCs w:val="24"/>
        </w:rPr>
        <w:t xml:space="preserve"> do dedo indicador” </w:t>
      </w:r>
      <w:r>
        <w:rPr>
          <w:szCs w:val="24"/>
        </w:rPr>
        <w:t>(</w:t>
      </w:r>
      <w:proofErr w:type="spellStart"/>
      <w:r w:rsidR="00F46AEE">
        <w:rPr>
          <w:rFonts w:cs="Times New Roman"/>
          <w:szCs w:val="24"/>
        </w:rPr>
        <w:t>Baillot</w:t>
      </w:r>
      <w:proofErr w:type="spellEnd"/>
      <w:r>
        <w:rPr>
          <w:szCs w:val="24"/>
        </w:rPr>
        <w:t>, 1835, p. 11).</w:t>
      </w:r>
    </w:p>
    <w:p w14:paraId="294F4E8C" w14:textId="5A9D43CF" w:rsidR="001F49FD" w:rsidRDefault="00611419" w:rsidP="00144078">
      <w:pPr>
        <w:pStyle w:val="Recuodecorpodetexto"/>
        <w:ind w:firstLine="709"/>
      </w:pPr>
      <w:r>
        <w:t xml:space="preserve">Ainda em suas observações relativas à nova obra, </w:t>
      </w:r>
      <w:proofErr w:type="spellStart"/>
      <w:r w:rsidR="004F43E7">
        <w:t>Baillot</w:t>
      </w:r>
      <w:proofErr w:type="spellEnd"/>
      <w:r>
        <w:t xml:space="preserve"> menciona os autores dos métodos estudados por ele e seus colegas antes da publicação do</w:t>
      </w:r>
      <w:r>
        <w:rPr>
          <w:i/>
        </w:rPr>
        <w:t xml:space="preserve"> </w:t>
      </w:r>
      <w:r>
        <w:rPr>
          <w:i/>
          <w:szCs w:val="24"/>
        </w:rPr>
        <w:t>Método de violino</w:t>
      </w:r>
      <w:r>
        <w:t xml:space="preserve">: “Geminiani, Correte, </w:t>
      </w:r>
      <w:proofErr w:type="spellStart"/>
      <w:r>
        <w:t>Léopold</w:t>
      </w:r>
      <w:proofErr w:type="spellEnd"/>
      <w:r>
        <w:t xml:space="preserve"> Mozart, Dupont e Abbé </w:t>
      </w:r>
      <w:proofErr w:type="spellStart"/>
      <w:r>
        <w:t>le</w:t>
      </w:r>
      <w:proofErr w:type="spellEnd"/>
      <w:r>
        <w:t xml:space="preserve"> </w:t>
      </w:r>
      <w:proofErr w:type="spellStart"/>
      <w:r>
        <w:t>fils</w:t>
      </w:r>
      <w:proofErr w:type="spellEnd"/>
      <w:r>
        <w:t>” (</w:t>
      </w:r>
      <w:proofErr w:type="spellStart"/>
      <w:r w:rsidR="00F46AEE">
        <w:rPr>
          <w:rFonts w:cs="Times New Roman"/>
          <w:szCs w:val="24"/>
        </w:rPr>
        <w:t>Baillot</w:t>
      </w:r>
      <w:proofErr w:type="spellEnd"/>
      <w:r>
        <w:rPr>
          <w:szCs w:val="24"/>
        </w:rPr>
        <w:t>, 1835, p. 2).</w:t>
      </w:r>
    </w:p>
    <w:p w14:paraId="6285078E" w14:textId="3A568BD0" w:rsidR="001F49FD" w:rsidRDefault="00611419" w:rsidP="00144078">
      <w:pPr>
        <w:pStyle w:val="Recuodecorpodetexto"/>
        <w:ind w:firstLine="709"/>
      </w:pPr>
      <w:r>
        <w:lastRenderedPageBreak/>
        <w:t>Em seguida, cita métodos que surgiram no intervalo de tempo entre</w:t>
      </w:r>
      <w:r>
        <w:rPr>
          <w:i/>
        </w:rPr>
        <w:t xml:space="preserve"> </w:t>
      </w:r>
      <w:r>
        <w:t xml:space="preserve">a publicação de </w:t>
      </w:r>
      <w:r>
        <w:rPr>
          <w:i/>
          <w:szCs w:val="24"/>
        </w:rPr>
        <w:t>Método de violino</w:t>
      </w:r>
      <w:r>
        <w:t xml:space="preserve"> e</w:t>
      </w:r>
      <w:r>
        <w:rPr>
          <w:i/>
        </w:rPr>
        <w:t xml:space="preserve"> </w:t>
      </w:r>
      <w:r>
        <w:t xml:space="preserve">de </w:t>
      </w: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t>: “</w:t>
      </w:r>
      <w:proofErr w:type="spellStart"/>
      <w:r>
        <w:t>Bailleux</w:t>
      </w:r>
      <w:proofErr w:type="spellEnd"/>
      <w:r>
        <w:t xml:space="preserve">, </w:t>
      </w:r>
      <w:proofErr w:type="spellStart"/>
      <w:r>
        <w:t>Bornet</w:t>
      </w:r>
      <w:proofErr w:type="spellEnd"/>
      <w:r>
        <w:t xml:space="preserve">, </w:t>
      </w:r>
      <w:proofErr w:type="spellStart"/>
      <w:r>
        <w:t>Lorenziti</w:t>
      </w:r>
      <w:proofErr w:type="spellEnd"/>
      <w:r>
        <w:t xml:space="preserve">, </w:t>
      </w:r>
      <w:proofErr w:type="spellStart"/>
      <w:r>
        <w:t>Cambini</w:t>
      </w:r>
      <w:proofErr w:type="spellEnd"/>
      <w:r>
        <w:t xml:space="preserve">, </w:t>
      </w:r>
      <w:proofErr w:type="spellStart"/>
      <w:r>
        <w:t>Woldemar</w:t>
      </w:r>
      <w:proofErr w:type="spellEnd"/>
      <w:r>
        <w:rPr>
          <w:rStyle w:val="Refdenotaderodap"/>
        </w:rPr>
        <w:footnoteReference w:id="11"/>
      </w:r>
      <w:r>
        <w:t xml:space="preserve">, J. B. Cartier, Fauré, Pastou, </w:t>
      </w:r>
      <w:proofErr w:type="spellStart"/>
      <w:r>
        <w:t>Guhr</w:t>
      </w:r>
      <w:proofErr w:type="spellEnd"/>
      <w:r>
        <w:t xml:space="preserve"> e </w:t>
      </w:r>
      <w:proofErr w:type="spellStart"/>
      <w:r>
        <w:t>Mazas</w:t>
      </w:r>
      <w:proofErr w:type="spellEnd"/>
      <w:r>
        <w:t>”</w:t>
      </w:r>
      <w:r>
        <w:rPr>
          <w:i/>
        </w:rPr>
        <w:t xml:space="preserve"> </w:t>
      </w:r>
      <w:r>
        <w:t>(</w:t>
      </w:r>
      <w:proofErr w:type="spellStart"/>
      <w:r w:rsidR="00F46AEE">
        <w:rPr>
          <w:rFonts w:cs="Times New Roman"/>
          <w:szCs w:val="24"/>
        </w:rPr>
        <w:t>Baillot</w:t>
      </w:r>
      <w:proofErr w:type="spellEnd"/>
      <w:r>
        <w:rPr>
          <w:szCs w:val="24"/>
        </w:rPr>
        <w:t>, 1835, p. 2).</w:t>
      </w:r>
    </w:p>
    <w:p w14:paraId="247FC35B" w14:textId="424F7322" w:rsidR="001F49FD" w:rsidRDefault="00611419" w:rsidP="00144078">
      <w:pPr>
        <w:ind w:firstLine="709"/>
      </w:pPr>
      <w:r>
        <w:t xml:space="preserve">Ao analisarmos a obra de </w:t>
      </w:r>
      <w:proofErr w:type="spellStart"/>
      <w:r>
        <w:t>Mazas</w:t>
      </w:r>
      <w:proofErr w:type="spellEnd"/>
      <w:r>
        <w:t>,</w:t>
      </w:r>
      <w:r>
        <w:rPr>
          <w:b/>
        </w:rPr>
        <w:t xml:space="preserve"> </w:t>
      </w:r>
      <w:r>
        <w:rPr>
          <w:i/>
        </w:rPr>
        <w:t>Método de violino seguido de um tratado de sons harmônicos em cordas simples e duplas</w:t>
      </w:r>
      <w:r>
        <w:t>,</w:t>
      </w:r>
      <w:r>
        <w:rPr>
          <w:rFonts w:cs="Times New Roman"/>
          <w:szCs w:val="24"/>
        </w:rPr>
        <w:t xml:space="preserve"> que</w:t>
      </w:r>
      <w:r>
        <w:t xml:space="preserve"> precede em poucos anos a publicação de </w:t>
      </w:r>
      <w:proofErr w:type="spellStart"/>
      <w:r>
        <w:rPr>
          <w:i/>
        </w:rPr>
        <w:t>L’Art</w:t>
      </w:r>
      <w:proofErr w:type="spellEnd"/>
      <w:r>
        <w:rPr>
          <w:i/>
        </w:rPr>
        <w:t xml:space="preserve">, </w:t>
      </w:r>
      <w:r>
        <w:t xml:space="preserve">verificamos que as indicações referentes aos aspectos posturais e aos fundamentos da técnica de mão esquerda e de arco apresentam um modelo similar de imagens e de disposição dos tópicos. O registro mais diferenciado se refere à técnica de arco, pois, apesar dos preceitos de </w:t>
      </w:r>
      <w:proofErr w:type="spellStart"/>
      <w:r>
        <w:t>Mazas</w:t>
      </w:r>
      <w:proofErr w:type="spellEnd"/>
      <w:r>
        <w:t xml:space="preserve"> corroborarem o senso comum de que a ação do arco deve se dar apenas através do antebraço, punho e mão, encontramos no tópico </w:t>
      </w:r>
      <w:r>
        <w:rPr>
          <w:b/>
        </w:rPr>
        <w:t>Movimento do arco</w:t>
      </w:r>
      <w:r>
        <w:t xml:space="preserve"> certo reconhecimento da necessidade de mobilização do braço:</w:t>
      </w:r>
      <w:r>
        <w:rPr>
          <w:i/>
        </w:rPr>
        <w:t xml:space="preserve"> </w:t>
      </w:r>
      <w:r>
        <w:t>“O braço deve estar naturalmente mais elevado ao tocar na 4ª e 3ª corda do que sobre a 2ª ou a corda mi: mas sem nenhum movimento do ombro” (</w:t>
      </w:r>
      <w:proofErr w:type="spellStart"/>
      <w:r>
        <w:t>M</w:t>
      </w:r>
      <w:r w:rsidR="00F46AEE">
        <w:t>azas</w:t>
      </w:r>
      <w:proofErr w:type="spellEnd"/>
      <w:r>
        <w:t>, 1830, p. 5).</w:t>
      </w:r>
    </w:p>
    <w:p w14:paraId="54763BB2" w14:textId="10A4CCEA" w:rsidR="001F49FD" w:rsidRDefault="00611419" w:rsidP="00144078">
      <w:pPr>
        <w:ind w:firstLine="709"/>
      </w:pPr>
      <w:r>
        <w:t xml:space="preserve">Cabe ressaltar ainda que, em </w:t>
      </w:r>
      <w:proofErr w:type="spellStart"/>
      <w:r>
        <w:rPr>
          <w:i/>
        </w:rPr>
        <w:t>L’Art</w:t>
      </w:r>
      <w:proofErr w:type="spellEnd"/>
      <w:r>
        <w:rPr>
          <w:i/>
        </w:rPr>
        <w:t xml:space="preserve">, </w:t>
      </w:r>
      <w:proofErr w:type="spellStart"/>
      <w:r w:rsidR="004F43E7">
        <w:t>Baillot</w:t>
      </w:r>
      <w:proofErr w:type="spellEnd"/>
      <w:r>
        <w:t xml:space="preserve"> reproduz fielmente um preceito de </w:t>
      </w:r>
      <w:proofErr w:type="spellStart"/>
      <w:r>
        <w:t>Mazas</w:t>
      </w:r>
      <w:proofErr w:type="spellEnd"/>
      <w:r>
        <w:t>: “O dedo polegar será posicionado a duas ou três linhas do talão” (</w:t>
      </w:r>
      <w:proofErr w:type="spellStart"/>
      <w:r w:rsidR="004F43E7">
        <w:t>Baillot</w:t>
      </w:r>
      <w:proofErr w:type="spellEnd"/>
      <w:r>
        <w:t>, 1835, p. 3), confirmando o seu conhecimento e respeito para com os preceitos desse autor.</w:t>
      </w:r>
    </w:p>
    <w:p w14:paraId="56DCF9FF" w14:textId="320F61CD" w:rsidR="001F49FD" w:rsidRDefault="00611419" w:rsidP="00144078">
      <w:pPr>
        <w:pStyle w:val="Pr-formataoHTML"/>
        <w:shd w:val="clear" w:color="auto" w:fill="FFFFFF"/>
        <w:spacing w:line="360" w:lineRule="auto"/>
        <w:ind w:firstLine="709"/>
        <w:rPr>
          <w:rFonts w:ascii="Times New Roman" w:hAnsi="Times New Roman" w:cs="Times New Roman"/>
          <w:sz w:val="24"/>
          <w:szCs w:val="24"/>
          <w:lang w:val="pt-PT"/>
        </w:rPr>
      </w:pPr>
      <w:r>
        <w:rPr>
          <w:rFonts w:ascii="Times New Roman" w:hAnsi="Times New Roman" w:cs="Times New Roman"/>
          <w:sz w:val="24"/>
          <w:szCs w:val="24"/>
        </w:rPr>
        <w:t xml:space="preserve">O tratado de </w:t>
      </w:r>
      <w:proofErr w:type="spellStart"/>
      <w:r>
        <w:rPr>
          <w:rFonts w:ascii="Times New Roman" w:hAnsi="Times New Roman" w:cs="Times New Roman"/>
          <w:sz w:val="24"/>
          <w:szCs w:val="24"/>
        </w:rPr>
        <w:t>Baillot</w:t>
      </w:r>
      <w:proofErr w:type="spellEnd"/>
      <w:r>
        <w:rPr>
          <w:rFonts w:ascii="Times New Roman" w:hAnsi="Times New Roman" w:cs="Times New Roman"/>
          <w:sz w:val="24"/>
          <w:szCs w:val="24"/>
        </w:rPr>
        <w:t xml:space="preserve"> foi rapidamente reconhecido como uma das primeiras obras a detalhar diversas questões relativas à prática instrumental de seu tempo. Dois anos após sua publicação, o tratado é citado como referência na </w:t>
      </w:r>
      <w:r>
        <w:rPr>
          <w:rFonts w:ascii="Times New Roman" w:hAnsi="Times New Roman" w:cs="Times New Roman"/>
          <w:i/>
          <w:sz w:val="24"/>
          <w:szCs w:val="24"/>
        </w:rPr>
        <w:t xml:space="preserve">Biografia universal dos músicos </w:t>
      </w:r>
      <w:r>
        <w:rPr>
          <w:rFonts w:ascii="Times New Roman" w:hAnsi="Times New Roman" w:cs="Times New Roman"/>
          <w:sz w:val="24"/>
          <w:szCs w:val="24"/>
        </w:rPr>
        <w:t>(</w:t>
      </w:r>
      <w:proofErr w:type="spellStart"/>
      <w:r>
        <w:rPr>
          <w:rFonts w:ascii="Times New Roman" w:hAnsi="Times New Roman" w:cs="Times New Roman"/>
          <w:sz w:val="24"/>
          <w:szCs w:val="24"/>
        </w:rPr>
        <w:t>F</w:t>
      </w:r>
      <w:r w:rsidR="00F46AEE">
        <w:rPr>
          <w:rFonts w:ascii="Times New Roman" w:hAnsi="Times New Roman" w:cs="Times New Roman"/>
          <w:sz w:val="24"/>
          <w:szCs w:val="24"/>
        </w:rPr>
        <w:t>étis</w:t>
      </w:r>
      <w:proofErr w:type="spellEnd"/>
      <w:r>
        <w:rPr>
          <w:rFonts w:ascii="Times New Roman" w:hAnsi="Times New Roman" w:cs="Times New Roman"/>
          <w:sz w:val="24"/>
          <w:szCs w:val="24"/>
        </w:rPr>
        <w:t>, 1835-1844): “Dentre todos os livros básicos escritos sobre a arte de tocar</w:t>
      </w:r>
      <w:r>
        <w:rPr>
          <w:rFonts w:ascii="Times New Roman" w:hAnsi="Times New Roman" w:cs="Times New Roman"/>
          <w:sz w:val="24"/>
          <w:szCs w:val="24"/>
          <w:lang w:val="pt-PT"/>
        </w:rPr>
        <w:t xml:space="preserve"> instrumentos, este é o mais refletido, o melhor escrito, o mais visionário e o mais benéfico” (</w:t>
      </w:r>
      <w:proofErr w:type="spellStart"/>
      <w:r w:rsidR="00F46AEE">
        <w:rPr>
          <w:rFonts w:ascii="Times New Roman" w:hAnsi="Times New Roman" w:cs="Times New Roman"/>
          <w:sz w:val="24"/>
          <w:szCs w:val="24"/>
        </w:rPr>
        <w:t>Fétis</w:t>
      </w:r>
      <w:proofErr w:type="spellEnd"/>
      <w:r>
        <w:rPr>
          <w:rFonts w:ascii="Times New Roman" w:hAnsi="Times New Roman" w:cs="Times New Roman"/>
          <w:sz w:val="24"/>
          <w:szCs w:val="24"/>
          <w:lang w:val="pt-PT"/>
        </w:rPr>
        <w:t>, 1837 apud G</w:t>
      </w:r>
      <w:r w:rsidR="00F46AEE">
        <w:rPr>
          <w:rFonts w:ascii="Times New Roman" w:hAnsi="Times New Roman" w:cs="Times New Roman"/>
          <w:sz w:val="24"/>
          <w:szCs w:val="24"/>
          <w:lang w:val="pt-PT"/>
        </w:rPr>
        <w:t>oldberg</w:t>
      </w:r>
      <w:r>
        <w:rPr>
          <w:rFonts w:ascii="Times New Roman" w:hAnsi="Times New Roman" w:cs="Times New Roman"/>
          <w:sz w:val="24"/>
          <w:szCs w:val="24"/>
          <w:lang w:val="pt-PT"/>
        </w:rPr>
        <w:t>, 1991, p. xxii).</w:t>
      </w:r>
      <w:bookmarkStart w:id="22" w:name="_Toc484182653"/>
      <w:bookmarkStart w:id="23" w:name="_Toc484186954"/>
      <w:bookmarkStart w:id="24" w:name="_Toc484187331"/>
      <w:bookmarkStart w:id="25" w:name="_Toc484190066"/>
      <w:bookmarkStart w:id="26" w:name="_Toc484195682"/>
      <w:bookmarkStart w:id="27" w:name="_Toc484424834"/>
      <w:bookmarkStart w:id="28" w:name="_Toc484425542"/>
      <w:bookmarkStart w:id="29" w:name="_Toc484503078"/>
    </w:p>
    <w:p w14:paraId="766F9FC6" w14:textId="65BF8748" w:rsidR="001F49FD" w:rsidRDefault="00611419" w:rsidP="00144078">
      <w:pPr>
        <w:pStyle w:val="Pr-formataoHTML"/>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Ao longo do tempo, </w:t>
      </w:r>
      <w:proofErr w:type="spellStart"/>
      <w:r>
        <w:rPr>
          <w:rFonts w:ascii="Times New Roman" w:hAnsi="Times New Roman" w:cs="Times New Roman"/>
          <w:i/>
          <w:sz w:val="24"/>
          <w:szCs w:val="24"/>
        </w:rPr>
        <w:t>L’Art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violon</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manteve-se como uma das obras emblemáticas do século XIX, pois grande parte dos estudiosos contemporâneos da </w:t>
      </w:r>
      <w:r w:rsidR="009238A0">
        <w:rPr>
          <w:rFonts w:ascii="Times New Roman" w:hAnsi="Times New Roman" w:cs="Times New Roman"/>
          <w:sz w:val="24"/>
          <w:szCs w:val="24"/>
        </w:rPr>
        <w:t>h</w:t>
      </w:r>
      <w:r>
        <w:rPr>
          <w:rFonts w:ascii="Times New Roman" w:hAnsi="Times New Roman" w:cs="Times New Roman"/>
          <w:sz w:val="24"/>
          <w:szCs w:val="24"/>
        </w:rPr>
        <w:t xml:space="preserve">istória da prática do violino confere-lhe uma autoridade equivalente à atribuída à época pela </w:t>
      </w:r>
      <w:r>
        <w:rPr>
          <w:rFonts w:ascii="Times New Roman" w:hAnsi="Times New Roman" w:cs="Times New Roman"/>
          <w:i/>
          <w:sz w:val="24"/>
          <w:szCs w:val="24"/>
        </w:rPr>
        <w:t>Biografia universal</w:t>
      </w:r>
      <w:r>
        <w:rPr>
          <w:rFonts w:ascii="Times New Roman" w:hAnsi="Times New Roman" w:cs="Times New Roman"/>
          <w:sz w:val="24"/>
          <w:szCs w:val="24"/>
        </w:rPr>
        <w:t xml:space="preserve">, como definido por </w:t>
      </w:r>
      <w:proofErr w:type="spellStart"/>
      <w:r>
        <w:rPr>
          <w:rFonts w:ascii="Times New Roman" w:hAnsi="Times New Roman" w:cs="Times New Roman"/>
          <w:sz w:val="24"/>
          <w:szCs w:val="24"/>
        </w:rPr>
        <w:t>Boyden</w:t>
      </w:r>
      <w:proofErr w:type="spellEnd"/>
      <w:r>
        <w:rPr>
          <w:rFonts w:ascii="Times New Roman" w:hAnsi="Times New Roman" w:cs="Times New Roman"/>
          <w:sz w:val="24"/>
          <w:szCs w:val="24"/>
        </w:rPr>
        <w:t xml:space="preserve"> no </w:t>
      </w:r>
      <w:r>
        <w:rPr>
          <w:rFonts w:ascii="Times New Roman" w:hAnsi="Times New Roman" w:cs="Times New Roman"/>
          <w:i/>
          <w:sz w:val="24"/>
          <w:szCs w:val="24"/>
        </w:rPr>
        <w:t>Novo dicionário Grove de música e músicos</w:t>
      </w:r>
      <w:r>
        <w:rPr>
          <w:rStyle w:val="a-size-extra-large"/>
          <w:rFonts w:ascii="Times New Roman" w:hAnsi="Times New Roman" w:cs="Times New Roman"/>
          <w:sz w:val="24"/>
          <w:szCs w:val="24"/>
        </w:rPr>
        <w:t>: “Talvez o tratado de violino mais influente do século dezenove” (</w:t>
      </w:r>
      <w:proofErr w:type="spellStart"/>
      <w:r>
        <w:rPr>
          <w:rStyle w:val="a-size-extra-large"/>
          <w:rFonts w:ascii="Times New Roman" w:hAnsi="Times New Roman" w:cs="Times New Roman"/>
          <w:sz w:val="24"/>
          <w:szCs w:val="24"/>
        </w:rPr>
        <w:t>B</w:t>
      </w:r>
      <w:r w:rsidR="00F46AEE">
        <w:rPr>
          <w:rStyle w:val="a-size-extra-large"/>
          <w:rFonts w:ascii="Times New Roman" w:hAnsi="Times New Roman" w:cs="Times New Roman"/>
          <w:sz w:val="24"/>
          <w:szCs w:val="24"/>
        </w:rPr>
        <w:t>oyden</w:t>
      </w:r>
      <w:proofErr w:type="spellEnd"/>
      <w:r>
        <w:rPr>
          <w:rStyle w:val="a-size-extra-large"/>
          <w:rFonts w:ascii="Times New Roman" w:hAnsi="Times New Roman" w:cs="Times New Roman"/>
          <w:sz w:val="24"/>
          <w:szCs w:val="24"/>
        </w:rPr>
        <w:t xml:space="preserve">, 1980 apud </w:t>
      </w:r>
      <w:r>
        <w:rPr>
          <w:rFonts w:ascii="Times New Roman" w:hAnsi="Times New Roman" w:cs="Times New Roman"/>
          <w:color w:val="212121"/>
          <w:sz w:val="24"/>
          <w:szCs w:val="24"/>
          <w:lang w:val="pt-PT"/>
        </w:rPr>
        <w:t>G</w:t>
      </w:r>
      <w:r w:rsidR="00F46AEE">
        <w:rPr>
          <w:rFonts w:ascii="Times New Roman" w:hAnsi="Times New Roman" w:cs="Times New Roman"/>
          <w:color w:val="212121"/>
          <w:sz w:val="24"/>
          <w:szCs w:val="24"/>
          <w:lang w:val="pt-PT"/>
        </w:rPr>
        <w:t>oldberg</w:t>
      </w:r>
      <w:r>
        <w:rPr>
          <w:rFonts w:ascii="Times New Roman" w:hAnsi="Times New Roman" w:cs="Times New Roman"/>
          <w:color w:val="212121"/>
          <w:sz w:val="24"/>
          <w:szCs w:val="24"/>
          <w:lang w:val="pt-PT"/>
        </w:rPr>
        <w:t xml:space="preserve">, 1991, </w:t>
      </w:r>
      <w:r>
        <w:rPr>
          <w:rStyle w:val="a-size-extra-large"/>
          <w:rFonts w:ascii="Times New Roman" w:hAnsi="Times New Roman" w:cs="Times New Roman"/>
          <w:sz w:val="24"/>
          <w:szCs w:val="24"/>
        </w:rPr>
        <w:t xml:space="preserve">p. </w:t>
      </w:r>
      <w:proofErr w:type="spellStart"/>
      <w:r>
        <w:rPr>
          <w:rStyle w:val="a-size-extra-large"/>
          <w:rFonts w:ascii="Times New Roman" w:hAnsi="Times New Roman" w:cs="Times New Roman"/>
          <w:sz w:val="24"/>
          <w:szCs w:val="24"/>
        </w:rPr>
        <w:t>xxii</w:t>
      </w:r>
      <w:proofErr w:type="spellEnd"/>
      <w:r>
        <w:rPr>
          <w:rStyle w:val="a-size-extra-large"/>
          <w:rFonts w:ascii="Times New Roman" w:hAnsi="Times New Roman" w:cs="Times New Roman"/>
          <w:sz w:val="24"/>
          <w:szCs w:val="24"/>
        </w:rPr>
        <w:t>).</w:t>
      </w:r>
      <w:bookmarkEnd w:id="22"/>
      <w:bookmarkEnd w:id="23"/>
      <w:bookmarkEnd w:id="24"/>
      <w:bookmarkEnd w:id="25"/>
      <w:bookmarkEnd w:id="26"/>
      <w:bookmarkEnd w:id="27"/>
      <w:bookmarkEnd w:id="28"/>
      <w:bookmarkEnd w:id="29"/>
    </w:p>
    <w:p w14:paraId="33515D9A" w14:textId="7BFB10C8" w:rsidR="001F49FD" w:rsidRDefault="00611419" w:rsidP="00144078">
      <w:pPr>
        <w:pStyle w:val="Recuodecorpodetexto"/>
        <w:ind w:firstLine="709"/>
        <w:rPr>
          <w:rFonts w:ascii="Times New Roman" w:hAnsi="Times New Roman" w:cs="Times New Roman"/>
          <w:szCs w:val="24"/>
        </w:rPr>
      </w:pPr>
      <w:r>
        <w:rPr>
          <w:rFonts w:cs="Times New Roman"/>
          <w:szCs w:val="24"/>
        </w:rPr>
        <w:t xml:space="preserve">Enfim, o surgimento de uma obra de tamanha envergadura – somado ao comprometimento dos três violinistas com o ensino do instrumento em uma predominante instituição de educação musical – consolidou definitivamente a ideia de Escola de violino. A partir da então reconhecida Escola Francesa, esse conceito acompanhou a </w:t>
      </w:r>
      <w:r w:rsidR="009238A0">
        <w:rPr>
          <w:rFonts w:cs="Times New Roman"/>
          <w:szCs w:val="24"/>
        </w:rPr>
        <w:t>h</w:t>
      </w:r>
      <w:r>
        <w:rPr>
          <w:rFonts w:cs="Times New Roman"/>
          <w:szCs w:val="24"/>
        </w:rPr>
        <w:t xml:space="preserve">istória da prática </w:t>
      </w:r>
      <w:r>
        <w:rPr>
          <w:rFonts w:cs="Times New Roman"/>
          <w:szCs w:val="24"/>
        </w:rPr>
        <w:lastRenderedPageBreak/>
        <w:t xml:space="preserve">do instrumento. Os mais importantes violinistas-mestres – muitos com passagem pelo Conservatório de Paris – que exerciam uma significativa atuação em determinada região, passariam a ser considerados fundadores ou pertencentes a uma Escola, para a qual se buscou definir os aspectos estilísticos e técnicos que a caracterizavam.  </w:t>
      </w:r>
    </w:p>
    <w:p w14:paraId="53809B5C" w14:textId="67C85BB5" w:rsidR="001F49FD" w:rsidRDefault="00611419" w:rsidP="0052458F">
      <w:pPr>
        <w:pStyle w:val="Ttulo2"/>
      </w:pPr>
      <w:bookmarkStart w:id="30" w:name="_Toc484195683"/>
      <w:bookmarkStart w:id="31" w:name="_Toc522439227"/>
      <w:bookmarkStart w:id="32" w:name="_Toc14331018"/>
      <w:bookmarkStart w:id="33" w:name="_Toc219359020"/>
      <w:r>
        <w:t xml:space="preserve">Principais preceitos do método de </w:t>
      </w:r>
      <w:proofErr w:type="spellStart"/>
      <w:r>
        <w:t>Baillot</w:t>
      </w:r>
      <w:bookmarkEnd w:id="30"/>
      <w:bookmarkEnd w:id="31"/>
      <w:bookmarkEnd w:id="32"/>
      <w:bookmarkEnd w:id="33"/>
      <w:proofErr w:type="spellEnd"/>
    </w:p>
    <w:p w14:paraId="07D4FE07" w14:textId="77777777" w:rsidR="001F49FD" w:rsidRDefault="00611419">
      <w:pPr>
        <w:pStyle w:val="Recuodecorpodetexto"/>
        <w:tabs>
          <w:tab w:val="left" w:pos="1134"/>
        </w:tabs>
        <w:ind w:firstLine="1134"/>
      </w:pPr>
      <w:proofErr w:type="spellStart"/>
      <w:r>
        <w:rPr>
          <w:i/>
        </w:rPr>
        <w:t>L’Art</w:t>
      </w:r>
      <w:proofErr w:type="spellEnd"/>
      <w:r>
        <w:rPr>
          <w:i/>
        </w:rPr>
        <w:t xml:space="preserve"> </w:t>
      </w:r>
      <w:proofErr w:type="spellStart"/>
      <w:r>
        <w:rPr>
          <w:i/>
        </w:rPr>
        <w:t>du</w:t>
      </w:r>
      <w:proofErr w:type="spellEnd"/>
      <w:r>
        <w:rPr>
          <w:i/>
        </w:rPr>
        <w:t xml:space="preserve"> </w:t>
      </w:r>
      <w:proofErr w:type="spellStart"/>
      <w:r>
        <w:rPr>
          <w:i/>
        </w:rPr>
        <w:t>violon</w:t>
      </w:r>
      <w:proofErr w:type="spellEnd"/>
      <w:r>
        <w:t xml:space="preserve"> contém três partes: uma seção introdutória, onde o autor – além de justificar a necessidade de revisão do método precedente (como citado acima) – discorre brevemente sobre a história do instrumento e de sua prática, e tece considerações gerais sobre a arte musical. Ao fim dessa seção, </w:t>
      </w:r>
      <w:proofErr w:type="spellStart"/>
      <w:r>
        <w:t>Baillot</w:t>
      </w:r>
      <w:proofErr w:type="spellEnd"/>
      <w:r>
        <w:t xml:space="preserve"> apresenta sua metodologia: aplicação dos preceitos técnicos nos exemplos musicais e nos exercícios – estes divididos por temas, como escalas diatônicas e cromáticas, ornamentação e cordas duplas. A seção conclusiva é destinada a questões relacionadas à expressividade do intérprete. Ao fim do tratado, </w:t>
      </w:r>
      <w:proofErr w:type="spellStart"/>
      <w:r>
        <w:t>Baillot</w:t>
      </w:r>
      <w:proofErr w:type="spellEnd"/>
      <w:r>
        <w:t xml:space="preserve"> cataloga os compositores e as obras utilizadas nas classes de violino do Conservatório de Paris.</w:t>
      </w:r>
    </w:p>
    <w:p w14:paraId="112211B6" w14:textId="77777777" w:rsidR="001F49FD" w:rsidRDefault="00611419" w:rsidP="00144078">
      <w:pPr>
        <w:pStyle w:val="Recuodecorpodetexto"/>
        <w:ind w:firstLine="709"/>
      </w:pPr>
      <w:r>
        <w:t xml:space="preserve">Os preceitos do autor sobre postura corporal e sobre as técnicas de mão esquerda e de arco iniciam a parte central, que constitui o cerne da obra. </w:t>
      </w:r>
      <w:proofErr w:type="spellStart"/>
      <w:r>
        <w:t>Baillot</w:t>
      </w:r>
      <w:proofErr w:type="spellEnd"/>
      <w:r>
        <w:t xml:space="preserve"> nomeia a seção de </w:t>
      </w:r>
      <w:r>
        <w:rPr>
          <w:b/>
        </w:rPr>
        <w:t>Princípios do Mecanismo</w:t>
      </w:r>
      <w:r>
        <w:t>.</w:t>
      </w:r>
      <w:r>
        <w:rPr>
          <w:rFonts w:cs="Times New Roman"/>
          <w:szCs w:val="24"/>
        </w:rPr>
        <w:t xml:space="preserve"> </w:t>
      </w:r>
      <w:r>
        <w:t>No primeiro tópico, estabelece os parâmetros posturais para uma correta colocação do violino, dentre os quais o principal é o deslocamento do peso do corpo para a perna esquerda:</w:t>
      </w:r>
    </w:p>
    <w:p w14:paraId="630E2B50" w14:textId="77777777" w:rsidR="001F49FD" w:rsidRDefault="001F49FD">
      <w:pPr>
        <w:pStyle w:val="Referncia"/>
        <w:spacing w:after="0"/>
        <w:rPr>
          <w:b/>
        </w:rPr>
      </w:pPr>
    </w:p>
    <w:p w14:paraId="31A07EBF" w14:textId="77777777" w:rsidR="001F49FD" w:rsidRDefault="00611419">
      <w:pPr>
        <w:pStyle w:val="Referncia"/>
        <w:numPr>
          <w:ilvl w:val="0"/>
          <w:numId w:val="2"/>
        </w:numPr>
        <w:tabs>
          <w:tab w:val="left" w:pos="567"/>
        </w:tabs>
        <w:spacing w:after="0"/>
        <w:ind w:left="1276" w:hanging="142"/>
      </w:pPr>
      <w:r>
        <w:rPr>
          <w:b/>
        </w:rPr>
        <w:t xml:space="preserve">Atitude </w:t>
      </w:r>
    </w:p>
    <w:p w14:paraId="752B2154" w14:textId="77777777" w:rsidR="001F49FD" w:rsidRDefault="00611419">
      <w:pPr>
        <w:pStyle w:val="Referncia"/>
        <w:tabs>
          <w:tab w:val="left" w:pos="567"/>
        </w:tabs>
        <w:spacing w:after="0"/>
        <w:rPr>
          <w:b/>
        </w:rPr>
      </w:pPr>
      <w:r>
        <w:t xml:space="preserve">- “O corpo e a cabeça retos.” </w:t>
      </w:r>
    </w:p>
    <w:p w14:paraId="12AA7959" w14:textId="581219D0" w:rsidR="001F49FD" w:rsidRDefault="00611419">
      <w:pPr>
        <w:pStyle w:val="Recuodecorpodetexto"/>
        <w:tabs>
          <w:tab w:val="left" w:pos="567"/>
        </w:tabs>
        <w:ind w:firstLine="737"/>
      </w:pPr>
      <w:r>
        <w:t xml:space="preserve">  </w:t>
      </w:r>
      <w:r w:rsidR="00144078">
        <w:t xml:space="preserve">   </w:t>
      </w:r>
      <w:r>
        <w:t xml:space="preserve">  - “O peso do corpo repousa sobre a perna esquerda, mas sem que o corpo se incline.”</w:t>
      </w:r>
    </w:p>
    <w:p w14:paraId="30FDF91D" w14:textId="39B684A5" w:rsidR="001F49FD" w:rsidRDefault="00611419">
      <w:pPr>
        <w:pStyle w:val="Recuodecorpodetexto"/>
        <w:tabs>
          <w:tab w:val="left" w:pos="1418"/>
        </w:tabs>
        <w:ind w:firstLine="0"/>
      </w:pPr>
      <w:r>
        <w:t xml:space="preserve">                </w:t>
      </w:r>
      <w:r w:rsidR="00144078">
        <w:t xml:space="preserve">   </w:t>
      </w:r>
      <w:r>
        <w:t>- “O pé direito posiciona-se naturalmente na mesma linha que o pé esquerdo, um pouco voltado para fora.”</w:t>
      </w:r>
    </w:p>
    <w:p w14:paraId="1A4AA6B4" w14:textId="77777777" w:rsidR="001F49FD" w:rsidRDefault="001F49FD">
      <w:pPr>
        <w:pStyle w:val="Recuodecorpodetexto"/>
        <w:ind w:left="283" w:firstLine="1134"/>
      </w:pPr>
    </w:p>
    <w:p w14:paraId="3CEA00B6" w14:textId="77777777" w:rsidR="001F49FD" w:rsidRDefault="00611419" w:rsidP="00144078">
      <w:pPr>
        <w:pStyle w:val="Recuodecorpodetexto"/>
        <w:ind w:firstLine="709"/>
      </w:pPr>
      <w:r>
        <w:t xml:space="preserve">No tópico seguinte, </w:t>
      </w:r>
      <w:proofErr w:type="spellStart"/>
      <w:r>
        <w:t>Baillot</w:t>
      </w:r>
      <w:proofErr w:type="spellEnd"/>
      <w:r>
        <w:t xml:space="preserve"> determina a colocação do instrumento sobre a clavícula e do lado esquerdo do corpo. As duas primeiras orientações – que, devido à obviedade, seriam dispensáveis </w:t>
      </w:r>
      <w:proofErr w:type="gramStart"/>
      <w:r>
        <w:t>nos dias atuais</w:t>
      </w:r>
      <w:proofErr w:type="gramEnd"/>
      <w:r>
        <w:t xml:space="preserve"> – sugerem a etapa embrionária desse tipo de posicionamento. Em seguida, o autor atenta para os efeitos desse recente local de colocação do violino: a inclinação e o direcionamento do instrumento; o local e o grau de pressão do queixo:</w:t>
      </w:r>
    </w:p>
    <w:p w14:paraId="782A1E3B" w14:textId="77777777" w:rsidR="001F49FD" w:rsidRDefault="001F49FD">
      <w:pPr>
        <w:pStyle w:val="Recuodecorpodetexto"/>
        <w:ind w:firstLine="1134"/>
      </w:pPr>
    </w:p>
    <w:p w14:paraId="02D6AEA8" w14:textId="77777777" w:rsidR="001F49FD" w:rsidRDefault="00611419">
      <w:pPr>
        <w:pStyle w:val="Ttulo5"/>
        <w:numPr>
          <w:ilvl w:val="0"/>
          <w:numId w:val="2"/>
        </w:numPr>
        <w:spacing w:before="0"/>
        <w:ind w:left="1276" w:hanging="142"/>
        <w:rPr>
          <w:color w:val="auto"/>
        </w:rPr>
      </w:pPr>
      <w:r>
        <w:rPr>
          <w:b/>
          <w:color w:val="auto"/>
        </w:rPr>
        <w:lastRenderedPageBreak/>
        <w:t>Como segurar o violino</w:t>
      </w:r>
      <w:r>
        <w:rPr>
          <w:rFonts w:cs="Times New Roman"/>
          <w:b/>
          <w:color w:val="auto"/>
          <w:szCs w:val="24"/>
        </w:rPr>
        <w:t xml:space="preserve"> </w:t>
      </w:r>
      <w:r>
        <w:rPr>
          <w:color w:val="auto"/>
        </w:rPr>
        <w:t xml:space="preserve"> </w:t>
      </w:r>
    </w:p>
    <w:p w14:paraId="00F701D5" w14:textId="77777777" w:rsidR="001F49FD" w:rsidRDefault="00611419">
      <w:pPr>
        <w:pStyle w:val="Endereointerno"/>
      </w:pPr>
      <w:r>
        <w:t>- “O violino deve estar posicionado sobre a clavícula.”</w:t>
      </w:r>
    </w:p>
    <w:p w14:paraId="1F0DEE99" w14:textId="77777777" w:rsidR="001F49FD" w:rsidRDefault="00611419">
      <w:pPr>
        <w:pStyle w:val="Endereointerno"/>
      </w:pPr>
      <w:r>
        <w:t>- “Encaixado</w:t>
      </w:r>
      <w:r>
        <w:rPr>
          <w:i/>
        </w:rPr>
        <w:t xml:space="preserve"> </w:t>
      </w:r>
      <w:r>
        <w:t>no pescoço.”</w:t>
      </w:r>
    </w:p>
    <w:p w14:paraId="7487201E" w14:textId="77777777" w:rsidR="001F49FD" w:rsidRDefault="00611419">
      <w:pPr>
        <w:pStyle w:val="Endereointerno"/>
      </w:pPr>
      <w:r>
        <w:t>- “Inclinado para a direita, em aproximadamente 45 graus.”</w:t>
      </w:r>
    </w:p>
    <w:p w14:paraId="7EE802F6" w14:textId="5BA1D628" w:rsidR="001F49FD" w:rsidRDefault="00611419">
      <w:pPr>
        <w:pStyle w:val="Recuodecorpodetexto"/>
        <w:ind w:firstLine="0"/>
      </w:pPr>
      <w:r>
        <w:t xml:space="preserve">             </w:t>
      </w:r>
      <w:r w:rsidR="00144078">
        <w:t xml:space="preserve">     </w:t>
      </w:r>
      <w:r>
        <w:t xml:space="preserve"> - “A extremidade do braço do violino deve estar em linha reta com o centro do ombro esquerdo.”</w:t>
      </w:r>
    </w:p>
    <w:p w14:paraId="25C69AB8" w14:textId="77777777" w:rsidR="001F49FD" w:rsidRDefault="00611419">
      <w:pPr>
        <w:pStyle w:val="Recuodecorpodetexto"/>
        <w:ind w:firstLine="0"/>
      </w:pPr>
      <w:r>
        <w:t xml:space="preserve">                   - “Preso pelo queixo, que se apoia sobre o violino, do lado esquerdo, e não sobre o estandarte.”</w:t>
      </w:r>
    </w:p>
    <w:p w14:paraId="4F2A485B" w14:textId="77777777" w:rsidR="001F49FD" w:rsidRDefault="00611419">
      <w:pPr>
        <w:pStyle w:val="Recuodecorpodetexto"/>
        <w:ind w:firstLine="850"/>
      </w:pPr>
      <w:r>
        <w:t xml:space="preserve">      - “O queixo não deve estar avançado, apoiando-se sem exagero na sua parte mais proeminente,</w:t>
      </w:r>
      <w:r>
        <w:rPr>
          <w:i/>
        </w:rPr>
        <w:t xml:space="preserve"> </w:t>
      </w:r>
      <w:r>
        <w:t>e não lateralmente.”</w:t>
      </w:r>
    </w:p>
    <w:p w14:paraId="242697CA" w14:textId="77777777" w:rsidR="001F49FD" w:rsidRDefault="00611419">
      <w:pPr>
        <w:pStyle w:val="Recuodecorpodetexto"/>
        <w:ind w:left="283" w:firstLine="850"/>
      </w:pPr>
      <w:r>
        <w:t xml:space="preserve"> - “Sustentar o violino horizontalmente.”</w:t>
      </w:r>
    </w:p>
    <w:p w14:paraId="7799D3DB" w14:textId="77777777" w:rsidR="001F49FD" w:rsidRDefault="001F49FD">
      <w:pPr>
        <w:pStyle w:val="Recuodecorpodetexto"/>
        <w:ind w:left="283" w:firstLine="1134"/>
      </w:pPr>
    </w:p>
    <w:p w14:paraId="63617098" w14:textId="77777777" w:rsidR="001F49FD" w:rsidRDefault="00611419" w:rsidP="00144078">
      <w:pPr>
        <w:pStyle w:val="Recuodecorpodetexto"/>
        <w:ind w:firstLine="709"/>
      </w:pPr>
      <w:r>
        <w:t xml:space="preserve">Tais preceitos são exemplificados por imagens claramente definidas, que contribuem para a verificação da concepção de </w:t>
      </w:r>
      <w:proofErr w:type="spellStart"/>
      <w:r>
        <w:t>Baillot</w:t>
      </w:r>
      <w:proofErr w:type="spellEnd"/>
      <w:r>
        <w:t xml:space="preserve"> sobre a postura corporal e a sustentação e colocação do violino junto ao corpo:</w:t>
      </w:r>
    </w:p>
    <w:p w14:paraId="2C2950C2" w14:textId="77777777" w:rsidR="001F49FD" w:rsidRDefault="001F49FD">
      <w:pPr>
        <w:pStyle w:val="Recuodecorpodetexto"/>
        <w:ind w:left="283" w:firstLine="1134"/>
      </w:pPr>
    </w:p>
    <w:p w14:paraId="480BFEA3" w14:textId="77777777" w:rsidR="001F49FD" w:rsidRDefault="00611419">
      <w:pPr>
        <w:ind w:left="-1701" w:firstLine="0"/>
        <w:jc w:val="center"/>
        <w:rPr>
          <w:rFonts w:ascii="Times New Roman" w:hAnsi="Times New Roman" w:cs="Times New Roman"/>
          <w:szCs w:val="24"/>
        </w:rPr>
      </w:pPr>
      <w:r>
        <w:rPr>
          <w:noProof/>
        </w:rPr>
        <w:lastRenderedPageBreak/>
        <w:drawing>
          <wp:inline distT="0" distB="0" distL="0" distR="0" wp14:anchorId="6B06B7C2" wp14:editId="7BC48728">
            <wp:extent cx="7943215" cy="5670550"/>
            <wp:effectExtent l="0" t="0" r="0" b="0"/>
            <wp:docPr id="1" name="Imagem 2" descr="Resultado de imagem para baillot images art du vi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descr="Resultado de imagem para baillot images art du violon"/>
                    <pic:cNvPicPr>
                      <a:picLocks noChangeAspect="1" noChangeArrowheads="1"/>
                    </pic:cNvPicPr>
                  </pic:nvPicPr>
                  <pic:blipFill>
                    <a:blip r:embed="rId8"/>
                    <a:stretch>
                      <a:fillRect/>
                    </a:stretch>
                  </pic:blipFill>
                  <pic:spPr bwMode="auto">
                    <a:xfrm>
                      <a:off x="0" y="0"/>
                      <a:ext cx="7943215" cy="5670550"/>
                    </a:xfrm>
                    <a:prstGeom prst="rect">
                      <a:avLst/>
                    </a:prstGeom>
                  </pic:spPr>
                </pic:pic>
              </a:graphicData>
            </a:graphic>
          </wp:inline>
        </w:drawing>
      </w:r>
    </w:p>
    <w:p w14:paraId="0F349D18" w14:textId="014CF556" w:rsidR="001F49FD" w:rsidRDefault="00611419">
      <w:pPr>
        <w:pStyle w:val="Ttulo6"/>
        <w:spacing w:before="0" w:line="240" w:lineRule="auto"/>
        <w:ind w:firstLine="0"/>
        <w:jc w:val="center"/>
        <w:rPr>
          <w:i w:val="0"/>
          <w:color w:val="auto"/>
          <w:sz w:val="20"/>
          <w:szCs w:val="20"/>
          <w:lang w:val="fr-FR"/>
        </w:rPr>
      </w:pPr>
      <w:r>
        <w:rPr>
          <w:b/>
          <w:i w:val="0"/>
          <w:color w:val="auto"/>
          <w:sz w:val="20"/>
          <w:szCs w:val="20"/>
          <w:lang w:val="fr-FR"/>
        </w:rPr>
        <w:t>Figura 1</w:t>
      </w:r>
      <w:r>
        <w:rPr>
          <w:i w:val="0"/>
          <w:color w:val="auto"/>
          <w:sz w:val="20"/>
          <w:szCs w:val="20"/>
          <w:lang w:val="fr-FR"/>
        </w:rPr>
        <w:t xml:space="preserve">: postura corporal - </w:t>
      </w:r>
      <w:r>
        <w:rPr>
          <w:color w:val="auto"/>
          <w:sz w:val="20"/>
          <w:szCs w:val="20"/>
          <w:lang w:val="fr-FR"/>
        </w:rPr>
        <w:t xml:space="preserve">L’Art du violon </w:t>
      </w:r>
      <w:r>
        <w:rPr>
          <w:i w:val="0"/>
          <w:color w:val="auto"/>
          <w:sz w:val="20"/>
          <w:szCs w:val="20"/>
          <w:lang w:val="fr-FR"/>
        </w:rPr>
        <w:t>(</w:t>
      </w:r>
      <w:r w:rsidR="004F43E7">
        <w:rPr>
          <w:i w:val="0"/>
          <w:color w:val="auto"/>
          <w:sz w:val="20"/>
          <w:szCs w:val="20"/>
          <w:lang w:val="fr-FR"/>
        </w:rPr>
        <w:t>Baillot</w:t>
      </w:r>
      <w:r>
        <w:rPr>
          <w:i w:val="0"/>
          <w:color w:val="auto"/>
          <w:sz w:val="20"/>
          <w:szCs w:val="20"/>
          <w:lang w:val="fr-FR"/>
        </w:rPr>
        <w:t>, 1835, p. 19).</w:t>
      </w:r>
    </w:p>
    <w:p w14:paraId="707B4814" w14:textId="77777777" w:rsidR="001F49FD" w:rsidRDefault="00611419">
      <w:pPr>
        <w:spacing w:line="240" w:lineRule="auto"/>
        <w:ind w:firstLine="0"/>
        <w:jc w:val="left"/>
        <w:rPr>
          <w:sz w:val="20"/>
          <w:szCs w:val="20"/>
        </w:rPr>
      </w:pPr>
      <w:r>
        <w:rPr>
          <w:sz w:val="20"/>
          <w:szCs w:val="20"/>
        </w:rPr>
        <w:t>Legendas internas: Fig. 1: postura corporal vista de perfil. Fig. 2: como ter certeza de que o violino está bem seguro. Fig. 3: postura corporal vista de frente.</w:t>
      </w:r>
    </w:p>
    <w:p w14:paraId="44892778" w14:textId="77777777" w:rsidR="001F49FD" w:rsidRDefault="001F49FD">
      <w:pPr>
        <w:ind w:left="-1560"/>
      </w:pPr>
    </w:p>
    <w:p w14:paraId="5CBBF857" w14:textId="77777777" w:rsidR="001F49FD" w:rsidRDefault="00611419" w:rsidP="00144078">
      <w:pPr>
        <w:pStyle w:val="PargrafodaLista"/>
        <w:ind w:left="0" w:firstLine="709"/>
      </w:pPr>
      <w:r>
        <w:rPr>
          <w:rFonts w:cs="Times New Roman"/>
          <w:szCs w:val="24"/>
        </w:rPr>
        <w:t>Os tópicos seguintes abordam a técnica de mão esquerda e de arco, e intitulam-se:</w:t>
      </w:r>
      <w:r>
        <w:rPr>
          <w:rFonts w:cs="Times New Roman"/>
          <w:sz w:val="20"/>
          <w:szCs w:val="20"/>
        </w:rPr>
        <w:t xml:space="preserve"> </w:t>
      </w:r>
      <w:r>
        <w:rPr>
          <w:rFonts w:cs="Times New Roman"/>
          <w:b/>
          <w:szCs w:val="24"/>
        </w:rPr>
        <w:t>Como posicionar a mão, o braço e o cotovelo esquerdos</w:t>
      </w:r>
      <w:r>
        <w:rPr>
          <w:rFonts w:cs="Times New Roman"/>
          <w:szCs w:val="24"/>
        </w:rPr>
        <w:t>;</w:t>
      </w:r>
      <w:r>
        <w:rPr>
          <w:rFonts w:cs="Times New Roman"/>
          <w:b/>
          <w:szCs w:val="24"/>
        </w:rPr>
        <w:t xml:space="preserve"> </w:t>
      </w:r>
      <w:proofErr w:type="gramStart"/>
      <w:r>
        <w:rPr>
          <w:rFonts w:cs="Times New Roman"/>
          <w:b/>
          <w:szCs w:val="24"/>
        </w:rPr>
        <w:t>Como</w:t>
      </w:r>
      <w:proofErr w:type="gramEnd"/>
      <w:r>
        <w:rPr>
          <w:rFonts w:cs="Times New Roman"/>
          <w:b/>
          <w:szCs w:val="24"/>
        </w:rPr>
        <w:t xml:space="preserve"> segurar o arco</w:t>
      </w:r>
      <w:r>
        <w:rPr>
          <w:rFonts w:cs="Times New Roman"/>
          <w:szCs w:val="24"/>
        </w:rPr>
        <w:t xml:space="preserve">; </w:t>
      </w:r>
      <w:proofErr w:type="gramStart"/>
      <w:r>
        <w:rPr>
          <w:rFonts w:cs="Times New Roman"/>
          <w:b/>
          <w:szCs w:val="24"/>
        </w:rPr>
        <w:t>Como</w:t>
      </w:r>
      <w:proofErr w:type="gramEnd"/>
      <w:r>
        <w:rPr>
          <w:rFonts w:cs="Times New Roman"/>
          <w:b/>
          <w:szCs w:val="24"/>
        </w:rPr>
        <w:t xml:space="preserve"> posicionar a mão, o cotovelo e o braço direitos</w:t>
      </w:r>
      <w:r>
        <w:rPr>
          <w:rFonts w:cs="Times New Roman"/>
          <w:szCs w:val="24"/>
        </w:rPr>
        <w:t xml:space="preserve">; </w:t>
      </w:r>
      <w:r>
        <w:rPr>
          <w:rFonts w:cs="Times New Roman"/>
          <w:b/>
          <w:szCs w:val="24"/>
        </w:rPr>
        <w:t>Movimento dos dedos da mão esquerda</w:t>
      </w:r>
      <w:r>
        <w:rPr>
          <w:rFonts w:cs="Times New Roman"/>
          <w:szCs w:val="24"/>
        </w:rPr>
        <w:t xml:space="preserve">; </w:t>
      </w:r>
      <w:r>
        <w:rPr>
          <w:rFonts w:cs="Times New Roman"/>
          <w:b/>
          <w:szCs w:val="24"/>
        </w:rPr>
        <w:t>Movimento do arco, da mão e do braço direito</w:t>
      </w:r>
      <w:r>
        <w:rPr>
          <w:rFonts w:cs="Times New Roman"/>
          <w:szCs w:val="24"/>
        </w:rPr>
        <w:t xml:space="preserve">. </w:t>
      </w:r>
      <w:r>
        <w:t xml:space="preserve">Através dessa disposição de tópicos, </w:t>
      </w:r>
      <w:proofErr w:type="spellStart"/>
      <w:r>
        <w:t>Baillot</w:t>
      </w:r>
      <w:proofErr w:type="spellEnd"/>
      <w:r>
        <w:t xml:space="preserve"> distingue </w:t>
      </w:r>
      <w:r>
        <w:rPr>
          <w:i/>
        </w:rPr>
        <w:t>posição</w:t>
      </w:r>
      <w:r>
        <w:t xml:space="preserve"> e </w:t>
      </w:r>
      <w:r>
        <w:rPr>
          <w:i/>
        </w:rPr>
        <w:t>movimento</w:t>
      </w:r>
      <w:r>
        <w:t xml:space="preserve">, uma ideia que vai além dos aspectos puramente posturais, o que evidencia seu entendimento sobre a complexidade da técnica violinística.  </w:t>
      </w:r>
    </w:p>
    <w:p w14:paraId="323301F7" w14:textId="77777777" w:rsidR="001F49FD" w:rsidRDefault="00611419" w:rsidP="00144078">
      <w:pPr>
        <w:pStyle w:val="PargrafodaLista"/>
        <w:ind w:left="0" w:firstLine="709"/>
      </w:pPr>
      <w:r>
        <w:lastRenderedPageBreak/>
        <w:t xml:space="preserve">Antes de apresentarmos os preceitos relativos à técnica de mão esquerda e de arco, é necessário esclarecer que </w:t>
      </w:r>
      <w:proofErr w:type="spellStart"/>
      <w:r>
        <w:t>Baillot</w:t>
      </w:r>
      <w:proofErr w:type="spellEnd"/>
      <w:r>
        <w:t xml:space="preserve"> e os próximos autores estudados</w:t>
      </w:r>
      <w:r>
        <w:rPr>
          <w:rStyle w:val="Refdenotaderodap"/>
        </w:rPr>
        <w:footnoteReference w:id="12"/>
      </w:r>
      <w:r>
        <w:t xml:space="preserve"> referem-se às falanges enumerando-as a partir da extremidade dos dedos para o centro da </w:t>
      </w:r>
      <w:proofErr w:type="gramStart"/>
      <w:r>
        <w:t>mão.</w:t>
      </w:r>
      <w:r>
        <w:rPr>
          <w:rStyle w:val="FootnoteCharacters"/>
        </w:rPr>
        <w:t>.</w:t>
      </w:r>
      <w:proofErr w:type="gramEnd"/>
      <w:r>
        <w:t xml:space="preserve"> A fim de evitar equívocos na interpretação dos pontos de contato dos dedos mencionados nos métodos, acrescentaremos à falange descrita pelos autores, a nomenclatura correspondente pela linguagem formal da Medicina [entre colchetes]. </w:t>
      </w:r>
    </w:p>
    <w:p w14:paraId="69DF2AD5" w14:textId="77777777" w:rsidR="001F49FD" w:rsidRDefault="001F49FD">
      <w:pPr>
        <w:pStyle w:val="PargrafodaLista"/>
        <w:ind w:left="0"/>
      </w:pPr>
    </w:p>
    <w:p w14:paraId="317B1FDF" w14:textId="77777777" w:rsidR="001F49FD" w:rsidRDefault="00611419">
      <w:pPr>
        <w:pStyle w:val="PargrafodaLista"/>
        <w:ind w:left="0" w:firstLine="0"/>
        <w:jc w:val="center"/>
      </w:pPr>
      <w:r>
        <w:rPr>
          <w:noProof/>
        </w:rPr>
        <w:drawing>
          <wp:inline distT="0" distB="0" distL="0" distR="0" wp14:anchorId="3D820922" wp14:editId="40A54414">
            <wp:extent cx="3390900" cy="2423795"/>
            <wp:effectExtent l="0" t="0" r="0" b="0"/>
            <wp:docPr id="2" name="Imagem 1" descr="Resultado de imagem para nomenclatura das falanges dos de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descr="Resultado de imagem para nomenclatura das falanges dos dedos"/>
                    <pic:cNvPicPr>
                      <a:picLocks noChangeAspect="1" noChangeArrowheads="1"/>
                    </pic:cNvPicPr>
                  </pic:nvPicPr>
                  <pic:blipFill>
                    <a:blip r:embed="rId9"/>
                    <a:stretch>
                      <a:fillRect/>
                    </a:stretch>
                  </pic:blipFill>
                  <pic:spPr bwMode="auto">
                    <a:xfrm>
                      <a:off x="0" y="0"/>
                      <a:ext cx="3390900" cy="2423795"/>
                    </a:xfrm>
                    <a:prstGeom prst="rect">
                      <a:avLst/>
                    </a:prstGeom>
                  </pic:spPr>
                </pic:pic>
              </a:graphicData>
            </a:graphic>
          </wp:inline>
        </w:drawing>
      </w:r>
    </w:p>
    <w:p w14:paraId="5B827677" w14:textId="6C1B95F0" w:rsidR="001F49FD" w:rsidRDefault="00611419">
      <w:pPr>
        <w:pStyle w:val="PargrafodaLista"/>
        <w:spacing w:line="240" w:lineRule="auto"/>
        <w:ind w:left="0" w:firstLine="0"/>
        <w:jc w:val="center"/>
        <w:rPr>
          <w:rFonts w:ascii="Times New Roman" w:hAnsi="Times New Roman" w:cs="Times New Roman"/>
          <w:sz w:val="20"/>
          <w:szCs w:val="20"/>
        </w:rPr>
      </w:pPr>
      <w:r>
        <w:rPr>
          <w:rFonts w:cs="Times New Roman"/>
          <w:b/>
          <w:sz w:val="20"/>
          <w:szCs w:val="20"/>
        </w:rPr>
        <w:t>Figura 2</w:t>
      </w:r>
      <w:r>
        <w:rPr>
          <w:rFonts w:cs="Times New Roman"/>
          <w:sz w:val="20"/>
          <w:szCs w:val="20"/>
        </w:rPr>
        <w:t>: nomenclatura das articulações e das falanges dos dedos. IFD = Interfalang</w:t>
      </w:r>
      <w:r w:rsidR="0052458F">
        <w:rPr>
          <w:rFonts w:cs="Times New Roman"/>
          <w:sz w:val="20"/>
          <w:szCs w:val="20"/>
        </w:rPr>
        <w:t>i</w:t>
      </w:r>
      <w:r>
        <w:rPr>
          <w:rFonts w:cs="Times New Roman"/>
          <w:sz w:val="20"/>
          <w:szCs w:val="20"/>
        </w:rPr>
        <w:t xml:space="preserve">ana distal; </w:t>
      </w:r>
    </w:p>
    <w:p w14:paraId="3707A5DF" w14:textId="5A9E05A2" w:rsidR="001F49FD" w:rsidRDefault="00611419">
      <w:pPr>
        <w:pStyle w:val="PargrafodaLista"/>
        <w:ind w:left="0" w:firstLine="0"/>
        <w:jc w:val="center"/>
        <w:rPr>
          <w:rFonts w:ascii="Times New Roman" w:hAnsi="Times New Roman" w:cs="Times New Roman"/>
          <w:sz w:val="20"/>
          <w:szCs w:val="20"/>
        </w:rPr>
      </w:pPr>
      <w:r>
        <w:rPr>
          <w:rFonts w:cs="Times New Roman"/>
          <w:sz w:val="20"/>
          <w:szCs w:val="20"/>
        </w:rPr>
        <w:t xml:space="preserve">IFP = </w:t>
      </w:r>
      <w:r w:rsidR="00393CC4">
        <w:rPr>
          <w:rFonts w:cs="Times New Roman"/>
          <w:sz w:val="20"/>
          <w:szCs w:val="20"/>
        </w:rPr>
        <w:t>Interfalangiana</w:t>
      </w:r>
      <w:r>
        <w:rPr>
          <w:rFonts w:cs="Times New Roman"/>
          <w:sz w:val="20"/>
          <w:szCs w:val="20"/>
        </w:rPr>
        <w:t xml:space="preserve"> proximal; MCF = Metacarpo</w:t>
      </w:r>
      <w:r w:rsidR="0052458F">
        <w:rPr>
          <w:rFonts w:cs="Times New Roman"/>
          <w:sz w:val="20"/>
          <w:szCs w:val="20"/>
        </w:rPr>
        <w:t xml:space="preserve"> </w:t>
      </w:r>
      <w:r>
        <w:rPr>
          <w:rFonts w:cs="Times New Roman"/>
          <w:sz w:val="20"/>
          <w:szCs w:val="20"/>
        </w:rPr>
        <w:t>falang</w:t>
      </w:r>
      <w:r w:rsidR="0052458F">
        <w:rPr>
          <w:rFonts w:cs="Times New Roman"/>
          <w:sz w:val="20"/>
          <w:szCs w:val="20"/>
        </w:rPr>
        <w:t>i</w:t>
      </w:r>
      <w:r>
        <w:rPr>
          <w:rFonts w:cs="Times New Roman"/>
          <w:sz w:val="20"/>
          <w:szCs w:val="20"/>
        </w:rPr>
        <w:t>ana (www.Anatomia do corpo.com).</w:t>
      </w:r>
    </w:p>
    <w:p w14:paraId="3B733268" w14:textId="77777777" w:rsidR="001F49FD" w:rsidRDefault="001F49FD">
      <w:pPr>
        <w:pStyle w:val="PargrafodaLista"/>
        <w:ind w:left="0" w:firstLine="0"/>
        <w:jc w:val="center"/>
        <w:rPr>
          <w:rFonts w:ascii="Times New Roman" w:hAnsi="Times New Roman" w:cs="Times New Roman"/>
          <w:sz w:val="20"/>
          <w:szCs w:val="20"/>
        </w:rPr>
      </w:pPr>
    </w:p>
    <w:p w14:paraId="4D6183D1" w14:textId="77777777" w:rsidR="001F49FD" w:rsidRDefault="00611419" w:rsidP="00144078">
      <w:pPr>
        <w:ind w:firstLine="709"/>
      </w:pPr>
      <w:r>
        <w:t>Com o mesmo intuito, recorreremos à terminologia convencional para os movimentos dos dedos:</w:t>
      </w:r>
    </w:p>
    <w:p w14:paraId="310AC012" w14:textId="77777777" w:rsidR="001F49FD" w:rsidRDefault="00611419">
      <w:pPr>
        <w:tabs>
          <w:tab w:val="left" w:pos="1843"/>
          <w:tab w:val="left" w:pos="1985"/>
        </w:tabs>
        <w:spacing w:line="240" w:lineRule="auto"/>
        <w:ind w:firstLine="0"/>
        <w:jc w:val="center"/>
      </w:pPr>
      <w:r>
        <w:rPr>
          <w:noProof/>
        </w:rPr>
        <w:drawing>
          <wp:inline distT="0" distB="0" distL="0" distR="0" wp14:anchorId="1F318E3B" wp14:editId="4B2A348A">
            <wp:extent cx="3486150" cy="2493645"/>
            <wp:effectExtent l="0" t="0" r="0" b="0"/>
            <wp:docPr id="3" name="Imagem 15" descr="C:\Users\Fernando\Pictures\aduçã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5" descr="C:\Users\Fernando\Pictures\adução(2).jpg"/>
                    <pic:cNvPicPr>
                      <a:picLocks noChangeAspect="1" noChangeArrowheads="1"/>
                    </pic:cNvPicPr>
                  </pic:nvPicPr>
                  <pic:blipFill>
                    <a:blip r:embed="rId10"/>
                    <a:stretch>
                      <a:fillRect/>
                    </a:stretch>
                  </pic:blipFill>
                  <pic:spPr bwMode="auto">
                    <a:xfrm>
                      <a:off x="0" y="0"/>
                      <a:ext cx="3486150" cy="2493645"/>
                    </a:xfrm>
                    <a:prstGeom prst="rect">
                      <a:avLst/>
                    </a:prstGeom>
                  </pic:spPr>
                </pic:pic>
              </a:graphicData>
            </a:graphic>
          </wp:inline>
        </w:drawing>
      </w:r>
    </w:p>
    <w:p w14:paraId="04772F89" w14:textId="77777777" w:rsidR="001F49FD" w:rsidRDefault="00611419">
      <w:pPr>
        <w:tabs>
          <w:tab w:val="left" w:pos="567"/>
        </w:tabs>
        <w:ind w:firstLine="0"/>
        <w:jc w:val="center"/>
        <w:rPr>
          <w:b/>
          <w:sz w:val="20"/>
          <w:szCs w:val="20"/>
        </w:rPr>
      </w:pPr>
      <w:r>
        <w:rPr>
          <w:b/>
          <w:sz w:val="20"/>
          <w:szCs w:val="20"/>
        </w:rPr>
        <w:t xml:space="preserve">Figura 3: </w:t>
      </w:r>
      <w:r>
        <w:rPr>
          <w:sz w:val="20"/>
          <w:szCs w:val="20"/>
        </w:rPr>
        <w:t>movimentos dos dedos (</w:t>
      </w:r>
      <w:hyperlink r:id="rId11">
        <w:r w:rsidR="001F49FD">
          <w:rPr>
            <w:rStyle w:val="Hyperlink"/>
            <w:sz w:val="20"/>
            <w:szCs w:val="20"/>
          </w:rPr>
          <w:t>www.researchgate.net</w:t>
        </w:r>
      </w:hyperlink>
      <w:r>
        <w:rPr>
          <w:sz w:val="20"/>
          <w:szCs w:val="20"/>
        </w:rPr>
        <w:t>).</w:t>
      </w:r>
    </w:p>
    <w:p w14:paraId="6B6748B3" w14:textId="77777777" w:rsidR="001F49FD" w:rsidRDefault="001F49FD">
      <w:pPr>
        <w:tabs>
          <w:tab w:val="left" w:pos="567"/>
        </w:tabs>
        <w:ind w:firstLine="0"/>
        <w:jc w:val="center"/>
        <w:rPr>
          <w:b/>
          <w:sz w:val="20"/>
          <w:szCs w:val="20"/>
        </w:rPr>
      </w:pPr>
    </w:p>
    <w:p w14:paraId="745CE220" w14:textId="77777777" w:rsidR="001F49FD" w:rsidRDefault="00611419" w:rsidP="00144078">
      <w:pPr>
        <w:pStyle w:val="PargrafodaLista"/>
        <w:ind w:left="0" w:firstLine="709"/>
      </w:pPr>
      <w:r>
        <w:lastRenderedPageBreak/>
        <w:t>Nos dois tópicos relativos à técnica de mão esquerda, o autor define o ponto de contato dos dedos polegar e indicador, e a ação e direcionamento dos dedos sobre a corda. O último preceito tanto pode ser considerado como um simples alerta para principiantes, como pode ser revelador de um tipo de sustentação ainda em prática naquele período:</w:t>
      </w:r>
    </w:p>
    <w:p w14:paraId="2A5BE36E" w14:textId="77777777" w:rsidR="001F49FD" w:rsidRDefault="001F49FD">
      <w:pPr>
        <w:pStyle w:val="PargrafodaLista"/>
        <w:ind w:left="0"/>
      </w:pPr>
    </w:p>
    <w:p w14:paraId="2230CBE7" w14:textId="77777777" w:rsidR="001F49FD" w:rsidRDefault="00611419">
      <w:pPr>
        <w:pStyle w:val="Recuodecorpodetexto"/>
        <w:numPr>
          <w:ilvl w:val="0"/>
          <w:numId w:val="3"/>
        </w:numPr>
        <w:ind w:left="1276" w:hanging="142"/>
        <w:rPr>
          <w:b/>
        </w:rPr>
      </w:pPr>
      <w:r>
        <w:rPr>
          <w:b/>
        </w:rPr>
        <w:t>Como posicionar a mão, o braço e o cotovelo esquerdos; Movimento dos dedos da mão esquerda</w:t>
      </w:r>
    </w:p>
    <w:p w14:paraId="450B27B2" w14:textId="77777777" w:rsidR="001F49FD" w:rsidRDefault="00611419">
      <w:pPr>
        <w:pStyle w:val="Recuodecorpodetexto"/>
        <w:ind w:firstLine="850"/>
      </w:pPr>
      <w:r>
        <w:t xml:space="preserve">     - “Sustentar o violino sem apertar, entre a metade da primeira falange [distal] do dedo polegar e a metade da terceira falange [proximal] do dedo indicador.” </w:t>
      </w:r>
    </w:p>
    <w:p w14:paraId="57FEBC24" w14:textId="77777777" w:rsidR="001F49FD" w:rsidRDefault="00611419">
      <w:pPr>
        <w:pStyle w:val="Recuodecorpodetexto"/>
        <w:tabs>
          <w:tab w:val="left" w:pos="1092"/>
        </w:tabs>
        <w:ind w:firstLine="850"/>
      </w:pPr>
      <w:r>
        <w:t xml:space="preserve">    - “Deixar cair os dedos de uma altura considerável para que eles tenham um pouco de impulso, a 1ª falange [distal] aprumada sobre a corda, porém sem estabelecer uma relação de perpendicularidade.” </w:t>
      </w:r>
    </w:p>
    <w:p w14:paraId="6284A12B" w14:textId="68225F3E" w:rsidR="001F49FD" w:rsidRDefault="00611419">
      <w:pPr>
        <w:pStyle w:val="Recuodecorpodetexto"/>
        <w:tabs>
          <w:tab w:val="left" w:pos="1128"/>
        </w:tabs>
        <w:ind w:firstLine="850"/>
      </w:pPr>
      <w:r>
        <w:t xml:space="preserve">    - “Impedir que o braço do violino </w:t>
      </w:r>
      <w:r w:rsidR="0052458F">
        <w:t>se encoste</w:t>
      </w:r>
      <w:r>
        <w:t xml:space="preserve"> à parte da mão que reúne o dedo polegar ao dedo indicador.” </w:t>
      </w:r>
    </w:p>
    <w:p w14:paraId="1527E4A3" w14:textId="77777777" w:rsidR="001F49FD" w:rsidRDefault="001F49FD">
      <w:pPr>
        <w:pStyle w:val="Recuodecorpodetexto"/>
        <w:ind w:left="283" w:firstLine="1134"/>
      </w:pPr>
    </w:p>
    <w:p w14:paraId="367AF7EA" w14:textId="77777777" w:rsidR="001F49FD" w:rsidRDefault="00611419" w:rsidP="00144078">
      <w:pPr>
        <w:pStyle w:val="Recuodecorpodetexto"/>
        <w:ind w:firstLine="709"/>
      </w:pPr>
      <w:r>
        <w:t>O extenso texto destinado à técnica de arco é o mais desenvolvido da seção técnica do método</w:t>
      </w:r>
      <w:r>
        <w:rPr>
          <w:b/>
        </w:rPr>
        <w:t xml:space="preserve">. </w:t>
      </w:r>
      <w:proofErr w:type="spellStart"/>
      <w:r>
        <w:t>Baillot</w:t>
      </w:r>
      <w:proofErr w:type="spellEnd"/>
      <w:r>
        <w:t xml:space="preserve"> confere importância à ação do dedo polegar, definindo seu local de posicionamento, bem como o do dedo indicador. Em seguida, descreve os efeitos do movimento do arco sobre a posição da mão, além dos graus de inclinação da vareta. Dentre os numerosos preceitos, é o último aqui exposto que mais caracteriza sua concepção da técnica de arco, na qual o braço direito nunca deve ser acionado para movimentar o arco:</w:t>
      </w:r>
    </w:p>
    <w:p w14:paraId="2685966A" w14:textId="77777777" w:rsidR="001F49FD" w:rsidRDefault="001F49FD">
      <w:pPr>
        <w:pStyle w:val="Recuodecorpodetexto"/>
        <w:ind w:left="283" w:firstLine="1134"/>
      </w:pPr>
    </w:p>
    <w:p w14:paraId="6DE82224" w14:textId="77777777" w:rsidR="001F49FD" w:rsidRDefault="00611419">
      <w:pPr>
        <w:pStyle w:val="Recuodecorpodetexto"/>
        <w:numPr>
          <w:ilvl w:val="0"/>
          <w:numId w:val="2"/>
        </w:numPr>
        <w:ind w:left="1276" w:hanging="142"/>
        <w:rPr>
          <w:b/>
        </w:rPr>
      </w:pPr>
      <w:r>
        <w:rPr>
          <w:b/>
        </w:rPr>
        <w:t xml:space="preserve">Como segurar o arco; </w:t>
      </w:r>
      <w:proofErr w:type="gramStart"/>
      <w:r>
        <w:rPr>
          <w:b/>
        </w:rPr>
        <w:t>Como</w:t>
      </w:r>
      <w:proofErr w:type="gramEnd"/>
      <w:r>
        <w:rPr>
          <w:b/>
        </w:rPr>
        <w:t xml:space="preserve"> posicionar a mão, o cotovelo e o braço direitos; Movimento do arco, da mão e do braço direito</w:t>
      </w:r>
    </w:p>
    <w:p w14:paraId="7D72C3C6" w14:textId="77777777" w:rsidR="001F49FD" w:rsidRDefault="00611419">
      <w:r>
        <w:t>- “Segurar o arco com todos os dedos, a mão naturalmente arredondada e os dedos posicionados sobre a vareta sem estarem nem flexionados</w:t>
      </w:r>
      <w:r>
        <w:rPr>
          <w:rStyle w:val="Refdenotaderodap"/>
        </w:rPr>
        <w:footnoteReference w:id="13"/>
      </w:r>
      <w:r>
        <w:t xml:space="preserve"> nem rígidos.” </w:t>
      </w:r>
    </w:p>
    <w:p w14:paraId="36CD7725" w14:textId="77777777" w:rsidR="001F49FD" w:rsidRDefault="00611419">
      <w:r>
        <w:t xml:space="preserve">- “Evitar flexionar o dedo polegar.” </w:t>
      </w:r>
    </w:p>
    <w:p w14:paraId="036095CB" w14:textId="77777777" w:rsidR="001F49FD" w:rsidRDefault="00611419">
      <w:r>
        <w:t xml:space="preserve">- “Posicioná-lo em oposição ao talão de forma que toque levemente sua extremidade inferior, sem, todavia, recair na reentrância. Essa regra foi negligenciada erroneamente.” </w:t>
      </w:r>
    </w:p>
    <w:p w14:paraId="2B5F4DEF" w14:textId="77777777" w:rsidR="001F49FD" w:rsidRDefault="00611419">
      <w:pPr>
        <w:pStyle w:val="Recuodecorpodetexto"/>
        <w:ind w:firstLine="1134"/>
      </w:pPr>
      <w:r>
        <w:lastRenderedPageBreak/>
        <w:t xml:space="preserve">- “A vareta se posicionará sobre a parte carnuda do dedo polegar que está perto da unha e não na extremidade do dedo, que deve ultrapassar a vareta em aproximadamente um centímetro. É nesse ponto que ele tem mais força para apertar o arco quando necessário.” </w:t>
      </w:r>
    </w:p>
    <w:p w14:paraId="023DA4B7" w14:textId="77777777" w:rsidR="001F49FD" w:rsidRDefault="00611419">
      <w:pPr>
        <w:pStyle w:val="Recuodecorpodetexto"/>
        <w:ind w:firstLine="1134"/>
        <w:rPr>
          <w:b/>
        </w:rPr>
      </w:pPr>
      <w:r>
        <w:t xml:space="preserve">- “Após colocar o dedo polegar no lugar prescrito, deve-se posicionar os quatro dedos bem arredondados sobre a vareta de forma que o centro da extremidade do dedo polegar esteja em frente da linha que separa os dedos médio e anelar.” </w:t>
      </w:r>
    </w:p>
    <w:p w14:paraId="11E4C09F" w14:textId="77777777" w:rsidR="001F49FD" w:rsidRDefault="00611419">
      <w:pPr>
        <w:pStyle w:val="Recuodecorpodetexto"/>
        <w:ind w:firstLine="1134"/>
      </w:pPr>
      <w:r>
        <w:t xml:space="preserve">- “Posicionar a vareta no centro da 2ª falange [média] do dedo indicador.” </w:t>
      </w:r>
    </w:p>
    <w:p w14:paraId="0FBE59D3" w14:textId="77777777" w:rsidR="001F49FD" w:rsidRDefault="00611419">
      <w:pPr>
        <w:pStyle w:val="Recuodecorpodetexto"/>
        <w:ind w:left="283" w:firstLine="850"/>
      </w:pPr>
      <w:r>
        <w:t xml:space="preserve">- “Evitar separar o dedo indicador dos demais.” </w:t>
      </w:r>
    </w:p>
    <w:p w14:paraId="1488B7C4" w14:textId="77777777" w:rsidR="001F49FD" w:rsidRDefault="00611419">
      <w:pPr>
        <w:pStyle w:val="Recuodecorpodetexto"/>
        <w:ind w:firstLine="1134"/>
      </w:pPr>
      <w:r>
        <w:t xml:space="preserve">- “No movimento do arco para baixo, a mão, ao virar [pronar] sobre o dedo polegar, se inclina levemente para a esquerda quando chegamos à ponta. No movimento do arco para cima, devido a esse movimento sobre o dedo polegar, o dedo indicador se encontra em ângulo reto com relação à vareta.” </w:t>
      </w:r>
    </w:p>
    <w:p w14:paraId="5BFE91F3" w14:textId="77777777" w:rsidR="001F49FD" w:rsidRDefault="00611419">
      <w:pPr>
        <w:pStyle w:val="Recuodecorpodetexto"/>
        <w:ind w:firstLine="1134"/>
      </w:pPr>
      <w:r>
        <w:t xml:space="preserve">- “Deve-se manter a vareta um pouco inclinada em direção ao espelho; porém, nos trechos em </w:t>
      </w:r>
      <w:proofErr w:type="spellStart"/>
      <w:r>
        <w:rPr>
          <w:i/>
        </w:rPr>
        <w:t>détaché</w:t>
      </w:r>
      <w:proofErr w:type="spellEnd"/>
      <w:r>
        <w:t xml:space="preserve"> no meio do arco, nós a manteremos perpendicularmente, a fim de favorecer, por sua maior ou menor elasticidade, a ação da vareta ou os saltos do arco.” </w:t>
      </w:r>
    </w:p>
    <w:p w14:paraId="5031F683" w14:textId="77777777" w:rsidR="001F49FD" w:rsidRDefault="00611419">
      <w:pPr>
        <w:pStyle w:val="Recuodecorpodetexto"/>
        <w:tabs>
          <w:tab w:val="left" w:pos="1128"/>
        </w:tabs>
        <w:ind w:left="283" w:firstLine="0"/>
      </w:pPr>
      <w:r>
        <w:t xml:space="preserve">              - “O antebraço e o punho devem manter a maior flexibilidade possível.”  </w:t>
      </w:r>
    </w:p>
    <w:p w14:paraId="27CAD443" w14:textId="77777777" w:rsidR="001F49FD" w:rsidRDefault="00611419">
      <w:pPr>
        <w:pStyle w:val="Recuodecorpodetexto"/>
        <w:ind w:firstLine="1134"/>
        <w:rPr>
          <w:color w:val="FF0000"/>
        </w:rPr>
      </w:pPr>
      <w:r>
        <w:t xml:space="preserve">- “O braço e o cotovelo jamais participarão diretamente dos movimentos do antebraço. Assim, o cotovelo se deixará cair sem nenhuma força, em um estado de completa nulidade.” </w:t>
      </w:r>
      <w:r>
        <w:rPr>
          <w:color w:val="FF0000"/>
        </w:rPr>
        <w:t xml:space="preserve">                                                                    </w:t>
      </w:r>
    </w:p>
    <w:p w14:paraId="2B3DCB8F" w14:textId="77777777" w:rsidR="001F49FD" w:rsidRDefault="001F49FD">
      <w:pPr>
        <w:pStyle w:val="Recuodecorpodetexto"/>
        <w:ind w:left="283" w:firstLine="1134"/>
        <w:rPr>
          <w:color w:val="FF0000"/>
        </w:rPr>
      </w:pPr>
    </w:p>
    <w:p w14:paraId="7CB6EFC8" w14:textId="3EB1B4A8" w:rsidR="001F49FD" w:rsidRDefault="00611419" w:rsidP="00144078">
      <w:pPr>
        <w:pStyle w:val="Recuodecorpodetexto"/>
        <w:ind w:firstLine="709"/>
      </w:pPr>
      <w:r>
        <w:t xml:space="preserve">Sobre essa última afirmação, </w:t>
      </w:r>
      <w:proofErr w:type="spellStart"/>
      <w:r>
        <w:t>Baillot</w:t>
      </w:r>
      <w:proofErr w:type="spellEnd"/>
      <w:r>
        <w:t xml:space="preserve"> comenta: </w:t>
      </w:r>
    </w:p>
    <w:p w14:paraId="1119CCC3" w14:textId="77777777" w:rsidR="001F49FD" w:rsidRDefault="00611419">
      <w:pPr>
        <w:pStyle w:val="PargrafodaLista"/>
        <w:spacing w:line="240" w:lineRule="auto"/>
        <w:ind w:left="2268" w:firstLine="0"/>
        <w:rPr>
          <w:rFonts w:ascii="Times New Roman" w:hAnsi="Times New Roman" w:cs="Times New Roman"/>
          <w:sz w:val="20"/>
          <w:szCs w:val="20"/>
        </w:rPr>
      </w:pPr>
      <w:r>
        <w:rPr>
          <w:rFonts w:cs="Times New Roman"/>
          <w:sz w:val="20"/>
          <w:szCs w:val="20"/>
        </w:rPr>
        <w:t>Tocar com o braço e com o cotovelo é um dos maiores defeitos que se possa ter. É preciso se dedicar a evitá-lo sempre. Quando se toca nas cordas graves, o punho se eleva para alcançá-las, o antebraço apenas o segue, ainda que esse movimento seja ínfimo quando se deve passar rapidamente de uma corda para a outra, como em alguns trechos musicais.</w:t>
      </w:r>
    </w:p>
    <w:p w14:paraId="25D1071E" w14:textId="77777777" w:rsidR="001F49FD" w:rsidRDefault="001F49FD">
      <w:pPr>
        <w:pStyle w:val="PargrafodaLista"/>
        <w:spacing w:line="240" w:lineRule="auto"/>
        <w:ind w:left="2268" w:firstLine="0"/>
        <w:rPr>
          <w:rFonts w:ascii="Times New Roman" w:hAnsi="Times New Roman" w:cs="Times New Roman"/>
          <w:sz w:val="20"/>
          <w:szCs w:val="20"/>
        </w:rPr>
      </w:pPr>
    </w:p>
    <w:p w14:paraId="5F0ADF2A" w14:textId="77777777" w:rsidR="001F49FD" w:rsidRDefault="00611419" w:rsidP="0052458F">
      <w:pPr>
        <w:pStyle w:val="Ttulo2"/>
      </w:pPr>
      <w:bookmarkStart w:id="34" w:name="_Toc219359021"/>
      <w:r>
        <w:t>1</w:t>
      </w:r>
      <w:bookmarkStart w:id="35" w:name="_Toc14331019"/>
      <w:r>
        <w:t xml:space="preserve">.2    </w:t>
      </w:r>
      <w:proofErr w:type="spellStart"/>
      <w:r>
        <w:rPr>
          <w:i/>
        </w:rPr>
        <w:t>Violinschule</w:t>
      </w:r>
      <w:proofErr w:type="spellEnd"/>
      <w:r>
        <w:t xml:space="preserve"> de Spohr – um método contemporâneo ao </w:t>
      </w:r>
      <w:r>
        <w:rPr>
          <w:i/>
        </w:rPr>
        <w:t xml:space="preserve">L’ </w:t>
      </w:r>
      <w:proofErr w:type="spellStart"/>
      <w:r>
        <w:rPr>
          <w:i/>
        </w:rPr>
        <w:t>Art</w:t>
      </w:r>
      <w:proofErr w:type="spellEnd"/>
      <w:r>
        <w:rPr>
          <w:i/>
        </w:rPr>
        <w:t xml:space="preserve"> </w:t>
      </w:r>
      <w:proofErr w:type="spellStart"/>
      <w:r>
        <w:rPr>
          <w:i/>
        </w:rPr>
        <w:t>du</w:t>
      </w:r>
      <w:proofErr w:type="spellEnd"/>
      <w:r>
        <w:rPr>
          <w:i/>
        </w:rPr>
        <w:t xml:space="preserve"> </w:t>
      </w:r>
      <w:proofErr w:type="spellStart"/>
      <w:r>
        <w:rPr>
          <w:i/>
        </w:rPr>
        <w:t>violon</w:t>
      </w:r>
      <w:bookmarkEnd w:id="34"/>
      <w:bookmarkEnd w:id="35"/>
      <w:proofErr w:type="spellEnd"/>
    </w:p>
    <w:p w14:paraId="3F204339" w14:textId="2E574433" w:rsidR="001F49FD" w:rsidRDefault="00611419" w:rsidP="00144078">
      <w:pPr>
        <w:pStyle w:val="Recuodecorpodetexto"/>
        <w:ind w:firstLine="709"/>
        <w:rPr>
          <w:iCs/>
          <w:szCs w:val="24"/>
        </w:rPr>
      </w:pPr>
      <w:r>
        <w:rPr>
          <w:szCs w:val="24"/>
        </w:rPr>
        <w:t xml:space="preserve">Três anos antes do surgimento do método de </w:t>
      </w:r>
      <w:proofErr w:type="spellStart"/>
      <w:r>
        <w:rPr>
          <w:szCs w:val="24"/>
        </w:rPr>
        <w:t>Baillot</w:t>
      </w:r>
      <w:proofErr w:type="spellEnd"/>
      <w:r>
        <w:rPr>
          <w:szCs w:val="24"/>
        </w:rPr>
        <w:t>, o eminente violinista-compositor germânico, Louis Spohr (1784-1859), publica a</w:t>
      </w:r>
      <w:r>
        <w:rPr>
          <w:i/>
          <w:iCs/>
          <w:szCs w:val="24"/>
        </w:rPr>
        <w:t xml:space="preserve"> </w:t>
      </w:r>
      <w:proofErr w:type="spellStart"/>
      <w:r>
        <w:rPr>
          <w:i/>
          <w:iCs/>
          <w:szCs w:val="24"/>
        </w:rPr>
        <w:t>Violinschule</w:t>
      </w:r>
      <w:proofErr w:type="spellEnd"/>
      <w:r>
        <w:rPr>
          <w:iCs/>
          <w:szCs w:val="24"/>
        </w:rPr>
        <w:t xml:space="preserve"> (S</w:t>
      </w:r>
      <w:r w:rsidR="009238A0">
        <w:rPr>
          <w:iCs/>
          <w:szCs w:val="24"/>
        </w:rPr>
        <w:t>pohr</w:t>
      </w:r>
      <w:r>
        <w:rPr>
          <w:iCs/>
          <w:szCs w:val="24"/>
        </w:rPr>
        <w:t xml:space="preserve">, 1832). </w:t>
      </w:r>
    </w:p>
    <w:p w14:paraId="53BFA9F0" w14:textId="77777777" w:rsidR="001F49FD" w:rsidRDefault="00611419" w:rsidP="00144078">
      <w:pPr>
        <w:pStyle w:val="Recuodecorpodetexto"/>
        <w:ind w:firstLine="709"/>
      </w:pPr>
      <w:r>
        <w:rPr>
          <w:iCs/>
          <w:szCs w:val="24"/>
        </w:rPr>
        <w:t xml:space="preserve">A trajetória de Spohr manifesta sua conexão com a Escola Francesa. Aos 18 anos, após um bem-sucedido início de carreira como músico da Corte de Brunswick, Spohr foi encaminhado pelo Duque Karl Wilhelm Ferdinand (1735-1806) para aperfeiçoar-se em seus estudos. O mestre almejado foi Viotti, mas como o renomado violinista não se mostrou disponível naquele período, </w:t>
      </w:r>
      <w:r>
        <w:rPr>
          <w:szCs w:val="24"/>
        </w:rPr>
        <w:t xml:space="preserve">Spohr veio a ser aluno de Franz Anton </w:t>
      </w:r>
      <w:proofErr w:type="spellStart"/>
      <w:r>
        <w:rPr>
          <w:szCs w:val="24"/>
        </w:rPr>
        <w:t>Eck</w:t>
      </w:r>
      <w:proofErr w:type="spellEnd"/>
      <w:r>
        <w:rPr>
          <w:szCs w:val="24"/>
        </w:rPr>
        <w:t xml:space="preserve"> (1774-1804). Sua </w:t>
      </w:r>
      <w:r>
        <w:rPr>
          <w:szCs w:val="24"/>
        </w:rPr>
        <w:lastRenderedPageBreak/>
        <w:t>primeira experiência com o novo mestre ocorreu na cidade de Hamburgo, prosseguindo-se em uma turnê através da Rússia ao longo do ano de 1802.</w:t>
      </w:r>
      <w:r>
        <w:rPr>
          <w:rStyle w:val="Refdenotaderodap"/>
          <w:szCs w:val="24"/>
        </w:rPr>
        <w:footnoteReference w:id="14"/>
      </w:r>
      <w:r>
        <w:rPr>
          <w:szCs w:val="24"/>
        </w:rPr>
        <w:t xml:space="preserve"> Nessa ocasião, ainda que oriundo da Escola de </w:t>
      </w:r>
      <w:proofErr w:type="spellStart"/>
      <w:r>
        <w:rPr>
          <w:szCs w:val="24"/>
        </w:rPr>
        <w:t>Manheim</w:t>
      </w:r>
      <w:proofErr w:type="spellEnd"/>
      <w:r>
        <w:rPr>
          <w:rStyle w:val="Refdenotaderodap"/>
          <w:szCs w:val="24"/>
        </w:rPr>
        <w:footnoteReference w:id="15"/>
      </w:r>
      <w:r>
        <w:rPr>
          <w:szCs w:val="24"/>
        </w:rPr>
        <w:t xml:space="preserve">, </w:t>
      </w:r>
      <w:proofErr w:type="spellStart"/>
      <w:r>
        <w:rPr>
          <w:szCs w:val="24"/>
        </w:rPr>
        <w:t>Eck</w:t>
      </w:r>
      <w:proofErr w:type="spellEnd"/>
      <w:r>
        <w:rPr>
          <w:szCs w:val="24"/>
        </w:rPr>
        <w:t xml:space="preserve"> aconselha Spohr a adquirir um </w:t>
      </w:r>
      <w:r>
        <w:rPr>
          <w:i/>
          <w:szCs w:val="24"/>
        </w:rPr>
        <w:t xml:space="preserve">Arco </w:t>
      </w:r>
      <w:proofErr w:type="spellStart"/>
      <w:r>
        <w:rPr>
          <w:i/>
          <w:szCs w:val="24"/>
        </w:rPr>
        <w:t>Tourte</w:t>
      </w:r>
      <w:proofErr w:type="spellEnd"/>
      <w:r>
        <w:rPr>
          <w:szCs w:val="24"/>
        </w:rPr>
        <w:t xml:space="preserve">, utilizado no Conservatório de Paris, ao invés do </w:t>
      </w:r>
      <w:r>
        <w:rPr>
          <w:i/>
          <w:szCs w:val="24"/>
        </w:rPr>
        <w:t>Arco Cramer</w:t>
      </w:r>
      <w:r>
        <w:rPr>
          <w:szCs w:val="24"/>
        </w:rPr>
        <w:t xml:space="preserve">, característico entre os violinistas germânicos (KÖPP, 2015). Tal escolha de modelo de arco se vinculava às características estilísticas dos violinistas franceses, distintas das correntes italianas e germânicas nas primeiras décadas daquele século, como descrito pelo </w:t>
      </w:r>
      <w:r>
        <w:rPr>
          <w:i/>
          <w:szCs w:val="24"/>
        </w:rPr>
        <w:t>Jornal musical geral,</w:t>
      </w:r>
      <w:r>
        <w:rPr>
          <w:szCs w:val="24"/>
        </w:rPr>
        <w:t xml:space="preserve"> </w:t>
      </w:r>
      <w:r>
        <w:t>no ano de 1811:</w:t>
      </w:r>
      <w:r>
        <w:rPr>
          <w:szCs w:val="24"/>
        </w:rPr>
        <w:t xml:space="preserve"> </w:t>
      </w:r>
    </w:p>
    <w:p w14:paraId="7AE739EB" w14:textId="77777777" w:rsidR="001F49FD" w:rsidRDefault="001F49FD">
      <w:pPr>
        <w:pStyle w:val="Recuodecorpodetexto"/>
        <w:spacing w:line="240" w:lineRule="auto"/>
        <w:ind w:left="2268" w:firstLine="0"/>
        <w:rPr>
          <w:b/>
          <w:sz w:val="20"/>
          <w:szCs w:val="20"/>
        </w:rPr>
      </w:pPr>
    </w:p>
    <w:p w14:paraId="13A5F57E" w14:textId="77777777" w:rsidR="001F49FD" w:rsidRDefault="001F49FD">
      <w:pPr>
        <w:pStyle w:val="Recuodecorpodetexto"/>
        <w:spacing w:line="240" w:lineRule="auto"/>
        <w:ind w:left="2268" w:firstLine="0"/>
        <w:rPr>
          <w:b/>
          <w:sz w:val="20"/>
          <w:szCs w:val="20"/>
        </w:rPr>
      </w:pPr>
    </w:p>
    <w:p w14:paraId="60C7A5D5" w14:textId="77777777" w:rsidR="001F49FD" w:rsidRDefault="00611419">
      <w:pPr>
        <w:pStyle w:val="Recuodecorpodetexto"/>
        <w:spacing w:line="240" w:lineRule="auto"/>
        <w:ind w:left="2268" w:firstLine="0"/>
        <w:rPr>
          <w:sz w:val="20"/>
          <w:szCs w:val="20"/>
        </w:rPr>
      </w:pPr>
      <w:r>
        <w:rPr>
          <w:b/>
          <w:sz w:val="20"/>
          <w:szCs w:val="20"/>
        </w:rPr>
        <w:t>Escola Viotti</w:t>
      </w:r>
      <w:r>
        <w:rPr>
          <w:sz w:val="20"/>
          <w:szCs w:val="20"/>
        </w:rPr>
        <w:t>:</w:t>
      </w:r>
    </w:p>
    <w:p w14:paraId="6631CC05" w14:textId="77777777" w:rsidR="001F49FD" w:rsidRDefault="00611419">
      <w:pPr>
        <w:pStyle w:val="Recuodecorpodetexto"/>
        <w:spacing w:line="240" w:lineRule="auto"/>
        <w:ind w:left="2268" w:firstLine="0"/>
        <w:rPr>
          <w:sz w:val="20"/>
          <w:szCs w:val="20"/>
        </w:rPr>
      </w:pPr>
      <w:r>
        <w:rPr>
          <w:sz w:val="20"/>
          <w:szCs w:val="20"/>
        </w:rPr>
        <w:t>1. Sonoridade ampla, potente, densa.</w:t>
      </w:r>
    </w:p>
    <w:p w14:paraId="1F6CCE62" w14:textId="77777777" w:rsidR="001F49FD" w:rsidRDefault="00611419">
      <w:pPr>
        <w:pStyle w:val="Recuodecorpodetexto"/>
        <w:spacing w:line="240" w:lineRule="auto"/>
        <w:ind w:left="2268" w:firstLine="0"/>
        <w:rPr>
          <w:sz w:val="20"/>
          <w:szCs w:val="20"/>
        </w:rPr>
      </w:pPr>
      <w:r>
        <w:rPr>
          <w:sz w:val="20"/>
          <w:szCs w:val="20"/>
        </w:rPr>
        <w:t>2. Fusão de uma poderosa, intensa emissão lindamente conjugada.</w:t>
      </w:r>
    </w:p>
    <w:p w14:paraId="2C365507" w14:textId="77777777" w:rsidR="001F49FD" w:rsidRDefault="00611419">
      <w:pPr>
        <w:pStyle w:val="Recuodecorpodetexto"/>
        <w:spacing w:line="240" w:lineRule="auto"/>
        <w:ind w:left="2268" w:firstLine="0"/>
        <w:rPr>
          <w:sz w:val="20"/>
          <w:szCs w:val="20"/>
        </w:rPr>
      </w:pPr>
      <w:r>
        <w:rPr>
          <w:sz w:val="20"/>
          <w:szCs w:val="20"/>
        </w:rPr>
        <w:t>3. Diversidade, estímulo, luz e sombra através dos mais diversos golpes de arco.</w:t>
      </w:r>
    </w:p>
    <w:p w14:paraId="3B68B5B3" w14:textId="77777777" w:rsidR="001F49FD" w:rsidRDefault="001F49FD">
      <w:pPr>
        <w:pStyle w:val="Recuodecorpodetexto"/>
        <w:spacing w:line="240" w:lineRule="auto"/>
        <w:ind w:left="2268" w:firstLine="0"/>
        <w:rPr>
          <w:sz w:val="20"/>
          <w:szCs w:val="20"/>
        </w:rPr>
      </w:pPr>
    </w:p>
    <w:p w14:paraId="3B0F6ACC" w14:textId="77777777" w:rsidR="001F49FD" w:rsidRDefault="00611419">
      <w:pPr>
        <w:pStyle w:val="Recuodecorpodetexto"/>
        <w:spacing w:line="240" w:lineRule="auto"/>
        <w:ind w:left="2268" w:firstLine="0"/>
        <w:rPr>
          <w:sz w:val="20"/>
          <w:szCs w:val="20"/>
        </w:rPr>
      </w:pPr>
      <w:proofErr w:type="spellStart"/>
      <w:r>
        <w:rPr>
          <w:b/>
          <w:sz w:val="20"/>
          <w:szCs w:val="20"/>
        </w:rPr>
        <w:t>Lolli</w:t>
      </w:r>
      <w:proofErr w:type="spellEnd"/>
      <w:r>
        <w:rPr>
          <w:b/>
          <w:sz w:val="20"/>
          <w:szCs w:val="20"/>
        </w:rPr>
        <w:t xml:space="preserve"> e a nova Escola italiana, também predominante na Alemanha</w:t>
      </w:r>
      <w:r>
        <w:rPr>
          <w:sz w:val="20"/>
          <w:szCs w:val="20"/>
        </w:rPr>
        <w:t>:</w:t>
      </w:r>
    </w:p>
    <w:p w14:paraId="5980D49F" w14:textId="77777777" w:rsidR="001F49FD" w:rsidRDefault="00611419">
      <w:pPr>
        <w:pStyle w:val="Recuodecorpodetexto"/>
        <w:spacing w:line="240" w:lineRule="auto"/>
        <w:ind w:left="2268" w:firstLine="0"/>
        <w:rPr>
          <w:sz w:val="20"/>
          <w:szCs w:val="20"/>
        </w:rPr>
      </w:pPr>
      <w:r>
        <w:rPr>
          <w:sz w:val="20"/>
          <w:szCs w:val="20"/>
        </w:rPr>
        <w:t>1. Sonoridade agradável.</w:t>
      </w:r>
    </w:p>
    <w:p w14:paraId="3E69C0A9" w14:textId="77777777" w:rsidR="001F49FD" w:rsidRDefault="00611419">
      <w:pPr>
        <w:pStyle w:val="Recuodecorpodetexto"/>
        <w:spacing w:line="240" w:lineRule="auto"/>
        <w:ind w:left="2268" w:firstLine="0"/>
        <w:rPr>
          <w:sz w:val="20"/>
          <w:szCs w:val="20"/>
        </w:rPr>
      </w:pPr>
      <w:r>
        <w:rPr>
          <w:sz w:val="20"/>
          <w:szCs w:val="20"/>
        </w:rPr>
        <w:t>2. Grande leveza e destreza.</w:t>
      </w:r>
    </w:p>
    <w:p w14:paraId="7A10F89F" w14:textId="77777777" w:rsidR="001F49FD" w:rsidRDefault="00611419">
      <w:pPr>
        <w:pStyle w:val="Recuodecorpodetexto"/>
        <w:spacing w:line="240" w:lineRule="auto"/>
        <w:ind w:left="2268" w:firstLine="0"/>
        <w:rPr>
          <w:sz w:val="20"/>
          <w:szCs w:val="20"/>
        </w:rPr>
      </w:pPr>
      <w:r>
        <w:rPr>
          <w:sz w:val="20"/>
          <w:szCs w:val="20"/>
        </w:rPr>
        <w:t>3. Graciosidade, bravura e todos os tipos de magia (AMZ, 1811).</w:t>
      </w:r>
    </w:p>
    <w:p w14:paraId="781ED4CF" w14:textId="77777777" w:rsidR="001F49FD" w:rsidRDefault="001F49FD">
      <w:pPr>
        <w:pStyle w:val="Recuodecorpodetexto"/>
        <w:ind w:left="283" w:firstLine="0"/>
        <w:rPr>
          <w:sz w:val="20"/>
          <w:szCs w:val="20"/>
        </w:rPr>
      </w:pPr>
    </w:p>
    <w:p w14:paraId="51D6FC83" w14:textId="77777777" w:rsidR="001F49FD" w:rsidRDefault="00611419" w:rsidP="00144078">
      <w:pPr>
        <w:pStyle w:val="Recuodecorpodetexto"/>
        <w:ind w:firstLine="709"/>
        <w:rPr>
          <w:szCs w:val="24"/>
        </w:rPr>
      </w:pPr>
      <w:r>
        <w:rPr>
          <w:szCs w:val="24"/>
        </w:rPr>
        <w:t xml:space="preserve">No ano seguinte, ao voltar para Brunswick, Spohr assiste aos concertos de Pierre Rode, por quem relata ter sido fortemente influenciado: </w:t>
      </w:r>
    </w:p>
    <w:p w14:paraId="3FA21C69" w14:textId="393DC54C" w:rsidR="001F49FD" w:rsidRDefault="00611419">
      <w:pPr>
        <w:pStyle w:val="Primeirorecuodecorpodetexto2"/>
        <w:spacing w:line="240" w:lineRule="auto"/>
        <w:ind w:left="2268" w:firstLine="0"/>
        <w:rPr>
          <w:rFonts w:ascii="Times New Roman" w:hAnsi="Times New Roman" w:cs="Times New Roman"/>
          <w:sz w:val="20"/>
          <w:szCs w:val="20"/>
          <w:vertAlign w:val="superscript"/>
        </w:rPr>
      </w:pPr>
      <w:r>
        <w:rPr>
          <w:sz w:val="20"/>
          <w:szCs w:val="20"/>
        </w:rPr>
        <w:t xml:space="preserve">Quanto mais eu o ouvia, mais eu era atraído por sua forma de tocar. Sim! Rapidamente, eu não hesitei em absorver o estilo </w:t>
      </w:r>
      <w:proofErr w:type="gramStart"/>
      <w:r>
        <w:rPr>
          <w:sz w:val="20"/>
          <w:szCs w:val="20"/>
        </w:rPr>
        <w:t>de Rode</w:t>
      </w:r>
      <w:proofErr w:type="gramEnd"/>
      <w:r>
        <w:rPr>
          <w:sz w:val="20"/>
          <w:szCs w:val="20"/>
        </w:rPr>
        <w:t>, que ainda refletia todo o brilhantismo do seu mestre</w:t>
      </w:r>
      <w:r w:rsidR="009238A0">
        <w:rPr>
          <w:sz w:val="20"/>
          <w:szCs w:val="20"/>
        </w:rPr>
        <w:t>,</w:t>
      </w:r>
      <w:r>
        <w:rPr>
          <w:sz w:val="20"/>
          <w:szCs w:val="20"/>
        </w:rPr>
        <w:t xml:space="preserve"> Viotti, muito acima do meu professor, </w:t>
      </w:r>
      <w:proofErr w:type="spellStart"/>
      <w:r>
        <w:rPr>
          <w:sz w:val="20"/>
          <w:szCs w:val="20"/>
        </w:rPr>
        <w:t>Eck</w:t>
      </w:r>
      <w:proofErr w:type="spellEnd"/>
      <w:r>
        <w:rPr>
          <w:sz w:val="20"/>
          <w:szCs w:val="20"/>
        </w:rPr>
        <w:t xml:space="preserve">. E apliquei-me disciplinadamente a adquirir ao máximo seu estilo, ao estudar cuidadosamente as composições </w:t>
      </w:r>
      <w:proofErr w:type="gramStart"/>
      <w:r>
        <w:rPr>
          <w:sz w:val="20"/>
          <w:szCs w:val="20"/>
        </w:rPr>
        <w:t>de Rode</w:t>
      </w:r>
      <w:proofErr w:type="gramEnd"/>
      <w:r>
        <w:rPr>
          <w:sz w:val="20"/>
          <w:szCs w:val="20"/>
        </w:rPr>
        <w:t xml:space="preserve">, que ouvi tocar em salões e em concertos privados. Nisso eu não fui nem um pouco </w:t>
      </w:r>
      <w:proofErr w:type="gramStart"/>
      <w:r>
        <w:rPr>
          <w:sz w:val="20"/>
          <w:szCs w:val="20"/>
        </w:rPr>
        <w:t>mal sucedido</w:t>
      </w:r>
      <w:proofErr w:type="gramEnd"/>
      <w:r>
        <w:rPr>
          <w:sz w:val="20"/>
          <w:szCs w:val="20"/>
        </w:rPr>
        <w:t xml:space="preserve"> e, até eu ter formado paulatinamente um estilo próprio, eu era, dentre todos os jovens violinistas da época, o mais fiel imitador </w:t>
      </w:r>
      <w:proofErr w:type="gramStart"/>
      <w:r>
        <w:rPr>
          <w:sz w:val="20"/>
          <w:szCs w:val="20"/>
        </w:rPr>
        <w:t>de Rode</w:t>
      </w:r>
      <w:proofErr w:type="gramEnd"/>
      <w:r>
        <w:rPr>
          <w:sz w:val="20"/>
          <w:szCs w:val="20"/>
        </w:rPr>
        <w:t xml:space="preserve"> (S</w:t>
      </w:r>
      <w:r w:rsidR="009238A0">
        <w:rPr>
          <w:sz w:val="20"/>
          <w:szCs w:val="20"/>
        </w:rPr>
        <w:t>pohr</w:t>
      </w:r>
      <w:r>
        <w:rPr>
          <w:sz w:val="20"/>
          <w:szCs w:val="20"/>
        </w:rPr>
        <w:t xml:space="preserve">, 1878, </w:t>
      </w:r>
      <w:r>
        <w:rPr>
          <w:i/>
          <w:sz w:val="20"/>
          <w:szCs w:val="20"/>
        </w:rPr>
        <w:t>apud</w:t>
      </w:r>
      <w:r>
        <w:rPr>
          <w:sz w:val="20"/>
          <w:szCs w:val="20"/>
        </w:rPr>
        <w:t xml:space="preserve"> B</w:t>
      </w:r>
      <w:r w:rsidR="009238A0">
        <w:rPr>
          <w:sz w:val="20"/>
          <w:szCs w:val="20"/>
        </w:rPr>
        <w:t>rown</w:t>
      </w:r>
      <w:r>
        <w:rPr>
          <w:sz w:val="20"/>
          <w:szCs w:val="20"/>
        </w:rPr>
        <w:t>, 1984, p. 23).</w:t>
      </w:r>
    </w:p>
    <w:p w14:paraId="4928B46C" w14:textId="77777777" w:rsidR="001F49FD" w:rsidRDefault="001F49FD">
      <w:pPr>
        <w:pStyle w:val="Primeirorecuodecorpodetexto2"/>
        <w:ind w:left="0" w:firstLine="0"/>
        <w:rPr>
          <w:rFonts w:ascii="Times New Roman" w:hAnsi="Times New Roman" w:cs="Times New Roman"/>
          <w:b/>
          <w:sz w:val="20"/>
          <w:szCs w:val="20"/>
        </w:rPr>
      </w:pPr>
    </w:p>
    <w:p w14:paraId="399E69A1" w14:textId="717B5D9C" w:rsidR="001F49FD" w:rsidRDefault="00611419" w:rsidP="00144078">
      <w:pPr>
        <w:pStyle w:val="Primeirorecuodecorpodetexto2"/>
        <w:ind w:left="0" w:firstLine="709"/>
        <w:rPr>
          <w:rFonts w:ascii="Times New Roman" w:hAnsi="Times New Roman" w:cs="Times New Roman"/>
          <w:szCs w:val="24"/>
        </w:rPr>
      </w:pPr>
      <w:r>
        <w:rPr>
          <w:rFonts w:cs="Times New Roman"/>
          <w:szCs w:val="24"/>
        </w:rPr>
        <w:t xml:space="preserve">A influência </w:t>
      </w:r>
      <w:proofErr w:type="gramStart"/>
      <w:r>
        <w:rPr>
          <w:rFonts w:cs="Times New Roman"/>
          <w:szCs w:val="24"/>
        </w:rPr>
        <w:t>de</w:t>
      </w:r>
      <w:r w:rsidR="009238A0">
        <w:rPr>
          <w:rFonts w:cs="Times New Roman"/>
          <w:szCs w:val="24"/>
        </w:rPr>
        <w:t xml:space="preserve"> </w:t>
      </w:r>
      <w:r>
        <w:rPr>
          <w:rFonts w:cs="Times New Roman"/>
          <w:szCs w:val="24"/>
        </w:rPr>
        <w:t>Rode</w:t>
      </w:r>
      <w:proofErr w:type="gramEnd"/>
      <w:r>
        <w:rPr>
          <w:rFonts w:cs="Times New Roman"/>
          <w:szCs w:val="24"/>
        </w:rPr>
        <w:t xml:space="preserve"> foi determinante tanto enquanto violinista como compositor. E aqui cabe ressaltar que, ao longo da vida, Spohr não foi somente celebrado por sua excepcional qualidade como instrumentista (como veio a ser reconhecido historicamente), mas também como um dos mais promissores compositores de seu tempo: </w:t>
      </w:r>
    </w:p>
    <w:p w14:paraId="6E6ECBA4" w14:textId="4B20EA9B" w:rsidR="001F49FD" w:rsidRDefault="00611419" w:rsidP="00144078">
      <w:pPr>
        <w:pStyle w:val="Primeirorecuodecorpodetexto2"/>
        <w:spacing w:line="240" w:lineRule="auto"/>
        <w:ind w:left="2268" w:firstLine="0"/>
        <w:rPr>
          <w:rFonts w:ascii="Times New Roman" w:hAnsi="Times New Roman" w:cs="Times New Roman"/>
          <w:sz w:val="20"/>
          <w:szCs w:val="20"/>
        </w:rPr>
      </w:pPr>
      <w:r>
        <w:rPr>
          <w:rFonts w:cs="Times New Roman"/>
          <w:sz w:val="20"/>
          <w:szCs w:val="20"/>
        </w:rPr>
        <w:t>Beethoven, o mestre rei da composição, príncipe da genialidade (como Dante na poesia), excelente em todas as profundas e sombrias concepções da ideia musical, nas quais ninguém poderia competir, admirável em todas as suaves efusões da composição; (…) Ele era alma na alma, ainda que esse grande e sombrio gênio não tenha sido tão universalmente apreciado como Mozart, provavelmente porque suas obras eram científicas demais para serem compreendidas por todos; mas ele era a adoração de muitos e reexiste nesse momento no sublime Spohr (B</w:t>
      </w:r>
      <w:r w:rsidR="009238A0">
        <w:rPr>
          <w:rFonts w:cs="Times New Roman"/>
          <w:sz w:val="20"/>
          <w:szCs w:val="20"/>
        </w:rPr>
        <w:t>uckley</w:t>
      </w:r>
      <w:r>
        <w:rPr>
          <w:rFonts w:cs="Times New Roman"/>
          <w:sz w:val="20"/>
          <w:szCs w:val="20"/>
        </w:rPr>
        <w:t xml:space="preserve"> </w:t>
      </w:r>
      <w:r>
        <w:rPr>
          <w:rFonts w:cs="Times New Roman"/>
          <w:i/>
          <w:sz w:val="20"/>
          <w:szCs w:val="20"/>
        </w:rPr>
        <w:t xml:space="preserve">apud </w:t>
      </w:r>
      <w:r>
        <w:rPr>
          <w:rFonts w:cs="Times New Roman"/>
          <w:sz w:val="20"/>
          <w:szCs w:val="20"/>
        </w:rPr>
        <w:t>B</w:t>
      </w:r>
      <w:r w:rsidR="009238A0">
        <w:rPr>
          <w:rFonts w:cs="Times New Roman"/>
          <w:sz w:val="20"/>
          <w:szCs w:val="20"/>
        </w:rPr>
        <w:t>rown</w:t>
      </w:r>
      <w:r>
        <w:rPr>
          <w:rFonts w:cs="Times New Roman"/>
          <w:sz w:val="20"/>
          <w:szCs w:val="20"/>
        </w:rPr>
        <w:t xml:space="preserve">, p. 1, 1984).                                                             </w:t>
      </w:r>
    </w:p>
    <w:p w14:paraId="2B874D63" w14:textId="10D9FB40" w:rsidR="001F49FD" w:rsidRDefault="00611419" w:rsidP="00144078">
      <w:pPr>
        <w:pStyle w:val="Primeirorecuodecorpodetexto2"/>
        <w:ind w:left="0" w:firstLine="709"/>
        <w:rPr>
          <w:szCs w:val="24"/>
        </w:rPr>
      </w:pPr>
      <w:r>
        <w:rPr>
          <w:rFonts w:cs="Times New Roman"/>
          <w:szCs w:val="24"/>
        </w:rPr>
        <w:lastRenderedPageBreak/>
        <w:t xml:space="preserve">A </w:t>
      </w:r>
      <w:proofErr w:type="spellStart"/>
      <w:r>
        <w:rPr>
          <w:rFonts w:cs="Times New Roman"/>
          <w:i/>
          <w:szCs w:val="24"/>
        </w:rPr>
        <w:t>Violinschule</w:t>
      </w:r>
      <w:proofErr w:type="spellEnd"/>
      <w:r>
        <w:rPr>
          <w:rFonts w:cs="Times New Roman"/>
          <w:i/>
          <w:szCs w:val="24"/>
        </w:rPr>
        <w:t xml:space="preserve"> </w:t>
      </w:r>
      <w:r>
        <w:rPr>
          <w:rFonts w:cs="Times New Roman"/>
          <w:szCs w:val="24"/>
        </w:rPr>
        <w:t>foi</w:t>
      </w:r>
      <w:r>
        <w:rPr>
          <w:rFonts w:cs="Times New Roman"/>
          <w:i/>
          <w:szCs w:val="24"/>
        </w:rPr>
        <w:t xml:space="preserve"> </w:t>
      </w:r>
      <w:r>
        <w:rPr>
          <w:szCs w:val="24"/>
        </w:rPr>
        <w:t xml:space="preserve">confeccionada no ano em que uma série de dramas pessoais </w:t>
      </w:r>
      <w:r w:rsidR="009238A0">
        <w:rPr>
          <w:szCs w:val="24"/>
        </w:rPr>
        <w:t>lhe dificultou</w:t>
      </w:r>
      <w:r>
        <w:rPr>
          <w:szCs w:val="24"/>
        </w:rPr>
        <w:t xml:space="preserve"> a atividade da composição. Assim, Spohr leva a cabo seu antigo projeto de elaborar um método para violino. Logo após sua publicação, a qualidade do método é exaltada no </w:t>
      </w:r>
      <w:r>
        <w:rPr>
          <w:i/>
          <w:szCs w:val="24"/>
        </w:rPr>
        <w:t>Jornal do Teatro de Viena</w:t>
      </w:r>
      <w:r>
        <w:rPr>
          <w:szCs w:val="24"/>
        </w:rPr>
        <w:t>:</w:t>
      </w:r>
    </w:p>
    <w:p w14:paraId="00B09DB8" w14:textId="5ECF850E" w:rsidR="001F49FD" w:rsidRDefault="00611419">
      <w:pPr>
        <w:pStyle w:val="Primeirorecuodecorpodetexto2"/>
        <w:spacing w:line="240" w:lineRule="auto"/>
        <w:ind w:left="2268" w:firstLine="0"/>
        <w:rPr>
          <w:rFonts w:ascii="Times New Roman" w:hAnsi="Times New Roman" w:cs="Times New Roman"/>
          <w:sz w:val="20"/>
          <w:szCs w:val="20"/>
        </w:rPr>
      </w:pPr>
      <w:r>
        <w:rPr>
          <w:rFonts w:cs="Times New Roman"/>
          <w:sz w:val="20"/>
          <w:szCs w:val="20"/>
        </w:rPr>
        <w:t>Foi necessária a mente penetrante e pesquisadora de um Spohr, que supera em toda a cultura científica os autores de todas as escolas existentes, para condensar em ordem sistemática um ramo tão importante da arte, que há dois séculos vem adquirindo forma (B</w:t>
      </w:r>
      <w:r w:rsidR="009238A0">
        <w:rPr>
          <w:rFonts w:cs="Times New Roman"/>
          <w:sz w:val="20"/>
          <w:szCs w:val="20"/>
        </w:rPr>
        <w:t>rown</w:t>
      </w:r>
      <w:r>
        <w:rPr>
          <w:rFonts w:cs="Times New Roman"/>
          <w:sz w:val="20"/>
          <w:szCs w:val="20"/>
        </w:rPr>
        <w:t>, 1984, p. 214).</w:t>
      </w:r>
    </w:p>
    <w:p w14:paraId="129F4BA7" w14:textId="77777777" w:rsidR="001F49FD" w:rsidRDefault="001F49FD">
      <w:pPr>
        <w:pStyle w:val="Recuodecorpodetexto"/>
        <w:ind w:left="283" w:firstLine="0"/>
        <w:rPr>
          <w:sz w:val="20"/>
          <w:szCs w:val="20"/>
        </w:rPr>
      </w:pPr>
    </w:p>
    <w:p w14:paraId="0425F4CE" w14:textId="045790AC" w:rsidR="001F49FD" w:rsidRDefault="00611419" w:rsidP="00144078">
      <w:pPr>
        <w:pStyle w:val="Recuodecorpodetexto"/>
        <w:ind w:firstLine="709"/>
      </w:pPr>
      <w:r>
        <w:rPr>
          <w:iCs/>
        </w:rPr>
        <w:t xml:space="preserve">Nesse período a </w:t>
      </w:r>
      <w:r>
        <w:t xml:space="preserve">Alemanha ainda não era unificada e não havia uma instituição musical que representasse um polo centralizador comparável ao Conservatório de Paris. Portanto, </w:t>
      </w:r>
      <w:r>
        <w:rPr>
          <w:szCs w:val="24"/>
        </w:rPr>
        <w:t xml:space="preserve">a </w:t>
      </w:r>
      <w:proofErr w:type="spellStart"/>
      <w:r>
        <w:rPr>
          <w:i/>
          <w:szCs w:val="24"/>
        </w:rPr>
        <w:t>Violinschule</w:t>
      </w:r>
      <w:proofErr w:type="spellEnd"/>
      <w:r>
        <w:rPr>
          <w:i/>
          <w:szCs w:val="24"/>
        </w:rPr>
        <w:t xml:space="preserve"> </w:t>
      </w:r>
      <w:r>
        <w:rPr>
          <w:szCs w:val="24"/>
        </w:rPr>
        <w:t xml:space="preserve">não é fruto de uma encomenda institucional tal como </w:t>
      </w:r>
      <w:proofErr w:type="spellStart"/>
      <w:r>
        <w:rPr>
          <w:i/>
          <w:szCs w:val="24"/>
        </w:rPr>
        <w:t>L’Art</w:t>
      </w:r>
      <w:proofErr w:type="spellEnd"/>
      <w:r>
        <w:rPr>
          <w:i/>
          <w:szCs w:val="24"/>
        </w:rPr>
        <w:t xml:space="preserve"> </w:t>
      </w:r>
      <w:proofErr w:type="spellStart"/>
      <w:r>
        <w:rPr>
          <w:i/>
          <w:szCs w:val="24"/>
        </w:rPr>
        <w:t>du</w:t>
      </w:r>
      <w:proofErr w:type="spellEnd"/>
      <w:r>
        <w:rPr>
          <w:i/>
          <w:szCs w:val="24"/>
        </w:rPr>
        <w:t xml:space="preserve"> </w:t>
      </w:r>
      <w:proofErr w:type="spellStart"/>
      <w:r>
        <w:rPr>
          <w:i/>
          <w:szCs w:val="24"/>
        </w:rPr>
        <w:t>Violon</w:t>
      </w:r>
      <w:proofErr w:type="spellEnd"/>
      <w:r>
        <w:rPr>
          <w:szCs w:val="24"/>
        </w:rPr>
        <w:t>. O método é “</w:t>
      </w:r>
      <w:r>
        <w:t>Dedicado aos Conservatórios de Música da Europa” (S</w:t>
      </w:r>
      <w:r w:rsidR="009238A0">
        <w:t>pohr</w:t>
      </w:r>
      <w:r>
        <w:t>, 1832, p. 1).</w:t>
      </w:r>
    </w:p>
    <w:p w14:paraId="3F2D251E" w14:textId="77777777" w:rsidR="001F49FD" w:rsidRDefault="00611419" w:rsidP="00144078">
      <w:pPr>
        <w:pStyle w:val="Recuodecorpodetexto"/>
        <w:ind w:firstLine="709"/>
        <w:rPr>
          <w:szCs w:val="24"/>
        </w:rPr>
      </w:pPr>
      <w:r>
        <w:rPr>
          <w:szCs w:val="24"/>
        </w:rPr>
        <w:t xml:space="preserve">Apesar de </w:t>
      </w:r>
      <w:proofErr w:type="spellStart"/>
      <w:r>
        <w:rPr>
          <w:i/>
          <w:szCs w:val="24"/>
        </w:rPr>
        <w:t>Violinschule</w:t>
      </w:r>
      <w:proofErr w:type="spellEnd"/>
      <w:r>
        <w:rPr>
          <w:i/>
          <w:szCs w:val="24"/>
        </w:rPr>
        <w:t xml:space="preserve"> </w:t>
      </w:r>
      <w:r>
        <w:rPr>
          <w:szCs w:val="24"/>
        </w:rPr>
        <w:t xml:space="preserve">não apresentar um detalhamento dos elementos técnicos, tal como encontramos em </w:t>
      </w:r>
      <w:proofErr w:type="spellStart"/>
      <w:r>
        <w:rPr>
          <w:i/>
          <w:szCs w:val="24"/>
        </w:rPr>
        <w:t>L’Art</w:t>
      </w:r>
      <w:proofErr w:type="spellEnd"/>
      <w:r>
        <w:rPr>
          <w:i/>
          <w:szCs w:val="24"/>
        </w:rPr>
        <w:t xml:space="preserve"> </w:t>
      </w:r>
      <w:proofErr w:type="spellStart"/>
      <w:r>
        <w:rPr>
          <w:i/>
          <w:szCs w:val="24"/>
        </w:rPr>
        <w:t>du</w:t>
      </w:r>
      <w:proofErr w:type="spellEnd"/>
      <w:r>
        <w:rPr>
          <w:i/>
          <w:szCs w:val="24"/>
        </w:rPr>
        <w:t xml:space="preserve"> </w:t>
      </w:r>
      <w:proofErr w:type="spellStart"/>
      <w:r>
        <w:rPr>
          <w:i/>
          <w:szCs w:val="24"/>
        </w:rPr>
        <w:t>violon</w:t>
      </w:r>
      <w:proofErr w:type="spellEnd"/>
      <w:r>
        <w:rPr>
          <w:szCs w:val="24"/>
        </w:rPr>
        <w:t xml:space="preserve">, as inúmeras reedições posteriores demonstram o reconhecimento à importância do método. </w:t>
      </w:r>
    </w:p>
    <w:p w14:paraId="41F5BA6A" w14:textId="559BCC89" w:rsidR="001F49FD" w:rsidRDefault="00611419" w:rsidP="00144078">
      <w:pPr>
        <w:pStyle w:val="Pr-formataoHTML"/>
        <w:shd w:val="clear" w:color="auto" w:fill="FFFFFF"/>
        <w:spacing w:line="360" w:lineRule="auto"/>
        <w:ind w:firstLine="709"/>
        <w:rPr>
          <w:rFonts w:ascii="Times New Roman" w:hAnsi="Times New Roman" w:cs="Times New Roman"/>
          <w:sz w:val="24"/>
          <w:szCs w:val="24"/>
          <w:lang w:val="pt-PT"/>
        </w:rPr>
      </w:pPr>
      <w:r>
        <w:rPr>
          <w:rFonts w:ascii="Times New Roman" w:hAnsi="Times New Roman" w:cs="Times New Roman"/>
          <w:sz w:val="24"/>
          <w:szCs w:val="24"/>
          <w:lang w:val="pt-PT"/>
        </w:rPr>
        <w:t xml:space="preserve">Ao analisarmos dois métodos que sucederam </w:t>
      </w:r>
      <w:r>
        <w:rPr>
          <w:rFonts w:ascii="Times New Roman" w:hAnsi="Times New Roman" w:cs="Times New Roman"/>
          <w:i/>
          <w:sz w:val="24"/>
          <w:szCs w:val="24"/>
          <w:lang w:val="pt-PT"/>
        </w:rPr>
        <w:t>L’Art</w:t>
      </w:r>
      <w:r>
        <w:rPr>
          <w:rFonts w:ascii="Times New Roman" w:hAnsi="Times New Roman" w:cs="Times New Roman"/>
          <w:sz w:val="24"/>
          <w:szCs w:val="24"/>
          <w:lang w:val="pt-PT"/>
        </w:rPr>
        <w:t xml:space="preserve"> </w:t>
      </w:r>
      <w:r>
        <w:rPr>
          <w:rFonts w:ascii="Times New Roman" w:hAnsi="Times New Roman" w:cs="Times New Roman"/>
          <w:i/>
          <w:sz w:val="24"/>
          <w:szCs w:val="24"/>
          <w:lang w:val="pt-PT"/>
        </w:rPr>
        <w:t>du violon e Violinschule</w:t>
      </w:r>
      <w:r>
        <w:rPr>
          <w:rFonts w:ascii="Times New Roman" w:hAnsi="Times New Roman" w:cs="Times New Roman"/>
          <w:sz w:val="24"/>
          <w:szCs w:val="24"/>
          <w:lang w:val="pt-PT"/>
        </w:rPr>
        <w:t xml:space="preserve">, escritos por François-Antoine Habeneck, </w:t>
      </w:r>
      <w:r>
        <w:rPr>
          <w:rFonts w:ascii="Times New Roman" w:hAnsi="Times New Roman" w:cs="Times New Roman"/>
          <w:i/>
          <w:sz w:val="24"/>
          <w:szCs w:val="24"/>
          <w:lang w:val="pt-PT"/>
        </w:rPr>
        <w:t xml:space="preserve">Método teórico e prático do violino </w:t>
      </w:r>
      <w:r>
        <w:rPr>
          <w:rFonts w:ascii="Times New Roman" w:hAnsi="Times New Roman" w:cs="Times New Roman"/>
          <w:sz w:val="24"/>
          <w:szCs w:val="24"/>
          <w:lang w:val="pt-PT"/>
        </w:rPr>
        <w:t>(H</w:t>
      </w:r>
      <w:r w:rsidR="009238A0">
        <w:rPr>
          <w:rFonts w:ascii="Times New Roman" w:hAnsi="Times New Roman" w:cs="Times New Roman"/>
          <w:sz w:val="24"/>
          <w:szCs w:val="24"/>
          <w:lang w:val="pt-PT"/>
        </w:rPr>
        <w:t>abeneck</w:t>
      </w:r>
      <w:r>
        <w:rPr>
          <w:rFonts w:ascii="Times New Roman" w:hAnsi="Times New Roman" w:cs="Times New Roman"/>
          <w:sz w:val="24"/>
          <w:szCs w:val="24"/>
          <w:lang w:val="pt-PT"/>
        </w:rPr>
        <w:t xml:space="preserve">, 1842), e Alard, </w:t>
      </w:r>
      <w:r>
        <w:rPr>
          <w:rFonts w:ascii="Times New Roman" w:hAnsi="Times New Roman" w:cs="Times New Roman"/>
          <w:i/>
          <w:sz w:val="24"/>
          <w:szCs w:val="24"/>
          <w:lang w:val="pt-PT"/>
        </w:rPr>
        <w:t>Escola do violino – Método completo e progressivo para uso do Conservatório</w:t>
      </w:r>
      <w:r>
        <w:rPr>
          <w:rFonts w:ascii="Times New Roman" w:hAnsi="Times New Roman" w:cs="Times New Roman"/>
          <w:sz w:val="24"/>
          <w:szCs w:val="24"/>
          <w:lang w:val="pt-PT"/>
        </w:rPr>
        <w:t xml:space="preserve"> (A</w:t>
      </w:r>
      <w:r w:rsidR="009238A0">
        <w:rPr>
          <w:rFonts w:ascii="Times New Roman" w:hAnsi="Times New Roman" w:cs="Times New Roman"/>
          <w:sz w:val="24"/>
          <w:szCs w:val="24"/>
          <w:lang w:val="pt-PT"/>
        </w:rPr>
        <w:t>lard</w:t>
      </w:r>
      <w:r>
        <w:rPr>
          <w:rFonts w:ascii="Times New Roman" w:hAnsi="Times New Roman" w:cs="Times New Roman"/>
          <w:sz w:val="24"/>
          <w:szCs w:val="24"/>
          <w:lang w:val="pt-PT"/>
        </w:rPr>
        <w:t>, 1844), percebemos a conformidade com os principais conceitos presentes nas obras de Baillot e de Spohr, além da semelhança das imagens e da ordenação dos tópicos.</w:t>
      </w:r>
    </w:p>
    <w:p w14:paraId="0AFD53D2" w14:textId="3CF290C9" w:rsidR="001F49FD" w:rsidRDefault="00611419" w:rsidP="00144078">
      <w:pPr>
        <w:pStyle w:val="Pr-formataoHTML"/>
        <w:shd w:val="clear" w:color="auto" w:fill="FFFFFF"/>
        <w:spacing w:line="360" w:lineRule="auto"/>
        <w:ind w:firstLine="709"/>
        <w:rPr>
          <w:rFonts w:ascii="Times New Roman" w:hAnsi="Times New Roman" w:cs="Times New Roman"/>
          <w:b/>
          <w:sz w:val="24"/>
          <w:szCs w:val="24"/>
          <w:lang w:val="pt-PT"/>
        </w:rPr>
      </w:pPr>
      <w:r>
        <w:rPr>
          <w:rFonts w:ascii="Times New Roman" w:hAnsi="Times New Roman" w:cs="Times New Roman"/>
          <w:sz w:val="24"/>
          <w:szCs w:val="24"/>
          <w:lang w:val="pt-PT"/>
        </w:rPr>
        <w:t xml:space="preserve">Em </w:t>
      </w:r>
      <w:r>
        <w:rPr>
          <w:rFonts w:ascii="Times New Roman" w:hAnsi="Times New Roman" w:cs="Times New Roman"/>
          <w:i/>
          <w:sz w:val="24"/>
          <w:szCs w:val="24"/>
          <w:lang w:val="pt-PT"/>
        </w:rPr>
        <w:t>Método teórico e prático do violino</w:t>
      </w:r>
      <w:r>
        <w:rPr>
          <w:rFonts w:ascii="Times New Roman" w:hAnsi="Times New Roman" w:cs="Times New Roman"/>
          <w:sz w:val="24"/>
          <w:szCs w:val="24"/>
          <w:lang w:val="pt-PT"/>
        </w:rPr>
        <w:t>, o único preceito técnico diferenciado trata do posicionamento do dedo polegar da mão esquerda: “O dedo polegar deve ser posicionado de forma que seu ponto central corresponda ao ponto que separa o 1º e o 2º dedo quando estes estão colocados sobre as notas lá e sib na 4ª corda</w:t>
      </w:r>
      <w:r>
        <w:rPr>
          <w:rFonts w:ascii="Times New Roman" w:hAnsi="Times New Roman" w:cs="Times New Roman"/>
          <w:sz w:val="24"/>
          <w:szCs w:val="24"/>
        </w:rPr>
        <w:t>” (</w:t>
      </w:r>
      <w:r w:rsidR="009238A0">
        <w:rPr>
          <w:rFonts w:ascii="Times New Roman" w:hAnsi="Times New Roman" w:cs="Times New Roman"/>
          <w:sz w:val="24"/>
          <w:szCs w:val="24"/>
          <w:lang w:val="pt-PT"/>
        </w:rPr>
        <w:t>Habeneck</w:t>
      </w:r>
      <w:r>
        <w:rPr>
          <w:rFonts w:ascii="Times New Roman" w:hAnsi="Times New Roman" w:cs="Times New Roman"/>
          <w:sz w:val="24"/>
          <w:szCs w:val="24"/>
        </w:rPr>
        <w:t>, 1842</w:t>
      </w:r>
      <w:r>
        <w:rPr>
          <w:rFonts w:ascii="Times New Roman" w:hAnsi="Times New Roman" w:cs="Times New Roman"/>
          <w:i/>
          <w:sz w:val="24"/>
          <w:szCs w:val="24"/>
        </w:rPr>
        <w:t xml:space="preserve">, </w:t>
      </w:r>
      <w:r>
        <w:rPr>
          <w:rFonts w:ascii="Times New Roman" w:hAnsi="Times New Roman" w:cs="Times New Roman"/>
          <w:sz w:val="24"/>
          <w:szCs w:val="24"/>
        </w:rPr>
        <w:t>p. 30).</w:t>
      </w:r>
      <w:r>
        <w:rPr>
          <w:rFonts w:ascii="Times New Roman" w:hAnsi="Times New Roman" w:cs="Times New Roman"/>
          <w:i/>
          <w:sz w:val="24"/>
          <w:szCs w:val="24"/>
        </w:rPr>
        <w:t xml:space="preserve"> </w:t>
      </w:r>
      <w:r>
        <w:rPr>
          <w:rFonts w:ascii="Times New Roman" w:hAnsi="Times New Roman" w:cs="Times New Roman"/>
          <w:sz w:val="24"/>
          <w:szCs w:val="24"/>
        </w:rPr>
        <w:t xml:space="preserve">Ademais, </w:t>
      </w:r>
      <w:r>
        <w:rPr>
          <w:rFonts w:ascii="Times New Roman" w:hAnsi="Times New Roman" w:cs="Times New Roman"/>
          <w:sz w:val="24"/>
          <w:szCs w:val="24"/>
          <w:lang w:val="pt-PT"/>
        </w:rPr>
        <w:t>a obra de Habeneck possui a particularidade de ser permeada de registros de Viotti,</w:t>
      </w:r>
      <w:r>
        <w:rPr>
          <w:rStyle w:val="Refdenotaderodap"/>
          <w:rFonts w:ascii="Times New Roman" w:hAnsi="Times New Roman" w:cs="Times New Roman"/>
          <w:sz w:val="24"/>
          <w:szCs w:val="24"/>
          <w:lang w:val="pt-PT"/>
        </w:rPr>
        <w:footnoteReference w:id="16"/>
      </w:r>
      <w:r>
        <w:rPr>
          <w:rFonts w:ascii="Times New Roman" w:hAnsi="Times New Roman" w:cs="Times New Roman"/>
          <w:sz w:val="24"/>
          <w:szCs w:val="24"/>
          <w:lang w:val="pt-PT"/>
        </w:rPr>
        <w:t xml:space="preserve"> um material que Baillot relata em </w:t>
      </w:r>
      <w:r>
        <w:rPr>
          <w:rFonts w:ascii="Times New Roman" w:hAnsi="Times New Roman" w:cs="Times New Roman"/>
          <w:i/>
          <w:sz w:val="24"/>
          <w:szCs w:val="24"/>
          <w:lang w:val="pt-PT"/>
        </w:rPr>
        <w:t xml:space="preserve">L’Art </w:t>
      </w:r>
      <w:r>
        <w:rPr>
          <w:rFonts w:ascii="Times New Roman" w:hAnsi="Times New Roman" w:cs="Times New Roman"/>
          <w:sz w:val="24"/>
          <w:szCs w:val="24"/>
          <w:lang w:val="pt-PT"/>
        </w:rPr>
        <w:t xml:space="preserve">desconhecer quem o possuía, mas que seria um tesouro para toda aquela geração de violinistas. </w:t>
      </w:r>
    </w:p>
    <w:p w14:paraId="33855490" w14:textId="77777777" w:rsidR="001F49FD" w:rsidRDefault="00611419" w:rsidP="00144078">
      <w:pPr>
        <w:ind w:firstLine="709"/>
        <w:rPr>
          <w:rFonts w:ascii="Times New Roman" w:hAnsi="Times New Roman" w:cs="Times New Roman"/>
          <w:szCs w:val="24"/>
        </w:rPr>
      </w:pPr>
      <w:r>
        <w:rPr>
          <w:rFonts w:cs="Times New Roman"/>
          <w:szCs w:val="24"/>
          <w:lang w:val="pt-PT"/>
        </w:rPr>
        <w:t>Na obra de Alard</w:t>
      </w:r>
      <w:r>
        <w:rPr>
          <w:rFonts w:cs="Times New Roman"/>
          <w:i/>
          <w:szCs w:val="24"/>
          <w:lang w:val="pt-PT"/>
        </w:rPr>
        <w:t xml:space="preserve"> – Escola do violino </w:t>
      </w:r>
      <w:r>
        <w:rPr>
          <w:rFonts w:cs="Times New Roman"/>
          <w:szCs w:val="24"/>
          <w:lang w:val="pt-PT"/>
        </w:rPr>
        <w:t xml:space="preserve">– que estabelece sucintamente os tópicos, a indicação mais original refere-se à inclinação do arco, pouco comentada por seus contemporâneos: “Deve-se se pousar o arco, inclinando-o um pouco para o lado do espelho. No entanto, essa posição depende de diferentes golpes de arco, que precisam de mais ou menos crina, tais como o </w:t>
      </w:r>
      <w:r>
        <w:rPr>
          <w:rFonts w:cs="Times New Roman"/>
          <w:i/>
          <w:szCs w:val="24"/>
          <w:lang w:val="pt-PT"/>
        </w:rPr>
        <w:t>Détaché</w:t>
      </w:r>
      <w:r>
        <w:rPr>
          <w:rFonts w:cs="Times New Roman"/>
          <w:szCs w:val="24"/>
          <w:lang w:val="pt-PT"/>
        </w:rPr>
        <w:t xml:space="preserve">, o </w:t>
      </w:r>
      <w:r>
        <w:rPr>
          <w:rFonts w:cs="Times New Roman"/>
          <w:i/>
          <w:szCs w:val="24"/>
          <w:lang w:val="pt-PT"/>
        </w:rPr>
        <w:t>Martélé</w:t>
      </w:r>
      <w:r>
        <w:rPr>
          <w:rFonts w:cs="Times New Roman"/>
          <w:szCs w:val="24"/>
          <w:lang w:val="pt-PT"/>
        </w:rPr>
        <w:t xml:space="preserve">, o </w:t>
      </w:r>
      <w:r>
        <w:rPr>
          <w:rFonts w:cs="Times New Roman"/>
          <w:i/>
          <w:szCs w:val="24"/>
          <w:lang w:val="pt-PT"/>
        </w:rPr>
        <w:t>Sautillé</w:t>
      </w:r>
      <w:r>
        <w:rPr>
          <w:rFonts w:cs="Times New Roman"/>
          <w:szCs w:val="24"/>
          <w:lang w:val="pt-PT"/>
        </w:rPr>
        <w:t xml:space="preserve"> e o </w:t>
      </w:r>
      <w:r>
        <w:rPr>
          <w:rFonts w:cs="Times New Roman"/>
          <w:i/>
          <w:szCs w:val="24"/>
          <w:lang w:val="pt-PT"/>
        </w:rPr>
        <w:t>Trémolo</w:t>
      </w:r>
      <w:r>
        <w:rPr>
          <w:rFonts w:cs="Times New Roman"/>
          <w:szCs w:val="24"/>
          <w:lang w:val="pt-PT"/>
        </w:rPr>
        <w:t xml:space="preserve">” </w:t>
      </w:r>
      <w:r>
        <w:rPr>
          <w:rFonts w:cs="Times New Roman"/>
          <w:szCs w:val="24"/>
        </w:rPr>
        <w:t>(ALARD, 1844, p. 2).</w:t>
      </w:r>
    </w:p>
    <w:p w14:paraId="34E70DCF" w14:textId="076D459E" w:rsidR="00B14628" w:rsidRDefault="00611419" w:rsidP="0052458F">
      <w:pPr>
        <w:pStyle w:val="Pr-formataoHTML"/>
        <w:shd w:val="clear" w:color="auto" w:fill="FFFFFF"/>
        <w:spacing w:line="360" w:lineRule="auto"/>
        <w:ind w:firstLine="709"/>
        <w:rPr>
          <w:rFonts w:ascii="Times New Roman" w:hAnsi="Times New Roman" w:cs="Times New Roman"/>
          <w:sz w:val="24"/>
          <w:szCs w:val="24"/>
          <w:lang w:val="pt-PT"/>
        </w:rPr>
      </w:pPr>
      <w:r>
        <w:rPr>
          <w:rFonts w:ascii="Times New Roman" w:hAnsi="Times New Roman" w:cs="Times New Roman"/>
          <w:sz w:val="24"/>
          <w:szCs w:val="24"/>
        </w:rPr>
        <w:lastRenderedPageBreak/>
        <w:t xml:space="preserve">A exemplo dos métodos acima, a conformidade das demais obras surgidas nas décadas seguintes às publicações </w:t>
      </w:r>
      <w:proofErr w:type="gramStart"/>
      <w:r>
        <w:rPr>
          <w:rFonts w:ascii="Times New Roman" w:hAnsi="Times New Roman" w:cs="Times New Roman"/>
          <w:sz w:val="24"/>
          <w:szCs w:val="24"/>
        </w:rPr>
        <w:t xml:space="preserve">de </w:t>
      </w:r>
      <w:r>
        <w:rPr>
          <w:rFonts w:ascii="Times New Roman" w:hAnsi="Times New Roman" w:cs="Times New Roman"/>
          <w:sz w:val="24"/>
          <w:szCs w:val="24"/>
          <w:lang w:val="pt-PT"/>
        </w:rPr>
        <w:t xml:space="preserve"> </w:t>
      </w:r>
      <w:r>
        <w:rPr>
          <w:rFonts w:ascii="Times New Roman" w:hAnsi="Times New Roman" w:cs="Times New Roman"/>
          <w:i/>
          <w:sz w:val="24"/>
          <w:szCs w:val="24"/>
          <w:lang w:val="pt-PT"/>
        </w:rPr>
        <w:t>L’Art</w:t>
      </w:r>
      <w:proofErr w:type="gramEnd"/>
      <w:r>
        <w:rPr>
          <w:rFonts w:ascii="Times New Roman" w:hAnsi="Times New Roman" w:cs="Times New Roman"/>
          <w:sz w:val="24"/>
          <w:szCs w:val="24"/>
          <w:lang w:val="pt-PT"/>
        </w:rPr>
        <w:t xml:space="preserve"> e de </w:t>
      </w:r>
      <w:r>
        <w:rPr>
          <w:rFonts w:ascii="Times New Roman" w:hAnsi="Times New Roman" w:cs="Times New Roman"/>
          <w:i/>
          <w:sz w:val="24"/>
          <w:szCs w:val="24"/>
          <w:lang w:val="pt-PT"/>
        </w:rPr>
        <w:t>Violinschule</w:t>
      </w:r>
      <w:r>
        <w:rPr>
          <w:rFonts w:ascii="Times New Roman" w:hAnsi="Times New Roman" w:cs="Times New Roman"/>
          <w:sz w:val="24"/>
          <w:szCs w:val="24"/>
          <w:lang w:val="pt-PT"/>
        </w:rPr>
        <w:t xml:space="preserve"> confirmam que os registros de Baillot e Spohr codificam os parâmetros fundamentais da prática violinística da primeira metade do século XIX.</w:t>
      </w:r>
      <w:bookmarkStart w:id="36" w:name="_Toc484195685"/>
      <w:bookmarkStart w:id="37" w:name="_Toc522439229"/>
    </w:p>
    <w:p w14:paraId="22732A24" w14:textId="3CD8AC31" w:rsidR="001F49FD" w:rsidRDefault="00611419" w:rsidP="000A6E65">
      <w:pPr>
        <w:pStyle w:val="Ttulo3"/>
      </w:pPr>
      <w:bookmarkStart w:id="38" w:name="_Toc14331020"/>
      <w:bookmarkStart w:id="39" w:name="_Toc219359022"/>
      <w:r>
        <w:t>Principais preceitos do método de Spohr</w:t>
      </w:r>
      <w:bookmarkEnd w:id="36"/>
      <w:bookmarkEnd w:id="37"/>
      <w:bookmarkEnd w:id="38"/>
      <w:bookmarkEnd w:id="39"/>
    </w:p>
    <w:p w14:paraId="37247E4C" w14:textId="77777777" w:rsidR="001F49FD" w:rsidRDefault="00611419" w:rsidP="00144078">
      <w:pPr>
        <w:pStyle w:val="Saudao"/>
        <w:ind w:firstLine="709"/>
      </w:pPr>
      <w:r>
        <w:t xml:space="preserve">A </w:t>
      </w:r>
      <w:proofErr w:type="spellStart"/>
      <w:r>
        <w:rPr>
          <w:i/>
        </w:rPr>
        <w:t>Violinschule</w:t>
      </w:r>
      <w:proofErr w:type="spellEnd"/>
      <w:r>
        <w:t xml:space="preserve"> de Louis Spohr é dividida em três partes. A primeira apresenta aspectos relacionados à manufatura do instrumento. Na segunda parte constam as orientações relacionadas à postura corporal e aos mecanismos de execução, além de um extenso número de exercícios e de normas de teoria musical. A parte final é destinada aos aspectos estilísticos da performance.</w:t>
      </w:r>
      <w:r>
        <w:rPr>
          <w:b/>
        </w:rPr>
        <w:t xml:space="preserve"> </w:t>
      </w:r>
    </w:p>
    <w:p w14:paraId="0E0DED93" w14:textId="77777777" w:rsidR="001F49FD" w:rsidRDefault="00611419" w:rsidP="00144078">
      <w:pPr>
        <w:pStyle w:val="Recuodecorpodetexto"/>
        <w:ind w:firstLine="709"/>
      </w:pPr>
      <w:r>
        <w:t xml:space="preserve">Na primeira parte, no tópico intitulado </w:t>
      </w:r>
      <w:r>
        <w:rPr>
          <w:b/>
        </w:rPr>
        <w:t>Sobre a construção e as partes do violino</w:t>
      </w:r>
      <w:r>
        <w:t xml:space="preserve">, Spohr apresenta seu recém-criado utensílio a ser acoplado ao centro do instrumento e sobre o estandarte: a </w:t>
      </w:r>
      <w:proofErr w:type="spellStart"/>
      <w:r>
        <w:t>queixeira</w:t>
      </w:r>
      <w:proofErr w:type="spellEnd"/>
      <w:r>
        <w:t>, que se tornará, ao longo da primeira metade do século XX, indispensável para a sustentação do violino. Além da originalidade do objeto,</w:t>
      </w:r>
      <w:r>
        <w:rPr>
          <w:rStyle w:val="Refdenotaderodap"/>
          <w:rFonts w:cs="Times New Roman"/>
          <w:szCs w:val="24"/>
        </w:rPr>
        <w:footnoteReference w:id="17"/>
      </w:r>
      <w:r>
        <w:t xml:space="preserve"> é importante destacar que o autor justifica o seu uso em função do recente repertório, onde as trocas de posição se tornavam cada vez mais frequentes. Com tal consideração, Spohr contribui para a consolidação do conceito de estabilização do instrumento para uma performance adequada:</w:t>
      </w:r>
    </w:p>
    <w:p w14:paraId="475FCA36" w14:textId="77777777" w:rsidR="001F49FD" w:rsidRDefault="00611419">
      <w:pPr>
        <w:pStyle w:val="Primeirorecuodecorpodetexto2"/>
        <w:spacing w:line="240" w:lineRule="auto"/>
        <w:ind w:left="2268" w:firstLine="0"/>
        <w:rPr>
          <w:rFonts w:eastAsia="Times New Roman"/>
          <w:sz w:val="20"/>
          <w:szCs w:val="20"/>
          <w:lang w:val="pt-PT"/>
        </w:rPr>
      </w:pPr>
      <w:r>
        <w:rPr>
          <w:rFonts w:eastAsia="Times New Roman"/>
          <w:sz w:val="20"/>
          <w:szCs w:val="20"/>
          <w:lang w:val="pt-PT"/>
        </w:rPr>
        <w:t xml:space="preserve">O estilo moderno de tocar, no qual a mão esquerda muda tão freqüentemente sua posição, torna absolutamente necessário segurar firmemente o violino com o queixo. É muito difícil fazê-lo sem incômodo e sem curvar a cabeça, não importando se o queixo esteja colocado no lado direito ou esquerdo do estandarte, ou mesmo sobre o próprio estandarte. Além disso, ao recuar subitamente das posições superiores, estamos constantemente em perigo de o violino escorregar do pescoço ou, pelo menos, ao mover o instrumento, de perturbar a tranquilidade do arco. A queixeira remedia perfeitamente esses inconvenientes e, além de uma maneira firme e fácil de sustentar o violino, oferece uma vantagem adicional: a de não sermos mais obrigados, pela pressão do queixo sobre o tampo ou sobre o estandarte, ​​a obstruir as vibrações dessas partes, prejudicando a qualidade e o volume de som. (SPOHR, 1832, p. 6). </w:t>
      </w:r>
    </w:p>
    <w:p w14:paraId="40DD6118" w14:textId="77777777" w:rsidR="001F49FD" w:rsidRDefault="001F49FD">
      <w:pPr>
        <w:pStyle w:val="Recuodecorpodetexto"/>
        <w:ind w:left="283" w:firstLine="0"/>
      </w:pPr>
    </w:p>
    <w:p w14:paraId="07E2A9A4" w14:textId="77777777" w:rsidR="001F49FD" w:rsidRDefault="00611419">
      <w:pPr>
        <w:pStyle w:val="Recuodecorpodetexto"/>
        <w:tabs>
          <w:tab w:val="left" w:pos="1560"/>
        </w:tabs>
        <w:ind w:left="283" w:firstLine="0"/>
        <w:jc w:val="left"/>
      </w:pPr>
      <w:r>
        <w:t xml:space="preserve">                             </w:t>
      </w:r>
      <w:r>
        <w:rPr>
          <w:noProof/>
        </w:rPr>
        <w:drawing>
          <wp:inline distT="0" distB="0" distL="0" distR="0" wp14:anchorId="2D2E7A6F" wp14:editId="6B1BC82B">
            <wp:extent cx="3552825" cy="1285875"/>
            <wp:effectExtent l="0" t="0" r="0" b="0"/>
            <wp:docPr id="4" name="Imagem 9" descr="Resultado de imagem para spohr mÃ©thode de vi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9" descr="Resultado de imagem para spohr mÃ©thode de violon"/>
                    <pic:cNvPicPr>
                      <a:picLocks noChangeAspect="1" noChangeArrowheads="1"/>
                    </pic:cNvPicPr>
                  </pic:nvPicPr>
                  <pic:blipFill>
                    <a:blip r:embed="rId12"/>
                    <a:stretch>
                      <a:fillRect/>
                    </a:stretch>
                  </pic:blipFill>
                  <pic:spPr bwMode="auto">
                    <a:xfrm>
                      <a:off x="0" y="0"/>
                      <a:ext cx="3552825" cy="1285875"/>
                    </a:xfrm>
                    <a:prstGeom prst="rect">
                      <a:avLst/>
                    </a:prstGeom>
                  </pic:spPr>
                </pic:pic>
              </a:graphicData>
            </a:graphic>
          </wp:inline>
        </w:drawing>
      </w:r>
      <w:r>
        <w:t xml:space="preserve">           </w:t>
      </w:r>
    </w:p>
    <w:p w14:paraId="216349CA" w14:textId="75B285D6" w:rsidR="001F49FD" w:rsidRPr="0052458F" w:rsidRDefault="00611419" w:rsidP="0052458F">
      <w:pPr>
        <w:pStyle w:val="Recuodecorpodetexto"/>
        <w:ind w:left="283" w:firstLine="0"/>
        <w:jc w:val="center"/>
        <w:rPr>
          <w:b/>
        </w:rPr>
      </w:pPr>
      <w:r>
        <w:rPr>
          <w:b/>
          <w:sz w:val="20"/>
          <w:szCs w:val="20"/>
        </w:rPr>
        <w:t>Figura 4:</w:t>
      </w:r>
      <w:r>
        <w:rPr>
          <w:b/>
        </w:rPr>
        <w:t xml:space="preserve"> </w:t>
      </w:r>
      <w:proofErr w:type="spellStart"/>
      <w:r>
        <w:rPr>
          <w:sz w:val="20"/>
          <w:szCs w:val="20"/>
        </w:rPr>
        <w:t>queixeira</w:t>
      </w:r>
      <w:proofErr w:type="spellEnd"/>
      <w:r>
        <w:rPr>
          <w:sz w:val="20"/>
          <w:szCs w:val="20"/>
        </w:rPr>
        <w:t xml:space="preserve"> - </w:t>
      </w:r>
      <w:proofErr w:type="spellStart"/>
      <w:r>
        <w:rPr>
          <w:i/>
          <w:sz w:val="20"/>
          <w:szCs w:val="20"/>
        </w:rPr>
        <w:t>Violinschule</w:t>
      </w:r>
      <w:proofErr w:type="spellEnd"/>
      <w:r>
        <w:rPr>
          <w:sz w:val="20"/>
          <w:szCs w:val="20"/>
        </w:rPr>
        <w:t xml:space="preserve"> (SPOHR, 1832, p. 3).</w:t>
      </w:r>
    </w:p>
    <w:p w14:paraId="7912A15F" w14:textId="77777777" w:rsidR="001F49FD" w:rsidRDefault="00611419" w:rsidP="00144078">
      <w:pPr>
        <w:pStyle w:val="Recuodecorpodetexto"/>
        <w:ind w:firstLine="709"/>
        <w:rPr>
          <w:color w:val="0070C0"/>
        </w:rPr>
      </w:pPr>
      <w:r>
        <w:lastRenderedPageBreak/>
        <w:t xml:space="preserve">Após a seção sobre as características físicas do violino, onde consta tal relevante comentário sobre a necessidade crescente do uso da </w:t>
      </w:r>
      <w:proofErr w:type="spellStart"/>
      <w:r>
        <w:t>queixeira</w:t>
      </w:r>
      <w:proofErr w:type="spellEnd"/>
      <w:r>
        <w:t xml:space="preserve">, Spohr estabelece os princípios concernentes à postura corporal e às técnicas de mão esquerda e de arco. No tópico referente à sustentação do violino, não há especificações sobre o equilíbrio do corpo, muito embora as imagens de </w:t>
      </w:r>
      <w:proofErr w:type="spellStart"/>
      <w:r>
        <w:rPr>
          <w:i/>
        </w:rPr>
        <w:t>Violinschule</w:t>
      </w:r>
      <w:proofErr w:type="spellEnd"/>
      <w:r>
        <w:rPr>
          <w:i/>
        </w:rPr>
        <w:t xml:space="preserve"> </w:t>
      </w:r>
      <w:r>
        <w:t xml:space="preserve">da posição em pé assemelhem-se àquelas encontradas poucos anos mais tarde no método de </w:t>
      </w:r>
      <w:proofErr w:type="spellStart"/>
      <w:r>
        <w:t>Baillot</w:t>
      </w:r>
      <w:proofErr w:type="spellEnd"/>
      <w:r>
        <w:t xml:space="preserve">, o que demonstra a usualidade do deslocamento do peso do corpo para a perna esquerda naquele período. Do mesmo modo, as orientações sobre a sustentação do violino correspondem ao pensamento do representante da Escola Francesa, pois considera os mesmos aspectos técnicos envolvidos na colocação do violino sobre a clavícula, tais como o direcionamento da cabeça, o local de colocação do queixo e o ângulo de inclinação do violino: </w:t>
      </w:r>
    </w:p>
    <w:p w14:paraId="5AC5B54B" w14:textId="77777777" w:rsidR="001F49FD" w:rsidRDefault="001F49FD">
      <w:pPr>
        <w:pStyle w:val="Recuodecorpodetexto"/>
        <w:ind w:firstLine="1134"/>
        <w:rPr>
          <w:color w:val="0070C0"/>
        </w:rPr>
      </w:pPr>
    </w:p>
    <w:p w14:paraId="6DC8DAC8" w14:textId="77777777" w:rsidR="001F49FD" w:rsidRDefault="00611419">
      <w:pPr>
        <w:pStyle w:val="Recuodecorpodetexto"/>
        <w:numPr>
          <w:ilvl w:val="0"/>
          <w:numId w:val="2"/>
        </w:numPr>
        <w:ind w:left="1276" w:hanging="142"/>
      </w:pPr>
      <w:r>
        <w:rPr>
          <w:b/>
        </w:rPr>
        <w:t>Sustentando o violino e o arco</w:t>
      </w:r>
      <w:r>
        <w:t xml:space="preserve"> </w:t>
      </w:r>
    </w:p>
    <w:p w14:paraId="4D7E1102" w14:textId="77777777" w:rsidR="001F49FD" w:rsidRDefault="00611419">
      <w:pPr>
        <w:pStyle w:val="Recuodecorpodetexto"/>
        <w:ind w:firstLine="1134"/>
      </w:pPr>
      <w:r>
        <w:t xml:space="preserve">- “A borda inferior do fundo do violino é posicionada na clavícula esquerda e mantida firmemente pela pressão do queixo sobre a </w:t>
      </w:r>
      <w:proofErr w:type="spellStart"/>
      <w:r>
        <w:t>queixeira</w:t>
      </w:r>
      <w:proofErr w:type="spellEnd"/>
      <w:r>
        <w:t xml:space="preserve">.” </w:t>
      </w:r>
    </w:p>
    <w:p w14:paraId="785F585C" w14:textId="77777777" w:rsidR="001F49FD" w:rsidRDefault="00611419">
      <w:pPr>
        <w:pStyle w:val="Recuodecorpodetexto"/>
        <w:ind w:left="283" w:firstLine="794"/>
      </w:pPr>
      <w:r>
        <w:t>- “A posição do violinista deve ser digna e fácil, com a face voltada para a estante de forma que os olhos estejam na direção da música, por cima do cavalete e da mão esquerda.”</w:t>
      </w:r>
    </w:p>
    <w:p w14:paraId="7CCDAB11" w14:textId="77777777" w:rsidR="001F49FD" w:rsidRDefault="00611419">
      <w:pPr>
        <w:pStyle w:val="Recuodecorpodetexto"/>
        <w:ind w:left="283" w:firstLine="850"/>
      </w:pPr>
      <w:r>
        <w:t xml:space="preserve">- “Caso o aluno não utilize a </w:t>
      </w:r>
      <w:proofErr w:type="spellStart"/>
      <w:r>
        <w:t>queixeira</w:t>
      </w:r>
      <w:proofErr w:type="spellEnd"/>
      <w:r>
        <w:t>, ele deve posicionar o queixo, em parte sobre o lado esquerdo do estandarte e, em parte sobre o estandarte.”</w:t>
      </w:r>
    </w:p>
    <w:p w14:paraId="7928AFDF" w14:textId="1F097FC4" w:rsidR="001F49FD" w:rsidRDefault="00611419">
      <w:pPr>
        <w:pStyle w:val="Recuodecorpodetexto"/>
        <w:ind w:left="283" w:firstLine="850"/>
      </w:pPr>
      <w:r>
        <w:t>- “O ombro esquerdo é levemente avançado para o suporte da parte inferior do violino, acarretando uma inclinação para a direita de um ângulo de 25 ou 30 graus.”</w:t>
      </w:r>
    </w:p>
    <w:p w14:paraId="28EFF23A" w14:textId="77777777" w:rsidR="001F49FD" w:rsidRDefault="00611419">
      <w:pPr>
        <w:pStyle w:val="Recuodecorpodetexto"/>
        <w:ind w:left="283" w:firstLine="850"/>
      </w:pPr>
      <w:r>
        <w:t>- “O cotovelo esquerdo é direcionado para dentro até chegar ao meio do violino, mas não deve se encostar ao corpo, o que faria com que o instrumento caísse em demasia na direção do braço do violino.”</w:t>
      </w:r>
    </w:p>
    <w:p w14:paraId="182C6A6C" w14:textId="77777777" w:rsidR="001F49FD" w:rsidRDefault="001F49FD">
      <w:pPr>
        <w:pStyle w:val="Recuodecorpodetexto"/>
        <w:ind w:left="283" w:firstLine="1134"/>
      </w:pPr>
    </w:p>
    <w:p w14:paraId="7AFB726B" w14:textId="77777777" w:rsidR="001F49FD" w:rsidRDefault="00611419">
      <w:pPr>
        <w:pStyle w:val="Recuodecorpodetexto"/>
        <w:ind w:left="283" w:firstLine="0"/>
        <w:jc w:val="center"/>
      </w:pPr>
      <w:r>
        <w:rPr>
          <w:noProof/>
        </w:rPr>
        <w:lastRenderedPageBreak/>
        <w:drawing>
          <wp:inline distT="0" distB="0" distL="0" distR="0" wp14:anchorId="23DAFD47" wp14:editId="233356C0">
            <wp:extent cx="3412490" cy="4399280"/>
            <wp:effectExtent l="0" t="0" r="0" b="0"/>
            <wp:docPr id="5" name="Imagem 10" descr="http://mhm.hud.ac.uk/chase/archive/images/full/d64b7f05a3b38d2548b4e92a3fadc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10" descr="http://mhm.hud.ac.uk/chase/archive/images/full/d64b7f05a3b38d2548b4e92a3fadc664.jpg"/>
                    <pic:cNvPicPr>
                      <a:picLocks noChangeAspect="1" noChangeArrowheads="1"/>
                    </pic:cNvPicPr>
                  </pic:nvPicPr>
                  <pic:blipFill>
                    <a:blip r:embed="rId13"/>
                    <a:stretch>
                      <a:fillRect/>
                    </a:stretch>
                  </pic:blipFill>
                  <pic:spPr bwMode="auto">
                    <a:xfrm>
                      <a:off x="0" y="0"/>
                      <a:ext cx="3412490" cy="4399280"/>
                    </a:xfrm>
                    <a:prstGeom prst="rect">
                      <a:avLst/>
                    </a:prstGeom>
                  </pic:spPr>
                </pic:pic>
              </a:graphicData>
            </a:graphic>
          </wp:inline>
        </w:drawing>
      </w:r>
    </w:p>
    <w:p w14:paraId="1B617420" w14:textId="77777777" w:rsidR="001F49FD" w:rsidRDefault="00611419">
      <w:pPr>
        <w:pStyle w:val="Recuodecorpodetexto"/>
        <w:ind w:left="283" w:firstLine="0"/>
        <w:jc w:val="center"/>
        <w:rPr>
          <w:b/>
        </w:rPr>
      </w:pPr>
      <w:r>
        <w:rPr>
          <w:b/>
          <w:sz w:val="20"/>
          <w:szCs w:val="20"/>
        </w:rPr>
        <w:t>Figura 5:</w:t>
      </w:r>
      <w:r>
        <w:rPr>
          <w:b/>
        </w:rPr>
        <w:t xml:space="preserve"> </w:t>
      </w:r>
      <w:r>
        <w:rPr>
          <w:sz w:val="20"/>
          <w:szCs w:val="20"/>
        </w:rPr>
        <w:t xml:space="preserve">postura corporal – </w:t>
      </w:r>
      <w:proofErr w:type="spellStart"/>
      <w:r>
        <w:rPr>
          <w:sz w:val="20"/>
          <w:szCs w:val="20"/>
        </w:rPr>
        <w:t>Violinschule</w:t>
      </w:r>
      <w:proofErr w:type="spellEnd"/>
      <w:r>
        <w:rPr>
          <w:sz w:val="20"/>
          <w:szCs w:val="20"/>
        </w:rPr>
        <w:t xml:space="preserve"> (Spohr, 1832, p. 13).</w:t>
      </w:r>
    </w:p>
    <w:p w14:paraId="04B0AFD8" w14:textId="77777777" w:rsidR="001F49FD" w:rsidRDefault="001F49FD">
      <w:pPr>
        <w:pStyle w:val="Recuodecorpodetexto"/>
        <w:ind w:left="283" w:firstLine="0"/>
      </w:pPr>
    </w:p>
    <w:p w14:paraId="09569823" w14:textId="77777777" w:rsidR="001F49FD" w:rsidRDefault="00611419" w:rsidP="00144078">
      <w:pPr>
        <w:pStyle w:val="Recuodecorpodetexto"/>
        <w:ind w:firstLine="709"/>
        <w:rPr>
          <w:b/>
        </w:rPr>
      </w:pPr>
      <w:r>
        <w:t>Ainda no tópico destinado à sustentação do instrumento, Spohr refere-se à técnica de mão esquerda ao definir o local de contato dos dedos polegar e indicador no braço do violino, onde notamos que o violinista preconiza uma posição de mão alta sobre o espelho:</w:t>
      </w:r>
      <w:r>
        <w:rPr>
          <w:rStyle w:val="Refdenotaderodap"/>
        </w:rPr>
        <w:footnoteReference w:id="18"/>
      </w:r>
      <w:r>
        <w:t xml:space="preserve"> </w:t>
      </w:r>
    </w:p>
    <w:p w14:paraId="5A171FB3" w14:textId="77777777" w:rsidR="001F49FD" w:rsidRDefault="001F49FD">
      <w:pPr>
        <w:pStyle w:val="Recuodecorpodetexto"/>
        <w:ind w:left="283" w:firstLine="1134"/>
        <w:rPr>
          <w:b/>
        </w:rPr>
      </w:pPr>
    </w:p>
    <w:p w14:paraId="4427FD94" w14:textId="2BA498D3" w:rsidR="001F49FD" w:rsidRDefault="00611419">
      <w:pPr>
        <w:pStyle w:val="Recuodecorpodetexto"/>
        <w:ind w:firstLine="1134"/>
        <w:rPr>
          <w:b/>
        </w:rPr>
      </w:pPr>
      <w:r>
        <w:t>- “O braço do violino repousa entre o dedo polegar e o dedo indicador, e é mantido levemente acima da primeira articulação [</w:t>
      </w:r>
      <w:r w:rsidR="00144078">
        <w:t>interfalangiana</w:t>
      </w:r>
      <w:r>
        <w:t xml:space="preserve"> proximal] do primeiro e na terceira articulação [metacarpo</w:t>
      </w:r>
      <w:r w:rsidR="00144078">
        <w:t xml:space="preserve"> falangiana</w:t>
      </w:r>
      <w:r>
        <w:t>] do último, mas suficientemente firme para evitar que afunde no fundo da cavidade entre o polegar e o dedo.”</w:t>
      </w:r>
    </w:p>
    <w:p w14:paraId="4D37F1A7" w14:textId="77777777" w:rsidR="001F49FD" w:rsidRDefault="001F49FD">
      <w:pPr>
        <w:pStyle w:val="Recuodecorpodetexto"/>
        <w:ind w:left="283" w:firstLine="1134"/>
        <w:rPr>
          <w:b/>
        </w:rPr>
      </w:pPr>
    </w:p>
    <w:p w14:paraId="763E7A2B" w14:textId="77777777" w:rsidR="001F49FD" w:rsidRDefault="00611419" w:rsidP="00144078">
      <w:pPr>
        <w:pStyle w:val="Recuodecorpodetexto"/>
        <w:ind w:firstLine="709"/>
      </w:pPr>
      <w:r>
        <w:t xml:space="preserve">O tópico específico para a mão esquerda é prioritariamente destinado à aplicação da técnica nos diversos exercícios propostos. A única orientação efetiva refere-se ao posicionamento da mão, onde a aproximação do dedo mínimo junto ao espelho – através da </w:t>
      </w:r>
      <w:r>
        <w:lastRenderedPageBreak/>
        <w:t>supinação do antebraço esquerdo – indica que Spohr preconiza a perpendicularidade dos dedos com relação ao braço do violino:</w:t>
      </w:r>
    </w:p>
    <w:p w14:paraId="369CD662" w14:textId="77777777" w:rsidR="00144078" w:rsidRDefault="00144078" w:rsidP="00144078">
      <w:pPr>
        <w:pStyle w:val="Recuodecorpodetexto"/>
        <w:ind w:firstLine="709"/>
      </w:pPr>
    </w:p>
    <w:p w14:paraId="55E1B00B" w14:textId="77777777" w:rsidR="001F49FD" w:rsidRDefault="00611419">
      <w:pPr>
        <w:pStyle w:val="Recuodecorpodetexto"/>
        <w:numPr>
          <w:ilvl w:val="0"/>
          <w:numId w:val="2"/>
        </w:numPr>
        <w:ind w:left="1276" w:hanging="142"/>
        <w:rPr>
          <w:b/>
        </w:rPr>
      </w:pPr>
      <w:r>
        <w:rPr>
          <w:b/>
        </w:rPr>
        <w:t>Dos movimentos dos dedos da mão esquerda</w:t>
      </w:r>
    </w:p>
    <w:p w14:paraId="4E2B698A" w14:textId="77777777" w:rsidR="001F49FD" w:rsidRDefault="00611419">
      <w:pPr>
        <w:pStyle w:val="PargrafodaLista"/>
        <w:ind w:left="0"/>
        <w:rPr>
          <w:rFonts w:ascii="Times New Roman" w:hAnsi="Times New Roman" w:cs="Times New Roman"/>
          <w:szCs w:val="24"/>
        </w:rPr>
      </w:pPr>
      <w:r>
        <w:rPr>
          <w:rFonts w:cs="Times New Roman"/>
          <w:szCs w:val="24"/>
        </w:rPr>
        <w:t xml:space="preserve">- “A parte da mão abaixo do dedo mínimo deve ser trazida o mais próximo possível do espelho; </w:t>
      </w:r>
      <w:proofErr w:type="gramStart"/>
      <w:r>
        <w:rPr>
          <w:rFonts w:cs="Times New Roman"/>
          <w:szCs w:val="24"/>
        </w:rPr>
        <w:t>e também</w:t>
      </w:r>
      <w:proofErr w:type="gramEnd"/>
      <w:r>
        <w:rPr>
          <w:rFonts w:cs="Times New Roman"/>
          <w:szCs w:val="24"/>
        </w:rPr>
        <w:t xml:space="preserve"> a palma da mão e o punho devem manter certa distância do braço do violino. O dedo indicador está agora levemente retraído e os três primeiros dedos flexionados. Após tocar a corda mi solta, pouse as pontas carnudas dos dedos, uma após uma.” </w:t>
      </w:r>
    </w:p>
    <w:p w14:paraId="727CC146" w14:textId="77777777" w:rsidR="001F49FD" w:rsidRDefault="001F49FD">
      <w:pPr>
        <w:pStyle w:val="PargrafodaLista"/>
        <w:ind w:left="0"/>
        <w:rPr>
          <w:rFonts w:ascii="Times New Roman" w:hAnsi="Times New Roman" w:cs="Times New Roman"/>
          <w:szCs w:val="24"/>
        </w:rPr>
      </w:pPr>
    </w:p>
    <w:p w14:paraId="370F9B15" w14:textId="64446093" w:rsidR="001F49FD" w:rsidRDefault="00611419" w:rsidP="00144078">
      <w:pPr>
        <w:pStyle w:val="Recuodecorpodetexto"/>
        <w:ind w:firstLine="709"/>
      </w:pPr>
      <w:r>
        <w:t xml:space="preserve">Os preceitos de Spohr sobre a técnica de arco estão distribuídos no já citado </w:t>
      </w:r>
      <w:proofErr w:type="gramStart"/>
      <w:r>
        <w:t>tópico</w:t>
      </w:r>
      <w:r w:rsidR="00B14628">
        <w:t xml:space="preserve"> </w:t>
      </w:r>
      <w:r>
        <w:rPr>
          <w:b/>
        </w:rPr>
        <w:t>Sustentando</w:t>
      </w:r>
      <w:proofErr w:type="gramEnd"/>
      <w:r>
        <w:rPr>
          <w:b/>
        </w:rPr>
        <w:t xml:space="preserve"> o violino e o arco </w:t>
      </w:r>
      <w:r>
        <w:t>e</w:t>
      </w:r>
      <w:r w:rsidR="00B14628">
        <w:t>,</w:t>
      </w:r>
      <w:r>
        <w:t xml:space="preserve"> ainda</w:t>
      </w:r>
      <w:r w:rsidR="00B14628">
        <w:t>,</w:t>
      </w:r>
      <w:r>
        <w:t xml:space="preserve"> em </w:t>
      </w:r>
      <w:r>
        <w:rPr>
          <w:b/>
        </w:rPr>
        <w:t>Movimento do braço direito</w:t>
      </w:r>
      <w:r>
        <w:t xml:space="preserve">. Encontramos aqui indicações do que mais tarde caracterizou a posição da mão no arco da Escola Germânica (FLESCH, 1923): os dedos indicador e médio envolvem a vareta através da articulação situada entre as falanges medial e distal, e todos os dedos se aproximam. No que tange à posição do braço e antebraço no movimento do arco, os princípios corroboram a regra do cotovelo rebaixado, embora Spohr, diferentemente de </w:t>
      </w:r>
      <w:proofErr w:type="spellStart"/>
      <w:r>
        <w:t>Baillot</w:t>
      </w:r>
      <w:proofErr w:type="spellEnd"/>
      <w:r>
        <w:t>, reconheça no último preceito certa movimentação do braço. Por fim, Spohr se refere às alterações no ponto de contato do dedo indicador em função da direção do arco para baixo ou para cima:</w:t>
      </w:r>
    </w:p>
    <w:p w14:paraId="6CBD49D2" w14:textId="77777777" w:rsidR="001F49FD" w:rsidRDefault="001F49FD">
      <w:pPr>
        <w:pStyle w:val="Recuodecorpodetexto"/>
        <w:ind w:left="283" w:firstLine="1134"/>
      </w:pPr>
    </w:p>
    <w:p w14:paraId="34C5EB49" w14:textId="77777777" w:rsidR="001F49FD" w:rsidRDefault="00611419">
      <w:pPr>
        <w:pStyle w:val="Recuodecorpodetexto"/>
        <w:numPr>
          <w:ilvl w:val="0"/>
          <w:numId w:val="2"/>
        </w:numPr>
        <w:ind w:left="1276" w:hanging="142"/>
        <w:rPr>
          <w:b/>
        </w:rPr>
      </w:pPr>
      <w:r>
        <w:rPr>
          <w:b/>
        </w:rPr>
        <w:t>Sustentando o violino e o arco; Movimento do braço direito</w:t>
      </w:r>
      <w:r>
        <w:rPr>
          <w:b/>
        </w:rPr>
        <w:tab/>
      </w:r>
    </w:p>
    <w:p w14:paraId="27E01BE0" w14:textId="04778CDE" w:rsidR="001F49FD" w:rsidRDefault="00611419">
      <w:pPr>
        <w:pStyle w:val="Recuodecorpodetexto"/>
        <w:ind w:firstLine="1134"/>
      </w:pPr>
      <w:r>
        <w:t>- “O dedo polegar deve estar curvado com a sua ponta sob a vareta, próximo ao talão e em oposição ao dedo médio, o qual, juntamente com o dedo indicador, envolve a vareta de forma que esta fique na articulação da primeira falange [</w:t>
      </w:r>
      <w:r w:rsidR="00393CC4">
        <w:t>interfalangiana</w:t>
      </w:r>
      <w:r>
        <w:t xml:space="preserve"> proximal] de cada dedo.” </w:t>
      </w:r>
    </w:p>
    <w:p w14:paraId="5B9A175F" w14:textId="70E08F57" w:rsidR="001F49FD" w:rsidRDefault="00611419">
      <w:pPr>
        <w:pStyle w:val="Recuodecorpodetexto"/>
        <w:ind w:firstLine="1134"/>
      </w:pPr>
      <w:r>
        <w:t xml:space="preserve">- “Os dois outros dedos são colocados naturalmente na vareta e as pontas dos quatro dedos se aproximam. A mão ganha uma elegante posição curvada, </w:t>
      </w:r>
      <w:r w:rsidR="00B14628">
        <w:t xml:space="preserve">em que </w:t>
      </w:r>
      <w:r>
        <w:t xml:space="preserve">nenhuma das articulações se projeta.” </w:t>
      </w:r>
    </w:p>
    <w:p w14:paraId="417F7DCA" w14:textId="77777777" w:rsidR="001F49FD" w:rsidRDefault="00611419">
      <w:pPr>
        <w:pStyle w:val="Recuodecorpodetexto"/>
        <w:tabs>
          <w:tab w:val="left" w:pos="567"/>
        </w:tabs>
        <w:ind w:firstLine="1134"/>
      </w:pPr>
      <w:r>
        <w:t>- “A parte superior do arco está agora com a crina sobre as cordas, a uma distância de uma polegada do cavalete, com a vareta inclinada levemente em direção ao espelho.” (p. 13).</w:t>
      </w:r>
    </w:p>
    <w:p w14:paraId="530985E6" w14:textId="77777777" w:rsidR="001F49FD" w:rsidRDefault="00611419">
      <w:pPr>
        <w:pStyle w:val="Recuodecorpodetexto"/>
        <w:ind w:firstLine="1134"/>
      </w:pPr>
      <w:r>
        <w:t xml:space="preserve">- “O punho deve se manter elevado, porém, o cotovelo deve estar abaixado, o mais próximo possível do corpo.” </w:t>
      </w:r>
    </w:p>
    <w:p w14:paraId="2F62A864" w14:textId="77777777" w:rsidR="001F49FD" w:rsidRDefault="00611419">
      <w:pPr>
        <w:pStyle w:val="Recuodecorpodetexto"/>
        <w:ind w:firstLine="1134"/>
      </w:pPr>
      <w:r>
        <w:lastRenderedPageBreak/>
        <w:t xml:space="preserve">- “Em pequenos golpes de arco, o braço deve permanecer imóvel e apenas o antebraço se move, em um vai e vem na mesma direção do cavalete.” </w:t>
      </w:r>
    </w:p>
    <w:p w14:paraId="76E2C404" w14:textId="77777777" w:rsidR="001F49FD" w:rsidRDefault="00611419">
      <w:pPr>
        <w:pStyle w:val="Recuodecorpodetexto"/>
        <w:ind w:firstLine="1134"/>
      </w:pPr>
      <w:r>
        <w:t xml:space="preserve">- “Para a execução dos movimentos para cima e para baixo, é preciso que o arco esteja entre os dedos polegar e médio.” </w:t>
      </w:r>
    </w:p>
    <w:p w14:paraId="7486B66D" w14:textId="71E7EE6B" w:rsidR="001F49FD" w:rsidRDefault="00611419">
      <w:pPr>
        <w:pStyle w:val="Recuodecorpodetexto"/>
        <w:ind w:firstLine="1134"/>
      </w:pPr>
      <w:r>
        <w:t>- “Todavia, no movimento para baixo</w:t>
      </w:r>
      <w:r w:rsidR="00B14628">
        <w:t>,</w:t>
      </w:r>
      <w:r>
        <w:t xml:space="preserve"> a vareta se aproxima gradativamente da articulação mediana do dedo indicador, enquanto o dedo mínimo se retira.” </w:t>
      </w:r>
    </w:p>
    <w:p w14:paraId="6F115FDE" w14:textId="77777777" w:rsidR="001F49FD" w:rsidRDefault="00611419">
      <w:pPr>
        <w:pStyle w:val="Recuodecorpodetexto"/>
        <w:ind w:firstLine="1134"/>
        <w:rPr>
          <w:b/>
        </w:rPr>
      </w:pPr>
      <w:r>
        <w:t xml:space="preserve">- “No movimento para cima, a vareta recai gradativamente na cavidade da primeira articulação do dedo indicador e o dedo mínimo retoma sua posição original, com sua ponta acima da parte externa da vareta.” </w:t>
      </w:r>
    </w:p>
    <w:p w14:paraId="0897B3A0" w14:textId="77777777" w:rsidR="001F49FD" w:rsidRDefault="00611419" w:rsidP="0052458F">
      <w:pPr>
        <w:pStyle w:val="Ttulo2"/>
      </w:pPr>
      <w:bookmarkStart w:id="40" w:name="_Toc219359023"/>
      <w:r>
        <w:t>1</w:t>
      </w:r>
      <w:bookmarkStart w:id="41" w:name="_Toc522439230"/>
      <w:bookmarkStart w:id="42" w:name="_Toc14331021"/>
      <w:r>
        <w:t>.3</w:t>
      </w:r>
      <w:bookmarkStart w:id="43" w:name="_Toc484195686"/>
      <w:r>
        <w:t xml:space="preserve">    A preeminência da Escola Franco-belga e o Método de Charles de </w:t>
      </w:r>
      <w:proofErr w:type="spellStart"/>
      <w:r>
        <w:t>Bériot</w:t>
      </w:r>
      <w:bookmarkEnd w:id="40"/>
      <w:bookmarkEnd w:id="41"/>
      <w:bookmarkEnd w:id="42"/>
      <w:bookmarkEnd w:id="43"/>
      <w:proofErr w:type="spellEnd"/>
    </w:p>
    <w:p w14:paraId="3ED2AADC" w14:textId="77777777" w:rsidR="001F49FD" w:rsidRDefault="00611419" w:rsidP="00144078">
      <w:pPr>
        <w:pStyle w:val="Recuodecorpodetexto"/>
        <w:ind w:firstLine="709"/>
        <w:rPr>
          <w:szCs w:val="24"/>
          <w:shd w:val="clear" w:color="auto" w:fill="FFFFFF"/>
        </w:rPr>
      </w:pPr>
      <w:r>
        <w:rPr>
          <w:szCs w:val="24"/>
          <w:shd w:val="clear" w:color="auto" w:fill="FFFFFF"/>
        </w:rPr>
        <w:t xml:space="preserve">Enquanto Spohr entrou para a posteridade como o principal violinista germânico da primeira metade do século XIX, Charles Auguste de </w:t>
      </w:r>
      <w:proofErr w:type="spellStart"/>
      <w:r>
        <w:rPr>
          <w:szCs w:val="24"/>
          <w:shd w:val="clear" w:color="auto" w:fill="FFFFFF"/>
        </w:rPr>
        <w:t>Bériot</w:t>
      </w:r>
      <w:proofErr w:type="spellEnd"/>
      <w:r>
        <w:rPr>
          <w:szCs w:val="24"/>
          <w:shd w:val="clear" w:color="auto" w:fill="FFFFFF"/>
        </w:rPr>
        <w:t xml:space="preserve"> (1802-1870) foi reconhecido como o fundador de uma nova Escola, a Franco-belga (MANN, 1984). </w:t>
      </w:r>
    </w:p>
    <w:p w14:paraId="32F19A6E" w14:textId="77777777" w:rsidR="001F49FD" w:rsidRDefault="00611419" w:rsidP="00144078">
      <w:pPr>
        <w:pStyle w:val="Recuodecorpodetexto"/>
        <w:ind w:firstLine="709"/>
      </w:pPr>
      <w:r>
        <w:rPr>
          <w:szCs w:val="24"/>
          <w:shd w:val="clear" w:color="auto" w:fill="FFFFFF"/>
        </w:rPr>
        <w:t xml:space="preserve">Assim como para Spohr, a formação de </w:t>
      </w:r>
      <w:proofErr w:type="spellStart"/>
      <w:r>
        <w:rPr>
          <w:szCs w:val="24"/>
          <w:shd w:val="clear" w:color="auto" w:fill="FFFFFF"/>
        </w:rPr>
        <w:t>Bériot</w:t>
      </w:r>
      <w:proofErr w:type="spellEnd"/>
      <w:r>
        <w:rPr>
          <w:szCs w:val="24"/>
          <w:shd w:val="clear" w:color="auto" w:fill="FFFFFF"/>
        </w:rPr>
        <w:t xml:space="preserve"> está igualmente vinculada à Escola Francesa. Seu primeiro professor, Jean-François </w:t>
      </w:r>
      <w:proofErr w:type="spellStart"/>
      <w:r>
        <w:rPr>
          <w:szCs w:val="24"/>
          <w:shd w:val="clear" w:color="auto" w:fill="FFFFFF"/>
        </w:rPr>
        <w:t>Tiby</w:t>
      </w:r>
      <w:proofErr w:type="spellEnd"/>
      <w:r>
        <w:rPr>
          <w:szCs w:val="24"/>
          <w:shd w:val="clear" w:color="auto" w:fill="FFFFFF"/>
        </w:rPr>
        <w:t xml:space="preserve"> (s.d.)</w:t>
      </w:r>
      <w:r>
        <w:rPr>
          <w:b/>
          <w:szCs w:val="24"/>
          <w:shd w:val="clear" w:color="auto" w:fill="FFFFFF"/>
        </w:rPr>
        <w:t xml:space="preserve"> </w:t>
      </w:r>
      <w:r>
        <w:rPr>
          <w:szCs w:val="24"/>
          <w:shd w:val="clear" w:color="auto" w:fill="FFFFFF"/>
        </w:rPr>
        <w:t>foi aluno de Viotti. Em seguida, passou para a tutela de</w:t>
      </w:r>
      <w:r>
        <w:rPr>
          <w:b/>
          <w:szCs w:val="24"/>
          <w:shd w:val="clear" w:color="auto" w:fill="FFFFFF"/>
        </w:rPr>
        <w:t xml:space="preserve"> </w:t>
      </w:r>
      <w:r>
        <w:rPr>
          <w:rFonts w:eastAsia="Times New Roman" w:cs="Times New Roman"/>
          <w:szCs w:val="24"/>
        </w:rPr>
        <w:t xml:space="preserve">André </w:t>
      </w:r>
      <w:proofErr w:type="spellStart"/>
      <w:r>
        <w:rPr>
          <w:rFonts w:eastAsia="Times New Roman" w:cs="Times New Roman"/>
          <w:szCs w:val="24"/>
        </w:rPr>
        <w:t>Robberechts</w:t>
      </w:r>
      <w:proofErr w:type="spellEnd"/>
      <w:r>
        <w:rPr>
          <w:b/>
          <w:szCs w:val="24"/>
          <w:shd w:val="clear" w:color="auto" w:fill="FFFFFF"/>
        </w:rPr>
        <w:t xml:space="preserve"> </w:t>
      </w:r>
      <w:r>
        <w:rPr>
          <w:szCs w:val="24"/>
          <w:shd w:val="clear" w:color="auto" w:fill="FFFFFF"/>
        </w:rPr>
        <w:t xml:space="preserve">(1797-1860), um aluno de </w:t>
      </w:r>
      <w:proofErr w:type="spellStart"/>
      <w:r>
        <w:rPr>
          <w:szCs w:val="24"/>
          <w:shd w:val="clear" w:color="auto" w:fill="FFFFFF"/>
        </w:rPr>
        <w:t>Baillot</w:t>
      </w:r>
      <w:proofErr w:type="spellEnd"/>
      <w:r>
        <w:rPr>
          <w:szCs w:val="24"/>
          <w:shd w:val="clear" w:color="auto" w:fill="FFFFFF"/>
        </w:rPr>
        <w:t xml:space="preserve"> em Paris e de Viotti em Londres. Em 1821, após </w:t>
      </w:r>
      <w:proofErr w:type="spellStart"/>
      <w:r>
        <w:rPr>
          <w:szCs w:val="24"/>
          <w:shd w:val="clear" w:color="auto" w:fill="FFFFFF"/>
        </w:rPr>
        <w:t>audicionar</w:t>
      </w:r>
      <w:proofErr w:type="spellEnd"/>
      <w:r>
        <w:rPr>
          <w:szCs w:val="24"/>
          <w:shd w:val="clear" w:color="auto" w:fill="FFFFFF"/>
        </w:rPr>
        <w:t xml:space="preserve"> para o eminente violinista italiano, </w:t>
      </w:r>
      <w:proofErr w:type="spellStart"/>
      <w:r>
        <w:rPr>
          <w:szCs w:val="24"/>
          <w:shd w:val="clear" w:color="auto" w:fill="FFFFFF"/>
        </w:rPr>
        <w:t>Bériot</w:t>
      </w:r>
      <w:proofErr w:type="spellEnd"/>
      <w:r>
        <w:rPr>
          <w:szCs w:val="24"/>
          <w:shd w:val="clear" w:color="auto" w:fill="FFFFFF"/>
        </w:rPr>
        <w:t xml:space="preserve"> completa seus estudos com </w:t>
      </w:r>
      <w:proofErr w:type="spellStart"/>
      <w:r>
        <w:rPr>
          <w:szCs w:val="24"/>
          <w:shd w:val="clear" w:color="auto" w:fill="FFFFFF"/>
        </w:rPr>
        <w:t>Baillot</w:t>
      </w:r>
      <w:proofErr w:type="spellEnd"/>
      <w:r>
        <w:rPr>
          <w:szCs w:val="24"/>
          <w:shd w:val="clear" w:color="auto" w:fill="FFFFFF"/>
        </w:rPr>
        <w:t xml:space="preserve"> no Conservatório de Paris, iniciando nesse mesmo período a sua carreira como violinista.  </w:t>
      </w:r>
    </w:p>
    <w:p w14:paraId="79BE4600" w14:textId="77777777" w:rsidR="001F49FD" w:rsidRDefault="00611419" w:rsidP="00144078">
      <w:pPr>
        <w:pStyle w:val="Recuodecorpodetexto"/>
        <w:ind w:firstLine="709"/>
      </w:pPr>
      <w:r>
        <w:rPr>
          <w:szCs w:val="24"/>
          <w:shd w:val="clear" w:color="auto" w:fill="FFFFFF"/>
        </w:rPr>
        <w:t xml:space="preserve">Em 1843, </w:t>
      </w:r>
      <w:proofErr w:type="spellStart"/>
      <w:r>
        <w:rPr>
          <w:szCs w:val="24"/>
          <w:shd w:val="clear" w:color="auto" w:fill="FFFFFF"/>
        </w:rPr>
        <w:t>Bériot</w:t>
      </w:r>
      <w:proofErr w:type="spellEnd"/>
      <w:r>
        <w:rPr>
          <w:szCs w:val="24"/>
          <w:shd w:val="clear" w:color="auto" w:fill="FFFFFF"/>
        </w:rPr>
        <w:t xml:space="preserve"> assume o cargo de professor no Conservatório de Bruxelas após recusar, um ano antes, o posto de </w:t>
      </w:r>
      <w:proofErr w:type="spellStart"/>
      <w:r>
        <w:rPr>
          <w:szCs w:val="24"/>
          <w:shd w:val="clear" w:color="auto" w:fill="FFFFFF"/>
        </w:rPr>
        <w:t>Baillot</w:t>
      </w:r>
      <w:proofErr w:type="spellEnd"/>
      <w:r>
        <w:rPr>
          <w:szCs w:val="24"/>
          <w:shd w:val="clear" w:color="auto" w:fill="FFFFFF"/>
        </w:rPr>
        <w:t xml:space="preserve"> no Conservatório de Paris. A partir de então, o Conservatório de Bruxelas emerge no cenário musical europeu como um novo centro de ensino do violino.  </w:t>
      </w:r>
    </w:p>
    <w:p w14:paraId="13905840" w14:textId="77777777" w:rsidR="001F49FD" w:rsidRDefault="00611419" w:rsidP="00144078">
      <w:pPr>
        <w:pStyle w:val="Recuodecorpodetexto"/>
        <w:ind w:firstLine="709"/>
        <w:rPr>
          <w:szCs w:val="24"/>
          <w:shd w:val="clear" w:color="auto" w:fill="FFFFFF"/>
        </w:rPr>
      </w:pPr>
      <w:r>
        <w:rPr>
          <w:szCs w:val="24"/>
          <w:shd w:val="clear" w:color="auto" w:fill="FFFFFF"/>
        </w:rPr>
        <w:t xml:space="preserve">Antes de analisarmos o registro literário de </w:t>
      </w:r>
      <w:proofErr w:type="spellStart"/>
      <w:r>
        <w:rPr>
          <w:szCs w:val="24"/>
          <w:shd w:val="clear" w:color="auto" w:fill="FFFFFF"/>
        </w:rPr>
        <w:t>Bériot</w:t>
      </w:r>
      <w:proofErr w:type="spellEnd"/>
      <w:r>
        <w:rPr>
          <w:szCs w:val="24"/>
          <w:shd w:val="clear" w:color="auto" w:fill="FFFFFF"/>
        </w:rPr>
        <w:t xml:space="preserve"> é preciso mencionar o impacto que </w:t>
      </w:r>
      <w:proofErr w:type="spellStart"/>
      <w:r>
        <w:rPr>
          <w:szCs w:val="24"/>
          <w:shd w:val="clear" w:color="auto" w:fill="FFFFFF"/>
        </w:rPr>
        <w:t>Niccolò</w:t>
      </w:r>
      <w:proofErr w:type="spellEnd"/>
      <w:r>
        <w:rPr>
          <w:szCs w:val="24"/>
          <w:shd w:val="clear" w:color="auto" w:fill="FFFFFF"/>
        </w:rPr>
        <w:t xml:space="preserve"> Paganini (1782-1840) causou no violinista belga.</w:t>
      </w:r>
      <w:r>
        <w:rPr>
          <w:i/>
          <w:szCs w:val="24"/>
          <w:shd w:val="clear" w:color="auto" w:fill="FFFFFF"/>
        </w:rPr>
        <w:t xml:space="preserve"> </w:t>
      </w:r>
      <w:r>
        <w:rPr>
          <w:szCs w:val="24"/>
          <w:shd w:val="clear" w:color="auto" w:fill="FFFFFF"/>
        </w:rPr>
        <w:t xml:space="preserve">A partir de uma série de 14 concertos em Viena no ano de 1828, Paganini prossegue uma longa turnê por diversas cidades da Europa. Dotado de uma técnica descrita pelos seus contemporâneos como singular e incompreensível </w:t>
      </w:r>
      <w:r>
        <w:rPr>
          <w:b/>
          <w:szCs w:val="24"/>
          <w:shd w:val="clear" w:color="auto" w:fill="FFFFFF"/>
        </w:rPr>
        <w:t>(</w:t>
      </w:r>
      <w:r>
        <w:rPr>
          <w:szCs w:val="24"/>
          <w:shd w:val="clear" w:color="auto" w:fill="FFFFFF"/>
        </w:rPr>
        <w:t xml:space="preserve">FÉTIS, 1831), são os virtuosísticos recursos instrumentais – explorados principalmente em suas próprias composições – que caracterizam seu estilo, tal como anotado por seu mais fiel admirador, Carl </w:t>
      </w:r>
      <w:proofErr w:type="spellStart"/>
      <w:r>
        <w:rPr>
          <w:szCs w:val="24"/>
          <w:shd w:val="clear" w:color="auto" w:fill="FFFFFF"/>
        </w:rPr>
        <w:t>Guhr</w:t>
      </w:r>
      <w:proofErr w:type="spellEnd"/>
      <w:r>
        <w:rPr>
          <w:szCs w:val="24"/>
          <w:shd w:val="clear" w:color="auto" w:fill="FFFFFF"/>
        </w:rPr>
        <w:t xml:space="preserve"> (1787-1848):</w:t>
      </w:r>
    </w:p>
    <w:p w14:paraId="42328EB6" w14:textId="77777777" w:rsidR="0052458F" w:rsidRDefault="0052458F" w:rsidP="00144078">
      <w:pPr>
        <w:pStyle w:val="Recuodecorpodetexto"/>
        <w:ind w:firstLine="709"/>
      </w:pPr>
    </w:p>
    <w:p w14:paraId="2396589B" w14:textId="77777777" w:rsidR="001F49FD" w:rsidRDefault="00611419">
      <w:pPr>
        <w:spacing w:line="240" w:lineRule="auto"/>
        <w:ind w:left="2268" w:firstLine="0"/>
        <w:rPr>
          <w:sz w:val="20"/>
          <w:szCs w:val="20"/>
          <w:shd w:val="clear" w:color="auto" w:fill="FFFFFF"/>
        </w:rPr>
      </w:pPr>
      <w:r>
        <w:rPr>
          <w:sz w:val="20"/>
          <w:szCs w:val="20"/>
          <w:shd w:val="clear" w:color="auto" w:fill="FFFFFF"/>
        </w:rPr>
        <w:t>Paganini distingue-se dos outros violinistas principalmente:</w:t>
      </w:r>
    </w:p>
    <w:p w14:paraId="59D2057A" w14:textId="77777777" w:rsidR="001F49FD" w:rsidRDefault="00611419">
      <w:pPr>
        <w:spacing w:line="240" w:lineRule="auto"/>
        <w:ind w:left="2268" w:firstLine="0"/>
        <w:rPr>
          <w:sz w:val="20"/>
          <w:szCs w:val="20"/>
          <w:shd w:val="clear" w:color="auto" w:fill="FFFFFF"/>
        </w:rPr>
      </w:pPr>
      <w:r>
        <w:rPr>
          <w:sz w:val="20"/>
          <w:szCs w:val="20"/>
          <w:shd w:val="clear" w:color="auto" w:fill="FFFFFF"/>
        </w:rPr>
        <w:t>1. pela maneira que afina seu instrumento;</w:t>
      </w:r>
    </w:p>
    <w:p w14:paraId="69290AFC" w14:textId="77777777" w:rsidR="001F49FD" w:rsidRDefault="00611419">
      <w:pPr>
        <w:spacing w:line="240" w:lineRule="auto"/>
        <w:ind w:left="2268" w:firstLine="0"/>
        <w:rPr>
          <w:sz w:val="20"/>
          <w:szCs w:val="20"/>
          <w:shd w:val="clear" w:color="auto" w:fill="FFFFFF"/>
        </w:rPr>
      </w:pPr>
      <w:r>
        <w:rPr>
          <w:sz w:val="20"/>
          <w:szCs w:val="20"/>
          <w:shd w:val="clear" w:color="auto" w:fill="FFFFFF"/>
        </w:rPr>
        <w:t>2. por uma técnica de arco única;</w:t>
      </w:r>
    </w:p>
    <w:p w14:paraId="66975470" w14:textId="77777777" w:rsidR="001F49FD" w:rsidRDefault="00611419">
      <w:pPr>
        <w:spacing w:line="240" w:lineRule="auto"/>
        <w:ind w:left="2268" w:firstLine="0"/>
        <w:rPr>
          <w:sz w:val="20"/>
          <w:szCs w:val="20"/>
          <w:shd w:val="clear" w:color="auto" w:fill="FFFFFF"/>
        </w:rPr>
      </w:pPr>
      <w:r>
        <w:rPr>
          <w:sz w:val="20"/>
          <w:szCs w:val="20"/>
          <w:shd w:val="clear" w:color="auto" w:fill="FFFFFF"/>
        </w:rPr>
        <w:lastRenderedPageBreak/>
        <w:t>3. pela mistura e conexão de sons produzidos com o arco e com o pizzicato de mão esquerda;</w:t>
      </w:r>
    </w:p>
    <w:p w14:paraId="568F464C" w14:textId="77777777" w:rsidR="001F49FD" w:rsidRDefault="00611419">
      <w:pPr>
        <w:spacing w:line="240" w:lineRule="auto"/>
        <w:ind w:left="2268" w:firstLine="0"/>
        <w:rPr>
          <w:sz w:val="20"/>
          <w:szCs w:val="20"/>
          <w:shd w:val="clear" w:color="auto" w:fill="FFFFFF"/>
        </w:rPr>
      </w:pPr>
      <w:r>
        <w:rPr>
          <w:sz w:val="20"/>
          <w:szCs w:val="20"/>
          <w:shd w:val="clear" w:color="auto" w:fill="FFFFFF"/>
        </w:rPr>
        <w:t>4. pelo uso frequente de harmônicos, duplos ou simples;</w:t>
      </w:r>
    </w:p>
    <w:p w14:paraId="5188A3E1" w14:textId="77777777" w:rsidR="001F49FD" w:rsidRDefault="00611419">
      <w:pPr>
        <w:spacing w:line="240" w:lineRule="auto"/>
        <w:ind w:left="2268" w:firstLine="0"/>
        <w:rPr>
          <w:sz w:val="20"/>
          <w:szCs w:val="20"/>
          <w:shd w:val="clear" w:color="auto" w:fill="FFFFFF"/>
        </w:rPr>
      </w:pPr>
      <w:r>
        <w:rPr>
          <w:sz w:val="20"/>
          <w:szCs w:val="20"/>
          <w:shd w:val="clear" w:color="auto" w:fill="FFFFFF"/>
        </w:rPr>
        <w:t>5. por seu desempenho na corda sol;</w:t>
      </w:r>
    </w:p>
    <w:p w14:paraId="0203D984" w14:textId="77777777" w:rsidR="001F49FD" w:rsidRDefault="00611419">
      <w:pPr>
        <w:spacing w:line="240" w:lineRule="auto"/>
        <w:ind w:left="2268" w:firstLine="0"/>
        <w:rPr>
          <w:sz w:val="20"/>
          <w:szCs w:val="20"/>
          <w:shd w:val="clear" w:color="auto" w:fill="FFFFFF"/>
        </w:rPr>
      </w:pPr>
      <w:r>
        <w:rPr>
          <w:sz w:val="20"/>
          <w:szCs w:val="20"/>
          <w:shd w:val="clear" w:color="auto" w:fill="FFFFFF"/>
        </w:rPr>
        <w:t>6. por seus incríveis tours de force. Nenhum violinista vivo ousa tanto quanto ele. (GUHR, 1830).</w:t>
      </w:r>
    </w:p>
    <w:p w14:paraId="68BC4A35" w14:textId="77777777" w:rsidR="001F49FD" w:rsidRDefault="001F49FD">
      <w:pPr>
        <w:ind w:firstLine="0"/>
        <w:rPr>
          <w:sz w:val="20"/>
          <w:szCs w:val="20"/>
          <w:shd w:val="clear" w:color="auto" w:fill="FFFFFF"/>
        </w:rPr>
      </w:pPr>
    </w:p>
    <w:p w14:paraId="1A77C85F" w14:textId="77777777" w:rsidR="001F49FD" w:rsidRDefault="00611419" w:rsidP="00144078">
      <w:pPr>
        <w:pStyle w:val="Recuodecorpodetexto"/>
        <w:ind w:firstLine="709"/>
        <w:rPr>
          <w:szCs w:val="24"/>
          <w:shd w:val="clear" w:color="auto" w:fill="FFFFFF"/>
        </w:rPr>
      </w:pPr>
      <w:r>
        <w:rPr>
          <w:szCs w:val="24"/>
          <w:shd w:val="clear" w:color="auto" w:fill="FFFFFF"/>
        </w:rPr>
        <w:t xml:space="preserve">Apesar de sua tradicional formação, </w:t>
      </w:r>
      <w:proofErr w:type="spellStart"/>
      <w:r>
        <w:rPr>
          <w:szCs w:val="24"/>
          <w:shd w:val="clear" w:color="auto" w:fill="FFFFFF"/>
        </w:rPr>
        <w:t>Bériot</w:t>
      </w:r>
      <w:proofErr w:type="spellEnd"/>
      <w:r>
        <w:rPr>
          <w:szCs w:val="24"/>
          <w:shd w:val="clear" w:color="auto" w:fill="FFFFFF"/>
        </w:rPr>
        <w:t xml:space="preserve"> revela-se fortemente inspirado pelas virtuosísticas performances de Paganini. Alguns dos citados recursos idiomáticos que caracterizavam as obras e execuções do violinista italiano tornaram-se presentes em suas obras musicais – e consequentemente em suas performances – tais como: harmônicos duplos, oitavas dedilhadas e </w:t>
      </w:r>
      <w:r w:rsidRPr="00B14628">
        <w:rPr>
          <w:iCs/>
          <w:szCs w:val="24"/>
          <w:shd w:val="clear" w:color="auto" w:fill="FFFFFF"/>
        </w:rPr>
        <w:t>pizzicato</w:t>
      </w:r>
      <w:r>
        <w:rPr>
          <w:szCs w:val="24"/>
          <w:shd w:val="clear" w:color="auto" w:fill="FFFFFF"/>
        </w:rPr>
        <w:t xml:space="preserve"> de mão esquerda. Porém, o sucesso dessa influência parece não ter sido unânime: </w:t>
      </w:r>
    </w:p>
    <w:p w14:paraId="004EAB53" w14:textId="77777777" w:rsidR="001F49FD" w:rsidRDefault="00611419">
      <w:pPr>
        <w:pStyle w:val="Primeirorecuodecorpodetexto2"/>
        <w:tabs>
          <w:tab w:val="left" w:pos="1134"/>
        </w:tabs>
        <w:spacing w:line="240" w:lineRule="auto"/>
        <w:ind w:left="2268" w:firstLine="0"/>
        <w:rPr>
          <w:sz w:val="20"/>
          <w:szCs w:val="20"/>
          <w:shd w:val="clear" w:color="auto" w:fill="FFFFFF"/>
        </w:rPr>
      </w:pPr>
      <w:r>
        <w:rPr>
          <w:sz w:val="20"/>
          <w:szCs w:val="20"/>
          <w:shd w:val="clear" w:color="auto" w:fill="FFFFFF"/>
        </w:rPr>
        <w:t xml:space="preserve">Ouvindo o Sr. </w:t>
      </w:r>
      <w:proofErr w:type="spellStart"/>
      <w:r>
        <w:rPr>
          <w:sz w:val="20"/>
          <w:szCs w:val="20"/>
          <w:shd w:val="clear" w:color="auto" w:fill="FFFFFF"/>
        </w:rPr>
        <w:t>Bériot</w:t>
      </w:r>
      <w:proofErr w:type="spellEnd"/>
      <w:r>
        <w:rPr>
          <w:sz w:val="20"/>
          <w:szCs w:val="20"/>
          <w:shd w:val="clear" w:color="auto" w:fill="FFFFFF"/>
        </w:rPr>
        <w:t xml:space="preserve"> naquela noite, nós fomos convencidos da absoluta necessidade de que todos os violinistas esqueçam Paganini. Se </w:t>
      </w:r>
      <w:proofErr w:type="spellStart"/>
      <w:r>
        <w:rPr>
          <w:sz w:val="20"/>
          <w:szCs w:val="20"/>
          <w:shd w:val="clear" w:color="auto" w:fill="FFFFFF"/>
        </w:rPr>
        <w:t>Bériot</w:t>
      </w:r>
      <w:proofErr w:type="spellEnd"/>
      <w:r>
        <w:rPr>
          <w:sz w:val="20"/>
          <w:szCs w:val="20"/>
          <w:shd w:val="clear" w:color="auto" w:fill="FFFFFF"/>
        </w:rPr>
        <w:t xml:space="preserve"> possuía um grande talento há um mês, deve-se supor que ele não perdeu desde então as qualidades pelas quais ele se fez tão notável, </w:t>
      </w:r>
      <w:r>
        <w:rPr>
          <w:rFonts w:cs="Times New Roman"/>
          <w:sz w:val="20"/>
          <w:szCs w:val="20"/>
          <w:shd w:val="clear" w:color="auto" w:fill="FFFFFF"/>
        </w:rPr>
        <w:t xml:space="preserve">e ainda assim ele não produz mais o mesmo prazer e o mesmo efeito: </w:t>
      </w:r>
      <w:r>
        <w:rPr>
          <w:sz w:val="20"/>
          <w:szCs w:val="20"/>
          <w:shd w:val="clear" w:color="auto" w:fill="FFFFFF"/>
        </w:rPr>
        <w:t>ele mesmo não parece ter a mesma tranquilidade, a mesma confiança em sua força. De onde vem esse resfriamento de nossa parte, e essa emoção dele, senão por estarmos ainda com a mente cheia de Paganini? (</w:t>
      </w:r>
      <w:proofErr w:type="spellStart"/>
      <w:r>
        <w:rPr>
          <w:i/>
          <w:sz w:val="20"/>
          <w:szCs w:val="20"/>
          <w:shd w:val="clear" w:color="auto" w:fill="FFFFFF"/>
        </w:rPr>
        <w:t>Révue</w:t>
      </w:r>
      <w:proofErr w:type="spellEnd"/>
      <w:r>
        <w:rPr>
          <w:i/>
          <w:sz w:val="20"/>
          <w:szCs w:val="20"/>
          <w:shd w:val="clear" w:color="auto" w:fill="FFFFFF"/>
        </w:rPr>
        <w:t xml:space="preserve"> </w:t>
      </w:r>
      <w:proofErr w:type="spellStart"/>
      <w:r>
        <w:rPr>
          <w:i/>
          <w:sz w:val="20"/>
          <w:szCs w:val="20"/>
          <w:shd w:val="clear" w:color="auto" w:fill="FFFFFF"/>
        </w:rPr>
        <w:t>Musicale</w:t>
      </w:r>
      <w:proofErr w:type="spellEnd"/>
      <w:r>
        <w:rPr>
          <w:sz w:val="20"/>
          <w:szCs w:val="20"/>
          <w:shd w:val="clear" w:color="auto" w:fill="FFFFFF"/>
        </w:rPr>
        <w:t xml:space="preserve">, n. 9, 2 de abril de 1831, p. 71). </w:t>
      </w:r>
    </w:p>
    <w:p w14:paraId="650F3537" w14:textId="77777777" w:rsidR="001F49FD" w:rsidRDefault="001F49FD">
      <w:pPr>
        <w:pStyle w:val="Primeirorecuodecorpodetexto2"/>
        <w:tabs>
          <w:tab w:val="left" w:pos="1134"/>
        </w:tabs>
        <w:ind w:left="0" w:firstLine="0"/>
        <w:rPr>
          <w:sz w:val="20"/>
          <w:szCs w:val="20"/>
          <w:shd w:val="clear" w:color="auto" w:fill="FFFFFF"/>
        </w:rPr>
      </w:pPr>
    </w:p>
    <w:p w14:paraId="13796350" w14:textId="77777777" w:rsidR="001F49FD" w:rsidRDefault="00611419" w:rsidP="00144078">
      <w:pPr>
        <w:pStyle w:val="Recuodecorpodetexto"/>
        <w:ind w:firstLine="709"/>
        <w:rPr>
          <w:szCs w:val="24"/>
          <w:shd w:val="clear" w:color="auto" w:fill="FFFFFF"/>
        </w:rPr>
      </w:pPr>
      <w:r>
        <w:rPr>
          <w:szCs w:val="24"/>
          <w:shd w:val="clear" w:color="auto" w:fill="FFFFFF"/>
        </w:rPr>
        <w:t xml:space="preserve">Apesar das críticas de </w:t>
      </w:r>
      <w:proofErr w:type="spellStart"/>
      <w:r>
        <w:rPr>
          <w:szCs w:val="24"/>
          <w:shd w:val="clear" w:color="auto" w:fill="FFFFFF"/>
        </w:rPr>
        <w:t>Fétis</w:t>
      </w:r>
      <w:proofErr w:type="spellEnd"/>
      <w:r>
        <w:rPr>
          <w:szCs w:val="24"/>
          <w:shd w:val="clear" w:color="auto" w:fill="FFFFFF"/>
        </w:rPr>
        <w:t xml:space="preserve"> e de ter sofrido inevitáveis comparações com o violinista italiano durante certo período, </w:t>
      </w:r>
      <w:proofErr w:type="spellStart"/>
      <w:r>
        <w:rPr>
          <w:szCs w:val="24"/>
          <w:shd w:val="clear" w:color="auto" w:fill="FFFFFF"/>
        </w:rPr>
        <w:t>Bériot</w:t>
      </w:r>
      <w:proofErr w:type="spellEnd"/>
      <w:r>
        <w:rPr>
          <w:szCs w:val="24"/>
          <w:shd w:val="clear" w:color="auto" w:fill="FFFFFF"/>
        </w:rPr>
        <w:t xml:space="preserve"> simbolizou historicamente </w:t>
      </w:r>
      <w:r>
        <w:rPr>
          <w:color w:val="111111"/>
          <w:szCs w:val="24"/>
          <w:shd w:val="clear" w:color="auto" w:fill="FFFFFF"/>
        </w:rPr>
        <w:t xml:space="preserve">a conjunção da tradição com o estilo virtuosístico:  </w:t>
      </w:r>
    </w:p>
    <w:p w14:paraId="32E3BE3E" w14:textId="77777777" w:rsidR="001F49FD" w:rsidRDefault="00611419">
      <w:pPr>
        <w:pStyle w:val="Primeirorecuodecorpodetexto2"/>
        <w:spacing w:line="240" w:lineRule="auto"/>
        <w:ind w:left="2268" w:firstLine="0"/>
        <w:rPr>
          <w:sz w:val="20"/>
          <w:szCs w:val="20"/>
          <w:shd w:val="clear" w:color="auto" w:fill="FFFFFF"/>
        </w:rPr>
      </w:pPr>
      <w:r>
        <w:rPr>
          <w:sz w:val="20"/>
          <w:szCs w:val="20"/>
          <w:shd w:val="clear" w:color="auto" w:fill="FFFFFF"/>
        </w:rPr>
        <w:t xml:space="preserve">Ele não se apegou facilmente aos dogmas de sua preparação convencional e desenvolveu diversas excentricidades no seu estilo de performance, sendo consideravelmente aclamado, tanto em sua estreia parisiense como na </w:t>
      </w:r>
      <w:proofErr w:type="spellStart"/>
      <w:r>
        <w:rPr>
          <w:i/>
          <w:sz w:val="20"/>
          <w:szCs w:val="20"/>
          <w:shd w:val="clear" w:color="auto" w:fill="FFFFFF"/>
        </w:rPr>
        <w:t>Philarmonic</w:t>
      </w:r>
      <w:proofErr w:type="spellEnd"/>
      <w:r>
        <w:rPr>
          <w:i/>
          <w:sz w:val="20"/>
          <w:szCs w:val="20"/>
          <w:shd w:val="clear" w:color="auto" w:fill="FFFFFF"/>
        </w:rPr>
        <w:t xml:space="preserve"> Society </w:t>
      </w:r>
      <w:r>
        <w:rPr>
          <w:sz w:val="20"/>
          <w:szCs w:val="20"/>
          <w:shd w:val="clear" w:color="auto" w:fill="FFFFFF"/>
        </w:rPr>
        <w:t>em Londres. (1826) (STOWELL, 1992, p. 63</w:t>
      </w:r>
      <w:proofErr w:type="gramStart"/>
      <w:r>
        <w:rPr>
          <w:sz w:val="20"/>
          <w:szCs w:val="20"/>
          <w:shd w:val="clear" w:color="auto" w:fill="FFFFFF"/>
        </w:rPr>
        <w:t>).</w:t>
      </w:r>
      <w:r>
        <w:rPr>
          <w:rFonts w:cs="Times New Roman"/>
          <w:bCs/>
          <w:sz w:val="20"/>
          <w:szCs w:val="20"/>
          <w:shd w:val="clear" w:color="auto" w:fill="FFFFFF"/>
        </w:rPr>
        <w:t>g</w:t>
      </w:r>
      <w:proofErr w:type="gramEnd"/>
    </w:p>
    <w:p w14:paraId="6606239E" w14:textId="77777777" w:rsidR="001F49FD" w:rsidRDefault="001F49FD">
      <w:pPr>
        <w:pStyle w:val="Primeirorecuodecorpodetexto2"/>
        <w:spacing w:line="240" w:lineRule="auto"/>
        <w:ind w:left="2268" w:firstLine="0"/>
        <w:rPr>
          <w:sz w:val="20"/>
          <w:szCs w:val="20"/>
          <w:shd w:val="clear" w:color="auto" w:fill="FFFFFF"/>
        </w:rPr>
      </w:pPr>
    </w:p>
    <w:p w14:paraId="14914F19" w14:textId="379A88FC" w:rsidR="001F49FD" w:rsidRDefault="00611419" w:rsidP="00144078">
      <w:pPr>
        <w:pStyle w:val="Recuodecorpodetexto"/>
        <w:ind w:firstLine="709"/>
        <w:rPr>
          <w:shd w:val="clear" w:color="auto" w:fill="FFFFFF"/>
        </w:rPr>
      </w:pPr>
      <w:r>
        <w:rPr>
          <w:shd w:val="clear" w:color="auto" w:fill="FFFFFF"/>
        </w:rPr>
        <w:t xml:space="preserve">A qualidade dos violinistas oriundos do Conservatório de Bruxelas nas gerações seguintes – principalmente através dos nomes de Henri </w:t>
      </w:r>
      <w:proofErr w:type="spellStart"/>
      <w:r>
        <w:rPr>
          <w:shd w:val="clear" w:color="auto" w:fill="FFFFFF"/>
        </w:rPr>
        <w:t>Vieuxtemps</w:t>
      </w:r>
      <w:proofErr w:type="spellEnd"/>
      <w:r>
        <w:rPr>
          <w:shd w:val="clear" w:color="auto" w:fill="FFFFFF"/>
        </w:rPr>
        <w:t xml:space="preserve"> e </w:t>
      </w:r>
      <w:proofErr w:type="spellStart"/>
      <w:r>
        <w:rPr>
          <w:shd w:val="clear" w:color="auto" w:fill="FFFFFF"/>
        </w:rPr>
        <w:t>Eugène</w:t>
      </w:r>
      <w:proofErr w:type="spellEnd"/>
      <w:r>
        <w:rPr>
          <w:shd w:val="clear" w:color="auto" w:fill="FFFFFF"/>
        </w:rPr>
        <w:t xml:space="preserve"> </w:t>
      </w:r>
      <w:proofErr w:type="spellStart"/>
      <w:r>
        <w:rPr>
          <w:shd w:val="clear" w:color="auto" w:fill="FFFFFF"/>
        </w:rPr>
        <w:t>Ysaÿe</w:t>
      </w:r>
      <w:proofErr w:type="spellEnd"/>
      <w:r>
        <w:rPr>
          <w:shd w:val="clear" w:color="auto" w:fill="FFFFFF"/>
        </w:rPr>
        <w:t xml:space="preserve"> – em muito contribuiu para que tal estilo virtuosístico de </w:t>
      </w:r>
      <w:proofErr w:type="spellStart"/>
      <w:r>
        <w:rPr>
          <w:shd w:val="clear" w:color="auto" w:fill="FFFFFF"/>
        </w:rPr>
        <w:t>Bériot</w:t>
      </w:r>
      <w:proofErr w:type="spellEnd"/>
      <w:r>
        <w:rPr>
          <w:shd w:val="clear" w:color="auto" w:fill="FFFFFF"/>
        </w:rPr>
        <w:t xml:space="preserve"> se atrelasse à então celebrada Escola Franco-belga, que passou a representar a modernidade técnica e estilística nas últimas décadas do século XIX e no início do século XX.</w:t>
      </w:r>
      <w:r>
        <w:rPr>
          <w:b/>
          <w:shd w:val="clear" w:color="auto" w:fill="FFFFFF"/>
        </w:rPr>
        <w:t xml:space="preserve"> </w:t>
      </w:r>
      <w:r>
        <w:rPr>
          <w:shd w:val="clear" w:color="auto" w:fill="FFFFFF"/>
        </w:rPr>
        <w:t>Portanto, o</w:t>
      </w:r>
      <w:r>
        <w:rPr>
          <w:b/>
          <w:shd w:val="clear" w:color="auto" w:fill="FFFFFF"/>
        </w:rPr>
        <w:t xml:space="preserve"> </w:t>
      </w:r>
      <w:r>
        <w:rPr>
          <w:shd w:val="clear" w:color="auto" w:fill="FFFFFF"/>
        </w:rPr>
        <w:t xml:space="preserve">estudo dos princípios estabelecidos no método de </w:t>
      </w:r>
      <w:proofErr w:type="spellStart"/>
      <w:r>
        <w:rPr>
          <w:shd w:val="clear" w:color="auto" w:fill="FFFFFF"/>
        </w:rPr>
        <w:t>Bériot</w:t>
      </w:r>
      <w:proofErr w:type="spellEnd"/>
      <w:r>
        <w:rPr>
          <w:shd w:val="clear" w:color="auto" w:fill="FFFFFF"/>
        </w:rPr>
        <w:t xml:space="preserve"> permite verificar se, à parte os modismos e contextos musicais, premissas técnicas específicas contribuíram para o êxito e a alta reputação da Escola Franco-belga. </w:t>
      </w:r>
    </w:p>
    <w:p w14:paraId="07314E96" w14:textId="77777777" w:rsidR="0052458F" w:rsidRDefault="0052458F" w:rsidP="00144078">
      <w:pPr>
        <w:pStyle w:val="Recuodecorpodetexto"/>
        <w:ind w:firstLine="709"/>
        <w:rPr>
          <w:shd w:val="clear" w:color="auto" w:fill="FFFFFF"/>
        </w:rPr>
      </w:pPr>
    </w:p>
    <w:p w14:paraId="7054F759" w14:textId="77777777" w:rsidR="0052458F" w:rsidRDefault="0052458F" w:rsidP="00144078">
      <w:pPr>
        <w:pStyle w:val="Recuodecorpodetexto"/>
        <w:ind w:firstLine="709"/>
        <w:rPr>
          <w:shd w:val="clear" w:color="auto" w:fill="FFFFFF"/>
        </w:rPr>
      </w:pPr>
    </w:p>
    <w:p w14:paraId="3A9C19B6" w14:textId="77777777" w:rsidR="0052458F" w:rsidRDefault="0052458F" w:rsidP="00144078">
      <w:pPr>
        <w:pStyle w:val="Recuodecorpodetexto"/>
        <w:ind w:firstLine="709"/>
        <w:rPr>
          <w:shd w:val="clear" w:color="auto" w:fill="FFFFFF"/>
        </w:rPr>
      </w:pPr>
    </w:p>
    <w:p w14:paraId="2D84370E" w14:textId="45A2662B" w:rsidR="0052458F" w:rsidRPr="0052458F" w:rsidRDefault="00611419" w:rsidP="000A6E65">
      <w:pPr>
        <w:pStyle w:val="Ttulo3"/>
      </w:pPr>
      <w:bookmarkStart w:id="44" w:name="_Toc484195687"/>
      <w:bookmarkStart w:id="45" w:name="_Toc522439231"/>
      <w:bookmarkStart w:id="46" w:name="_Toc14331022"/>
      <w:bookmarkStart w:id="47" w:name="_Toc219359024"/>
      <w:r>
        <w:lastRenderedPageBreak/>
        <w:t xml:space="preserve">Principais preceitos do método de </w:t>
      </w:r>
      <w:proofErr w:type="spellStart"/>
      <w:r>
        <w:t>Bériot</w:t>
      </w:r>
      <w:bookmarkEnd w:id="44"/>
      <w:bookmarkEnd w:id="45"/>
      <w:bookmarkEnd w:id="46"/>
      <w:bookmarkEnd w:id="47"/>
      <w:proofErr w:type="spellEnd"/>
    </w:p>
    <w:p w14:paraId="4337852B" w14:textId="77777777" w:rsidR="001F49FD" w:rsidRDefault="00611419" w:rsidP="00EF7DEA">
      <w:pPr>
        <w:pStyle w:val="Recuodecorpodetexto"/>
        <w:ind w:firstLine="709"/>
      </w:pPr>
      <w:r>
        <w:rPr>
          <w:shd w:val="clear" w:color="auto" w:fill="FFFFFF"/>
        </w:rPr>
        <w:t xml:space="preserve">O </w:t>
      </w:r>
      <w:proofErr w:type="spellStart"/>
      <w:r>
        <w:rPr>
          <w:i/>
          <w:shd w:val="clear" w:color="auto" w:fill="FFFFFF"/>
        </w:rPr>
        <w:t>Méthode</w:t>
      </w:r>
      <w:proofErr w:type="spellEnd"/>
      <w:r>
        <w:rPr>
          <w:i/>
          <w:shd w:val="clear" w:color="auto" w:fill="FFFFFF"/>
        </w:rPr>
        <w:t xml:space="preserve"> de </w:t>
      </w:r>
      <w:proofErr w:type="spellStart"/>
      <w:r>
        <w:rPr>
          <w:i/>
          <w:shd w:val="clear" w:color="auto" w:fill="FFFFFF"/>
        </w:rPr>
        <w:t>Violon</w:t>
      </w:r>
      <w:proofErr w:type="spellEnd"/>
      <w:r>
        <w:rPr>
          <w:shd w:val="clear" w:color="auto" w:fill="FFFFFF"/>
        </w:rPr>
        <w:t xml:space="preserve"> contém três volumes: </w:t>
      </w:r>
      <w:r>
        <w:rPr>
          <w:b/>
          <w:shd w:val="clear" w:color="auto" w:fill="FFFFFF"/>
        </w:rPr>
        <w:t>Do Mecanismo: dificuldades elementares</w:t>
      </w:r>
      <w:r>
        <w:rPr>
          <w:shd w:val="clear" w:color="auto" w:fill="FFFFFF"/>
        </w:rPr>
        <w:t xml:space="preserve">; </w:t>
      </w:r>
      <w:r>
        <w:rPr>
          <w:b/>
          <w:shd w:val="clear" w:color="auto" w:fill="FFFFFF"/>
        </w:rPr>
        <w:t>Do Mecanismo: dificuldades</w:t>
      </w:r>
      <w:r>
        <w:rPr>
          <w:shd w:val="clear" w:color="auto" w:fill="FFFFFF"/>
        </w:rPr>
        <w:t xml:space="preserve"> </w:t>
      </w:r>
      <w:r>
        <w:rPr>
          <w:b/>
          <w:shd w:val="clear" w:color="auto" w:fill="FFFFFF"/>
        </w:rPr>
        <w:t>transcendentais</w:t>
      </w:r>
      <w:r>
        <w:rPr>
          <w:shd w:val="clear" w:color="auto" w:fill="FFFFFF"/>
        </w:rPr>
        <w:t xml:space="preserve">; </w:t>
      </w:r>
      <w:r>
        <w:rPr>
          <w:b/>
          <w:shd w:val="clear" w:color="auto" w:fill="FFFFFF"/>
        </w:rPr>
        <w:t>Do Estilo e seus elementos</w:t>
      </w:r>
      <w:r>
        <w:rPr>
          <w:shd w:val="clear" w:color="auto" w:fill="FFFFFF"/>
        </w:rPr>
        <w:t>.</w:t>
      </w:r>
      <w:r>
        <w:rPr>
          <w:rStyle w:val="Refdenotaderodap"/>
          <w:rFonts w:cs="Times New Roman"/>
          <w:bCs/>
          <w:color w:val="222222"/>
          <w:szCs w:val="24"/>
          <w:shd w:val="clear" w:color="auto" w:fill="FFFFFF"/>
        </w:rPr>
        <w:footnoteReference w:id="19"/>
      </w:r>
      <w:r>
        <w:rPr>
          <w:shd w:val="clear" w:color="auto" w:fill="FFFFFF"/>
        </w:rPr>
        <w:t xml:space="preserve"> Para </w:t>
      </w:r>
      <w:proofErr w:type="spellStart"/>
      <w:r>
        <w:rPr>
          <w:shd w:val="clear" w:color="auto" w:fill="FFFFFF"/>
        </w:rPr>
        <w:t>Bériot</w:t>
      </w:r>
      <w:proofErr w:type="spellEnd"/>
      <w:r>
        <w:rPr>
          <w:shd w:val="clear" w:color="auto" w:fill="FFFFFF"/>
        </w:rPr>
        <w:t xml:space="preserve">, assim como para Spohr, a aplicabilidade da técnica através de exercícios parece ser tão ou mais importante do que uma vasta e detalhada apresentação dos elementos técnicos, como encontrada na obra de </w:t>
      </w:r>
      <w:proofErr w:type="spellStart"/>
      <w:r>
        <w:rPr>
          <w:shd w:val="clear" w:color="auto" w:fill="FFFFFF"/>
        </w:rPr>
        <w:t>Baillot</w:t>
      </w:r>
      <w:proofErr w:type="spellEnd"/>
      <w:r>
        <w:rPr>
          <w:shd w:val="clear" w:color="auto" w:fill="FFFFFF"/>
        </w:rPr>
        <w:t xml:space="preserve">. Ainda que sucintos, seus preceitos sobre postura corporal e sobre as técnicas de mão esquerda e de arco estão claramente estabelecidos em quatro tópicos ao início do primeiro volume. O primeiro tópico, </w:t>
      </w:r>
      <w:r>
        <w:rPr>
          <w:b/>
          <w:shd w:val="clear" w:color="auto" w:fill="FFFFFF"/>
        </w:rPr>
        <w:t>Atitude</w:t>
      </w:r>
      <w:r>
        <w:rPr>
          <w:shd w:val="clear" w:color="auto" w:fill="FFFFFF"/>
        </w:rPr>
        <w:t xml:space="preserve"> é, assim como em </w:t>
      </w:r>
      <w:proofErr w:type="spellStart"/>
      <w:r>
        <w:rPr>
          <w:shd w:val="clear" w:color="auto" w:fill="FFFFFF"/>
        </w:rPr>
        <w:t>Baillot</w:t>
      </w:r>
      <w:proofErr w:type="spellEnd"/>
      <w:r>
        <w:rPr>
          <w:shd w:val="clear" w:color="auto" w:fill="FFFFFF"/>
        </w:rPr>
        <w:t>, submetido à regra que preconiza o equilíbrio sobre a perna esquerda, e os</w:t>
      </w:r>
      <w:r>
        <w:t xml:space="preserve"> preceitos servem como preparação a esse princípio postural: </w:t>
      </w:r>
    </w:p>
    <w:p w14:paraId="43FC986A" w14:textId="77777777" w:rsidR="001F49FD" w:rsidRDefault="001F49FD">
      <w:pPr>
        <w:pStyle w:val="Recuodecorpodetexto"/>
        <w:ind w:left="283" w:firstLine="1134"/>
      </w:pPr>
    </w:p>
    <w:p w14:paraId="4C6FF386" w14:textId="77777777" w:rsidR="001F49FD" w:rsidRDefault="00611419">
      <w:pPr>
        <w:pStyle w:val="Recuodecorpodetexto"/>
        <w:numPr>
          <w:ilvl w:val="0"/>
          <w:numId w:val="2"/>
        </w:numPr>
        <w:ind w:left="1276" w:hanging="142"/>
      </w:pPr>
      <w:r>
        <w:rPr>
          <w:b/>
          <w:bCs/>
          <w:color w:val="222222"/>
          <w:shd w:val="clear" w:color="auto" w:fill="FFFFFF"/>
        </w:rPr>
        <w:t>Atitude</w:t>
      </w:r>
      <w:r>
        <w:t xml:space="preserve"> (p. 4) </w:t>
      </w:r>
    </w:p>
    <w:p w14:paraId="7DDE2D6C" w14:textId="77777777" w:rsidR="001F49FD" w:rsidRDefault="00611419">
      <w:pPr>
        <w:pStyle w:val="Recuodecorpodetexto"/>
        <w:ind w:left="283" w:firstLine="850"/>
      </w:pPr>
      <w:r>
        <w:t>- “Colocar-se em frente à página esquerda da partitura.”</w:t>
      </w:r>
    </w:p>
    <w:p w14:paraId="4F818EF4" w14:textId="77777777" w:rsidR="001F49FD" w:rsidRDefault="00611419">
      <w:pPr>
        <w:pStyle w:val="Recuodecorpodetexto"/>
        <w:ind w:firstLine="1134"/>
      </w:pPr>
      <w:r>
        <w:rPr>
          <w:bCs/>
          <w:color w:val="222222"/>
          <w:shd w:val="clear" w:color="auto" w:fill="FFFFFF"/>
        </w:rPr>
        <w:t>- “</w:t>
      </w:r>
      <w:r>
        <w:t>O corpo reto e aprumado sobre a perna esquerda, mas evitando avançar o quadril.”</w:t>
      </w:r>
    </w:p>
    <w:p w14:paraId="38561742" w14:textId="77777777" w:rsidR="001F49FD" w:rsidRDefault="00611419">
      <w:pPr>
        <w:pStyle w:val="Recuodecorpodetexto"/>
        <w:ind w:firstLine="1134"/>
      </w:pPr>
      <w:r>
        <w:t>- “O pé esquerdo forma quase um ângulo reto com a estante, levemente voltado para fora.”</w:t>
      </w:r>
    </w:p>
    <w:p w14:paraId="59C7190A" w14:textId="77777777" w:rsidR="001F49FD" w:rsidRDefault="00611419">
      <w:pPr>
        <w:pStyle w:val="Corpodetexto"/>
        <w:spacing w:after="0"/>
      </w:pPr>
      <w:r>
        <w:t>- “O pé direito um pouco mais avançado e em direção ao ângulo direito da estante, com os calcanhares afastados de dez a doze centímetros um do outro.”</w:t>
      </w:r>
    </w:p>
    <w:p w14:paraId="46187B36" w14:textId="77777777" w:rsidR="001F49FD" w:rsidRDefault="001F49FD">
      <w:pPr>
        <w:pStyle w:val="Corpodetexto"/>
        <w:spacing w:after="0"/>
        <w:rPr>
          <w:b/>
          <w:bCs/>
          <w:color w:val="222222"/>
          <w:shd w:val="clear" w:color="auto" w:fill="FFFFFF"/>
        </w:rPr>
      </w:pPr>
    </w:p>
    <w:p w14:paraId="343B93A5" w14:textId="77777777" w:rsidR="001F49FD" w:rsidRDefault="00611419" w:rsidP="00EF7DEA">
      <w:pPr>
        <w:pStyle w:val="Recuodecorpodetexto"/>
        <w:ind w:firstLine="709"/>
      </w:pPr>
      <w:r>
        <w:t xml:space="preserve">O tópico referente à sustentação do violino contém orientações que revelam igualmente uma grande identificação de </w:t>
      </w:r>
      <w:proofErr w:type="spellStart"/>
      <w:r>
        <w:t>Bériot</w:t>
      </w:r>
      <w:proofErr w:type="spellEnd"/>
      <w:r>
        <w:t xml:space="preserve"> com os preceitos de Spohr e </w:t>
      </w:r>
      <w:proofErr w:type="spellStart"/>
      <w:r>
        <w:t>Baillot</w:t>
      </w:r>
      <w:proofErr w:type="spellEnd"/>
      <w:r>
        <w:t>, o que evidencia uma unidade dessa questão técnica entre as Escolas Francesa, Germânica e Franco-belga na primeira metade do século XIX:</w:t>
      </w:r>
    </w:p>
    <w:p w14:paraId="6C9BF04A" w14:textId="77777777" w:rsidR="001F49FD" w:rsidRDefault="001F49FD">
      <w:pPr>
        <w:pStyle w:val="Recuodecorpodetexto"/>
        <w:ind w:left="283" w:firstLine="1134"/>
      </w:pPr>
    </w:p>
    <w:p w14:paraId="355E2E6F" w14:textId="77777777" w:rsidR="001F49FD" w:rsidRDefault="00611419">
      <w:pPr>
        <w:pStyle w:val="Recuodecorpodetexto"/>
        <w:numPr>
          <w:ilvl w:val="0"/>
          <w:numId w:val="2"/>
        </w:numPr>
        <w:ind w:left="1276" w:hanging="142"/>
      </w:pPr>
      <w:r>
        <w:rPr>
          <w:b/>
        </w:rPr>
        <w:t>Da sustentação do violino</w:t>
      </w:r>
      <w:r>
        <w:t xml:space="preserve"> (p. 4)</w:t>
      </w:r>
    </w:p>
    <w:p w14:paraId="7928335C" w14:textId="77777777" w:rsidR="001F49FD" w:rsidRDefault="00611419">
      <w:pPr>
        <w:pStyle w:val="Recuodecorpodetexto"/>
        <w:ind w:firstLine="1134"/>
      </w:pPr>
      <w:r>
        <w:t>- “O violino é posicionado sobre a clavícula esquerda, escorado no pescoço e amparado pela gola da vestimenta e do colete, que o inclinam naturalmente para a direita.”</w:t>
      </w:r>
    </w:p>
    <w:p w14:paraId="164744DD" w14:textId="77777777" w:rsidR="001F49FD" w:rsidRDefault="00611419">
      <w:pPr>
        <w:pStyle w:val="Recuodecorpodetexto"/>
        <w:ind w:firstLine="1134"/>
      </w:pPr>
      <w:r>
        <w:t>- “A pressão do queixo deve se dividir entre o estandarte e o tampo, sem excessos, mas suficientemente forte para que o violino não escape devido aos movimentos da mão esquerda.”</w:t>
      </w:r>
    </w:p>
    <w:p w14:paraId="44468B80" w14:textId="77777777" w:rsidR="00EF7DEA" w:rsidRDefault="00611419">
      <w:pPr>
        <w:pStyle w:val="Recuodecorpodetexto"/>
        <w:ind w:firstLine="1134"/>
        <w:rPr>
          <w:rFonts w:cs="Times New Roman"/>
          <w:szCs w:val="24"/>
        </w:rPr>
      </w:pPr>
      <w:r>
        <w:lastRenderedPageBreak/>
        <w:t>- “O violino é colocado horizontalmente e na linha do pé esquerdo.”</w:t>
      </w:r>
      <w:r>
        <w:rPr>
          <w:rFonts w:cs="Times New Roman"/>
          <w:szCs w:val="24"/>
        </w:rPr>
        <w:t xml:space="preserve">     </w:t>
      </w:r>
    </w:p>
    <w:p w14:paraId="47299040" w14:textId="0194CB43" w:rsidR="001F49FD" w:rsidRDefault="00611419">
      <w:pPr>
        <w:pStyle w:val="Recuodecorpodetexto"/>
        <w:ind w:firstLine="1134"/>
      </w:pPr>
      <w:r>
        <w:rPr>
          <w:rFonts w:cs="Times New Roman"/>
          <w:szCs w:val="24"/>
        </w:rPr>
        <w:t xml:space="preserve">                                                                                                                            </w:t>
      </w:r>
    </w:p>
    <w:p w14:paraId="208FC969" w14:textId="77777777" w:rsidR="001F49FD" w:rsidRDefault="00611419" w:rsidP="00EF7DEA">
      <w:pPr>
        <w:pStyle w:val="Recuodecorpodetexto"/>
        <w:ind w:firstLine="709"/>
        <w:rPr>
          <w:bCs/>
          <w:color w:val="222222"/>
          <w:shd w:val="clear" w:color="auto" w:fill="FFFFFF"/>
        </w:rPr>
      </w:pPr>
      <w:r>
        <w:t xml:space="preserve">A respeito da técnica de mão esquerda, </w:t>
      </w:r>
      <w:proofErr w:type="spellStart"/>
      <w:r>
        <w:t>Bériot</w:t>
      </w:r>
      <w:proofErr w:type="spellEnd"/>
      <w:r>
        <w:t xml:space="preserve">, assim como Spohr e </w:t>
      </w:r>
      <w:proofErr w:type="spellStart"/>
      <w:r>
        <w:t>Baillot</w:t>
      </w:r>
      <w:proofErr w:type="spellEnd"/>
      <w:r>
        <w:t xml:space="preserve">, detalha o ponto de contato dos dedos polegar e indicador no braço do violino, o que, como mencionamos acima, parece ter sido uma questão relevante na primeira metade daquele século, provavelmente no intuito de eliminar os eventuais resquícios de colocação do braço do violino na palma da mão, como indica o segundo preceito. O violinista belga determina ainda – com mais clareza que seus antecessores – o posicionamento do dedo polegar e confere importância à posição do punho, um ponto não abordado até então: </w:t>
      </w:r>
    </w:p>
    <w:p w14:paraId="472E72AC" w14:textId="77777777" w:rsidR="001F49FD" w:rsidRDefault="001F49FD">
      <w:pPr>
        <w:pStyle w:val="Recuodecorpodetexto"/>
        <w:ind w:left="283" w:firstLine="1134"/>
        <w:rPr>
          <w:b/>
        </w:rPr>
      </w:pPr>
    </w:p>
    <w:p w14:paraId="5BF20CCB" w14:textId="77777777" w:rsidR="001F49FD" w:rsidRDefault="00611419">
      <w:pPr>
        <w:pStyle w:val="Recuodecorpodetexto"/>
        <w:numPr>
          <w:ilvl w:val="0"/>
          <w:numId w:val="2"/>
        </w:numPr>
        <w:ind w:left="1276" w:hanging="142"/>
      </w:pPr>
      <w:r>
        <w:rPr>
          <w:b/>
        </w:rPr>
        <w:t>Postura do braço e mão esquerdos</w:t>
      </w:r>
      <w:r>
        <w:t xml:space="preserve"> (p. 4)</w:t>
      </w:r>
    </w:p>
    <w:p w14:paraId="6FE1BF8E" w14:textId="77777777" w:rsidR="001F49FD" w:rsidRDefault="00611419">
      <w:pPr>
        <w:pStyle w:val="Recuodecorpodetexto"/>
        <w:ind w:firstLine="1134"/>
      </w:pPr>
      <w:r>
        <w:t>- “O cotovelo é posicionado sob o centro do violino.”</w:t>
      </w:r>
      <w:r>
        <w:rPr>
          <w:rFonts w:cs="Times New Roman"/>
          <w:szCs w:val="24"/>
        </w:rPr>
        <w:t xml:space="preserve">                                                                                                          </w:t>
      </w:r>
    </w:p>
    <w:p w14:paraId="427E956F" w14:textId="77777777" w:rsidR="001F49FD" w:rsidRDefault="00611419">
      <w:pPr>
        <w:pStyle w:val="Recuodecorpodetexto"/>
        <w:ind w:firstLine="1134"/>
      </w:pPr>
      <w:r>
        <w:t>- “Sustentar o braço do violino sem muito apertá-lo, entre a primeira falange [distal] do dedo polegar e a terceira falange [proximal] do dedo indicador.</w:t>
      </w:r>
      <w:r>
        <w:rPr>
          <w:b/>
        </w:rPr>
        <w:t xml:space="preserve"> </w:t>
      </w:r>
      <w:r>
        <w:t>Manter essa posição para que o braço do violino não caia sobre a parte carnuda do dedo polegar próxima à palma da mão.”</w:t>
      </w:r>
    </w:p>
    <w:p w14:paraId="0D379E11" w14:textId="77777777" w:rsidR="001F49FD" w:rsidRDefault="00611419">
      <w:pPr>
        <w:pStyle w:val="Recuodecorpodetexto"/>
        <w:ind w:firstLine="1134"/>
      </w:pPr>
      <w:r>
        <w:t>- “Na primeira posição, o dedo polegar deve estar no local correspondente ao Lá natural e ao Si bemol da 4ª corda.”</w:t>
      </w:r>
    </w:p>
    <w:p w14:paraId="29B7A461" w14:textId="77777777" w:rsidR="001F49FD" w:rsidRDefault="00611419">
      <w:pPr>
        <w:pStyle w:val="Recuodecorpodetexto"/>
        <w:ind w:firstLine="1134"/>
      </w:pPr>
      <w:r>
        <w:t>- “O punho se mantém em uma posição leve e natural, e quase em linha reta com o antebraço; evite recuá-lo quando das extensões do dedo mínimo.”</w:t>
      </w:r>
    </w:p>
    <w:p w14:paraId="0529EB8B" w14:textId="77777777" w:rsidR="001F49FD" w:rsidRDefault="001F49FD">
      <w:pPr>
        <w:pStyle w:val="Recuodecorpodetexto"/>
        <w:ind w:left="283" w:firstLine="1134"/>
      </w:pPr>
    </w:p>
    <w:p w14:paraId="343DDFDB" w14:textId="77777777" w:rsidR="001F49FD" w:rsidRDefault="00611419" w:rsidP="00EF7DEA">
      <w:pPr>
        <w:pStyle w:val="Recuodecorpodetexto"/>
        <w:ind w:left="283" w:firstLine="426"/>
      </w:pPr>
      <w:r>
        <w:t>As duas últimas orientações sobre a técnica de mão esquerda – presentes na primeira série de estudos do método – revelam certa imprecisão a respeito do grau de elevação e do posicionamento dos dedos sobre o espelho:</w:t>
      </w:r>
    </w:p>
    <w:p w14:paraId="44C19C6A" w14:textId="77777777" w:rsidR="001F49FD" w:rsidRDefault="001F49FD">
      <w:pPr>
        <w:pStyle w:val="Recuodecorpodetexto"/>
        <w:ind w:left="283" w:firstLine="1134"/>
      </w:pPr>
    </w:p>
    <w:p w14:paraId="529A6FC4" w14:textId="77777777" w:rsidR="001F49FD" w:rsidRDefault="00611419">
      <w:pPr>
        <w:pStyle w:val="Recuodecorpodetexto"/>
        <w:numPr>
          <w:ilvl w:val="0"/>
          <w:numId w:val="2"/>
        </w:numPr>
        <w:ind w:left="1276" w:hanging="142"/>
      </w:pPr>
      <w:r>
        <w:rPr>
          <w:b/>
        </w:rPr>
        <w:t>Exercícios preparatórios para a mão esquerda</w:t>
      </w:r>
      <w:r>
        <w:t xml:space="preserve"> </w:t>
      </w:r>
      <w:r>
        <w:rPr>
          <w:bCs/>
          <w:color w:val="222222"/>
          <w:shd w:val="clear" w:color="auto" w:fill="FFFFFF"/>
        </w:rPr>
        <w:t>(p. 8 e 9)</w:t>
      </w:r>
    </w:p>
    <w:p w14:paraId="09BE8334" w14:textId="77777777" w:rsidR="001F49FD" w:rsidRDefault="00611419">
      <w:pPr>
        <w:pStyle w:val="Primeirorecuodecorpodetexto2"/>
        <w:ind w:left="0" w:firstLine="1134"/>
        <w:rPr>
          <w:shd w:val="clear" w:color="auto" w:fill="FFFFFF"/>
        </w:rPr>
      </w:pPr>
      <w:r>
        <w:rPr>
          <w:shd w:val="clear" w:color="auto" w:fill="FFFFFF"/>
        </w:rPr>
        <w:t xml:space="preserve">- “Os dedos preparados para tocar a corda não devem estar nem muito aproximados [adução], nem muito distanciados [abdução]. Dois a três centímetros de distância são suficientes para que eles caiam sobre a corda com precisão e leveza.” </w:t>
      </w:r>
    </w:p>
    <w:p w14:paraId="6CBC22ED" w14:textId="77777777" w:rsidR="001F49FD" w:rsidRDefault="00611419">
      <w:pPr>
        <w:pStyle w:val="Recuodecorpodetexto"/>
        <w:ind w:firstLine="1134"/>
        <w:rPr>
          <w:shd w:val="clear" w:color="auto" w:fill="FFFFFF"/>
        </w:rPr>
      </w:pPr>
      <w:r>
        <w:rPr>
          <w:color w:val="222222"/>
          <w:shd w:val="clear" w:color="auto" w:fill="FFFFFF"/>
        </w:rPr>
        <w:t xml:space="preserve"> - </w:t>
      </w:r>
      <w:r>
        <w:rPr>
          <w:shd w:val="clear" w:color="auto" w:fill="FFFFFF"/>
        </w:rPr>
        <w:t xml:space="preserve">“Quando os dedos estão colocados sobre a corda, eles não devem estar nem retos nem perpendiculares, mas arredondados de forma a não tocar as cordas vizinhas e assim evitar a sua vibração.” </w:t>
      </w:r>
    </w:p>
    <w:p w14:paraId="0894D16A" w14:textId="77777777" w:rsidR="001F49FD" w:rsidRDefault="00611419">
      <w:pPr>
        <w:pStyle w:val="Recuodecorpodetexto"/>
        <w:ind w:firstLine="1134"/>
        <w:rPr>
          <w:shd w:val="clear" w:color="auto" w:fill="FFFFFF"/>
        </w:rPr>
      </w:pPr>
      <w:r>
        <w:rPr>
          <w:shd w:val="clear" w:color="auto" w:fill="FFFFFF"/>
        </w:rPr>
        <w:t xml:space="preserve">                             </w:t>
      </w:r>
    </w:p>
    <w:p w14:paraId="503297F6" w14:textId="2AEC4807" w:rsidR="001F49FD" w:rsidRDefault="00611419" w:rsidP="00EF7DEA">
      <w:pPr>
        <w:pStyle w:val="Recuodecorpodetexto"/>
        <w:ind w:firstLine="709"/>
      </w:pPr>
      <w:r>
        <w:lastRenderedPageBreak/>
        <w:t xml:space="preserve">O tópico mais extenso é destinado à técnica de arco. Após as detalhadas orientações sobre o ponto de contato dos dedos na vareta e o posicionamento do dedo polegar, o terceiro e quarto preceitos abaixo listados sugerem que </w:t>
      </w:r>
      <w:proofErr w:type="spellStart"/>
      <w:r>
        <w:t>Bériot</w:t>
      </w:r>
      <w:proofErr w:type="spellEnd"/>
      <w:r>
        <w:t xml:space="preserve"> não apregoa que o cotovelo deva estar permanentemente rebaixado durante a ação do arco. No entanto, esse conceito, que viria a ser diverso da regra de </w:t>
      </w:r>
      <w:proofErr w:type="spellStart"/>
      <w:r>
        <w:t>Baillot</w:t>
      </w:r>
      <w:proofErr w:type="spellEnd"/>
      <w:r>
        <w:t xml:space="preserve"> e Spohr, não se confirma completamente quando verificamos as imagens do método, que vêm a ser uma mera reprodução de seus predecessores, além do alerta ao cotovelo demasiadamente elevado (figura 4, imagem inferior ao centro). Esses fatores dificultam a afirmação de que </w:t>
      </w:r>
      <w:proofErr w:type="spellStart"/>
      <w:r>
        <w:t>Bériot</w:t>
      </w:r>
      <w:proofErr w:type="spellEnd"/>
      <w:r>
        <w:t xml:space="preserve"> preconiza efetivamente diferentes alturas para o antebraço em função da corda a ser tocada, uma transformação técnica profunda que se consolidará décadas mais tarde.</w:t>
      </w:r>
    </w:p>
    <w:p w14:paraId="3FFCAB02" w14:textId="77777777" w:rsidR="001F49FD" w:rsidRDefault="001F49FD">
      <w:pPr>
        <w:pStyle w:val="Recuodecorpodetexto"/>
        <w:ind w:left="283" w:firstLine="1134"/>
      </w:pPr>
    </w:p>
    <w:p w14:paraId="5B39421E" w14:textId="77777777" w:rsidR="001F49FD" w:rsidRDefault="00611419">
      <w:pPr>
        <w:pStyle w:val="Recuodecorpodetexto"/>
        <w:numPr>
          <w:ilvl w:val="0"/>
          <w:numId w:val="2"/>
        </w:numPr>
        <w:ind w:left="1276" w:hanging="142"/>
      </w:pPr>
      <w:r>
        <w:rPr>
          <w:b/>
        </w:rPr>
        <w:t>Da sustentação do arco</w:t>
      </w:r>
      <w:r>
        <w:t xml:space="preserve"> (p. 4)</w:t>
      </w:r>
    </w:p>
    <w:p w14:paraId="3EAA634C" w14:textId="032CFF90" w:rsidR="001F49FD" w:rsidRDefault="00611419">
      <w:pPr>
        <w:pStyle w:val="Recuodecorpodetexto"/>
        <w:ind w:left="283" w:firstLine="850"/>
      </w:pPr>
      <w:r>
        <w:t>- “A vareta é sustentada transversalmente desde a junção entre a primeira e a segunda falange [</w:t>
      </w:r>
      <w:r w:rsidR="00393CC4">
        <w:t>interfalangiana</w:t>
      </w:r>
      <w:r>
        <w:t xml:space="preserve"> distal] do dedo indicador até a extremidade do dedo mínimo.”</w:t>
      </w:r>
    </w:p>
    <w:p w14:paraId="29B031C1" w14:textId="77777777" w:rsidR="001F49FD" w:rsidRDefault="00611419">
      <w:pPr>
        <w:pStyle w:val="Recuodecorpodetexto"/>
        <w:ind w:firstLine="1134"/>
      </w:pPr>
      <w:r>
        <w:t xml:space="preserve">- “O dedo polegar na posição correspondente entre os dedos médio e anelar, nem flexionado nem demasiadamente estendido, de modo que a vareta </w:t>
      </w:r>
      <w:proofErr w:type="gramStart"/>
      <w:r>
        <w:t>encoste-se</w:t>
      </w:r>
      <w:proofErr w:type="gramEnd"/>
      <w:r>
        <w:t xml:space="preserve"> ao centro da unha. Os dedos devem estar reunidos [aduzidos], sem estarem tesos ou afastados [abduzidos].”</w:t>
      </w:r>
    </w:p>
    <w:p w14:paraId="6771761A" w14:textId="77777777" w:rsidR="001F49FD" w:rsidRDefault="00611419">
      <w:pPr>
        <w:pStyle w:val="Recuodecorpodetexto"/>
        <w:ind w:firstLine="1134"/>
      </w:pPr>
      <w:proofErr w:type="gramStart"/>
      <w:r>
        <w:t>-“</w:t>
      </w:r>
      <w:proofErr w:type="gramEnd"/>
      <w:r>
        <w:t>Para manter sua flexibilidade, o punho deve estar em linha reta com o antebraço, de forma a controlar continuamente a vareta.”</w:t>
      </w:r>
    </w:p>
    <w:p w14:paraId="06CCBE1B" w14:textId="77777777" w:rsidR="001F49FD" w:rsidRDefault="00611419">
      <w:pPr>
        <w:pStyle w:val="Recuodecorpodetexto"/>
        <w:ind w:firstLine="1134"/>
      </w:pPr>
      <w:r>
        <w:t>- “Na ponta do arco, o cotovelo se mantém à mesma altura do punho, e nunca mais elevado.”</w:t>
      </w:r>
    </w:p>
    <w:p w14:paraId="77A5D28B" w14:textId="77777777" w:rsidR="001F49FD" w:rsidRDefault="00611419">
      <w:pPr>
        <w:pStyle w:val="Recuodecorpodetexto"/>
        <w:ind w:firstLine="1134"/>
      </w:pPr>
      <w:r>
        <w:t>- “Ao mover o arco para cima em direção ao talão, deve-se girar gradualmente o punho, até este chegar à altura da boca.”</w:t>
      </w:r>
    </w:p>
    <w:p w14:paraId="2F8B1C4D" w14:textId="77777777" w:rsidR="001F49FD" w:rsidRDefault="001F49FD">
      <w:pPr>
        <w:pStyle w:val="Recuodecorpodetexto"/>
        <w:ind w:firstLine="1134"/>
      </w:pPr>
    </w:p>
    <w:p w14:paraId="06C98EEB" w14:textId="77777777" w:rsidR="001F49FD" w:rsidRDefault="00611419" w:rsidP="00EF7DEA">
      <w:pPr>
        <w:pStyle w:val="Recuodecorpodetexto"/>
        <w:ind w:firstLine="709"/>
      </w:pPr>
      <w:r>
        <w:t xml:space="preserve">Por fim, ao introduzir o primeiro exercício, </w:t>
      </w:r>
      <w:proofErr w:type="spellStart"/>
      <w:r>
        <w:t>Bériot</w:t>
      </w:r>
      <w:proofErr w:type="spellEnd"/>
      <w:r>
        <w:t xml:space="preserve"> preconiza a inclinação do arco sobre as cordas: </w:t>
      </w:r>
    </w:p>
    <w:p w14:paraId="7D7C71C8" w14:textId="77777777" w:rsidR="001F49FD" w:rsidRDefault="001F49FD">
      <w:pPr>
        <w:pStyle w:val="Recuodecorpodetexto"/>
        <w:ind w:firstLine="1134"/>
      </w:pPr>
    </w:p>
    <w:p w14:paraId="2A261080" w14:textId="77777777" w:rsidR="001F49FD" w:rsidRDefault="00611419">
      <w:pPr>
        <w:pStyle w:val="Recuodecorpodetexto"/>
        <w:ind w:firstLine="1134"/>
        <w:rPr>
          <w:rFonts w:cs="Times New Roman"/>
          <w:szCs w:val="24"/>
        </w:rPr>
      </w:pPr>
      <w:r>
        <w:t>- “O arco se manterá sobre uma pequena parte de sua crina e com uma perfeita igualdade de pressão e de movimento, levemente inclinado em direção ao espelho.” (p. 7).</w:t>
      </w:r>
    </w:p>
    <w:p w14:paraId="1153C84F" w14:textId="77777777" w:rsidR="001F49FD" w:rsidRDefault="001F49FD">
      <w:pPr>
        <w:spacing w:line="240" w:lineRule="auto"/>
        <w:ind w:firstLine="0"/>
        <w:jc w:val="center"/>
        <w:rPr>
          <w:rFonts w:ascii="Times New Roman" w:hAnsi="Times New Roman" w:cs="Times New Roman"/>
          <w:bCs/>
          <w:color w:val="222222"/>
          <w:szCs w:val="24"/>
          <w:shd w:val="clear" w:color="auto" w:fill="FFFFFF"/>
        </w:rPr>
      </w:pPr>
    </w:p>
    <w:p w14:paraId="56382EF4" w14:textId="77777777" w:rsidR="001F49FD" w:rsidRDefault="00611419">
      <w:pPr>
        <w:ind w:right="-568" w:hanging="1134"/>
        <w:jc w:val="center"/>
        <w:rPr>
          <w:rFonts w:ascii="Times New Roman" w:hAnsi="Times New Roman" w:cs="Times New Roman"/>
          <w:b/>
          <w:sz w:val="20"/>
          <w:szCs w:val="20"/>
        </w:rPr>
      </w:pPr>
      <w:r>
        <w:rPr>
          <w:noProof/>
        </w:rPr>
        <w:lastRenderedPageBreak/>
        <w:drawing>
          <wp:inline distT="0" distB="0" distL="0" distR="0" wp14:anchorId="0393C1F2" wp14:editId="56840B3F">
            <wp:extent cx="7048500" cy="6877050"/>
            <wp:effectExtent l="0" t="0" r="0" b="0"/>
            <wp:docPr id="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8"/>
                    <pic:cNvPicPr>
                      <a:picLocks noChangeAspect="1" noChangeArrowheads="1"/>
                    </pic:cNvPicPr>
                  </pic:nvPicPr>
                  <pic:blipFill>
                    <a:blip r:embed="rId14"/>
                    <a:stretch>
                      <a:fillRect/>
                    </a:stretch>
                  </pic:blipFill>
                  <pic:spPr bwMode="auto">
                    <a:xfrm>
                      <a:off x="0" y="0"/>
                      <a:ext cx="7048500" cy="6877050"/>
                    </a:xfrm>
                    <a:prstGeom prst="rect">
                      <a:avLst/>
                    </a:prstGeom>
                  </pic:spPr>
                </pic:pic>
              </a:graphicData>
            </a:graphic>
          </wp:inline>
        </w:drawing>
      </w:r>
    </w:p>
    <w:p w14:paraId="446E1F95" w14:textId="77777777" w:rsidR="001F49FD" w:rsidRDefault="00611419">
      <w:pPr>
        <w:pStyle w:val="Corpodetexto"/>
        <w:spacing w:after="0" w:line="240" w:lineRule="auto"/>
        <w:ind w:firstLine="0"/>
        <w:jc w:val="center"/>
        <w:rPr>
          <w:sz w:val="20"/>
          <w:szCs w:val="20"/>
        </w:rPr>
      </w:pPr>
      <w:r>
        <w:rPr>
          <w:b/>
          <w:sz w:val="20"/>
          <w:szCs w:val="20"/>
        </w:rPr>
        <w:t>Figura 6</w:t>
      </w:r>
      <w:r>
        <w:rPr>
          <w:sz w:val="20"/>
          <w:szCs w:val="20"/>
        </w:rPr>
        <w:t xml:space="preserve">: postura corporal – </w:t>
      </w:r>
      <w:proofErr w:type="spellStart"/>
      <w:r>
        <w:rPr>
          <w:i/>
          <w:sz w:val="20"/>
          <w:szCs w:val="20"/>
        </w:rPr>
        <w:t>Méthode</w:t>
      </w:r>
      <w:proofErr w:type="spellEnd"/>
      <w:r>
        <w:rPr>
          <w:i/>
          <w:sz w:val="20"/>
          <w:szCs w:val="20"/>
        </w:rPr>
        <w:t xml:space="preserve"> de </w:t>
      </w:r>
      <w:proofErr w:type="spellStart"/>
      <w:r>
        <w:rPr>
          <w:i/>
          <w:sz w:val="20"/>
          <w:szCs w:val="20"/>
        </w:rPr>
        <w:t>violon</w:t>
      </w:r>
      <w:proofErr w:type="spellEnd"/>
      <w:r>
        <w:rPr>
          <w:sz w:val="20"/>
          <w:szCs w:val="20"/>
        </w:rPr>
        <w:t xml:space="preserve"> (BÉRIOT, 1858, p. 19).</w:t>
      </w:r>
      <w:bookmarkStart w:id="48" w:name="_Toc484195688"/>
      <w:bookmarkStart w:id="49" w:name="_Toc522439232"/>
      <w:r>
        <w:rPr>
          <w:sz w:val="20"/>
          <w:szCs w:val="20"/>
        </w:rPr>
        <w:t xml:space="preserve"> </w:t>
      </w:r>
    </w:p>
    <w:p w14:paraId="4FBE61E8" w14:textId="77777777" w:rsidR="001F49FD" w:rsidRDefault="00611419">
      <w:pPr>
        <w:pStyle w:val="Corpodetexto"/>
        <w:spacing w:after="0" w:line="240" w:lineRule="auto"/>
        <w:ind w:firstLine="0"/>
        <w:rPr>
          <w:sz w:val="20"/>
          <w:szCs w:val="20"/>
        </w:rPr>
      </w:pPr>
      <w:r>
        <w:rPr>
          <w:sz w:val="20"/>
          <w:szCs w:val="20"/>
        </w:rPr>
        <w:t>Legendas internas: Fig. 1: postura vista de perfil. Fig. 2: posição do braço direito com o arco na ponta. Fig. 3: postura vista de frente. Fig. 4 e 5: forma de segurar o arco. Fig. 6: posição exagerada do punho. Fig. 7: posição defeituosa da mão. Fig. 8: posição incorreta do braço direito. Fig. 9: desenho da posição dos pés com relação à estante.</w:t>
      </w:r>
    </w:p>
    <w:p w14:paraId="55BEE5C2" w14:textId="77777777" w:rsidR="001F49FD" w:rsidRDefault="00611419" w:rsidP="0052458F">
      <w:pPr>
        <w:pStyle w:val="Ttulo2"/>
      </w:pPr>
      <w:bookmarkStart w:id="50" w:name="_Toc219359025"/>
      <w:r>
        <w:t>1</w:t>
      </w:r>
      <w:bookmarkStart w:id="51" w:name="_Toc14331023"/>
      <w:r>
        <w:t>.4    A busca da tradição germânica no método de Moser e Joachim</w:t>
      </w:r>
      <w:bookmarkEnd w:id="48"/>
      <w:bookmarkEnd w:id="49"/>
      <w:bookmarkEnd w:id="50"/>
      <w:bookmarkEnd w:id="51"/>
    </w:p>
    <w:p w14:paraId="17813392" w14:textId="50F02D3D" w:rsidR="001F49FD" w:rsidRDefault="00611419" w:rsidP="00EF7DEA">
      <w:pPr>
        <w:pStyle w:val="Recuodecorpodetexto"/>
        <w:tabs>
          <w:tab w:val="left" w:pos="336"/>
        </w:tabs>
        <w:ind w:firstLine="709"/>
      </w:pPr>
      <w:r>
        <w:t>Entre os violinistas germânicos, a aura de Spohr perdurou através das gerações seguintes, em grande parte graças à notoriedade de seu discípulo Ferdinand David (1810-</w:t>
      </w:r>
      <w:r>
        <w:lastRenderedPageBreak/>
        <w:t>1873) e de Joseph Joachim (1831-1907) que, por sua vez, teve David como um de seus professores. Porém, as relações e reais influências dessa genealogia são mais complexas do que aparentam: “David era um aluno de Spohr, mas logo no início parece ter se afastado da atitude estilística e estética de seu mentor, devido a uma personalidade musical muito diferente” (</w:t>
      </w:r>
      <w:proofErr w:type="spellStart"/>
      <w:r>
        <w:t>M</w:t>
      </w:r>
      <w:r w:rsidR="00B14628">
        <w:t>ilsom</w:t>
      </w:r>
      <w:proofErr w:type="spellEnd"/>
      <w:r>
        <w:t>, 2003, p. 19).</w:t>
      </w:r>
      <w:r>
        <w:rPr>
          <w:rStyle w:val="Refdenotaderodap"/>
        </w:rPr>
        <w:footnoteReference w:id="20"/>
      </w:r>
      <w:r>
        <w:t xml:space="preserve"> Em seguida, Joachim foi instruído por David em sua juventude, mas relata ter sido o vienense Joseph </w:t>
      </w:r>
      <w:proofErr w:type="spellStart"/>
      <w:r>
        <w:t>Böhm</w:t>
      </w:r>
      <w:proofErr w:type="spellEnd"/>
      <w:r>
        <w:t xml:space="preserve"> (1795-1876) o seu principal professor.</w:t>
      </w:r>
      <w:r>
        <w:rPr>
          <w:rStyle w:val="Refdenotaderodap"/>
        </w:rPr>
        <w:footnoteReference w:id="21"/>
      </w:r>
      <w:r>
        <w:t xml:space="preserve"> </w:t>
      </w:r>
    </w:p>
    <w:p w14:paraId="52A437B0" w14:textId="77777777" w:rsidR="001F49FD" w:rsidRDefault="00611419" w:rsidP="00EF7DEA">
      <w:pPr>
        <w:pStyle w:val="Recuodecorpodetexto"/>
        <w:ind w:firstLine="709"/>
      </w:pPr>
      <w:r>
        <w:t xml:space="preserve">Assim como Spohr, David e Joachim registraram seus conceitos sobre a prática do instrumento e, ainda que tenhamos selecionado o método de Joachim para a análise comparativa, cabe discorrermos sobre Ferdinand David e sua obra. </w:t>
      </w:r>
    </w:p>
    <w:p w14:paraId="00F93801" w14:textId="25A0F539" w:rsidR="001F49FD" w:rsidRDefault="00611419" w:rsidP="00EF7DEA">
      <w:pPr>
        <w:pStyle w:val="Recuodecorpodetexto"/>
        <w:ind w:firstLine="709"/>
      </w:pPr>
      <w:r>
        <w:t xml:space="preserve">David ocupou o cargo de </w:t>
      </w:r>
      <w:proofErr w:type="spellStart"/>
      <w:r>
        <w:t>spalla</w:t>
      </w:r>
      <w:proofErr w:type="spellEnd"/>
      <w:r>
        <w:t xml:space="preserve"> na </w:t>
      </w:r>
      <w:r>
        <w:rPr>
          <w:i/>
        </w:rPr>
        <w:t xml:space="preserve">Leipzig </w:t>
      </w:r>
      <w:proofErr w:type="spellStart"/>
      <w:r>
        <w:rPr>
          <w:i/>
        </w:rPr>
        <w:t>Gewandhaus</w:t>
      </w:r>
      <w:proofErr w:type="spellEnd"/>
      <w:r>
        <w:rPr>
          <w:i/>
        </w:rPr>
        <w:t xml:space="preserve"> </w:t>
      </w:r>
      <w:proofErr w:type="spellStart"/>
      <w:r>
        <w:rPr>
          <w:i/>
        </w:rPr>
        <w:t>Orchester</w:t>
      </w:r>
      <w:proofErr w:type="spellEnd"/>
      <w:r>
        <w:t xml:space="preserve"> desde o ano de 1835, quando convidado pelo então diretor Felix Mendelssohn (1809-1847), com quem entreteve ao longo da vida uma estreita relação de amizade e colaboração. Em seguida, com a fundação do Conservatório de Leipzig no ano de 1843, o violinista passa a ser considerado como um dos melhores professores da Europa: “Esplêndido professor e um artista completo que deixou a marca de seus grandes dons nos diversos alunos que passaram por sua classe durante seus trinta anos de cátedra” (J</w:t>
      </w:r>
      <w:r w:rsidR="00B14628">
        <w:t>ong</w:t>
      </w:r>
      <w:r>
        <w:t xml:space="preserve">, 2012, p. 8). No ano de 1863, David publica sua obra didática, </w:t>
      </w:r>
      <w:r>
        <w:rPr>
          <w:i/>
        </w:rPr>
        <w:t xml:space="preserve">Método de violino. </w:t>
      </w:r>
      <w:r>
        <w:t>Tal com</w:t>
      </w:r>
      <w:r w:rsidR="00B14628">
        <w:t>o</w:t>
      </w:r>
      <w:r>
        <w:t xml:space="preserve"> no método de </w:t>
      </w:r>
      <w:proofErr w:type="spellStart"/>
      <w:r>
        <w:t>Bériot</w:t>
      </w:r>
      <w:proofErr w:type="spellEnd"/>
      <w:r>
        <w:t>, a seção sobre os parâmetros técnicos fundamentais é sucinta e, apesar</w:t>
      </w:r>
      <w:r>
        <w:rPr>
          <w:i/>
        </w:rPr>
        <w:t xml:space="preserve"> </w:t>
      </w:r>
      <w:r>
        <w:t xml:space="preserve">das relatadas distinções estilísticas, os preceitos técnicos de David são similares aos de Spohr, tais como: o peso do corpo sobre a perna esquerda; o cotovelo esquerdo acentuadamente voltado para o lado direito até alcançar o centro do violino; os pontos de contato dos dedos polegar e indicador da mão esquerda; o ponto de contato do dedo indicador no arco. Em resumo, o único princípio diferenciado trata da necessidade de utilização de uma </w:t>
      </w:r>
      <w:proofErr w:type="spellStart"/>
      <w:r>
        <w:rPr>
          <w:i/>
        </w:rPr>
        <w:t>spalliera</w:t>
      </w:r>
      <w:proofErr w:type="spellEnd"/>
      <w:r>
        <w:rPr>
          <w:rStyle w:val="Refdenotaderodap"/>
        </w:rPr>
        <w:footnoteReference w:id="22"/>
      </w:r>
      <w:r>
        <w:t xml:space="preserve"> para o suporte do instrumento:  </w:t>
      </w:r>
    </w:p>
    <w:p w14:paraId="73E62267" w14:textId="77777777" w:rsidR="001F49FD" w:rsidRDefault="00611419">
      <w:pPr>
        <w:pStyle w:val="Recuodecorpodetexto"/>
        <w:spacing w:line="240" w:lineRule="auto"/>
        <w:ind w:left="2268" w:firstLine="0"/>
        <w:rPr>
          <w:sz w:val="20"/>
          <w:szCs w:val="20"/>
        </w:rPr>
      </w:pPr>
      <w:r>
        <w:rPr>
          <w:sz w:val="20"/>
          <w:szCs w:val="20"/>
        </w:rPr>
        <w:t>A maneira moderna de tocar violino, que exige frequente mudança de posição, exige que o violino seja mantido com firmeza, o que será conseguido através da colocação de um pano ou uma pequena almofada entre o violino e o ombro esquerdo. (DAVID, 1863, p. 5).</w:t>
      </w:r>
    </w:p>
    <w:p w14:paraId="5EC2B16B" w14:textId="77777777" w:rsidR="001F49FD" w:rsidRDefault="001F49FD">
      <w:pPr>
        <w:pStyle w:val="Recuodecorpodetexto"/>
        <w:spacing w:line="240" w:lineRule="auto"/>
        <w:ind w:left="2268" w:firstLine="0"/>
        <w:rPr>
          <w:sz w:val="20"/>
          <w:szCs w:val="20"/>
        </w:rPr>
      </w:pPr>
    </w:p>
    <w:p w14:paraId="6E1D3FBE" w14:textId="7FA1E749" w:rsidR="001F49FD" w:rsidRDefault="00611419" w:rsidP="00EF7DEA">
      <w:pPr>
        <w:pStyle w:val="Recuodecorpodetexto"/>
        <w:tabs>
          <w:tab w:val="left" w:pos="567"/>
          <w:tab w:val="left" w:pos="709"/>
        </w:tabs>
        <w:ind w:firstLine="709"/>
      </w:pPr>
      <w:r>
        <w:t xml:space="preserve">A obra de Joachim, publicada mais de quarenta anos depois, revela certas transformações ainda não encontradas no método de David nem nos métodos precedentes. O método também intitulado </w:t>
      </w:r>
      <w:proofErr w:type="spellStart"/>
      <w:r>
        <w:rPr>
          <w:i/>
        </w:rPr>
        <w:t>Violinschule</w:t>
      </w:r>
      <w:proofErr w:type="spellEnd"/>
      <w:r>
        <w:t xml:space="preserve"> (M</w:t>
      </w:r>
      <w:r w:rsidR="00926617">
        <w:t>oser</w:t>
      </w:r>
      <w:r>
        <w:t>, J</w:t>
      </w:r>
      <w:r w:rsidR="00926617">
        <w:t>oachim</w:t>
      </w:r>
      <w:r>
        <w:t xml:space="preserve">, 1905) foi escrito em grande parte por Andreas Moser (1859-1925), aluno de Joachim e violinista reconhecido por sua </w:t>
      </w:r>
      <w:r>
        <w:lastRenderedPageBreak/>
        <w:t xml:space="preserve">experiência na pedagogia de iniciação ao instrumento. Os dois primeiros volumes são escritos por Moser e o terceiro é elaborado por Joachim. No prefácio, Joachim assegura que todas as considerações sobre a técnica instrumental do primeiro volume, de autoria de Moser – cuja notoriedade como concertista era significativamente menor do que a de seu tutor – foram debatidas e confirmadas conjuntamente. </w:t>
      </w:r>
    </w:p>
    <w:p w14:paraId="73234F1C" w14:textId="77777777" w:rsidR="001F49FD" w:rsidRDefault="00611419" w:rsidP="00EF7DEA">
      <w:pPr>
        <w:pStyle w:val="Recuodecorpodetexto"/>
        <w:ind w:firstLine="709"/>
      </w:pPr>
      <w:r>
        <w:t>O parágrafo final demonstra que, naquele período de passagem do século XIX para século XX, os autores estavam conscientes da importância histórica da realização de uma obra didática de grande porte, para a perpetuação de seus conceitos técnicos e musicais:</w:t>
      </w:r>
    </w:p>
    <w:p w14:paraId="2C9EE560" w14:textId="778EC821" w:rsidR="001F49FD" w:rsidRDefault="00611419">
      <w:pPr>
        <w:pStyle w:val="Primeirorecuodecorpodetexto2"/>
        <w:spacing w:line="240" w:lineRule="auto"/>
        <w:ind w:left="2268" w:firstLine="0"/>
        <w:rPr>
          <w:sz w:val="20"/>
          <w:szCs w:val="20"/>
        </w:rPr>
      </w:pPr>
      <w:r>
        <w:rPr>
          <w:sz w:val="20"/>
          <w:szCs w:val="20"/>
        </w:rPr>
        <w:t xml:space="preserve">F. Geminiani (1680-1762), discípulo de </w:t>
      </w:r>
      <w:proofErr w:type="spellStart"/>
      <w:r>
        <w:rPr>
          <w:sz w:val="20"/>
          <w:szCs w:val="20"/>
        </w:rPr>
        <w:t>Corelli</w:t>
      </w:r>
      <w:proofErr w:type="spellEnd"/>
      <w:r>
        <w:rPr>
          <w:sz w:val="20"/>
          <w:szCs w:val="20"/>
        </w:rPr>
        <w:t>, em sua obra “</w:t>
      </w:r>
      <w:r>
        <w:rPr>
          <w:i/>
          <w:sz w:val="20"/>
          <w:szCs w:val="20"/>
        </w:rPr>
        <w:t>A Arte de tocar violino</w:t>
      </w:r>
      <w:r>
        <w:rPr>
          <w:sz w:val="20"/>
          <w:szCs w:val="20"/>
        </w:rPr>
        <w:t>” (Londres, 1740), foi o primeiro a orientar o posicionamento do instrumento embaixo do queixo e do lado esquerdo do estandarte. Leopold Mozart (1719-1787) nos apresentou em sua “</w:t>
      </w:r>
      <w:r>
        <w:rPr>
          <w:i/>
          <w:sz w:val="20"/>
          <w:szCs w:val="20"/>
        </w:rPr>
        <w:t>Escola Fundamental de Violino</w:t>
      </w:r>
      <w:r>
        <w:rPr>
          <w:sz w:val="20"/>
          <w:szCs w:val="20"/>
        </w:rPr>
        <w:t>” (</w:t>
      </w:r>
      <w:proofErr w:type="spellStart"/>
      <w:r>
        <w:rPr>
          <w:sz w:val="20"/>
          <w:szCs w:val="20"/>
        </w:rPr>
        <w:t>Ausburg</w:t>
      </w:r>
      <w:proofErr w:type="spellEnd"/>
      <w:r>
        <w:rPr>
          <w:sz w:val="20"/>
          <w:szCs w:val="20"/>
        </w:rPr>
        <w:t>, 1756), a primeira tentativa de um sistema de instrução musical aplicada ao violino. B. Campagnoli (1751-1827) nos ofereceu em seu “</w:t>
      </w:r>
      <w:r>
        <w:rPr>
          <w:i/>
          <w:sz w:val="20"/>
          <w:szCs w:val="20"/>
        </w:rPr>
        <w:t>Novo método de tocar violino</w:t>
      </w:r>
      <w:r>
        <w:rPr>
          <w:sz w:val="20"/>
          <w:szCs w:val="20"/>
        </w:rPr>
        <w:t xml:space="preserve">”, as regras aprendidas na escola do celebrado Nardini. Os pontos de vista de Viotti, Rode e </w:t>
      </w:r>
      <w:proofErr w:type="spellStart"/>
      <w:r>
        <w:rPr>
          <w:sz w:val="20"/>
          <w:szCs w:val="20"/>
        </w:rPr>
        <w:t>Kreutzer</w:t>
      </w:r>
      <w:proofErr w:type="spellEnd"/>
      <w:r>
        <w:rPr>
          <w:sz w:val="20"/>
          <w:szCs w:val="20"/>
        </w:rPr>
        <w:t xml:space="preserve"> são principalmente refletidos no “</w:t>
      </w:r>
      <w:proofErr w:type="spellStart"/>
      <w:r>
        <w:rPr>
          <w:i/>
          <w:sz w:val="20"/>
          <w:szCs w:val="20"/>
        </w:rPr>
        <w:t>Méthode</w:t>
      </w:r>
      <w:proofErr w:type="spellEnd"/>
      <w:r>
        <w:rPr>
          <w:i/>
          <w:sz w:val="20"/>
          <w:szCs w:val="20"/>
        </w:rPr>
        <w:t xml:space="preserve"> de </w:t>
      </w:r>
      <w:proofErr w:type="spellStart"/>
      <w:r>
        <w:rPr>
          <w:i/>
          <w:sz w:val="20"/>
          <w:szCs w:val="20"/>
        </w:rPr>
        <w:t>Violon</w:t>
      </w:r>
      <w:proofErr w:type="spellEnd"/>
      <w:r>
        <w:rPr>
          <w:i/>
          <w:sz w:val="20"/>
          <w:szCs w:val="20"/>
        </w:rPr>
        <w:t xml:space="preserve"> </w:t>
      </w:r>
      <w:proofErr w:type="spellStart"/>
      <w:r>
        <w:rPr>
          <w:i/>
          <w:sz w:val="20"/>
          <w:szCs w:val="20"/>
        </w:rPr>
        <w:t>adoptée</w:t>
      </w:r>
      <w:proofErr w:type="spellEnd"/>
      <w:r>
        <w:rPr>
          <w:i/>
          <w:sz w:val="20"/>
          <w:szCs w:val="20"/>
        </w:rPr>
        <w:t xml:space="preserve"> par </w:t>
      </w:r>
      <w:proofErr w:type="spellStart"/>
      <w:r>
        <w:rPr>
          <w:i/>
          <w:sz w:val="20"/>
          <w:szCs w:val="20"/>
        </w:rPr>
        <w:t>le</w:t>
      </w:r>
      <w:proofErr w:type="spellEnd"/>
      <w:r>
        <w:rPr>
          <w:i/>
          <w:sz w:val="20"/>
          <w:szCs w:val="20"/>
        </w:rPr>
        <w:t xml:space="preserve"> </w:t>
      </w:r>
      <w:proofErr w:type="spellStart"/>
      <w:r>
        <w:rPr>
          <w:i/>
          <w:sz w:val="20"/>
          <w:szCs w:val="20"/>
        </w:rPr>
        <w:t>Conservatoire</w:t>
      </w:r>
      <w:proofErr w:type="spellEnd"/>
      <w:r>
        <w:rPr>
          <w:sz w:val="20"/>
          <w:szCs w:val="20"/>
        </w:rPr>
        <w:t xml:space="preserve">” de </w:t>
      </w:r>
      <w:proofErr w:type="spellStart"/>
      <w:r>
        <w:rPr>
          <w:sz w:val="20"/>
          <w:szCs w:val="20"/>
        </w:rPr>
        <w:t>Baillot</w:t>
      </w:r>
      <w:proofErr w:type="spellEnd"/>
      <w:r>
        <w:rPr>
          <w:sz w:val="20"/>
          <w:szCs w:val="20"/>
        </w:rPr>
        <w:t xml:space="preserve"> e sua obra posterior, “</w:t>
      </w:r>
      <w:proofErr w:type="spellStart"/>
      <w:r>
        <w:rPr>
          <w:i/>
          <w:sz w:val="20"/>
          <w:szCs w:val="20"/>
        </w:rPr>
        <w:t>L’Art</w:t>
      </w:r>
      <w:proofErr w:type="spellEnd"/>
      <w:r>
        <w:rPr>
          <w:i/>
          <w:sz w:val="20"/>
          <w:szCs w:val="20"/>
        </w:rPr>
        <w:t xml:space="preserve"> </w:t>
      </w:r>
      <w:proofErr w:type="spellStart"/>
      <w:r>
        <w:rPr>
          <w:i/>
          <w:sz w:val="20"/>
          <w:szCs w:val="20"/>
        </w:rPr>
        <w:t>du</w:t>
      </w:r>
      <w:proofErr w:type="spellEnd"/>
      <w:r>
        <w:rPr>
          <w:i/>
          <w:sz w:val="20"/>
          <w:szCs w:val="20"/>
        </w:rPr>
        <w:t xml:space="preserve"> </w:t>
      </w:r>
      <w:proofErr w:type="spellStart"/>
      <w:r>
        <w:rPr>
          <w:i/>
          <w:sz w:val="20"/>
          <w:szCs w:val="20"/>
        </w:rPr>
        <w:t>Violon</w:t>
      </w:r>
      <w:proofErr w:type="spellEnd"/>
      <w:r>
        <w:rPr>
          <w:sz w:val="20"/>
          <w:szCs w:val="20"/>
        </w:rPr>
        <w:t>”. A “</w:t>
      </w:r>
      <w:proofErr w:type="spellStart"/>
      <w:r>
        <w:rPr>
          <w:i/>
          <w:sz w:val="20"/>
          <w:szCs w:val="20"/>
        </w:rPr>
        <w:t>Violinschule</w:t>
      </w:r>
      <w:proofErr w:type="spellEnd"/>
      <w:r>
        <w:rPr>
          <w:sz w:val="20"/>
          <w:szCs w:val="20"/>
        </w:rPr>
        <w:t xml:space="preserve">” (Vienna, 1832) de L. Spohr é um monumento infelizmente acompanhado por poucos iniciantes. A conexão entre o toque de estilo clássico e o virtuosismo moderno é encontrada nas escolas de violino de Charles de </w:t>
      </w:r>
      <w:proofErr w:type="spellStart"/>
      <w:r>
        <w:rPr>
          <w:sz w:val="20"/>
          <w:szCs w:val="20"/>
        </w:rPr>
        <w:t>Bériot</w:t>
      </w:r>
      <w:proofErr w:type="spellEnd"/>
      <w:r>
        <w:rPr>
          <w:sz w:val="20"/>
          <w:szCs w:val="20"/>
        </w:rPr>
        <w:t xml:space="preserve"> e D. </w:t>
      </w:r>
      <w:proofErr w:type="spellStart"/>
      <w:r>
        <w:rPr>
          <w:sz w:val="20"/>
          <w:szCs w:val="20"/>
        </w:rPr>
        <w:t>Alard</w:t>
      </w:r>
      <w:proofErr w:type="spellEnd"/>
      <w:r>
        <w:rPr>
          <w:sz w:val="20"/>
          <w:szCs w:val="20"/>
        </w:rPr>
        <w:t xml:space="preserve"> (M</w:t>
      </w:r>
      <w:r w:rsidR="009D2863">
        <w:rPr>
          <w:sz w:val="20"/>
          <w:szCs w:val="20"/>
        </w:rPr>
        <w:t>oser</w:t>
      </w:r>
      <w:r>
        <w:rPr>
          <w:sz w:val="20"/>
          <w:szCs w:val="20"/>
        </w:rPr>
        <w:t>, J</w:t>
      </w:r>
      <w:r w:rsidR="00926617">
        <w:rPr>
          <w:sz w:val="20"/>
          <w:szCs w:val="20"/>
        </w:rPr>
        <w:t>oachim</w:t>
      </w:r>
      <w:r>
        <w:rPr>
          <w:sz w:val="20"/>
          <w:szCs w:val="20"/>
        </w:rPr>
        <w:t>, 1905, p. 199).</w:t>
      </w:r>
    </w:p>
    <w:p w14:paraId="66D2659F" w14:textId="77777777" w:rsidR="001F49FD" w:rsidRDefault="001F49FD">
      <w:pPr>
        <w:pStyle w:val="Primeirorecuodecorpodetexto2"/>
        <w:ind w:left="0" w:firstLine="0"/>
        <w:rPr>
          <w:sz w:val="20"/>
          <w:szCs w:val="20"/>
        </w:rPr>
      </w:pPr>
    </w:p>
    <w:p w14:paraId="3091651F" w14:textId="77777777" w:rsidR="001F49FD" w:rsidRDefault="00611419" w:rsidP="00EF7DEA">
      <w:pPr>
        <w:pStyle w:val="Recuodecorpodetexto"/>
        <w:ind w:firstLine="709"/>
        <w:rPr>
          <w:rFonts w:eastAsia="Times New Roman"/>
          <w:bCs/>
          <w:i/>
          <w:szCs w:val="24"/>
        </w:rPr>
      </w:pPr>
      <w:bookmarkStart w:id="52" w:name="_Toc484182654"/>
      <w:bookmarkStart w:id="53" w:name="_Toc484186962"/>
      <w:bookmarkStart w:id="54" w:name="_Toc484187339"/>
      <w:bookmarkStart w:id="55" w:name="_Toc484190074"/>
      <w:bookmarkStart w:id="56" w:name="_Toc484195690"/>
      <w:bookmarkStart w:id="57" w:name="_Toc484424842"/>
      <w:bookmarkStart w:id="58" w:name="_Toc484425550"/>
      <w:bookmarkStart w:id="59" w:name="_Toc484503086"/>
      <w:bookmarkStart w:id="60" w:name="_Toc500533671"/>
      <w:bookmarkStart w:id="61" w:name="_Toc510947360"/>
      <w:bookmarkStart w:id="62" w:name="_Toc510947426"/>
      <w:bookmarkStart w:id="63" w:name="_Toc511034703"/>
      <w:bookmarkStart w:id="64" w:name="_Toc522439234"/>
      <w:r>
        <w:rPr>
          <w:szCs w:val="24"/>
        </w:rPr>
        <w:t xml:space="preserve">Devido à importância de Joachim na história da prática do violino e ao empenho de Andreas Moser em registrar os conceitos técnicos e estilísticos de seu tutor, a </w:t>
      </w:r>
      <w:proofErr w:type="spellStart"/>
      <w:r>
        <w:rPr>
          <w:i/>
          <w:szCs w:val="24"/>
        </w:rPr>
        <w:t>Violinschule</w:t>
      </w:r>
      <w:proofErr w:type="spellEnd"/>
      <w:r>
        <w:rPr>
          <w:i/>
          <w:szCs w:val="24"/>
        </w:rPr>
        <w:t xml:space="preserve"> </w:t>
      </w:r>
      <w:r>
        <w:rPr>
          <w:szCs w:val="24"/>
        </w:rPr>
        <w:t>em muito representa o pensamento da tradição germânica do violino na segunda metade do século XIX. No artigo</w:t>
      </w:r>
      <w:r>
        <w:rPr>
          <w:i/>
          <w:szCs w:val="24"/>
        </w:rPr>
        <w:t xml:space="preserve"> O declínio da Escola de violino germânica do século XIX</w:t>
      </w:r>
      <w:r>
        <w:rPr>
          <w:szCs w:val="24"/>
        </w:rPr>
        <w:t xml:space="preserve">, </w:t>
      </w:r>
      <w:r>
        <w:rPr>
          <w:rFonts w:eastAsia="Times New Roman"/>
          <w:bCs/>
          <w:szCs w:val="24"/>
        </w:rPr>
        <w:t>Brown descreve</w:t>
      </w:r>
      <w:r>
        <w:rPr>
          <w:rFonts w:eastAsia="Times New Roman"/>
          <w:bCs/>
          <w:i/>
          <w:szCs w:val="24"/>
        </w:rPr>
        <w:t xml:space="preserve"> </w:t>
      </w:r>
      <w:r>
        <w:rPr>
          <w:szCs w:val="24"/>
        </w:rPr>
        <w:t xml:space="preserve">que, historicamente, Joachim se opõe ao impacto causado pelo estilo de Paganini nas décadas precedentes: </w:t>
      </w:r>
      <w:bookmarkEnd w:id="52"/>
      <w:bookmarkEnd w:id="53"/>
      <w:bookmarkEnd w:id="54"/>
      <w:bookmarkEnd w:id="55"/>
      <w:bookmarkEnd w:id="56"/>
      <w:bookmarkEnd w:id="57"/>
      <w:bookmarkEnd w:id="58"/>
      <w:bookmarkEnd w:id="59"/>
      <w:bookmarkEnd w:id="60"/>
      <w:bookmarkEnd w:id="61"/>
      <w:bookmarkEnd w:id="62"/>
      <w:bookmarkEnd w:id="63"/>
      <w:bookmarkEnd w:id="64"/>
    </w:p>
    <w:p w14:paraId="54E1205D" w14:textId="77777777" w:rsidR="001F49FD" w:rsidRDefault="00611419">
      <w:pPr>
        <w:pStyle w:val="Primeirorecuodecorpodetexto2"/>
        <w:spacing w:line="240" w:lineRule="auto"/>
        <w:ind w:left="2268" w:firstLine="0"/>
        <w:rPr>
          <w:rFonts w:eastAsia="Times New Roman"/>
          <w:bCs/>
          <w:sz w:val="20"/>
          <w:szCs w:val="20"/>
        </w:rPr>
      </w:pPr>
      <w:r>
        <w:rPr>
          <w:sz w:val="20"/>
          <w:szCs w:val="20"/>
        </w:rPr>
        <w:t xml:space="preserve">Joachim nasceu na época das turnês de Paganini ao norte da Europa, que despedaçou qualquer ideia de hegemonia da Escola Viotti/Paris/França, e na sua juventude, ele deve ter se conscientizado das tensões que esse fenômeno criou. </w:t>
      </w:r>
      <w:r>
        <w:rPr>
          <w:rFonts w:eastAsia="Times New Roman"/>
          <w:bCs/>
          <w:sz w:val="20"/>
          <w:szCs w:val="20"/>
        </w:rPr>
        <w:t xml:space="preserve">(BROWN, 2017, p. 3). </w:t>
      </w:r>
    </w:p>
    <w:p w14:paraId="5BA38246" w14:textId="77777777" w:rsidR="001F49FD" w:rsidRDefault="001F49FD">
      <w:pPr>
        <w:pStyle w:val="Primeirorecuodecorpodetexto2"/>
        <w:spacing w:line="240" w:lineRule="auto"/>
        <w:ind w:left="2268" w:firstLine="0"/>
        <w:rPr>
          <w:rFonts w:eastAsia="Times New Roman"/>
          <w:bCs/>
          <w:sz w:val="20"/>
          <w:szCs w:val="20"/>
        </w:rPr>
      </w:pPr>
    </w:p>
    <w:p w14:paraId="2AC9A640" w14:textId="77777777" w:rsidR="001F49FD" w:rsidRDefault="00611419">
      <w:pPr>
        <w:pStyle w:val="Primeirorecuodecorpodetexto2"/>
        <w:spacing w:line="240" w:lineRule="auto"/>
        <w:ind w:left="2268" w:firstLine="0"/>
        <w:rPr>
          <w:rFonts w:eastAsia="Times New Roman"/>
          <w:sz w:val="20"/>
          <w:szCs w:val="20"/>
          <w:lang w:val="pt-PT"/>
        </w:rPr>
      </w:pPr>
      <w:r>
        <w:rPr>
          <w:rFonts w:eastAsia="Times New Roman"/>
          <w:sz w:val="20"/>
          <w:szCs w:val="20"/>
          <w:lang w:val="pt-PT"/>
        </w:rPr>
        <w:t>Joachim (um aluno de Boehm e David), uma figura imponente na cena do final do século XIX e um professor venerado, foi amplamente reconhecido ao final do século como a personificação de uma nobre tradição da prática do violino alemã. (</w:t>
      </w:r>
      <w:r>
        <w:rPr>
          <w:rFonts w:eastAsia="Times New Roman"/>
          <w:bCs/>
          <w:sz w:val="20"/>
          <w:szCs w:val="20"/>
        </w:rPr>
        <w:t>Ibidem,</w:t>
      </w:r>
      <w:r>
        <w:rPr>
          <w:rFonts w:eastAsia="Times New Roman"/>
          <w:sz w:val="20"/>
          <w:szCs w:val="20"/>
          <w:lang w:val="pt-PT"/>
        </w:rPr>
        <w:t xml:space="preserve"> p. 1).</w:t>
      </w:r>
    </w:p>
    <w:p w14:paraId="14FBB188" w14:textId="77777777" w:rsidR="001F49FD" w:rsidRDefault="001F49FD">
      <w:pPr>
        <w:pStyle w:val="Primeirorecuodecorpodetexto2"/>
        <w:ind w:left="0" w:firstLine="0"/>
        <w:rPr>
          <w:rFonts w:eastAsia="Times New Roman"/>
          <w:szCs w:val="24"/>
          <w:lang w:val="pt-PT"/>
        </w:rPr>
      </w:pPr>
    </w:p>
    <w:p w14:paraId="16D65E70" w14:textId="77777777" w:rsidR="001F49FD" w:rsidRDefault="00611419" w:rsidP="00EF7DEA">
      <w:pPr>
        <w:pStyle w:val="Recuodecorpodetexto"/>
        <w:tabs>
          <w:tab w:val="left" w:pos="1128"/>
        </w:tabs>
        <w:ind w:firstLine="709"/>
      </w:pPr>
      <w:r>
        <w:rPr>
          <w:szCs w:val="24"/>
        </w:rPr>
        <w:t>Além do fenomenal Paganini, a segunda metade do século XIX vivenciou a eclosão dos violinistas da Escola Franco-belga (cujo estilo, como vimos, foi atribuído à influência de Paganini). Assim, Moser, empenhado em celebrar seu tutor em</w:t>
      </w:r>
      <w:r>
        <w:rPr>
          <w:i/>
          <w:szCs w:val="24"/>
        </w:rPr>
        <w:t xml:space="preserve"> </w:t>
      </w:r>
      <w:proofErr w:type="spellStart"/>
      <w:r>
        <w:rPr>
          <w:i/>
          <w:szCs w:val="24"/>
        </w:rPr>
        <w:t>Violinschule</w:t>
      </w:r>
      <w:proofErr w:type="spellEnd"/>
      <w:r>
        <w:rPr>
          <w:szCs w:val="24"/>
        </w:rPr>
        <w:t>, enaltece a legitimidade das interpretações de Joachim graças às suas estreitas relações com compositores</w:t>
      </w:r>
      <w:r>
        <w:t xml:space="preserve"> como Felix Mendelssohn, Robert Schumann (1810-1856) e Johannes Brahms (1833-1897) e </w:t>
      </w:r>
      <w:r>
        <w:rPr>
          <w:szCs w:val="24"/>
        </w:rPr>
        <w:lastRenderedPageBreak/>
        <w:t xml:space="preserve">tece diversas críticas ao estilo daquela Escola, como o virtuosismo exagerado e o desrespeito ao texto musical. </w:t>
      </w:r>
      <w:r>
        <w:t>Portanto, a</w:t>
      </w:r>
      <w:r>
        <w:rPr>
          <w:i/>
        </w:rPr>
        <w:t xml:space="preserve"> </w:t>
      </w:r>
      <w:proofErr w:type="spellStart"/>
      <w:r>
        <w:rPr>
          <w:i/>
        </w:rPr>
        <w:t>Violinschule</w:t>
      </w:r>
      <w:proofErr w:type="spellEnd"/>
      <w:r>
        <w:t xml:space="preserve"> traz profusas informações sobre a trajetória dos violinistas e sobre a formação das escolas e correntes de violino até o início do século XX, especialmente no terceiro volume, onde os contundentes comentários visam preservar Joachim no posto de maior representante da tradição clássica violinística de seu tempo.</w:t>
      </w:r>
    </w:p>
    <w:p w14:paraId="1AA58628" w14:textId="6AA0E8C4" w:rsidR="00EF7DEA" w:rsidRPr="0052458F" w:rsidRDefault="00611419" w:rsidP="0052458F">
      <w:pPr>
        <w:pStyle w:val="Recuodecorpodetexto"/>
        <w:ind w:firstLine="709"/>
        <w:rPr>
          <w:rStyle w:val="Ttulo3Char"/>
          <w:rFonts w:asciiTheme="minorHAnsi" w:eastAsiaTheme="minorEastAsia" w:hAnsiTheme="minorHAnsi" w:cstheme="minorBidi"/>
          <w:b w:val="0"/>
          <w:color w:val="auto"/>
          <w:szCs w:val="22"/>
          <w:shd w:val="clear" w:color="auto" w:fill="auto"/>
          <w:lang w:eastAsia="pt-BR"/>
        </w:rPr>
      </w:pPr>
      <w:r>
        <w:t xml:space="preserve">É provável que os apontamentos sobre as querelas artísticas tenham tido mais repercussão histórica do que os aspectos técnicos estabelecidos no método. Por essa razão, tal conteúdo deve ser estudado e comparado, a fim de compreendermos quais princípios técnicos diferem efetivamente dos conceitos da antiga tradição germânica de Spohr e dos chamados violinistas virtuosos da Escola Franco-belga. </w:t>
      </w:r>
      <w:bookmarkStart w:id="65" w:name="_Toc484195689"/>
      <w:bookmarkStart w:id="66" w:name="_Toc484424841"/>
      <w:bookmarkStart w:id="67" w:name="_Toc522439233"/>
      <w:bookmarkStart w:id="68" w:name="_Toc14331024"/>
    </w:p>
    <w:p w14:paraId="2B623A5A" w14:textId="764D9DA4" w:rsidR="001F49FD" w:rsidRDefault="00611419" w:rsidP="000A6E65">
      <w:pPr>
        <w:pStyle w:val="Ttulo3"/>
      </w:pPr>
      <w:bookmarkStart w:id="69" w:name="_Toc219359026"/>
      <w:r>
        <w:rPr>
          <w:rStyle w:val="Ttulo3Char"/>
          <w:b/>
          <w:bCs/>
        </w:rPr>
        <w:t>Principais preceitos do</w:t>
      </w:r>
      <w:r>
        <w:t xml:space="preserve"> método de Moser e Joachim</w:t>
      </w:r>
      <w:bookmarkEnd w:id="65"/>
      <w:bookmarkEnd w:id="66"/>
      <w:bookmarkEnd w:id="67"/>
      <w:bookmarkEnd w:id="68"/>
      <w:bookmarkEnd w:id="69"/>
    </w:p>
    <w:p w14:paraId="72654BAF" w14:textId="77777777" w:rsidR="001F49FD" w:rsidRDefault="00611419" w:rsidP="00EF7DEA">
      <w:pPr>
        <w:pStyle w:val="Recuodecorpodetexto"/>
        <w:ind w:firstLine="709"/>
      </w:pPr>
      <w:r>
        <w:t xml:space="preserve">Os aspectos posturais e os elementos da técnica de mão esquerda e de arco estão dispostos no Volume I – </w:t>
      </w:r>
      <w:r>
        <w:rPr>
          <w:b/>
        </w:rPr>
        <w:t>Instruções para iniciantes</w:t>
      </w:r>
      <w:r>
        <w:t xml:space="preserve">. No primeiro tópico, intitulado </w:t>
      </w:r>
      <w:r>
        <w:rPr>
          <w:b/>
        </w:rPr>
        <w:t>Da atitude do corpo e a posição do violino e do arco</w:t>
      </w:r>
      <w:r>
        <w:t xml:space="preserve">, Moser, diferentemente dos autores precedentes, expõe de forma discursiva os princípios relacionados à postura corporal e à sustentação do instrumento. Os pontos abordados ainda professam os três principais conceitos posturais do século anterior: o deslocamento do peso do corpo para a perna esquerda, o ângulo reto entre os pés e a afirmação da colocação do violino sobre a clavícula – e seus efeitos –, onde a ressalva sobre a </w:t>
      </w:r>
      <w:proofErr w:type="spellStart"/>
      <w:r>
        <w:t>queixeira</w:t>
      </w:r>
      <w:proofErr w:type="spellEnd"/>
      <w:r>
        <w:t xml:space="preserve"> evidencia que o uso do utensílio ainda não havia se consolidado ao fim do século XIX</w:t>
      </w:r>
      <w:r>
        <w:rPr>
          <w:color w:val="FF0000"/>
        </w:rPr>
        <w:t xml:space="preserve">: </w:t>
      </w:r>
    </w:p>
    <w:p w14:paraId="3315733C" w14:textId="77777777" w:rsidR="001F49FD" w:rsidRDefault="001F49FD">
      <w:pPr>
        <w:pStyle w:val="Recuodecorpodetexto"/>
        <w:ind w:left="283" w:firstLine="1134"/>
      </w:pPr>
    </w:p>
    <w:p w14:paraId="58F2859C" w14:textId="77777777" w:rsidR="001F49FD" w:rsidRDefault="00611419">
      <w:pPr>
        <w:pStyle w:val="Recuodecorpodetexto"/>
        <w:numPr>
          <w:ilvl w:val="0"/>
          <w:numId w:val="2"/>
        </w:numPr>
        <w:ind w:left="1276" w:hanging="142"/>
      </w:pPr>
      <w:r>
        <w:rPr>
          <w:b/>
          <w:u w:val="single"/>
        </w:rPr>
        <w:t>Da atitude do corpo e a posição do violino</w:t>
      </w:r>
      <w:r>
        <w:t xml:space="preserve"> </w:t>
      </w:r>
      <w:r>
        <w:rPr>
          <w:b/>
        </w:rPr>
        <w:t>e do arco</w:t>
      </w:r>
      <w:r>
        <w:t xml:space="preserve"> (p. 12)</w:t>
      </w:r>
      <w:r>
        <w:rPr>
          <w:rStyle w:val="Refdenotaderodap"/>
        </w:rPr>
        <w:footnoteReference w:id="23"/>
      </w:r>
      <w:r>
        <w:rPr>
          <w:rStyle w:val="FootnoteCharacters"/>
          <w:rFonts w:cs="Times New Roman"/>
          <w:szCs w:val="24"/>
        </w:rPr>
        <w:t xml:space="preserve"> </w:t>
      </w:r>
      <w:r>
        <w:t xml:space="preserve"> </w:t>
      </w:r>
    </w:p>
    <w:p w14:paraId="6AFC9014" w14:textId="77777777" w:rsidR="001F49FD" w:rsidRDefault="00611419">
      <w:pPr>
        <w:pStyle w:val="Textodenotaderodap"/>
        <w:spacing w:line="360" w:lineRule="auto"/>
        <w:rPr>
          <w:rFonts w:cs="Times New Roman"/>
          <w:sz w:val="24"/>
          <w:szCs w:val="24"/>
        </w:rPr>
      </w:pPr>
      <w:r>
        <w:rPr>
          <w:rFonts w:cs="Times New Roman"/>
          <w:sz w:val="24"/>
          <w:szCs w:val="24"/>
        </w:rPr>
        <w:t>- “O aluno deve se portar de forma que, quando seus calcanhares estiverem reunidos, os pés formem um ângulo reto.”</w:t>
      </w:r>
    </w:p>
    <w:p w14:paraId="76304A5F" w14:textId="77777777" w:rsidR="001F49FD" w:rsidRDefault="00611419">
      <w:pPr>
        <w:pStyle w:val="Textodenotaderodap"/>
        <w:spacing w:line="360" w:lineRule="auto"/>
        <w:rPr>
          <w:rFonts w:cs="Times New Roman"/>
          <w:sz w:val="24"/>
          <w:szCs w:val="24"/>
        </w:rPr>
      </w:pPr>
      <w:r>
        <w:rPr>
          <w:rFonts w:cs="Times New Roman"/>
          <w:sz w:val="24"/>
          <w:szCs w:val="24"/>
        </w:rPr>
        <w:t>- “Em seguida, ele deve deixar o peso de seu corpo sobre o pé esquerdo e mover sua perna direita, com o joelho levemente dobrado, a aproximadamente um palmo de sua posição inicial.”</w:t>
      </w:r>
    </w:p>
    <w:p w14:paraId="35A20923" w14:textId="77777777" w:rsidR="001F49FD" w:rsidRDefault="00611419">
      <w:pPr>
        <w:pStyle w:val="PargrafodaLista"/>
        <w:ind w:left="0" w:firstLine="1191"/>
        <w:rPr>
          <w:rFonts w:ascii="Times New Roman" w:hAnsi="Times New Roman" w:cs="Times New Roman"/>
          <w:szCs w:val="24"/>
        </w:rPr>
      </w:pPr>
      <w:r>
        <w:rPr>
          <w:rFonts w:cs="Times New Roman"/>
          <w:szCs w:val="24"/>
        </w:rPr>
        <w:t>- “O lado do violino à esquerda do estandarte deve ser colocado embaixo do queixo, a fim de que a cabeça mantenha sua posição reta, possibilitando um olhar irrestrito ao longo do espelho.”</w:t>
      </w:r>
    </w:p>
    <w:p w14:paraId="2445497A" w14:textId="77777777" w:rsidR="001F49FD" w:rsidRDefault="00611419">
      <w:pPr>
        <w:pStyle w:val="Recuodecorpodetexto"/>
        <w:tabs>
          <w:tab w:val="left" w:pos="1104"/>
          <w:tab w:val="left" w:pos="1134"/>
        </w:tabs>
        <w:ind w:firstLine="680"/>
      </w:pPr>
      <w:r>
        <w:lastRenderedPageBreak/>
        <w:t xml:space="preserve">   - “O uso da </w:t>
      </w:r>
      <w:proofErr w:type="spellStart"/>
      <w:r>
        <w:t>queixeira</w:t>
      </w:r>
      <w:proofErr w:type="spellEnd"/>
      <w:r>
        <w:t xml:space="preserve">, feita por Becker ou por </w:t>
      </w:r>
      <w:proofErr w:type="spellStart"/>
      <w:r>
        <w:t>Darbey</w:t>
      </w:r>
      <w:proofErr w:type="spellEnd"/>
      <w:r>
        <w:t>, é extremamente recomendável.”</w:t>
      </w:r>
      <w:r>
        <w:rPr>
          <w:rStyle w:val="FootnoteCharacters"/>
          <w:rFonts w:cs="Times New Roman"/>
          <w:szCs w:val="24"/>
        </w:rPr>
        <w:t xml:space="preserve"> </w:t>
      </w:r>
    </w:p>
    <w:p w14:paraId="112084EC" w14:textId="77777777" w:rsidR="001F49FD" w:rsidRDefault="00611419">
      <w:pPr>
        <w:pStyle w:val="Textodenotaderodap"/>
        <w:spacing w:line="360" w:lineRule="auto"/>
        <w:rPr>
          <w:rFonts w:cs="Times New Roman"/>
          <w:sz w:val="24"/>
          <w:szCs w:val="24"/>
        </w:rPr>
      </w:pPr>
      <w:r>
        <w:rPr>
          <w:rFonts w:cs="Times New Roman"/>
          <w:sz w:val="24"/>
          <w:szCs w:val="24"/>
        </w:rPr>
        <w:t xml:space="preserve">- “Deve-se ter cuidado em manter o violino em uma posição estritamente horizontal, com o braço do violino na direção do pé esquerdo.” </w:t>
      </w:r>
    </w:p>
    <w:p w14:paraId="2797FCAC" w14:textId="77777777" w:rsidR="001F49FD" w:rsidRDefault="00611419">
      <w:pPr>
        <w:pStyle w:val="PargrafodaLista"/>
        <w:ind w:left="0"/>
        <w:rPr>
          <w:rFonts w:ascii="Times New Roman" w:hAnsi="Times New Roman" w:cs="Times New Roman"/>
          <w:szCs w:val="24"/>
        </w:rPr>
      </w:pPr>
      <w:r>
        <w:rPr>
          <w:rFonts w:cs="Times New Roman"/>
          <w:szCs w:val="24"/>
        </w:rPr>
        <w:t>- “O instrumento deve estar inclinado para o lado de dentro, formando um ângulo de aproximadamente 45 graus.”</w:t>
      </w:r>
    </w:p>
    <w:p w14:paraId="0CC50909" w14:textId="77777777" w:rsidR="001F49FD" w:rsidRDefault="001F49FD">
      <w:pPr>
        <w:pStyle w:val="PargrafodaLista"/>
        <w:ind w:left="0"/>
        <w:rPr>
          <w:rFonts w:ascii="Times New Roman" w:hAnsi="Times New Roman" w:cs="Times New Roman"/>
          <w:szCs w:val="24"/>
        </w:rPr>
      </w:pPr>
    </w:p>
    <w:p w14:paraId="7DF85ABC" w14:textId="77777777" w:rsidR="001F49FD" w:rsidRDefault="00611419" w:rsidP="00EF7DEA">
      <w:pPr>
        <w:pStyle w:val="Recuodecorpodetexto"/>
        <w:ind w:firstLine="709"/>
      </w:pPr>
      <w:r>
        <w:t>O tópico referente à técnica de mão esquerda encerra a parte teórica do método e, diversamente do primeiro, os preceitos estão dispostos ordenadamente em itens. É clara a importância desse tema para Moser/Joachim, não apenas pelas orientações sobre o posicionamento dos dedos e seus graus de elevação, mas, principalmente, sobre seus mecanismos de funcionamento, norteados pelo conceito de independência dos dedos. Destacamos ainda os dois últimos preceitos, que preconizam a relação de perpendicularidade dos dedos com a corda através da aproximação da parte espessa da mão ao espelho:</w:t>
      </w:r>
    </w:p>
    <w:p w14:paraId="3BBDCE8A" w14:textId="77777777" w:rsidR="001F49FD" w:rsidRDefault="001F49FD">
      <w:pPr>
        <w:pStyle w:val="Recuodecorpodetexto"/>
        <w:ind w:left="283" w:firstLine="1134"/>
      </w:pPr>
    </w:p>
    <w:p w14:paraId="7BA961DD" w14:textId="77777777" w:rsidR="001F49FD" w:rsidRDefault="00611419">
      <w:pPr>
        <w:pStyle w:val="Recuodecorpodetexto"/>
        <w:numPr>
          <w:ilvl w:val="0"/>
          <w:numId w:val="2"/>
        </w:numPr>
        <w:ind w:left="1276" w:hanging="142"/>
      </w:pPr>
      <w:r>
        <w:rPr>
          <w:b/>
        </w:rPr>
        <w:t>A mão esquerda e a função dos dedos no espelho</w:t>
      </w:r>
      <w:r>
        <w:t xml:space="preserve"> (p. 15 e 16)</w:t>
      </w:r>
      <w:r>
        <w:rPr>
          <w:rStyle w:val="FootnoteCharacters"/>
          <w:rFonts w:cs="Times New Roman"/>
          <w:szCs w:val="24"/>
        </w:rPr>
        <w:t xml:space="preserve"> </w:t>
      </w:r>
    </w:p>
    <w:p w14:paraId="2C1C6468" w14:textId="77777777" w:rsidR="001F49FD" w:rsidRDefault="00611419">
      <w:pPr>
        <w:pStyle w:val="Recuodecorpodetexto"/>
        <w:ind w:firstLine="1134"/>
      </w:pPr>
      <w:r>
        <w:rPr>
          <w:lang w:val="pt-PT"/>
        </w:rPr>
        <w:t>- “O braço do violino deve estar levemente colocado entre o dedo indicador e o dedo polegar da mão esquerda. Porém, não se deve permitir sob nenhuma condição que ele encoste-se à pele que conecta o dedo indicador ao dedo polegar.”</w:t>
      </w:r>
    </w:p>
    <w:p w14:paraId="5844ACD7" w14:textId="057810C9" w:rsidR="001F49FD" w:rsidRDefault="00611419">
      <w:pPr>
        <w:pStyle w:val="Recuodecorpodetexto"/>
        <w:ind w:firstLine="1134"/>
      </w:pPr>
      <w:r>
        <w:t>- “O braço do violino deve repousar suavemente na articulação mais elevada do dedo polegar [</w:t>
      </w:r>
      <w:r w:rsidR="00393CC4">
        <w:t>interfalangiana</w:t>
      </w:r>
      <w:r>
        <w:t xml:space="preserve"> proximal], que deve se manter em frente ao dedo indicador, quando este está posicionado no primeiro tom a partir da corda solta.” </w:t>
      </w:r>
    </w:p>
    <w:p w14:paraId="5DA7A3BF" w14:textId="00A35110" w:rsidR="001F49FD" w:rsidRDefault="00611419">
      <w:pPr>
        <w:pStyle w:val="Recuodecorpodetexto"/>
        <w:ind w:firstLine="1134"/>
      </w:pPr>
      <w:r>
        <w:t>- “O dedo indicador não deve se elevar a uma altura desnecessária acima do espelho. Se esse dedo estiver em uma posição adequada ao se tocar o primeiro intervalo de tom, ao levantar-se novamente sua parte posterior</w:t>
      </w:r>
      <w:r w:rsidR="009D2863">
        <w:t>,</w:t>
      </w:r>
      <w:r>
        <w:t xml:space="preserve"> não deve ir além da pestana.”</w:t>
      </w:r>
    </w:p>
    <w:p w14:paraId="0341C8F5" w14:textId="77777777" w:rsidR="001F49FD" w:rsidRDefault="00611419">
      <w:pPr>
        <w:pStyle w:val="Recuodecorpodetexto"/>
        <w:ind w:firstLine="1134"/>
      </w:pPr>
      <w:r>
        <w:t>- “A mão deve se manter absolutamente imóvel. A ação dos dedos provém apenas de suas raízes e articulações.”</w:t>
      </w:r>
    </w:p>
    <w:p w14:paraId="0DC70811" w14:textId="77777777" w:rsidR="001F49FD" w:rsidRDefault="00611419">
      <w:pPr>
        <w:pStyle w:val="Recuodecorpodetexto"/>
        <w:ind w:firstLine="1134"/>
      </w:pPr>
      <w:r>
        <w:t>- “Os dedos devem se comportar como pequenos martelos, prontos para cair sobre as cordas.”</w:t>
      </w:r>
    </w:p>
    <w:p w14:paraId="278D3C56" w14:textId="77777777" w:rsidR="001F49FD" w:rsidRDefault="00611419">
      <w:pPr>
        <w:pStyle w:val="Recuodecorpodetexto"/>
        <w:ind w:firstLine="1134"/>
      </w:pPr>
      <w:r>
        <w:t>- “Os dedos não devem se esfregar uns contra os outros ao cair sobre ou ao se elevar do espelho, e não devem impedir seus livres movimentos. Inversamente, eles devem ser treinados para se moverem da forma mais independente possível.”</w:t>
      </w:r>
    </w:p>
    <w:p w14:paraId="705076A5" w14:textId="14698AC9" w:rsidR="001F49FD" w:rsidRDefault="00611419">
      <w:pPr>
        <w:pStyle w:val="Recuodecorpodetexto"/>
        <w:ind w:firstLine="1134"/>
      </w:pPr>
      <w:r>
        <w:lastRenderedPageBreak/>
        <w:t>- “Como o dedo mínimo é menor do que os demais</w:t>
      </w:r>
      <w:r w:rsidR="009D2863">
        <w:t>,</w:t>
      </w:r>
      <w:r>
        <w:t xml:space="preserve"> é necessário posicionar o cotovelo abaixo do violino, para que a parte mais espessa da palma da mão possa se aproximar do espelho até que a ação perpendicular dos dedos seja alcançada.”</w:t>
      </w:r>
    </w:p>
    <w:p w14:paraId="59E49C1D" w14:textId="77777777" w:rsidR="001F49FD" w:rsidRDefault="00611419">
      <w:pPr>
        <w:pStyle w:val="Recuodecorpodetexto"/>
        <w:ind w:firstLine="1134"/>
      </w:pPr>
      <w:r>
        <w:t>- “Os dedos devem pousar perpendicularmente sobre as cordas e se elevar na mesma direção.”</w:t>
      </w:r>
    </w:p>
    <w:p w14:paraId="3245EE43" w14:textId="77777777" w:rsidR="001F49FD" w:rsidRDefault="001F49FD">
      <w:pPr>
        <w:pStyle w:val="Recuodecorpodetexto"/>
        <w:ind w:firstLine="1134"/>
      </w:pPr>
    </w:p>
    <w:p w14:paraId="3FD23F21" w14:textId="29764D78" w:rsidR="001F49FD" w:rsidRDefault="00611419" w:rsidP="00EF7DEA">
      <w:pPr>
        <w:pStyle w:val="Recuodecorpodetexto"/>
        <w:ind w:firstLine="709"/>
      </w:pPr>
      <w:r>
        <w:t>A respeito dos aspectos relativos à técnica de arco, inseridos no tópico sobre postura corporal e posição do violino, Moser/Joachim conferem importância ao dedo médio na sustentação do arco, indicando o seu ponto de contato na vareta, e, como essa definição é sujeita a equívocos, especificam: “aquela que está próxima à unha”</w:t>
      </w:r>
      <w:r w:rsidR="009D2863">
        <w:t>,</w:t>
      </w:r>
      <w:r>
        <w:t xml:space="preserve"> o que corrobora o posicionamento atribuído à Escola Germânica no século XX (F</w:t>
      </w:r>
      <w:r w:rsidR="009D2863">
        <w:t>lesch</w:t>
      </w:r>
      <w:r>
        <w:t xml:space="preserve">, 1928). Dentre todos os preceitos, os três últimos são os mais relevantes, pois afirmam o novo posicionamento do antebraço através da elevação do cotovelo – apenas intuído no método de </w:t>
      </w:r>
      <w:proofErr w:type="spellStart"/>
      <w:r>
        <w:t>Bériot</w:t>
      </w:r>
      <w:proofErr w:type="spellEnd"/>
      <w:r>
        <w:t xml:space="preserve"> – que se consolida no século XX, </w:t>
      </w:r>
      <w:proofErr w:type="spellStart"/>
      <w:r>
        <w:t>acarretandoem</w:t>
      </w:r>
      <w:proofErr w:type="spellEnd"/>
      <w:r>
        <w:t xml:space="preserve"> novas alternativas aos elementos que compõem a técnica de arco:</w:t>
      </w:r>
    </w:p>
    <w:p w14:paraId="7FCCB711" w14:textId="77777777" w:rsidR="001F49FD" w:rsidRDefault="001F49FD">
      <w:pPr>
        <w:pStyle w:val="Recuodecorpodetexto"/>
      </w:pPr>
    </w:p>
    <w:p w14:paraId="6B97FE76" w14:textId="77777777" w:rsidR="001F49FD" w:rsidRDefault="00611419">
      <w:pPr>
        <w:pStyle w:val="Recuodecorpodetexto"/>
        <w:numPr>
          <w:ilvl w:val="0"/>
          <w:numId w:val="2"/>
        </w:numPr>
        <w:ind w:left="1276" w:hanging="142"/>
      </w:pPr>
      <w:r>
        <w:rPr>
          <w:b/>
        </w:rPr>
        <w:t xml:space="preserve">Da atitude do corpo e </w:t>
      </w:r>
      <w:r>
        <w:rPr>
          <w:b/>
          <w:u w:val="single"/>
        </w:rPr>
        <w:t xml:space="preserve">a posição </w:t>
      </w:r>
      <w:r>
        <w:rPr>
          <w:b/>
        </w:rPr>
        <w:t>do violino e</w:t>
      </w:r>
      <w:r>
        <w:rPr>
          <w:b/>
          <w:u w:val="single"/>
        </w:rPr>
        <w:t xml:space="preserve"> do arco</w:t>
      </w:r>
      <w:r>
        <w:rPr>
          <w:u w:val="single"/>
        </w:rPr>
        <w:t xml:space="preserve"> </w:t>
      </w:r>
      <w:r>
        <w:t>(p. 12 e 13)</w:t>
      </w:r>
    </w:p>
    <w:p w14:paraId="4109D54D" w14:textId="77777777" w:rsidR="001F49FD" w:rsidRDefault="00611419">
      <w:pPr>
        <w:pStyle w:val="Recuodecorpodetexto"/>
        <w:ind w:firstLine="1134"/>
      </w:pPr>
      <w:r>
        <w:t>- “A extremidade inferior do arco deve ser sustentada e mantida como se fosse um par de pinças, pelos dedos polegar e médio da mão direita.”</w:t>
      </w:r>
    </w:p>
    <w:p w14:paraId="3148BC1F" w14:textId="26D35F37" w:rsidR="001F49FD" w:rsidRDefault="00611419">
      <w:pPr>
        <w:pStyle w:val="Recuodecorpodetexto"/>
        <w:ind w:firstLine="1134"/>
      </w:pPr>
      <w:r>
        <w:t>- “Isso se dá através do posicionamento da vareta entre a primeira articulação do dedo médio [</w:t>
      </w:r>
      <w:r w:rsidR="00CA6E54">
        <w:t>interfalangiana</w:t>
      </w:r>
      <w:r>
        <w:t xml:space="preserve"> distal] – aquela que está próxima à unha – e o dedo polegar.”</w:t>
      </w:r>
    </w:p>
    <w:p w14:paraId="4E65C03C" w14:textId="4945D193" w:rsidR="001F49FD" w:rsidRDefault="00611419">
      <w:pPr>
        <w:pStyle w:val="Recuodecorpodetexto"/>
        <w:ind w:firstLine="1134"/>
      </w:pPr>
      <w:r>
        <w:t xml:space="preserve">- “A ponta do dedo mínimo deve apenas repousar sobre a vareta, ao passo que o primeiro e o terceiro dedo deve ser colocados de forma a resultar em um suave e natural arredondamento da mão.” </w:t>
      </w:r>
    </w:p>
    <w:p w14:paraId="308CA8DF" w14:textId="77777777" w:rsidR="001F49FD" w:rsidRDefault="00611419">
      <w:pPr>
        <w:pStyle w:val="Recuodecorpodetexto"/>
        <w:ind w:firstLine="1134"/>
      </w:pPr>
      <w:r>
        <w:t>- “Todos os dedos – levemente flexionados – devem adotar uma posição retangular em relação ao arco, não agrupados desajeitadamente, mas em uma relação livre e natural entre si.”</w:t>
      </w:r>
    </w:p>
    <w:p w14:paraId="1F373C25" w14:textId="3A86BA81" w:rsidR="001F49FD" w:rsidRDefault="00611419">
      <w:pPr>
        <w:pStyle w:val="Recuodecorpodetexto"/>
        <w:ind w:firstLine="1134"/>
      </w:pPr>
      <w:r>
        <w:t>- “O arco deve estar ligeiramente inclinado na direção do espelho e, em todas as circunstâncias</w:t>
      </w:r>
      <w:r w:rsidR="009D2863">
        <w:t>,</w:t>
      </w:r>
      <w:r>
        <w:t xml:space="preserve"> deve cruzar as cordas em ângulo reto.”</w:t>
      </w:r>
    </w:p>
    <w:p w14:paraId="250B15B5" w14:textId="77777777" w:rsidR="001F49FD" w:rsidRDefault="00611419">
      <w:pPr>
        <w:pStyle w:val="Recuodecorpodetexto"/>
        <w:ind w:left="283" w:firstLine="850"/>
      </w:pPr>
      <w:r>
        <w:t>- “O movimento da mão deve manter-se ao longo da linha do antebraço.”</w:t>
      </w:r>
    </w:p>
    <w:p w14:paraId="354C986C" w14:textId="77777777" w:rsidR="001F49FD" w:rsidRDefault="00611419">
      <w:pPr>
        <w:pStyle w:val="Recuodecorpodetexto"/>
        <w:ind w:firstLine="1134"/>
      </w:pPr>
      <w:r>
        <w:t>- “Uma correta empunhadura do violino na corda Mi, deve resultar em um leve contato do braço com o corpo; uma elevação do mesmo a um ângulo de 45 graus é necessária na corda Sol.”</w:t>
      </w:r>
    </w:p>
    <w:p w14:paraId="56802EA4" w14:textId="77777777" w:rsidR="001F49FD" w:rsidRDefault="00611419">
      <w:r>
        <w:lastRenderedPageBreak/>
        <w:t>- “Enquanto o arco estiver tocando somente em uma corda, o punho, consequentemente, não deve dobrar-se para baixo ou para cima.”</w:t>
      </w:r>
    </w:p>
    <w:p w14:paraId="0E8A2764" w14:textId="77777777" w:rsidR="001F49FD" w:rsidRDefault="001F49FD">
      <w:pPr>
        <w:pStyle w:val="Recuodecorpodetexto"/>
      </w:pPr>
    </w:p>
    <w:p w14:paraId="6515EAB0" w14:textId="77777777" w:rsidR="001F49FD" w:rsidRDefault="00611419" w:rsidP="00EF7DEA">
      <w:pPr>
        <w:pStyle w:val="Recuodecorpodetexto"/>
        <w:tabs>
          <w:tab w:val="left" w:pos="1092"/>
        </w:tabs>
        <w:ind w:firstLine="709"/>
      </w:pPr>
      <w:r>
        <w:t xml:space="preserve">    A imagem da posição da mão no arco apresentada no método, já com o auxílio da fotografia, ratifica o preceito acima que refuta a elevação do punho, mesmo quando próximo ao talão:</w:t>
      </w:r>
    </w:p>
    <w:p w14:paraId="14D94718" w14:textId="77777777" w:rsidR="001F49FD" w:rsidRDefault="00611419">
      <w:pPr>
        <w:spacing w:line="240" w:lineRule="auto"/>
        <w:ind w:firstLine="0"/>
        <w:rPr>
          <w:rFonts w:ascii="Times New Roman" w:hAnsi="Times New Roman" w:cs="Times New Roman"/>
          <w:b/>
          <w:sz w:val="20"/>
          <w:szCs w:val="20"/>
        </w:rPr>
      </w:pPr>
      <w:r>
        <w:rPr>
          <w:noProof/>
        </w:rPr>
        <w:drawing>
          <wp:inline distT="0" distB="0" distL="0" distR="0" wp14:anchorId="22B061C8" wp14:editId="63A3ECBA">
            <wp:extent cx="5819775" cy="3954145"/>
            <wp:effectExtent l="0" t="0" r="0" b="0"/>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3"/>
                    <pic:cNvPicPr>
                      <a:picLocks noChangeAspect="1" noChangeArrowheads="1"/>
                    </pic:cNvPicPr>
                  </pic:nvPicPr>
                  <pic:blipFill>
                    <a:blip r:embed="rId15"/>
                    <a:stretch>
                      <a:fillRect/>
                    </a:stretch>
                  </pic:blipFill>
                  <pic:spPr bwMode="auto">
                    <a:xfrm>
                      <a:off x="0" y="0"/>
                      <a:ext cx="5819775" cy="3954145"/>
                    </a:xfrm>
                    <a:prstGeom prst="rect">
                      <a:avLst/>
                    </a:prstGeom>
                  </pic:spPr>
                </pic:pic>
              </a:graphicData>
            </a:graphic>
          </wp:inline>
        </w:drawing>
      </w:r>
    </w:p>
    <w:p w14:paraId="6E891F6F" w14:textId="7977D441" w:rsidR="001F49FD" w:rsidRDefault="00611419">
      <w:pPr>
        <w:pStyle w:val="Corpodetexto"/>
        <w:spacing w:after="0"/>
        <w:ind w:firstLine="0"/>
        <w:jc w:val="center"/>
        <w:rPr>
          <w:sz w:val="20"/>
          <w:szCs w:val="20"/>
        </w:rPr>
      </w:pPr>
      <w:r>
        <w:rPr>
          <w:b/>
          <w:sz w:val="20"/>
          <w:szCs w:val="20"/>
        </w:rPr>
        <w:t xml:space="preserve">Figura 7: </w:t>
      </w:r>
      <w:r>
        <w:rPr>
          <w:sz w:val="20"/>
          <w:szCs w:val="20"/>
        </w:rPr>
        <w:t xml:space="preserve">posição no talão com pouca elevação do punho - </w:t>
      </w:r>
      <w:proofErr w:type="spellStart"/>
      <w:r>
        <w:rPr>
          <w:i/>
          <w:sz w:val="20"/>
          <w:szCs w:val="20"/>
        </w:rPr>
        <w:t>Violinschule</w:t>
      </w:r>
      <w:proofErr w:type="spellEnd"/>
      <w:r>
        <w:rPr>
          <w:sz w:val="20"/>
          <w:szCs w:val="20"/>
        </w:rPr>
        <w:t xml:space="preserve"> (M</w:t>
      </w:r>
      <w:r w:rsidR="009D2863">
        <w:rPr>
          <w:sz w:val="20"/>
          <w:szCs w:val="20"/>
        </w:rPr>
        <w:t>oser</w:t>
      </w:r>
      <w:r>
        <w:rPr>
          <w:sz w:val="20"/>
          <w:szCs w:val="20"/>
        </w:rPr>
        <w:t>; J</w:t>
      </w:r>
      <w:r w:rsidR="009D2863">
        <w:rPr>
          <w:sz w:val="20"/>
          <w:szCs w:val="20"/>
        </w:rPr>
        <w:t>oachim</w:t>
      </w:r>
      <w:r>
        <w:rPr>
          <w:sz w:val="20"/>
          <w:szCs w:val="20"/>
        </w:rPr>
        <w:t>, 1905, p. 16).</w:t>
      </w:r>
    </w:p>
    <w:p w14:paraId="1D87DC9D" w14:textId="77777777" w:rsidR="001F49FD" w:rsidRDefault="001F49FD">
      <w:pPr>
        <w:pStyle w:val="Recuodecorpodetexto"/>
        <w:ind w:left="283" w:firstLine="709"/>
        <w:rPr>
          <w:sz w:val="20"/>
          <w:szCs w:val="20"/>
        </w:rPr>
      </w:pPr>
    </w:p>
    <w:p w14:paraId="00272D1C" w14:textId="77777777" w:rsidR="001F49FD" w:rsidRDefault="00611419" w:rsidP="00EF7DEA">
      <w:pPr>
        <w:pStyle w:val="Recuodecorpodetexto"/>
        <w:ind w:firstLine="709"/>
      </w:pPr>
      <w:r>
        <w:t>Corroborando a grande mudança no modo de ação do braço direito ao fim do século XIX, Moser discorre ao fim da seção:</w:t>
      </w:r>
    </w:p>
    <w:p w14:paraId="79FA35E1" w14:textId="3C848792" w:rsidR="001F49FD" w:rsidRDefault="00611419">
      <w:pPr>
        <w:pStyle w:val="Primeirorecuodecorpodetexto2"/>
        <w:spacing w:line="240" w:lineRule="auto"/>
        <w:ind w:left="2268" w:firstLine="0"/>
        <w:rPr>
          <w:sz w:val="20"/>
          <w:szCs w:val="20"/>
        </w:rPr>
      </w:pPr>
      <w:r>
        <w:rPr>
          <w:sz w:val="20"/>
          <w:szCs w:val="20"/>
        </w:rPr>
        <w:t xml:space="preserve">A regra, encontrada em quase todas as escolas germânicas de violino, que preconiza a baixa posição do cotovelo e braço ao tocar em qualquer uma das cordas, é baseada em uma irrefletida aceitação de equívocos que foram passados através das gerações. Isso deve ser combatido sobremaneira. O preceito, estabelecido há cento e cinquenta anos atrás por Leopold Mozart, autor da primeira escola de violino germânica, era perfeitamente justificável porque, naquele período, havia o costume de se colocar o queixo ao lado direito do estandarte. Se a proximidade do braço direito ao corpo foi benéfica nessa época, </w:t>
      </w:r>
      <w:proofErr w:type="gramStart"/>
      <w:r>
        <w:rPr>
          <w:sz w:val="20"/>
          <w:szCs w:val="20"/>
        </w:rPr>
        <w:t>nos dias atuais</w:t>
      </w:r>
      <w:proofErr w:type="gramEnd"/>
      <w:r>
        <w:rPr>
          <w:sz w:val="20"/>
          <w:szCs w:val="20"/>
        </w:rPr>
        <w:t>, com o modo diferente de segurar o instrumento, essa regra não é apenas anódina, mas vem a ser um obstáculo à utilização livre do arco. Pois, da mesma forma que é natural ter o braço junto ao corpo quando tocamos na corda Mi, parece forçado e antinatural reter a mesma posição para tocar nas cordas Sol ou Ré. (</w:t>
      </w:r>
      <w:r w:rsidR="009D2863">
        <w:rPr>
          <w:sz w:val="20"/>
          <w:szCs w:val="20"/>
        </w:rPr>
        <w:t>Moser; Joachim</w:t>
      </w:r>
      <w:r>
        <w:rPr>
          <w:sz w:val="20"/>
          <w:szCs w:val="20"/>
        </w:rPr>
        <w:t>, 1905, p. 14).</w:t>
      </w:r>
    </w:p>
    <w:p w14:paraId="0EF1E71D" w14:textId="77777777" w:rsidR="001F49FD" w:rsidRDefault="001F49FD">
      <w:pPr>
        <w:pStyle w:val="Primeirorecuodecorpodetexto2"/>
        <w:ind w:left="0" w:firstLine="0"/>
        <w:jc w:val="center"/>
        <w:rPr>
          <w:sz w:val="20"/>
          <w:szCs w:val="20"/>
        </w:rPr>
      </w:pPr>
    </w:p>
    <w:p w14:paraId="713BF476" w14:textId="77777777" w:rsidR="001F49FD" w:rsidRDefault="00611419" w:rsidP="00EF7DEA">
      <w:pPr>
        <w:pStyle w:val="Recuodecorpodetexto"/>
        <w:ind w:firstLine="709"/>
      </w:pPr>
      <w:r>
        <w:lastRenderedPageBreak/>
        <w:t>Por fim, afirma incisivamente que os violinistas germânicos mantiveram erroneamente esse posicionamento por mais tempo. Não obstante, Moser critica a posição inversamente extrema adotada pelos violonistas da Escola Franco-belga:</w:t>
      </w:r>
    </w:p>
    <w:p w14:paraId="241E4429" w14:textId="77777777" w:rsidR="001F49FD" w:rsidRDefault="00611419">
      <w:pPr>
        <w:pStyle w:val="Primeirorecuodecorpodetexto2"/>
        <w:spacing w:line="240" w:lineRule="auto"/>
        <w:ind w:left="2268" w:firstLine="0"/>
        <w:rPr>
          <w:sz w:val="20"/>
          <w:szCs w:val="20"/>
        </w:rPr>
      </w:pPr>
      <w:r>
        <w:rPr>
          <w:sz w:val="20"/>
          <w:szCs w:val="20"/>
        </w:rPr>
        <w:t>Enquanto a Escola Germânica apegou-se de forma obtusa a uma conservadora posição mais baixa do braço, os violinistas franceses e belgas, opostamente, aplicaram o uso de um cotovelo demasiado alto, resultando numa rigidez do movimento do arco. Assim como em todos os assuntos, o meio termo é recomendado. A parte superior do braço deve se mover livremente e sem restrições na articulação do ombro, inclusive nas cordas graves, mas deve-se ter atenção para que o cotovelo não se eleve acima da altura do punho (Ibidem, p. 14).</w:t>
      </w:r>
    </w:p>
    <w:p w14:paraId="3829A4F3" w14:textId="77777777" w:rsidR="001F49FD" w:rsidRDefault="001F49FD">
      <w:pPr>
        <w:pStyle w:val="Primeirorecuodecorpodetexto2"/>
        <w:spacing w:line="240" w:lineRule="auto"/>
        <w:ind w:left="2268" w:firstLine="0"/>
        <w:rPr>
          <w:sz w:val="20"/>
          <w:szCs w:val="20"/>
        </w:rPr>
      </w:pPr>
    </w:p>
    <w:p w14:paraId="30A9BFC4" w14:textId="77777777" w:rsidR="001F49FD" w:rsidRDefault="001F49FD">
      <w:pPr>
        <w:rPr>
          <w:rFonts w:ascii="Times New Roman" w:hAnsi="Times New Roman" w:cs="Times New Roman"/>
          <w:szCs w:val="24"/>
        </w:rPr>
      </w:pPr>
    </w:p>
    <w:p w14:paraId="7B2E9299" w14:textId="77777777" w:rsidR="001F49FD" w:rsidRDefault="001F49FD">
      <w:pPr>
        <w:ind w:firstLine="0"/>
        <w:rPr>
          <w:rFonts w:ascii="Times New Roman" w:hAnsi="Times New Roman" w:cs="Times New Roman"/>
          <w:szCs w:val="24"/>
        </w:rPr>
      </w:pPr>
    </w:p>
    <w:p w14:paraId="44BAF3F7" w14:textId="77777777" w:rsidR="001F49FD" w:rsidRDefault="001F49FD">
      <w:pPr>
        <w:ind w:firstLine="0"/>
        <w:rPr>
          <w:rFonts w:ascii="Times New Roman" w:hAnsi="Times New Roman" w:cs="Times New Roman"/>
          <w:szCs w:val="24"/>
        </w:rPr>
      </w:pPr>
    </w:p>
    <w:p w14:paraId="532E1249" w14:textId="77777777" w:rsidR="001F49FD" w:rsidRDefault="001F49FD">
      <w:pPr>
        <w:ind w:firstLine="0"/>
        <w:rPr>
          <w:rFonts w:ascii="Times New Roman" w:hAnsi="Times New Roman" w:cs="Times New Roman"/>
          <w:szCs w:val="24"/>
        </w:rPr>
      </w:pPr>
    </w:p>
    <w:p w14:paraId="29806645" w14:textId="77777777" w:rsidR="001F49FD" w:rsidRDefault="001F49FD">
      <w:pPr>
        <w:ind w:firstLine="0"/>
        <w:rPr>
          <w:rFonts w:ascii="Times New Roman" w:hAnsi="Times New Roman" w:cs="Times New Roman"/>
          <w:szCs w:val="24"/>
        </w:rPr>
      </w:pPr>
    </w:p>
    <w:p w14:paraId="3DE0202F" w14:textId="77777777" w:rsidR="001F49FD" w:rsidRDefault="001F49FD">
      <w:pPr>
        <w:ind w:firstLine="0"/>
        <w:rPr>
          <w:rFonts w:ascii="Times New Roman" w:hAnsi="Times New Roman" w:cs="Times New Roman"/>
          <w:szCs w:val="24"/>
        </w:rPr>
      </w:pPr>
    </w:p>
    <w:p w14:paraId="5A3F90FA" w14:textId="77777777" w:rsidR="001F49FD" w:rsidRDefault="001F49FD">
      <w:pPr>
        <w:ind w:firstLine="0"/>
        <w:rPr>
          <w:rFonts w:ascii="Times New Roman" w:hAnsi="Times New Roman" w:cs="Times New Roman"/>
          <w:szCs w:val="24"/>
        </w:rPr>
      </w:pPr>
    </w:p>
    <w:p w14:paraId="53A9A1DB" w14:textId="77777777" w:rsidR="001F49FD" w:rsidRDefault="001F49FD">
      <w:pPr>
        <w:ind w:firstLine="0"/>
        <w:rPr>
          <w:rFonts w:ascii="Times New Roman" w:hAnsi="Times New Roman" w:cs="Times New Roman"/>
          <w:szCs w:val="24"/>
        </w:rPr>
      </w:pPr>
    </w:p>
    <w:p w14:paraId="2DB34300" w14:textId="77777777" w:rsidR="001F49FD" w:rsidRDefault="001F49FD">
      <w:pPr>
        <w:ind w:firstLine="0"/>
        <w:rPr>
          <w:rFonts w:ascii="Times New Roman" w:hAnsi="Times New Roman" w:cs="Times New Roman"/>
          <w:szCs w:val="24"/>
        </w:rPr>
      </w:pPr>
    </w:p>
    <w:p w14:paraId="511E14D1" w14:textId="77777777" w:rsidR="001F49FD" w:rsidRDefault="001F49FD">
      <w:pPr>
        <w:ind w:firstLine="0"/>
        <w:rPr>
          <w:rFonts w:ascii="Times New Roman" w:hAnsi="Times New Roman" w:cs="Times New Roman"/>
          <w:szCs w:val="24"/>
        </w:rPr>
      </w:pPr>
    </w:p>
    <w:p w14:paraId="0A116A26" w14:textId="77777777" w:rsidR="001F49FD" w:rsidRDefault="00611419">
      <w:pPr>
        <w:ind w:firstLine="0"/>
        <w:rPr>
          <w:rFonts w:ascii="Times New Roman" w:hAnsi="Times New Roman" w:cs="Times New Roman"/>
          <w:szCs w:val="24"/>
        </w:rPr>
      </w:pPr>
      <w:bookmarkStart w:id="70" w:name="_Toc14331025"/>
      <w:bookmarkEnd w:id="70"/>
      <w:r>
        <w:rPr>
          <w:rFonts w:cs="Times New Roman"/>
          <w:szCs w:val="24"/>
        </w:rPr>
        <w:t xml:space="preserve">                                                                                                  </w:t>
      </w:r>
    </w:p>
    <w:p w14:paraId="5921ED93" w14:textId="77777777" w:rsidR="001F49FD" w:rsidRDefault="001F49FD">
      <w:pPr>
        <w:ind w:firstLine="0"/>
        <w:rPr>
          <w:rFonts w:ascii="Times New Roman" w:hAnsi="Times New Roman" w:cs="Times New Roman"/>
          <w:szCs w:val="24"/>
        </w:rPr>
      </w:pPr>
    </w:p>
    <w:p w14:paraId="05A3FBF8" w14:textId="77777777" w:rsidR="001F49FD" w:rsidRDefault="001F49FD">
      <w:pPr>
        <w:ind w:firstLine="0"/>
        <w:rPr>
          <w:rFonts w:ascii="Times New Roman" w:hAnsi="Times New Roman" w:cs="Times New Roman"/>
          <w:szCs w:val="24"/>
        </w:rPr>
      </w:pPr>
    </w:p>
    <w:p w14:paraId="7F060B38" w14:textId="77777777" w:rsidR="001F49FD" w:rsidRDefault="001F49FD">
      <w:pPr>
        <w:ind w:firstLine="0"/>
        <w:rPr>
          <w:rFonts w:ascii="Times New Roman" w:hAnsi="Times New Roman" w:cs="Times New Roman"/>
          <w:szCs w:val="24"/>
        </w:rPr>
      </w:pPr>
    </w:p>
    <w:p w14:paraId="25E9510A" w14:textId="77777777" w:rsidR="001F49FD" w:rsidRDefault="001F49FD">
      <w:pPr>
        <w:ind w:firstLine="0"/>
        <w:rPr>
          <w:rFonts w:ascii="Times New Roman" w:hAnsi="Times New Roman" w:cs="Times New Roman"/>
          <w:szCs w:val="24"/>
        </w:rPr>
      </w:pPr>
    </w:p>
    <w:p w14:paraId="02D6C37B" w14:textId="77777777" w:rsidR="001F49FD" w:rsidRDefault="001F49FD">
      <w:pPr>
        <w:ind w:firstLine="0"/>
        <w:rPr>
          <w:rFonts w:ascii="Times New Roman" w:hAnsi="Times New Roman" w:cs="Times New Roman"/>
          <w:szCs w:val="24"/>
        </w:rPr>
      </w:pPr>
    </w:p>
    <w:p w14:paraId="0415E6CE" w14:textId="77777777" w:rsidR="001F49FD" w:rsidRDefault="001F49FD">
      <w:pPr>
        <w:ind w:firstLine="0"/>
        <w:rPr>
          <w:rFonts w:ascii="Times New Roman" w:hAnsi="Times New Roman" w:cs="Times New Roman"/>
          <w:szCs w:val="24"/>
        </w:rPr>
      </w:pPr>
    </w:p>
    <w:p w14:paraId="57442B41" w14:textId="77777777" w:rsidR="001F49FD" w:rsidRDefault="001F49FD">
      <w:pPr>
        <w:ind w:firstLine="0"/>
        <w:rPr>
          <w:rFonts w:ascii="Times New Roman" w:hAnsi="Times New Roman" w:cs="Times New Roman"/>
          <w:szCs w:val="24"/>
        </w:rPr>
      </w:pPr>
    </w:p>
    <w:p w14:paraId="6D3C32D8" w14:textId="77777777" w:rsidR="001F49FD" w:rsidRDefault="001F49FD">
      <w:pPr>
        <w:ind w:firstLine="0"/>
        <w:rPr>
          <w:rFonts w:ascii="Times New Roman" w:hAnsi="Times New Roman" w:cs="Times New Roman"/>
          <w:szCs w:val="24"/>
        </w:rPr>
      </w:pPr>
    </w:p>
    <w:p w14:paraId="39777C02" w14:textId="77777777" w:rsidR="001F49FD" w:rsidRDefault="001F49FD">
      <w:pPr>
        <w:ind w:firstLine="0"/>
        <w:rPr>
          <w:rFonts w:ascii="Times New Roman" w:hAnsi="Times New Roman" w:cs="Times New Roman"/>
          <w:szCs w:val="24"/>
        </w:rPr>
      </w:pPr>
    </w:p>
    <w:p w14:paraId="37DD362A" w14:textId="77777777" w:rsidR="001F49FD" w:rsidRDefault="001F49FD">
      <w:pPr>
        <w:ind w:firstLine="0"/>
        <w:rPr>
          <w:rFonts w:ascii="Times New Roman" w:hAnsi="Times New Roman" w:cs="Times New Roman"/>
          <w:szCs w:val="24"/>
        </w:rPr>
      </w:pPr>
    </w:p>
    <w:p w14:paraId="3C73B024" w14:textId="77777777" w:rsidR="001F49FD" w:rsidRDefault="001F49FD">
      <w:pPr>
        <w:ind w:firstLine="0"/>
        <w:rPr>
          <w:rFonts w:ascii="Times New Roman" w:hAnsi="Times New Roman" w:cs="Times New Roman"/>
          <w:szCs w:val="24"/>
        </w:rPr>
      </w:pPr>
    </w:p>
    <w:p w14:paraId="3D392879" w14:textId="77777777" w:rsidR="001F49FD" w:rsidRDefault="001F49FD">
      <w:pPr>
        <w:ind w:firstLine="0"/>
        <w:rPr>
          <w:rFonts w:ascii="Times New Roman" w:hAnsi="Times New Roman" w:cs="Times New Roman"/>
          <w:szCs w:val="24"/>
        </w:rPr>
      </w:pPr>
    </w:p>
    <w:p w14:paraId="54D28A2A" w14:textId="77777777" w:rsidR="001F49FD" w:rsidRDefault="001F49FD">
      <w:pPr>
        <w:ind w:firstLine="0"/>
        <w:rPr>
          <w:rFonts w:ascii="Times New Roman" w:hAnsi="Times New Roman" w:cs="Times New Roman"/>
          <w:szCs w:val="24"/>
        </w:rPr>
      </w:pPr>
    </w:p>
    <w:p w14:paraId="2C0B4FCA" w14:textId="77777777" w:rsidR="001F49FD" w:rsidRDefault="00611419" w:rsidP="000A6E65">
      <w:pPr>
        <w:pStyle w:val="Ttulo1"/>
      </w:pPr>
      <w:bookmarkStart w:id="71" w:name="_Toc219359027"/>
      <w:r>
        <w:lastRenderedPageBreak/>
        <w:t>2</w:t>
      </w:r>
      <w:bookmarkStart w:id="72" w:name="_Toc14331026"/>
      <w:r>
        <w:t xml:space="preserve">     </w:t>
      </w:r>
      <w:bookmarkStart w:id="73" w:name="_Toc522439235"/>
      <w:r>
        <w:t>PRINCÍPIOS TÉCNICOS DE MÉTODOS DO SÉCULO XX</w:t>
      </w:r>
      <w:bookmarkEnd w:id="71"/>
      <w:bookmarkEnd w:id="72"/>
      <w:bookmarkEnd w:id="73"/>
    </w:p>
    <w:p w14:paraId="4900CCC0" w14:textId="77777777" w:rsidR="001F49FD" w:rsidRDefault="00611419" w:rsidP="00EF7DEA">
      <w:pPr>
        <w:pStyle w:val="Recuodecorpodetexto"/>
        <w:tabs>
          <w:tab w:val="left" w:pos="567"/>
        </w:tabs>
        <w:ind w:firstLine="709"/>
      </w:pPr>
      <w:r>
        <w:t xml:space="preserve">As obras sobre a prática do violino proliferaram com menos intensidade ao longo do século XX. O estilo subjetivo e abrangente das fontes literárias do período precedente atenuou-se, dando vez, salvo exceções, a métodos mais sucintos, com propósitos didáticos específicos. Ainda assim é possível dar prosseguimento ao estudo histórico dos conceitos sobre postura corporal e sobre as técnicas de mão esquerda e de arco através dos escritos de violinistas que – tal como </w:t>
      </w:r>
      <w:proofErr w:type="spellStart"/>
      <w:r>
        <w:t>Baillot</w:t>
      </w:r>
      <w:proofErr w:type="spellEnd"/>
      <w:r>
        <w:t xml:space="preserve">, Spohr, </w:t>
      </w:r>
      <w:proofErr w:type="spellStart"/>
      <w:r>
        <w:t>Bériot</w:t>
      </w:r>
      <w:proofErr w:type="spellEnd"/>
      <w:r>
        <w:t xml:space="preserve"> e Joachim – tanto influenciaram a prática do instrumento, devido às suas extensas atuações pedagógicas e ao interesse pelo registro literário de questões da técnica violinística. Graças a esse protagonismo na área do ensino, muitos de seus preceitos tornaram-se paradigmas aplicados nas instituições por onde atuaram, disseminando-se em vários continentes através de seus discípulos. Enfim, o reconhecimento histórico desses violinistas nos assegura que os conceitos por eles registrados apontam as propriedades da técnica do instrumento nas diferentes etapas do século XX, com as quais o pensamento violinístico contemporâneo está diretamente vinculado.</w:t>
      </w:r>
    </w:p>
    <w:p w14:paraId="3EBBCFD2" w14:textId="77777777" w:rsidR="001F49FD" w:rsidRDefault="00611419" w:rsidP="00317C67">
      <w:pPr>
        <w:pStyle w:val="Ttulo2"/>
      </w:pPr>
      <w:bookmarkStart w:id="74" w:name="_Toc219359028"/>
      <w:r>
        <w:t>2</w:t>
      </w:r>
      <w:bookmarkStart w:id="75" w:name="_Toc14331027"/>
      <w:r>
        <w:t xml:space="preserve">.1    Leopoldo </w:t>
      </w:r>
      <w:proofErr w:type="spellStart"/>
      <w:r>
        <w:t>Auer</w:t>
      </w:r>
      <w:proofErr w:type="spellEnd"/>
      <w:r>
        <w:t xml:space="preserve"> e a Escola Russa</w:t>
      </w:r>
      <w:bookmarkEnd w:id="74"/>
      <w:bookmarkEnd w:id="75"/>
    </w:p>
    <w:p w14:paraId="46207E9C" w14:textId="7BC8ADEF" w:rsidR="001F49FD" w:rsidRDefault="00611419" w:rsidP="00EF7DEA">
      <w:pPr>
        <w:pStyle w:val="Listadecontinuao2"/>
        <w:spacing w:after="0"/>
        <w:ind w:left="0" w:firstLine="709"/>
      </w:pPr>
      <w:r>
        <w:t xml:space="preserve">Leopold </w:t>
      </w:r>
      <w:proofErr w:type="spellStart"/>
      <w:r>
        <w:t>Auer</w:t>
      </w:r>
      <w:proofErr w:type="spellEnd"/>
      <w:r>
        <w:t xml:space="preserve"> (1845-1930) em muito se assemelha ao perfil dos autores já estudados, não apenas por uma razão cronológica – uma vez que vivenciou a segunda metade do século XIX –, mas por lhe ter sido atribuída a paternidade de uma das correntes violinísticas mais cultuadas do século XX: a chamada Escola Russa. Sua identificação com os antepassados que tanto influíram na </w:t>
      </w:r>
      <w:r w:rsidR="00CA6E54">
        <w:t>h</w:t>
      </w:r>
      <w:r>
        <w:t xml:space="preserve">istória da prática do violino verifica-se nas primeiras linhas da introdução de sua principal obra literária, </w:t>
      </w:r>
      <w:r>
        <w:rPr>
          <w:i/>
        </w:rPr>
        <w:t>O violino como eu ensino</w:t>
      </w:r>
      <w:r>
        <w:t>.</w:t>
      </w:r>
    </w:p>
    <w:p w14:paraId="67A5FFE9" w14:textId="7B2FA89A" w:rsidR="001F49FD" w:rsidRDefault="00611419" w:rsidP="00982256">
      <w:pPr>
        <w:pStyle w:val="Primeirorecuodecorpodetexto2"/>
        <w:spacing w:line="240" w:lineRule="auto"/>
        <w:ind w:left="2268" w:firstLine="0"/>
      </w:pPr>
      <w:r>
        <w:rPr>
          <w:sz w:val="20"/>
          <w:szCs w:val="20"/>
        </w:rPr>
        <w:t xml:space="preserve">Eu apenas procurei apresentar minhas opiniões pessoais – o fruto da minha própria experiência como violinista e como professor de violino – na esperança de interessar aqueles para os quais o assunto conclama. Três grandes mestres de violino do século XIX, </w:t>
      </w:r>
      <w:proofErr w:type="spellStart"/>
      <w:r>
        <w:rPr>
          <w:sz w:val="20"/>
          <w:szCs w:val="20"/>
        </w:rPr>
        <w:t>Baillot</w:t>
      </w:r>
      <w:proofErr w:type="spellEnd"/>
      <w:r>
        <w:rPr>
          <w:sz w:val="20"/>
          <w:szCs w:val="20"/>
        </w:rPr>
        <w:t xml:space="preserve">, De </w:t>
      </w:r>
      <w:proofErr w:type="spellStart"/>
      <w:r>
        <w:rPr>
          <w:sz w:val="20"/>
          <w:szCs w:val="20"/>
        </w:rPr>
        <w:t>Bériot</w:t>
      </w:r>
      <w:proofErr w:type="spellEnd"/>
      <w:r>
        <w:rPr>
          <w:sz w:val="20"/>
          <w:szCs w:val="20"/>
        </w:rPr>
        <w:t xml:space="preserve"> e Spohr, foram os primeiros a definir teoricamente os princípios inerentes à arte de tocar violino (</w:t>
      </w:r>
      <w:proofErr w:type="spellStart"/>
      <w:r>
        <w:rPr>
          <w:sz w:val="20"/>
          <w:szCs w:val="20"/>
        </w:rPr>
        <w:t>A</w:t>
      </w:r>
      <w:r w:rsidR="000B7BDE">
        <w:rPr>
          <w:sz w:val="20"/>
          <w:szCs w:val="20"/>
        </w:rPr>
        <w:t>uer</w:t>
      </w:r>
      <w:proofErr w:type="spellEnd"/>
      <w:r>
        <w:rPr>
          <w:sz w:val="20"/>
          <w:szCs w:val="20"/>
        </w:rPr>
        <w:t>, 1921, p. IX).</w:t>
      </w:r>
    </w:p>
    <w:p w14:paraId="6657744B" w14:textId="77777777" w:rsidR="001F49FD" w:rsidRDefault="001F49FD" w:rsidP="00EF7DEA">
      <w:pPr>
        <w:pStyle w:val="Primeirorecuodecorpodetexto2"/>
        <w:ind w:left="0" w:firstLine="709"/>
      </w:pPr>
    </w:p>
    <w:p w14:paraId="44155B9B" w14:textId="461E1FF1" w:rsidR="001F49FD" w:rsidRDefault="00611419" w:rsidP="00EF7DEA">
      <w:pPr>
        <w:pStyle w:val="Primeirorecuodecorpodetexto2"/>
        <w:ind w:left="0" w:firstLine="709"/>
      </w:pPr>
      <w:r>
        <w:t xml:space="preserve">Originário da Hungria, a formação de </w:t>
      </w:r>
      <w:proofErr w:type="spellStart"/>
      <w:r>
        <w:t>Auer</w:t>
      </w:r>
      <w:proofErr w:type="spellEnd"/>
      <w:r>
        <w:t xml:space="preserve"> está fortemente calcada na tradição germânica, pois foi aluno do vienense Jakob </w:t>
      </w:r>
      <w:proofErr w:type="spellStart"/>
      <w:r>
        <w:t>Dont</w:t>
      </w:r>
      <w:proofErr w:type="spellEnd"/>
      <w:r>
        <w:t xml:space="preserve"> (1815-1888) e de Joseph Joachim. Uma genealogia violinística que, assim como para grande parte de seus predecessores, finda por remontar ao Conservatório de Paris e à Escola Francesa, uma vez que ambos os mestres estudaram com Joseph </w:t>
      </w:r>
      <w:proofErr w:type="spellStart"/>
      <w:r>
        <w:t>Böhm</w:t>
      </w:r>
      <w:proofErr w:type="spellEnd"/>
      <w:r>
        <w:t xml:space="preserve">, um discípulo de Pierre Rode. Sobre as características de sua formação com </w:t>
      </w:r>
      <w:proofErr w:type="spellStart"/>
      <w:r>
        <w:t>Dont</w:t>
      </w:r>
      <w:proofErr w:type="spellEnd"/>
      <w:r>
        <w:t xml:space="preserve"> e Joachim, </w:t>
      </w:r>
      <w:proofErr w:type="spellStart"/>
      <w:r>
        <w:t>Auer</w:t>
      </w:r>
      <w:proofErr w:type="spellEnd"/>
      <w:r>
        <w:t xml:space="preserve"> resume: “Foi </w:t>
      </w:r>
      <w:proofErr w:type="spellStart"/>
      <w:r>
        <w:t>Dont</w:t>
      </w:r>
      <w:proofErr w:type="spellEnd"/>
      <w:r>
        <w:t xml:space="preserve"> quem lançou as bases para a técnica que eu adquiri futuramente” (</w:t>
      </w:r>
      <w:proofErr w:type="spellStart"/>
      <w:r w:rsidR="000B7BDE">
        <w:t>Auer</w:t>
      </w:r>
      <w:proofErr w:type="spellEnd"/>
      <w:r>
        <w:t>, 1921, p. 3); “Eu imergi nas mais importantes obras do repertório de violino sob a supervisão desse grande artista, Joachim” (</w:t>
      </w:r>
      <w:proofErr w:type="spellStart"/>
      <w:r w:rsidR="000B7BDE">
        <w:t>Auer</w:t>
      </w:r>
      <w:proofErr w:type="spellEnd"/>
      <w:r>
        <w:t>, 1921, p. 7).</w:t>
      </w:r>
    </w:p>
    <w:p w14:paraId="0268148A" w14:textId="77777777" w:rsidR="001F49FD" w:rsidRDefault="00611419" w:rsidP="00EF7DEA">
      <w:pPr>
        <w:pStyle w:val="Recuodecorpodetexto"/>
        <w:ind w:firstLine="709"/>
      </w:pPr>
      <w:r>
        <w:lastRenderedPageBreak/>
        <w:t xml:space="preserve">Antes do estudo dos conceitos técnicos registrados por </w:t>
      </w:r>
      <w:proofErr w:type="spellStart"/>
      <w:r>
        <w:t>Auer</w:t>
      </w:r>
      <w:proofErr w:type="spellEnd"/>
      <w:r>
        <w:t xml:space="preserve"> e de uma imediata atribuição de seus princípios às características próprias à Escola Russa, faz-se necessário observar certos fatos anteriores à sua estada naquele país: primeiramente, </w:t>
      </w:r>
      <w:proofErr w:type="spellStart"/>
      <w:r>
        <w:t>Baillot</w:t>
      </w:r>
      <w:proofErr w:type="spellEnd"/>
      <w:r>
        <w:t xml:space="preserve"> e Rode fizeram viagens constantes à Rússia, tendo esse último permanecido por cinco anos como violinista do Czar, em São Petersburgo. Em seguida, </w:t>
      </w:r>
      <w:proofErr w:type="spellStart"/>
      <w:r>
        <w:t>Vieuxtemps</w:t>
      </w:r>
      <w:proofErr w:type="spellEnd"/>
      <w:r>
        <w:t xml:space="preserve"> e </w:t>
      </w:r>
      <w:proofErr w:type="spellStart"/>
      <w:r>
        <w:t>Wieniawski</w:t>
      </w:r>
      <w:proofErr w:type="spellEnd"/>
      <w:r>
        <w:t xml:space="preserve"> – ambos eminentes violinistas da Escola Franco-belga – lecionaram no Conservatório de São Petersburgo. Verifica-se, portanto, que a prática do violino na Rússia (ou ao menos em seu principal polo cultural naquele período – São Petersburgo) reflete a ampla rede de influências existente na Europa entre as diversas correntes violinísticas a partir da segunda metade do século XIX, exemplificada por Rodriguez (2009), que ressalta a importância de </w:t>
      </w:r>
      <w:proofErr w:type="spellStart"/>
      <w:r>
        <w:t>Wieniawski</w:t>
      </w:r>
      <w:proofErr w:type="spellEnd"/>
      <w:r>
        <w:t xml:space="preserve"> na formação da técnica de arco da Escola Russa: </w:t>
      </w:r>
    </w:p>
    <w:p w14:paraId="6DE8B3B1" w14:textId="750FD11A" w:rsidR="001F49FD" w:rsidRDefault="00611419" w:rsidP="00982256">
      <w:pPr>
        <w:pStyle w:val="Primeirorecuodecorpodetexto2"/>
        <w:spacing w:line="240" w:lineRule="auto"/>
        <w:ind w:left="2268" w:firstLine="0"/>
        <w:rPr>
          <w:sz w:val="20"/>
          <w:szCs w:val="20"/>
          <w:shd w:val="clear" w:color="auto" w:fill="FFFFFF"/>
        </w:rPr>
      </w:pPr>
      <w:proofErr w:type="spellStart"/>
      <w:r>
        <w:rPr>
          <w:sz w:val="20"/>
          <w:szCs w:val="20"/>
          <w:shd w:val="clear" w:color="auto" w:fill="FFFFFF"/>
        </w:rPr>
        <w:t>Wieniawski</w:t>
      </w:r>
      <w:proofErr w:type="spellEnd"/>
      <w:r>
        <w:rPr>
          <w:sz w:val="20"/>
          <w:szCs w:val="20"/>
          <w:shd w:val="clear" w:color="auto" w:fill="FFFFFF"/>
        </w:rPr>
        <w:t xml:space="preserve"> talvez tenha sido o primeiro violinista a se apresentar regularmente em grandes salas de concerto. Ele percebeu a necessidade de uma sonoridade mais potente e de arcadas mais extensas para preencher esses espaços. </w:t>
      </w:r>
      <w:proofErr w:type="spellStart"/>
      <w:r>
        <w:rPr>
          <w:sz w:val="20"/>
          <w:szCs w:val="20"/>
          <w:shd w:val="clear" w:color="auto" w:fill="FFFFFF"/>
        </w:rPr>
        <w:t>Wieniawski</w:t>
      </w:r>
      <w:proofErr w:type="spellEnd"/>
      <w:r>
        <w:rPr>
          <w:sz w:val="20"/>
          <w:szCs w:val="20"/>
          <w:shd w:val="clear" w:color="auto" w:fill="FFFFFF"/>
        </w:rPr>
        <w:t xml:space="preserve"> também desenvolveu sua própria forma de segurar o arco. Ele dizia que o dedo indicador deveria ter um contato mais “profundo”, criando um som novo ainda não conhecido nas escolas alemãs ou franco-belgas... Não é surpreendente que alguns argumentem que (embora a influência de </w:t>
      </w:r>
      <w:proofErr w:type="spellStart"/>
      <w:r>
        <w:rPr>
          <w:sz w:val="20"/>
          <w:szCs w:val="20"/>
          <w:shd w:val="clear" w:color="auto" w:fill="FFFFFF"/>
        </w:rPr>
        <w:t>Auer</w:t>
      </w:r>
      <w:proofErr w:type="spellEnd"/>
      <w:r>
        <w:rPr>
          <w:sz w:val="20"/>
          <w:szCs w:val="20"/>
          <w:shd w:val="clear" w:color="auto" w:fill="FFFFFF"/>
        </w:rPr>
        <w:t xml:space="preserve"> tenha sido muito significativa em São Petersburgo) o verdadeiro fundador da Escola Russa foi </w:t>
      </w:r>
      <w:proofErr w:type="spellStart"/>
      <w:r>
        <w:rPr>
          <w:sz w:val="20"/>
          <w:szCs w:val="20"/>
          <w:shd w:val="clear" w:color="auto" w:fill="FFFFFF"/>
        </w:rPr>
        <w:t>Wieniawski</w:t>
      </w:r>
      <w:proofErr w:type="spellEnd"/>
      <w:r>
        <w:rPr>
          <w:sz w:val="20"/>
          <w:szCs w:val="20"/>
          <w:shd w:val="clear" w:color="auto" w:fill="FFFFFF"/>
        </w:rPr>
        <w:t xml:space="preserve"> (</w:t>
      </w:r>
      <w:r w:rsidR="00CA6E54">
        <w:rPr>
          <w:sz w:val="20"/>
          <w:szCs w:val="20"/>
          <w:shd w:val="clear" w:color="auto" w:fill="FFFFFF"/>
        </w:rPr>
        <w:t>Rodriguez</w:t>
      </w:r>
      <w:r>
        <w:rPr>
          <w:sz w:val="20"/>
          <w:szCs w:val="20"/>
          <w:shd w:val="clear" w:color="auto" w:fill="FFFFFF"/>
        </w:rPr>
        <w:t>, 2009, p. 21).</w:t>
      </w:r>
    </w:p>
    <w:p w14:paraId="13428B09" w14:textId="77777777" w:rsidR="001F49FD" w:rsidRDefault="001F49FD" w:rsidP="00EF7DEA">
      <w:pPr>
        <w:pStyle w:val="Primeirorecuodecorpodetexto2"/>
        <w:ind w:left="0" w:firstLine="709"/>
        <w:rPr>
          <w:sz w:val="20"/>
          <w:szCs w:val="20"/>
          <w:shd w:val="clear" w:color="auto" w:fill="FFFFFF"/>
        </w:rPr>
      </w:pPr>
    </w:p>
    <w:p w14:paraId="7ADC9AE1" w14:textId="5FDBEC4D" w:rsidR="001F49FD" w:rsidRDefault="00611419" w:rsidP="00EF7DEA">
      <w:pPr>
        <w:pStyle w:val="Recuodecorpodetexto"/>
        <w:ind w:firstLine="709"/>
        <w:rPr>
          <w:i/>
        </w:rPr>
      </w:pPr>
      <w:r>
        <w:t xml:space="preserve">Enfim, a convite de Anton Rubinstein (1829-1894), diretor do Conservatório de São Petersburgo, obstinado em adequar a vida musical russa aos padrões europeus, </w:t>
      </w:r>
      <w:proofErr w:type="spellStart"/>
      <w:r>
        <w:t>Auer</w:t>
      </w:r>
      <w:proofErr w:type="spellEnd"/>
      <w:r>
        <w:t xml:space="preserve"> torna-se professor de violino dessa instituição no ano de 1868, mantendo-se à frente do cargo durante 49 anos. Após a Revolução Russa de 1917, </w:t>
      </w:r>
      <w:proofErr w:type="spellStart"/>
      <w:r>
        <w:t>Auer</w:t>
      </w:r>
      <w:proofErr w:type="spellEnd"/>
      <w:r>
        <w:t xml:space="preserve"> instalou-se nos Estados Unidos, dando continuidade </w:t>
      </w:r>
      <w:proofErr w:type="spellStart"/>
      <w:r>
        <w:t>a</w:t>
      </w:r>
      <w:proofErr w:type="spellEnd"/>
      <w:r>
        <w:t xml:space="preserve"> sua carreira artística e a sua intensa atuação pedagógica ao integrar o </w:t>
      </w:r>
      <w:proofErr w:type="spellStart"/>
      <w:r>
        <w:rPr>
          <w:i/>
        </w:rPr>
        <w:t>Institute</w:t>
      </w:r>
      <w:proofErr w:type="spellEnd"/>
      <w:r>
        <w:rPr>
          <w:i/>
        </w:rPr>
        <w:t xml:space="preserve"> </w:t>
      </w:r>
      <w:proofErr w:type="spellStart"/>
      <w:r>
        <w:rPr>
          <w:i/>
        </w:rPr>
        <w:t>of</w:t>
      </w:r>
      <w:proofErr w:type="spellEnd"/>
      <w:r>
        <w:rPr>
          <w:i/>
        </w:rPr>
        <w:t xml:space="preserve"> Musical </w:t>
      </w:r>
      <w:proofErr w:type="spellStart"/>
      <w:r>
        <w:rPr>
          <w:i/>
        </w:rPr>
        <w:t>Art</w:t>
      </w:r>
      <w:proofErr w:type="spellEnd"/>
      <w:r>
        <w:t xml:space="preserve">, em Nova York, em 1926 e, dois anos mais tarde, o </w:t>
      </w:r>
      <w:r>
        <w:rPr>
          <w:i/>
        </w:rPr>
        <w:t xml:space="preserve">Curtis </w:t>
      </w:r>
      <w:proofErr w:type="spellStart"/>
      <w:r>
        <w:rPr>
          <w:i/>
        </w:rPr>
        <w:t>Institute</w:t>
      </w:r>
      <w:proofErr w:type="spellEnd"/>
      <w:r>
        <w:rPr>
          <w:i/>
        </w:rPr>
        <w:t xml:space="preserve"> </w:t>
      </w:r>
      <w:proofErr w:type="spellStart"/>
      <w:r>
        <w:rPr>
          <w:i/>
        </w:rPr>
        <w:t>of</w:t>
      </w:r>
      <w:proofErr w:type="spellEnd"/>
      <w:r>
        <w:rPr>
          <w:i/>
        </w:rPr>
        <w:t xml:space="preserve"> Music</w:t>
      </w:r>
      <w:r>
        <w:t xml:space="preserve">, na Filadélfia.  Nessa última década de vida, </w:t>
      </w:r>
      <w:proofErr w:type="spellStart"/>
      <w:r>
        <w:t>Auer</w:t>
      </w:r>
      <w:proofErr w:type="spellEnd"/>
      <w:r>
        <w:t xml:space="preserve"> escreve </w:t>
      </w:r>
      <w:proofErr w:type="spellStart"/>
      <w:r>
        <w:rPr>
          <w:i/>
        </w:rPr>
        <w:t>Violin</w:t>
      </w:r>
      <w:proofErr w:type="spellEnd"/>
      <w:r>
        <w:rPr>
          <w:i/>
        </w:rPr>
        <w:t xml:space="preserve"> as I </w:t>
      </w:r>
      <w:proofErr w:type="spellStart"/>
      <w:r>
        <w:rPr>
          <w:i/>
        </w:rPr>
        <w:t>teach</w:t>
      </w:r>
      <w:proofErr w:type="spellEnd"/>
      <w:r>
        <w:rPr>
          <w:i/>
        </w:rPr>
        <w:t xml:space="preserve"> it</w:t>
      </w:r>
      <w:r>
        <w:rPr>
          <w:rStyle w:val="Refdenotaderodap"/>
        </w:rPr>
        <w:footnoteReference w:id="24"/>
      </w:r>
      <w:r>
        <w:t xml:space="preserve"> </w:t>
      </w:r>
      <w:proofErr w:type="gramStart"/>
      <w:r>
        <w:t>e</w:t>
      </w:r>
      <w:r w:rsidR="00482651">
        <w:t xml:space="preserve"> </w:t>
      </w:r>
      <w:r>
        <w:rPr>
          <w:i/>
        </w:rPr>
        <w:t>Minha</w:t>
      </w:r>
      <w:proofErr w:type="gramEnd"/>
      <w:r>
        <w:rPr>
          <w:i/>
        </w:rPr>
        <w:t xml:space="preserve"> longa vida na música</w:t>
      </w:r>
      <w:r>
        <w:t xml:space="preserve"> (</w:t>
      </w:r>
      <w:proofErr w:type="spellStart"/>
      <w:r>
        <w:t>A</w:t>
      </w:r>
      <w:r w:rsidR="00482651">
        <w:t>uer</w:t>
      </w:r>
      <w:proofErr w:type="spellEnd"/>
      <w:r>
        <w:t>, 1923).</w:t>
      </w:r>
    </w:p>
    <w:p w14:paraId="7C2E95EE" w14:textId="77777777" w:rsidR="001F49FD" w:rsidRDefault="00611419" w:rsidP="00EF7DEA">
      <w:pPr>
        <w:pStyle w:val="Recuodecorpodetexto"/>
        <w:ind w:firstLine="709"/>
      </w:pPr>
      <w:r>
        <w:t xml:space="preserve">Os preceitos de </w:t>
      </w:r>
      <w:proofErr w:type="spellStart"/>
      <w:r>
        <w:t>Auer</w:t>
      </w:r>
      <w:proofErr w:type="spellEnd"/>
      <w:r>
        <w:t xml:space="preserve"> sobre a técnica violinística estão ainda descritos no método de sete volumes de sua aluna, Maia </w:t>
      </w:r>
      <w:proofErr w:type="spellStart"/>
      <w:r>
        <w:t>Bang</w:t>
      </w:r>
      <w:proofErr w:type="spellEnd"/>
      <w:r>
        <w:t xml:space="preserve"> (1873-1940) – </w:t>
      </w:r>
      <w:r>
        <w:rPr>
          <w:i/>
          <w:iCs/>
        </w:rPr>
        <w:t xml:space="preserve">Método de violino Maia </w:t>
      </w:r>
    </w:p>
    <w:p w14:paraId="223AD6C1" w14:textId="4BF7F32E" w:rsidR="001F49FD" w:rsidRDefault="00611419" w:rsidP="00EF7DEA">
      <w:pPr>
        <w:pStyle w:val="Recuodecorpodetexto"/>
        <w:ind w:firstLine="709"/>
      </w:pPr>
      <w:proofErr w:type="spellStart"/>
      <w:r>
        <w:rPr>
          <w:i/>
        </w:rPr>
        <w:t>Bang</w:t>
      </w:r>
      <w:proofErr w:type="spellEnd"/>
      <w:r>
        <w:rPr>
          <w:i/>
        </w:rPr>
        <w:t xml:space="preserve"> </w:t>
      </w:r>
      <w:r>
        <w:t>(</w:t>
      </w:r>
      <w:proofErr w:type="spellStart"/>
      <w:r>
        <w:t>B</w:t>
      </w:r>
      <w:r w:rsidR="00482651">
        <w:t>ang</w:t>
      </w:r>
      <w:proofErr w:type="spellEnd"/>
      <w:r>
        <w:t>, 1922).</w:t>
      </w:r>
      <w:r>
        <w:rPr>
          <w:i/>
        </w:rPr>
        <w:t xml:space="preserve"> </w:t>
      </w:r>
      <w:r>
        <w:t xml:space="preserve">Alguns anos mais tarde, o célebre editor Gustav Saenger (1865-1935) anota e repertoria oito volumes de exercícios propostos por </w:t>
      </w:r>
      <w:proofErr w:type="spellStart"/>
      <w:r>
        <w:t>Auer</w:t>
      </w:r>
      <w:proofErr w:type="spellEnd"/>
      <w:r>
        <w:t xml:space="preserve"> no método </w:t>
      </w:r>
      <w:r>
        <w:rPr>
          <w:i/>
        </w:rPr>
        <w:t xml:space="preserve">Leopold </w:t>
      </w:r>
      <w:proofErr w:type="spellStart"/>
      <w:r>
        <w:rPr>
          <w:i/>
        </w:rPr>
        <w:t>Auer</w:t>
      </w:r>
      <w:proofErr w:type="spellEnd"/>
      <w:r>
        <w:rPr>
          <w:i/>
        </w:rPr>
        <w:t xml:space="preserve"> – </w:t>
      </w:r>
      <w:proofErr w:type="spellStart"/>
      <w:r>
        <w:rPr>
          <w:i/>
        </w:rPr>
        <w:t>Graded</w:t>
      </w:r>
      <w:proofErr w:type="spellEnd"/>
      <w:r>
        <w:rPr>
          <w:i/>
        </w:rPr>
        <w:t xml:space="preserve"> </w:t>
      </w:r>
      <w:proofErr w:type="spellStart"/>
      <w:r>
        <w:rPr>
          <w:i/>
        </w:rPr>
        <w:t>course</w:t>
      </w:r>
      <w:proofErr w:type="spellEnd"/>
      <w:r>
        <w:rPr>
          <w:i/>
        </w:rPr>
        <w:t xml:space="preserve"> </w:t>
      </w:r>
      <w:proofErr w:type="spellStart"/>
      <w:r>
        <w:rPr>
          <w:i/>
        </w:rPr>
        <w:t>of</w:t>
      </w:r>
      <w:proofErr w:type="spellEnd"/>
      <w:r>
        <w:rPr>
          <w:i/>
        </w:rPr>
        <w:t xml:space="preserve"> </w:t>
      </w:r>
      <w:proofErr w:type="spellStart"/>
      <w:r>
        <w:rPr>
          <w:i/>
        </w:rPr>
        <w:t>violin</w:t>
      </w:r>
      <w:proofErr w:type="spellEnd"/>
      <w:r>
        <w:rPr>
          <w:i/>
        </w:rPr>
        <w:t xml:space="preserve"> </w:t>
      </w:r>
      <w:proofErr w:type="spellStart"/>
      <w:r>
        <w:rPr>
          <w:i/>
        </w:rPr>
        <w:t>playing</w:t>
      </w:r>
      <w:proofErr w:type="spellEnd"/>
      <w:r>
        <w:rPr>
          <w:i/>
        </w:rPr>
        <w:t xml:space="preserve"> </w:t>
      </w:r>
      <w:r>
        <w:t>(S</w:t>
      </w:r>
      <w:r w:rsidR="00482651">
        <w:t>aenger</w:t>
      </w:r>
      <w:r>
        <w:t xml:space="preserve">, 1926), que apresenta, além dos preceitos técnicos, reveladoras imagens do posicionamento do instrumento pelo próprio violinista. </w:t>
      </w:r>
      <w:r>
        <w:lastRenderedPageBreak/>
        <w:t xml:space="preserve">Ambas as obras – de propósito comercial evidente mediante o prestígio de </w:t>
      </w:r>
      <w:proofErr w:type="spellStart"/>
      <w:r>
        <w:t>Auer</w:t>
      </w:r>
      <w:proofErr w:type="spellEnd"/>
      <w:r>
        <w:t xml:space="preserve"> enquanto maior responsável pela notória Escola Russa – exibem sua anuência. </w:t>
      </w:r>
    </w:p>
    <w:p w14:paraId="464D775D" w14:textId="10BB6F0C" w:rsidR="001F49FD" w:rsidRDefault="00611419" w:rsidP="00EF7DEA">
      <w:pPr>
        <w:pStyle w:val="Recuodecorpodetexto"/>
        <w:ind w:firstLine="709"/>
      </w:pPr>
      <w:r>
        <w:t xml:space="preserve">A primeira dedicatória confirma seu reconhecimento pela qualidade do método: “Querida Miss </w:t>
      </w:r>
      <w:proofErr w:type="spellStart"/>
      <w:r>
        <w:t>Bang</w:t>
      </w:r>
      <w:proofErr w:type="spellEnd"/>
      <w:r>
        <w:t>, eu li e reli o seu método de violino com grande interesse e percebo com prazer o quanto você foi guiada por meus princípios de ensino e como os apresentou tão claramente no livro [...]” (</w:t>
      </w:r>
      <w:proofErr w:type="spellStart"/>
      <w:r w:rsidR="000B7BDE">
        <w:t>Auer</w:t>
      </w:r>
      <w:proofErr w:type="spellEnd"/>
      <w:r>
        <w:t xml:space="preserve"> apud </w:t>
      </w:r>
      <w:proofErr w:type="spellStart"/>
      <w:r w:rsidR="000B7BDE">
        <w:t>Bang</w:t>
      </w:r>
      <w:proofErr w:type="spellEnd"/>
      <w:r>
        <w:t>, 1922, p. 4).</w:t>
      </w:r>
    </w:p>
    <w:p w14:paraId="41E53FA6" w14:textId="174AC1AC" w:rsidR="00EF7DEA" w:rsidRDefault="00611419" w:rsidP="00317C67">
      <w:pPr>
        <w:pStyle w:val="Recuodecorpodetexto"/>
        <w:ind w:firstLine="709"/>
      </w:pPr>
      <w:r>
        <w:t>A segunda pressupõe a participação do mestre em sua confecção: “Minhas afinidades e crenças estão sempre com os jovens, e é para a juventude da América que dedico este trabalho” [</w:t>
      </w:r>
      <w:proofErr w:type="spellStart"/>
      <w:r w:rsidR="000B7BDE">
        <w:t>Auer</w:t>
      </w:r>
      <w:proofErr w:type="spellEnd"/>
      <w:r>
        <w:t xml:space="preserve"> apud </w:t>
      </w:r>
      <w:proofErr w:type="spellStart"/>
      <w:r w:rsidR="000B7BDE">
        <w:t>Saengeer</w:t>
      </w:r>
      <w:proofErr w:type="spellEnd"/>
      <w:r>
        <w:t>, 1926].</w:t>
      </w:r>
      <w:bookmarkStart w:id="76" w:name="_Toc522439237"/>
      <w:bookmarkStart w:id="77" w:name="_Toc14331028"/>
    </w:p>
    <w:p w14:paraId="1BF2CDD3" w14:textId="6AE3D813" w:rsidR="001F49FD" w:rsidRDefault="00611419" w:rsidP="000A6E65">
      <w:pPr>
        <w:pStyle w:val="Ttulo3"/>
      </w:pPr>
      <w:r>
        <w:t xml:space="preserve"> </w:t>
      </w:r>
      <w:bookmarkStart w:id="78" w:name="_Toc219359029"/>
      <w:r>
        <w:t xml:space="preserve">Principais preceitos de </w:t>
      </w:r>
      <w:proofErr w:type="spellStart"/>
      <w:r>
        <w:t>Auer</w:t>
      </w:r>
      <w:bookmarkEnd w:id="76"/>
      <w:bookmarkEnd w:id="77"/>
      <w:bookmarkEnd w:id="78"/>
      <w:proofErr w:type="spellEnd"/>
    </w:p>
    <w:p w14:paraId="4CCECD4D" w14:textId="1CE1BBD7" w:rsidR="001F49FD" w:rsidRDefault="00611419" w:rsidP="00EF7DEA">
      <w:pPr>
        <w:pStyle w:val="Recuodecorpodetexto"/>
        <w:ind w:firstLine="709"/>
      </w:pPr>
      <w:r>
        <w:t xml:space="preserve">Na Introdução de </w:t>
      </w:r>
      <w:proofErr w:type="spellStart"/>
      <w:r>
        <w:rPr>
          <w:i/>
        </w:rPr>
        <w:t>Violin</w:t>
      </w:r>
      <w:proofErr w:type="spellEnd"/>
      <w:r>
        <w:rPr>
          <w:i/>
        </w:rPr>
        <w:t xml:space="preserve"> as I </w:t>
      </w:r>
      <w:proofErr w:type="spellStart"/>
      <w:r>
        <w:rPr>
          <w:i/>
        </w:rPr>
        <w:t>teach</w:t>
      </w:r>
      <w:proofErr w:type="spellEnd"/>
      <w:r>
        <w:rPr>
          <w:i/>
        </w:rPr>
        <w:t xml:space="preserve"> it,</w:t>
      </w:r>
      <w:r>
        <w:t xml:space="preserve"> </w:t>
      </w:r>
      <w:proofErr w:type="spellStart"/>
      <w:r>
        <w:t>Auer</w:t>
      </w:r>
      <w:proofErr w:type="spellEnd"/>
      <w:r>
        <w:t xml:space="preserve"> ressalta que os aspectos físicos da técnica do violino, mesmo que detalhadamente debatidos nos diversos métodos para o instrumento, são insuficientes caso não seja contemplado o trabalho mental do aluno: “Nunca foi conferida importância suficiente ao trabalho mental, à atividade do cérebro que deve controlar a ação dos dedos” (</w:t>
      </w:r>
      <w:proofErr w:type="spellStart"/>
      <w:r w:rsidR="000B7BDE">
        <w:t>Auer</w:t>
      </w:r>
      <w:proofErr w:type="spellEnd"/>
      <w:r>
        <w:t xml:space="preserve">, 1921, p. </w:t>
      </w:r>
      <w:proofErr w:type="spellStart"/>
      <w:r>
        <w:t>ix</w:t>
      </w:r>
      <w:proofErr w:type="spellEnd"/>
      <w:r>
        <w:t xml:space="preserve">). Trata-se do despertar de uma concepção pedagógica que analisa o indivíduo acima de dogmas pré-estabelecidos e que considera o fator mental como o principal meio de aprendizagem. No entanto, esse novo conceito não exclui a continuada reflexão sobre os aspectos técnicos da prática do instrumento, e </w:t>
      </w:r>
      <w:proofErr w:type="spellStart"/>
      <w:r>
        <w:t>Auer</w:t>
      </w:r>
      <w:proofErr w:type="spellEnd"/>
      <w:r>
        <w:t xml:space="preserve"> estabelece, ainda que brevemente, suas principais ideias no segundo capítulo, intitulado </w:t>
      </w:r>
      <w:r>
        <w:rPr>
          <w:b/>
        </w:rPr>
        <w:t>Como segurar o violino</w:t>
      </w:r>
      <w:r>
        <w:t xml:space="preserve">, dividido em três tópicos: </w:t>
      </w:r>
      <w:r>
        <w:rPr>
          <w:b/>
        </w:rPr>
        <w:t>O violino</w:t>
      </w:r>
      <w:r>
        <w:t xml:space="preserve">; </w:t>
      </w:r>
      <w:r>
        <w:rPr>
          <w:b/>
        </w:rPr>
        <w:t>A posição do polegar</w:t>
      </w:r>
      <w:r>
        <w:t xml:space="preserve">; </w:t>
      </w:r>
      <w:r>
        <w:rPr>
          <w:b/>
        </w:rPr>
        <w:t>O arco</w:t>
      </w:r>
      <w:r>
        <w:t>.</w:t>
      </w:r>
    </w:p>
    <w:p w14:paraId="34A6DEE9" w14:textId="77777777" w:rsidR="001F49FD" w:rsidRDefault="00611419" w:rsidP="00EF7DEA">
      <w:pPr>
        <w:pStyle w:val="Recuodecorpodetexto"/>
        <w:ind w:firstLine="709"/>
      </w:pPr>
      <w:r>
        <w:t xml:space="preserve">O primeiro tópico contém preceitos referentes à sustentação do instrumento e à técnica de mão esquerda. Quanto à sustentação, </w:t>
      </w:r>
      <w:proofErr w:type="spellStart"/>
      <w:r>
        <w:t>Auer</w:t>
      </w:r>
      <w:proofErr w:type="spellEnd"/>
      <w:r>
        <w:t xml:space="preserve"> opta pelo nível do violino mais elevado do que o plano horizontal e propõe o direcionamento da cabeça para o espelho: </w:t>
      </w:r>
    </w:p>
    <w:p w14:paraId="00C2659E" w14:textId="77777777" w:rsidR="001F49FD" w:rsidRDefault="001F49FD">
      <w:pPr>
        <w:pStyle w:val="Recuodecorpodetexto"/>
        <w:ind w:left="283" w:firstLine="1134"/>
      </w:pPr>
    </w:p>
    <w:p w14:paraId="3CC11120" w14:textId="77777777" w:rsidR="001F49FD" w:rsidRDefault="00611419">
      <w:pPr>
        <w:pStyle w:val="Recuodecorpodetexto"/>
        <w:numPr>
          <w:ilvl w:val="0"/>
          <w:numId w:val="2"/>
        </w:numPr>
        <w:ind w:left="1276" w:hanging="142"/>
      </w:pPr>
      <w:r>
        <w:rPr>
          <w:b/>
        </w:rPr>
        <w:t>O violino</w:t>
      </w:r>
      <w:r>
        <w:t xml:space="preserve"> (p. 11)</w:t>
      </w:r>
    </w:p>
    <w:p w14:paraId="55BAD157" w14:textId="77777777" w:rsidR="001F49FD" w:rsidRDefault="00611419">
      <w:pPr>
        <w:pStyle w:val="Recuodecorpodetexto"/>
        <w:ind w:firstLine="1134"/>
      </w:pPr>
      <w:r>
        <w:t xml:space="preserve">- “Sempre tente elevar o seu violino o máximo possível, a fim de garantir que a mão obtenha o máximo de liberdade entre uma e outra posição.” </w:t>
      </w:r>
    </w:p>
    <w:p w14:paraId="7AFDDE4E" w14:textId="77777777" w:rsidR="001F49FD" w:rsidRDefault="00611419">
      <w:pPr>
        <w:pStyle w:val="Recuodecorpodetexto"/>
        <w:ind w:firstLine="1134"/>
      </w:pPr>
      <w:r>
        <w:t>- “O violino deve ser mantido em uma posição em que os olhos estejam fixos na voluta do instrumento.”</w:t>
      </w:r>
    </w:p>
    <w:p w14:paraId="78463F28" w14:textId="77777777" w:rsidR="001F49FD" w:rsidRDefault="001F49FD">
      <w:pPr>
        <w:pStyle w:val="Recuodecorpodetexto"/>
        <w:ind w:firstLine="1134"/>
      </w:pPr>
    </w:p>
    <w:p w14:paraId="39F1E63B" w14:textId="77777777" w:rsidR="001F49FD" w:rsidRDefault="00611419" w:rsidP="00EF7DEA">
      <w:pPr>
        <w:pStyle w:val="Recuodecorpodetexto"/>
        <w:ind w:firstLine="709"/>
      </w:pPr>
      <w:r>
        <w:t>Sobre a técnica de mão esquerda, indica a posição perpendicular dos dedos com relação a braço do violino:</w:t>
      </w:r>
    </w:p>
    <w:p w14:paraId="101A334A" w14:textId="77777777" w:rsidR="001F49FD" w:rsidRDefault="001F49FD">
      <w:pPr>
        <w:pStyle w:val="Recuodecorpodetexto"/>
        <w:ind w:left="283" w:firstLine="1134"/>
      </w:pPr>
    </w:p>
    <w:p w14:paraId="582E46CB" w14:textId="77777777" w:rsidR="001F49FD" w:rsidRDefault="00611419">
      <w:pPr>
        <w:pStyle w:val="Recuodecorpodetexto"/>
        <w:ind w:firstLine="850"/>
      </w:pPr>
      <w:r>
        <w:t xml:space="preserve">   - “O braço esquerdo deve ser trazido para frente, embaixo do violino, para que os dedos caiam perpendicularmente sobre as cordas.”</w:t>
      </w:r>
    </w:p>
    <w:p w14:paraId="025EBA55" w14:textId="77777777" w:rsidR="001F49FD" w:rsidRDefault="001F49FD">
      <w:pPr>
        <w:pStyle w:val="Recuodecorpodetexto"/>
        <w:ind w:left="283" w:firstLine="0"/>
      </w:pPr>
    </w:p>
    <w:p w14:paraId="071F0787" w14:textId="77777777" w:rsidR="001F49FD" w:rsidRDefault="00611419" w:rsidP="00EF7DEA">
      <w:pPr>
        <w:pStyle w:val="Recuodecorpodetexto"/>
        <w:ind w:firstLine="709"/>
      </w:pPr>
      <w:r>
        <w:t xml:space="preserve">No tópico </w:t>
      </w:r>
      <w:r>
        <w:rPr>
          <w:b/>
        </w:rPr>
        <w:t>O arco,</w:t>
      </w:r>
      <w:r>
        <w:t xml:space="preserve"> </w:t>
      </w:r>
      <w:proofErr w:type="spellStart"/>
      <w:r>
        <w:t>Auer</w:t>
      </w:r>
      <w:proofErr w:type="spellEnd"/>
      <w:r>
        <w:t xml:space="preserve"> prescreve certa rotação do punho no movimento do arco para cima, embora ressalte que não há regras exatas e inalteráveis para o posicionamento da mão no arco:</w:t>
      </w:r>
    </w:p>
    <w:p w14:paraId="4C7085CF" w14:textId="77777777" w:rsidR="001F49FD" w:rsidRDefault="001F49FD">
      <w:pPr>
        <w:pStyle w:val="Recuodecorpodetexto"/>
        <w:ind w:left="283" w:firstLine="1134"/>
      </w:pPr>
    </w:p>
    <w:p w14:paraId="13CA36C7" w14:textId="77777777" w:rsidR="001F49FD" w:rsidRDefault="00611419">
      <w:pPr>
        <w:pStyle w:val="Recuodecorpodetexto"/>
        <w:numPr>
          <w:ilvl w:val="0"/>
          <w:numId w:val="2"/>
        </w:numPr>
        <w:ind w:left="1276" w:hanging="142"/>
      </w:pPr>
      <w:r>
        <w:rPr>
          <w:b/>
        </w:rPr>
        <w:t xml:space="preserve">O arco </w:t>
      </w:r>
      <w:r>
        <w:t>(p. 12)</w:t>
      </w:r>
    </w:p>
    <w:p w14:paraId="4FA419A7" w14:textId="77777777" w:rsidR="001F49FD" w:rsidRDefault="00611419">
      <w:pPr>
        <w:pStyle w:val="Recuodecorpodetexto"/>
        <w:ind w:firstLine="1134"/>
      </w:pPr>
      <w:r>
        <w:t xml:space="preserve">- “Quando eu digo que a mão deve estar rebaixada – ou que o punho deve se deixar cair no movimento do arco para cima […] Estou expressando uma opinião pessoal baseada em longa experiência.” </w:t>
      </w:r>
    </w:p>
    <w:p w14:paraId="720E157B" w14:textId="77777777" w:rsidR="00EF7DEA" w:rsidRDefault="00EF7DEA">
      <w:pPr>
        <w:pStyle w:val="Recuodecorpodetexto"/>
        <w:ind w:firstLine="1134"/>
      </w:pPr>
    </w:p>
    <w:p w14:paraId="6578FFB2" w14:textId="77777777" w:rsidR="001F49FD" w:rsidRDefault="00611419" w:rsidP="00EF7DEA">
      <w:pPr>
        <w:pStyle w:val="Recuodecorpodetexto"/>
        <w:tabs>
          <w:tab w:val="left" w:pos="336"/>
        </w:tabs>
        <w:ind w:firstLine="709"/>
      </w:pPr>
      <w:r>
        <w:t xml:space="preserve">Uma vez que </w:t>
      </w:r>
      <w:proofErr w:type="spellStart"/>
      <w:r>
        <w:rPr>
          <w:i/>
        </w:rPr>
        <w:t>Violin</w:t>
      </w:r>
      <w:proofErr w:type="spellEnd"/>
      <w:r>
        <w:rPr>
          <w:i/>
        </w:rPr>
        <w:t xml:space="preserve"> as I </w:t>
      </w:r>
      <w:proofErr w:type="spellStart"/>
      <w:r>
        <w:rPr>
          <w:i/>
        </w:rPr>
        <w:t>teach</w:t>
      </w:r>
      <w:proofErr w:type="spellEnd"/>
      <w:r>
        <w:rPr>
          <w:i/>
        </w:rPr>
        <w:t xml:space="preserve"> it </w:t>
      </w:r>
      <w:r>
        <w:t xml:space="preserve">possui uma característica autobiográfica e contém poucas informações sobre elementos técnicos, é nas edições de Saenger e Maia </w:t>
      </w:r>
      <w:proofErr w:type="spellStart"/>
      <w:r>
        <w:t>Bang</w:t>
      </w:r>
      <w:proofErr w:type="spellEnd"/>
      <w:r>
        <w:t xml:space="preserve"> que colhemos a maior parte dos preceitos de </w:t>
      </w:r>
      <w:proofErr w:type="spellStart"/>
      <w:r>
        <w:t>Auer</w:t>
      </w:r>
      <w:proofErr w:type="spellEnd"/>
      <w:r>
        <w:t xml:space="preserve">. Apesar das duas edições possuírem formatos distintos, a maior parte do conteúdo coincide e é apresentado através de citações, indicando sua autenticidade. </w:t>
      </w:r>
    </w:p>
    <w:p w14:paraId="6DF63C4F" w14:textId="66D95B1F" w:rsidR="001F49FD" w:rsidRDefault="00611419" w:rsidP="00EF7DEA">
      <w:pPr>
        <w:pStyle w:val="Recuodecorpodetexto"/>
        <w:ind w:firstLine="709"/>
      </w:pPr>
      <w:r>
        <w:t xml:space="preserve">Quanto às orientações relativas à postura corporal e à sustentação do violino, verificamos que o primeiro e o segundo preceitos confirmam que o pensamento de </w:t>
      </w:r>
      <w:proofErr w:type="spellStart"/>
      <w:r>
        <w:t>Auer</w:t>
      </w:r>
      <w:proofErr w:type="spellEnd"/>
      <w:r>
        <w:t xml:space="preserve"> se insere na tradicional postura do século XIX. O terceiro princípio, que concerne ao nível em que se deve manter o instrumento, contradiz sua prévia orientação de elevar a voluta,</w:t>
      </w:r>
      <w:r>
        <w:rPr>
          <w:rStyle w:val="Refdenotaderodap"/>
          <w:rFonts w:cs="Times New Roman"/>
          <w:szCs w:val="24"/>
        </w:rPr>
        <w:footnoteReference w:id="25"/>
      </w:r>
      <w:r>
        <w:t xml:space="preserve"> o que indica que essa questão poderia não estar completamente definida para o violinista. No entanto, cabe ressaltar que, em ambas as possibilidades</w:t>
      </w:r>
      <w:r w:rsidR="00482651">
        <w:t>,</w:t>
      </w:r>
      <w:r>
        <w:t xml:space="preserve"> </w:t>
      </w:r>
      <w:proofErr w:type="spellStart"/>
      <w:r>
        <w:t>Auer</w:t>
      </w:r>
      <w:proofErr w:type="spellEnd"/>
      <w:r>
        <w:t xml:space="preserve"> busca a eficiência da mão esquerda: o preceito de </w:t>
      </w:r>
      <w:proofErr w:type="spellStart"/>
      <w:r>
        <w:rPr>
          <w:i/>
        </w:rPr>
        <w:t>Violin</w:t>
      </w:r>
      <w:proofErr w:type="spellEnd"/>
      <w:r>
        <w:rPr>
          <w:i/>
        </w:rPr>
        <w:t xml:space="preserve"> as I </w:t>
      </w:r>
      <w:proofErr w:type="spellStart"/>
      <w:r>
        <w:rPr>
          <w:i/>
        </w:rPr>
        <w:t>teach</w:t>
      </w:r>
      <w:proofErr w:type="spellEnd"/>
      <w:r>
        <w:rPr>
          <w:i/>
        </w:rPr>
        <w:t xml:space="preserve"> it </w:t>
      </w:r>
      <w:r>
        <w:t xml:space="preserve">tem como objetivo facilitar a mudança de posição em direção às posições altas e o descrito em </w:t>
      </w:r>
      <w:proofErr w:type="spellStart"/>
      <w:r>
        <w:t>Bang</w:t>
      </w:r>
      <w:proofErr w:type="spellEnd"/>
      <w:r>
        <w:t xml:space="preserve"> visa garantir a liberdade de seus movimentos:</w:t>
      </w:r>
    </w:p>
    <w:p w14:paraId="1A748B14" w14:textId="77777777" w:rsidR="001F49FD" w:rsidRDefault="001F49FD">
      <w:pPr>
        <w:pStyle w:val="Recuodecorpodetexto"/>
        <w:ind w:left="283" w:firstLine="1134"/>
      </w:pPr>
    </w:p>
    <w:p w14:paraId="040832CB" w14:textId="2A58742D" w:rsidR="001F49FD" w:rsidRDefault="00611419">
      <w:pPr>
        <w:pStyle w:val="Recuodecorpodetexto"/>
        <w:numPr>
          <w:ilvl w:val="0"/>
          <w:numId w:val="2"/>
        </w:numPr>
        <w:ind w:left="1276" w:hanging="142"/>
      </w:pPr>
      <w:r>
        <w:rPr>
          <w:b/>
        </w:rPr>
        <w:t>Como segurar o violino corretamente</w:t>
      </w:r>
      <w:r>
        <w:t xml:space="preserve"> (</w:t>
      </w:r>
      <w:proofErr w:type="spellStart"/>
      <w:r w:rsidR="000B7BDE">
        <w:t>Bang</w:t>
      </w:r>
      <w:proofErr w:type="spellEnd"/>
      <w:r>
        <w:t>, 1922, p. 8)</w:t>
      </w:r>
    </w:p>
    <w:p w14:paraId="499155E2" w14:textId="77777777" w:rsidR="001F49FD" w:rsidRDefault="00611419">
      <w:pPr>
        <w:pStyle w:val="Recuodecorpodetexto"/>
        <w:ind w:left="283" w:firstLine="0"/>
      </w:pPr>
      <w:r>
        <w:t xml:space="preserve">               - “Mantenha-se ereto, com o peso do corpo sobre o pé esquerdo.” (Ibidem, p. 8).</w:t>
      </w:r>
    </w:p>
    <w:p w14:paraId="6798AB85" w14:textId="6A6858EC" w:rsidR="001F49FD" w:rsidRDefault="00611419" w:rsidP="0065333B">
      <w:pPr>
        <w:pStyle w:val="Recuodecorpodetexto"/>
        <w:ind w:firstLine="907"/>
      </w:pPr>
      <w:r>
        <w:t>- “Atualmente, alguns preconizam a posição das pernas afastadas, com o peso do corpo sobre as duas pernas, uma posição estável, porém antiestética.” (</w:t>
      </w:r>
      <w:proofErr w:type="spellStart"/>
      <w:r w:rsidR="000B7BDE">
        <w:t>Saengeer</w:t>
      </w:r>
      <w:proofErr w:type="spellEnd"/>
      <w:r>
        <w:t>, 1926, p. 9).</w:t>
      </w:r>
    </w:p>
    <w:p w14:paraId="66F90726" w14:textId="71639FEB" w:rsidR="001F49FD" w:rsidRDefault="00611419" w:rsidP="0065333B">
      <w:pPr>
        <w:pStyle w:val="Recuodecorpodetexto"/>
        <w:ind w:firstLine="1134"/>
      </w:pPr>
      <w:r>
        <w:lastRenderedPageBreak/>
        <w:t>- “Segure o violino em uma posição horizontal e inclinada – o lado direito mais baixo do que o esquerdo.” (</w:t>
      </w:r>
      <w:proofErr w:type="spellStart"/>
      <w:r w:rsidR="000B7BDE">
        <w:t>Bang</w:t>
      </w:r>
      <w:proofErr w:type="spellEnd"/>
      <w:r>
        <w:t>, 1922, p. 8).</w:t>
      </w:r>
    </w:p>
    <w:p w14:paraId="7A9423FA" w14:textId="77777777" w:rsidR="001F49FD" w:rsidRDefault="00611419" w:rsidP="0065333B">
      <w:pPr>
        <w:pStyle w:val="Recuodecorpodetexto"/>
        <w:tabs>
          <w:tab w:val="left" w:pos="1276"/>
        </w:tabs>
        <w:ind w:firstLine="1134"/>
      </w:pPr>
      <w:r>
        <w:t>- “O violino nunca deve ser sustentado pela mão esquerda – somente pela clavícula e pelo maxilar. A mão deve estar sempre livre para a execução.” (Ibidem, p. 9).</w:t>
      </w:r>
    </w:p>
    <w:p w14:paraId="20353298" w14:textId="77777777" w:rsidR="001F49FD" w:rsidRDefault="00611419" w:rsidP="0065333B">
      <w:pPr>
        <w:pStyle w:val="Recuodecorpodetexto"/>
        <w:ind w:firstLine="1134"/>
        <w:rPr>
          <w:rFonts w:ascii="Times New Roman" w:hAnsi="Times New Roman" w:cs="Times New Roman"/>
          <w:szCs w:val="24"/>
        </w:rPr>
      </w:pPr>
      <w:r>
        <w:t xml:space="preserve">- “Posicione-o sobre a clavícula e segure-o firmemente com o maxilar sobre a </w:t>
      </w:r>
      <w:proofErr w:type="spellStart"/>
      <w:r>
        <w:t>queixeira</w:t>
      </w:r>
      <w:proofErr w:type="spellEnd"/>
      <w:r>
        <w:t xml:space="preserve">.” (Ibidem, p. 8).                                                                                   </w:t>
      </w:r>
    </w:p>
    <w:p w14:paraId="33E2C5F7" w14:textId="77777777" w:rsidR="001F49FD" w:rsidRDefault="00611419" w:rsidP="0065333B">
      <w:pPr>
        <w:pStyle w:val="Recuodecorpodetexto"/>
        <w:ind w:firstLine="1134"/>
      </w:pPr>
      <w:r>
        <w:t xml:space="preserve">Ainda nesse tópico, constam duas referências à técnica de mão esquerda, em que </w:t>
      </w:r>
      <w:proofErr w:type="spellStart"/>
      <w:r>
        <w:t>Auer</w:t>
      </w:r>
      <w:proofErr w:type="spellEnd"/>
      <w:r>
        <w:t xml:space="preserve"> indica o posicionamento do punho e normatiza o local de contato dos dedos polegar e indicador no braço do violino: </w:t>
      </w:r>
    </w:p>
    <w:p w14:paraId="1DD158EB" w14:textId="77777777" w:rsidR="001F49FD" w:rsidRDefault="001F49FD" w:rsidP="0065333B">
      <w:pPr>
        <w:pStyle w:val="Recuodecorpodetexto"/>
        <w:ind w:firstLine="1134"/>
      </w:pPr>
    </w:p>
    <w:p w14:paraId="034CEE17" w14:textId="5826AE40" w:rsidR="001F49FD" w:rsidRDefault="00611419" w:rsidP="0065333B">
      <w:pPr>
        <w:pStyle w:val="Recuodecorpodetexto"/>
        <w:tabs>
          <w:tab w:val="left" w:pos="1134"/>
        </w:tabs>
        <w:ind w:firstLine="1134"/>
      </w:pPr>
      <w:r>
        <w:t>- “O antebraço, punho e mão devem formar uma linha reta. Não curve muito o punho, nem para fora nem para dentro, para não tocar no corpo do instrumento.” (</w:t>
      </w:r>
      <w:proofErr w:type="spellStart"/>
      <w:r w:rsidR="000B7BDE">
        <w:t>Bang</w:t>
      </w:r>
      <w:proofErr w:type="spellEnd"/>
      <w:r>
        <w:t>, p. 8).</w:t>
      </w:r>
    </w:p>
    <w:p w14:paraId="39569D1B" w14:textId="54873D82" w:rsidR="001F49FD" w:rsidRDefault="00611419" w:rsidP="0065333B">
      <w:pPr>
        <w:pStyle w:val="Recuodecorpodetexto"/>
        <w:ind w:firstLine="1134"/>
      </w:pPr>
      <w:r>
        <w:t>- “Segure o braço do violino entre a primeira articulação do dedo polegar [</w:t>
      </w:r>
      <w:r w:rsidR="00393CC4">
        <w:t>interfalangiana</w:t>
      </w:r>
      <w:r>
        <w:t xml:space="preserve"> proximal] e a terceira articulação [</w:t>
      </w:r>
      <w:r w:rsidR="00393CC4">
        <w:t>metacarpo falangiana</w:t>
      </w:r>
      <w:r>
        <w:t>] do dedo indicador.” (Ibidem, p. 8).</w:t>
      </w:r>
    </w:p>
    <w:p w14:paraId="4AD5E9DB" w14:textId="77777777" w:rsidR="001F49FD" w:rsidRDefault="001F49FD">
      <w:pPr>
        <w:pStyle w:val="Recuodecorpodetexto"/>
        <w:ind w:left="283" w:firstLine="1134"/>
      </w:pPr>
    </w:p>
    <w:p w14:paraId="0B794743" w14:textId="77777777" w:rsidR="001F49FD" w:rsidRDefault="00611419" w:rsidP="0065333B">
      <w:pPr>
        <w:pStyle w:val="Recuodecorpodetexto"/>
        <w:ind w:firstLine="709"/>
      </w:pPr>
      <w:r>
        <w:t xml:space="preserve">Na edição de Saenger e no método de </w:t>
      </w:r>
      <w:proofErr w:type="spellStart"/>
      <w:r>
        <w:t>Bang</w:t>
      </w:r>
      <w:proofErr w:type="spellEnd"/>
      <w:r>
        <w:t xml:space="preserve"> não há capítulos específicos sobre a técnica de mão esquerda. No entanto, de forma introdutória à série de exercícios, </w:t>
      </w:r>
      <w:proofErr w:type="spellStart"/>
      <w:r>
        <w:t>Bang</w:t>
      </w:r>
      <w:proofErr w:type="spellEnd"/>
      <w:r>
        <w:t xml:space="preserve"> apresenta dois preceitos de </w:t>
      </w:r>
      <w:proofErr w:type="spellStart"/>
      <w:r>
        <w:t>Auer</w:t>
      </w:r>
      <w:proofErr w:type="spellEnd"/>
      <w:r>
        <w:t xml:space="preserve"> que revelam principalmente que o violinista preconizava uma considerável pressão dos dedos sobre a corda:</w:t>
      </w:r>
    </w:p>
    <w:p w14:paraId="46AF7A81" w14:textId="77777777" w:rsidR="001F49FD" w:rsidRDefault="001F49FD">
      <w:pPr>
        <w:pStyle w:val="Recuodecorpodetexto"/>
        <w:ind w:left="283" w:firstLine="1134"/>
      </w:pPr>
    </w:p>
    <w:p w14:paraId="54FB844C" w14:textId="77777777" w:rsidR="001F49FD" w:rsidRDefault="00611419" w:rsidP="0065333B">
      <w:pPr>
        <w:pStyle w:val="Recuodecorpodetexto"/>
        <w:numPr>
          <w:ilvl w:val="0"/>
          <w:numId w:val="2"/>
        </w:numPr>
        <w:tabs>
          <w:tab w:val="clear" w:pos="0"/>
          <w:tab w:val="num" w:pos="1134"/>
        </w:tabs>
        <w:ind w:left="1276" w:hanging="142"/>
      </w:pPr>
      <w:r>
        <w:rPr>
          <w:b/>
        </w:rPr>
        <w:t xml:space="preserve">Os dois mais importantes princípios do Professor </w:t>
      </w:r>
      <w:proofErr w:type="spellStart"/>
      <w:r>
        <w:rPr>
          <w:b/>
        </w:rPr>
        <w:t>Auer</w:t>
      </w:r>
      <w:proofErr w:type="spellEnd"/>
      <w:r>
        <w:rPr>
          <w:b/>
        </w:rPr>
        <w:t xml:space="preserve"> referentes à digitação </w:t>
      </w:r>
      <w:r>
        <w:t>(Ibidem, p. 28)</w:t>
      </w:r>
    </w:p>
    <w:p w14:paraId="500F44DB" w14:textId="77777777" w:rsidR="001F49FD" w:rsidRDefault="00611419" w:rsidP="0065333B">
      <w:pPr>
        <w:pStyle w:val="Recuodecorpodetexto"/>
        <w:ind w:firstLine="1134"/>
      </w:pPr>
      <w:r>
        <w:t>- “Os dedos devem travar as cordas com uma excessiva pressão, porém, sem endurecer a mão ou os dedos.” (Ibidem, p. 28).</w:t>
      </w:r>
    </w:p>
    <w:p w14:paraId="74D158F3" w14:textId="77777777" w:rsidR="001F49FD" w:rsidRDefault="00611419" w:rsidP="0065333B">
      <w:pPr>
        <w:pStyle w:val="Recuodecorpodetexto"/>
        <w:ind w:firstLine="1134"/>
      </w:pPr>
      <w:r>
        <w:t>- “O aluno deve fortalecer e desenvolver os dedos gradualmente, assim eles cairão sobre as cordas como pequenos martelos.” (Ibidem, p. 28).</w:t>
      </w:r>
    </w:p>
    <w:p w14:paraId="1E4E68DA" w14:textId="77777777" w:rsidR="001F49FD" w:rsidRDefault="001F49FD">
      <w:pPr>
        <w:pStyle w:val="Recuodecorpodetexto"/>
        <w:ind w:left="283" w:firstLine="1134"/>
      </w:pPr>
    </w:p>
    <w:p w14:paraId="41192F5D" w14:textId="7F69F864" w:rsidR="001F49FD" w:rsidRDefault="00611419" w:rsidP="0065333B">
      <w:pPr>
        <w:pStyle w:val="Recuodecorpodetexto"/>
        <w:ind w:firstLine="709"/>
      </w:pPr>
      <w:r>
        <w:t xml:space="preserve">Sobre a técnica de arco, grande parte dos preceitos refere-se ao posicionamento e ao ponto de contato dos dedos. Sobre esse último aspecto, há uma incongruência relativa ao ponto de contato do dedo indicador entre as obras de </w:t>
      </w:r>
      <w:proofErr w:type="spellStart"/>
      <w:r w:rsidR="000B7BDE">
        <w:t>Saengeer</w:t>
      </w:r>
      <w:proofErr w:type="spellEnd"/>
      <w:r>
        <w:t xml:space="preserve"> e </w:t>
      </w:r>
      <w:proofErr w:type="spellStart"/>
      <w:r w:rsidR="000B7BDE">
        <w:t>Bang</w:t>
      </w:r>
      <w:proofErr w:type="spellEnd"/>
      <w:r>
        <w:t xml:space="preserve"> (2º e 3º preceitos abaixo), possivelmente devido a diferentes formas de contagem das falanges. No entanto, a icônica imagem fotográfica (figura 7) revela que, para </w:t>
      </w:r>
      <w:proofErr w:type="spellStart"/>
      <w:r>
        <w:t>Auer</w:t>
      </w:r>
      <w:proofErr w:type="spellEnd"/>
      <w:r>
        <w:t xml:space="preserve">, a vareta se situa na articulação </w:t>
      </w:r>
      <w:r w:rsidR="00393CC4">
        <w:lastRenderedPageBreak/>
        <w:t>interfalangiana</w:t>
      </w:r>
      <w:r>
        <w:t xml:space="preserve"> proximal – como descrito por Saenger –, local efetivamente atribuído à Escola Russa (FLESCH, 1928). </w:t>
      </w:r>
      <w:proofErr w:type="spellStart"/>
      <w:r>
        <w:t>Auer</w:t>
      </w:r>
      <w:proofErr w:type="spellEnd"/>
      <w:r>
        <w:t xml:space="preserve"> preconiza ainda uma acentuada mobilidade do punho nas extremidades do arco, que se inclina ao se aproximar do talão, e refuta a manutenção do cotovelo junto ao corpo:</w:t>
      </w:r>
    </w:p>
    <w:p w14:paraId="7E3AD727" w14:textId="77777777" w:rsidR="001F49FD" w:rsidRDefault="001F49FD">
      <w:pPr>
        <w:pStyle w:val="Recuodecorpodetexto"/>
        <w:ind w:left="283" w:firstLine="1134"/>
      </w:pPr>
    </w:p>
    <w:p w14:paraId="325CE13D" w14:textId="1D2353B9" w:rsidR="001F49FD" w:rsidRDefault="00611419">
      <w:pPr>
        <w:pStyle w:val="Corpodetexto"/>
        <w:numPr>
          <w:ilvl w:val="0"/>
          <w:numId w:val="2"/>
        </w:numPr>
        <w:spacing w:after="0"/>
        <w:ind w:left="1276" w:hanging="142"/>
      </w:pPr>
      <w:r>
        <w:rPr>
          <w:b/>
        </w:rPr>
        <w:t>Como segurar o arco corretamente; como movimentar o arco corretamente</w:t>
      </w:r>
      <w:r>
        <w:t xml:space="preserve"> (</w:t>
      </w:r>
      <w:proofErr w:type="spellStart"/>
      <w:r w:rsidR="000B7BDE">
        <w:t>Bang</w:t>
      </w:r>
      <w:proofErr w:type="spellEnd"/>
      <w:r>
        <w:t>).</w:t>
      </w:r>
      <w:r>
        <w:rPr>
          <w:rFonts w:cs="Times New Roman"/>
          <w:szCs w:val="24"/>
          <w:lang w:val="en-GB"/>
        </w:rPr>
        <w:t xml:space="preserve"> </w:t>
      </w:r>
      <w:r>
        <w:rPr>
          <w:b/>
        </w:rPr>
        <w:t>Como sustentar e mover seu arco</w:t>
      </w:r>
      <w:r>
        <w:t xml:space="preserve"> (</w:t>
      </w:r>
      <w:proofErr w:type="spellStart"/>
      <w:r w:rsidR="000B7BDE">
        <w:t>Saengeer</w:t>
      </w:r>
      <w:proofErr w:type="spellEnd"/>
      <w:r>
        <w:t>)</w:t>
      </w:r>
    </w:p>
    <w:p w14:paraId="3039B48E" w14:textId="60F6A276" w:rsidR="001F49FD" w:rsidRDefault="00611419">
      <w:pPr>
        <w:pStyle w:val="Recuodecorpodetexto"/>
        <w:ind w:firstLine="1134"/>
      </w:pPr>
      <w:r>
        <w:t>- “Posicione o dedo polegar direito levemente flexionado, perto do talão, abaixo da vareta e oposto ao dedo médio, com os outros dedos encostando-se lado a lado no arco.” (</w:t>
      </w:r>
      <w:proofErr w:type="spellStart"/>
      <w:r w:rsidR="000B7BDE">
        <w:t>Bang</w:t>
      </w:r>
      <w:proofErr w:type="spellEnd"/>
      <w:r>
        <w:t>, p. 9).</w:t>
      </w:r>
    </w:p>
    <w:p w14:paraId="30D08BCC" w14:textId="5CCA1C42" w:rsidR="001F49FD" w:rsidRDefault="00611419">
      <w:pPr>
        <w:pStyle w:val="Recuodecorpodetexto"/>
        <w:ind w:firstLine="1134"/>
      </w:pPr>
      <w:r>
        <w:t>- “O dedo indicador apoia-se lateralmente sobre a vareta na extremidade da terceira falange [proximal], ao mesmo tempo em que a envolve com a primeira [distal] e a segunda falange [média].” (</w:t>
      </w:r>
      <w:proofErr w:type="spellStart"/>
      <w:r w:rsidR="000B7BDE">
        <w:t>Saengeer</w:t>
      </w:r>
      <w:proofErr w:type="spellEnd"/>
      <w:r>
        <w:t xml:space="preserve">, p. 12). </w:t>
      </w:r>
    </w:p>
    <w:p w14:paraId="4B8FCD47" w14:textId="23946133" w:rsidR="001F49FD" w:rsidRDefault="00611419">
      <w:pPr>
        <w:pStyle w:val="Recuodecorpodetexto"/>
        <w:ind w:firstLine="1134"/>
      </w:pPr>
      <w:r>
        <w:t>- “O arco deve repousar em uma posição natural entre a primeira e a segunda articulação [</w:t>
      </w:r>
      <w:r w:rsidR="00393CC4">
        <w:t>interfalangiana</w:t>
      </w:r>
      <w:r>
        <w:t xml:space="preserve"> proximal] do dedo indicador e entre a extremidade e a primeira articulação [</w:t>
      </w:r>
      <w:r w:rsidR="00393CC4">
        <w:t>interfalangiana</w:t>
      </w:r>
      <w:r>
        <w:t xml:space="preserve"> distal] do dedo mínimo.” (</w:t>
      </w:r>
      <w:proofErr w:type="spellStart"/>
      <w:r w:rsidR="000B7BDE">
        <w:t>Bang</w:t>
      </w:r>
      <w:proofErr w:type="spellEnd"/>
      <w:r>
        <w:t>, p. 9).</w:t>
      </w:r>
    </w:p>
    <w:p w14:paraId="66C2F129" w14:textId="54109155" w:rsidR="001F49FD" w:rsidRDefault="00611419">
      <w:pPr>
        <w:pStyle w:val="PargrafodaLista"/>
        <w:ind w:left="0"/>
        <w:rPr>
          <w:rFonts w:ascii="Times New Roman" w:hAnsi="Times New Roman" w:cs="Times New Roman"/>
          <w:szCs w:val="24"/>
        </w:rPr>
      </w:pPr>
      <w:r>
        <w:rPr>
          <w:rFonts w:cs="Times New Roman"/>
          <w:szCs w:val="24"/>
        </w:rPr>
        <w:t>- “O dedo polegar</w:t>
      </w:r>
      <w:r>
        <w:t xml:space="preserve"> </w:t>
      </w:r>
      <w:r>
        <w:rPr>
          <w:rFonts w:cs="Times New Roman"/>
          <w:szCs w:val="24"/>
        </w:rPr>
        <w:t>deve ser colocado firmemente [...] entre o canto superior do talão e da vareta. Evite tencionar a primeira articulação [</w:t>
      </w:r>
      <w:r w:rsidR="00393CC4">
        <w:rPr>
          <w:rFonts w:cs="Times New Roman"/>
          <w:szCs w:val="24"/>
        </w:rPr>
        <w:t>interfalangiana</w:t>
      </w:r>
      <w:r>
        <w:rPr>
          <w:rFonts w:cs="Times New Roman"/>
          <w:szCs w:val="24"/>
        </w:rPr>
        <w:t xml:space="preserve"> proximal].” (</w:t>
      </w:r>
      <w:proofErr w:type="spellStart"/>
      <w:r w:rsidR="000B7BDE">
        <w:rPr>
          <w:rFonts w:cs="Times New Roman"/>
          <w:szCs w:val="24"/>
        </w:rPr>
        <w:t>Saengeer</w:t>
      </w:r>
      <w:proofErr w:type="spellEnd"/>
      <w:r>
        <w:rPr>
          <w:rFonts w:cs="Times New Roman"/>
          <w:szCs w:val="24"/>
        </w:rPr>
        <w:t>, p. 12).</w:t>
      </w:r>
    </w:p>
    <w:p w14:paraId="5FAA9FF6" w14:textId="3E56A01D" w:rsidR="001F49FD" w:rsidRDefault="00611419">
      <w:pPr>
        <w:pStyle w:val="PargrafodaLista"/>
        <w:ind w:left="0"/>
        <w:rPr>
          <w:rFonts w:ascii="Times New Roman" w:hAnsi="Times New Roman" w:cs="Times New Roman"/>
          <w:szCs w:val="24"/>
        </w:rPr>
      </w:pPr>
      <w:r>
        <w:rPr>
          <w:rFonts w:cs="Times New Roman"/>
          <w:szCs w:val="24"/>
        </w:rPr>
        <w:t>- “Há pouco espaço entre o dedo indicador e o dedo médio.” (</w:t>
      </w:r>
      <w:proofErr w:type="spellStart"/>
      <w:r w:rsidR="000B7BDE">
        <w:rPr>
          <w:rFonts w:cs="Times New Roman"/>
          <w:szCs w:val="24"/>
        </w:rPr>
        <w:t>Saengeer</w:t>
      </w:r>
      <w:proofErr w:type="spellEnd"/>
      <w:r>
        <w:rPr>
          <w:rFonts w:cs="Times New Roman"/>
          <w:szCs w:val="24"/>
        </w:rPr>
        <w:t xml:space="preserve">, p. 12). </w:t>
      </w:r>
    </w:p>
    <w:p w14:paraId="2FC79A0D" w14:textId="5C575CDC" w:rsidR="001F49FD" w:rsidRDefault="00611419">
      <w:pPr>
        <w:pStyle w:val="Recuodecorpodetexto"/>
        <w:ind w:firstLine="1134"/>
      </w:pPr>
      <w:r>
        <w:t>- “Tocar com um punho rígido ou contraído não trará resultados satisfatórios, uma vez que um punho livre e flexível é um dos elementos essenciais de um correto e artístico manuseio do arco.” (</w:t>
      </w:r>
      <w:proofErr w:type="spellStart"/>
      <w:r w:rsidR="000B7BDE">
        <w:t>Bang</w:t>
      </w:r>
      <w:proofErr w:type="spellEnd"/>
      <w:r>
        <w:t xml:space="preserve">, p. 9). </w:t>
      </w:r>
    </w:p>
    <w:p w14:paraId="176DBDF7" w14:textId="6B07B721" w:rsidR="001F49FD" w:rsidRDefault="00611419">
      <w:pPr>
        <w:pStyle w:val="Recuodecorpodetexto"/>
        <w:ind w:firstLine="1134"/>
      </w:pPr>
      <w:r>
        <w:t>- “Na verdade, o arco não pode estar reto ao atravessar a corda sem que o punho se eleve no talão e se abaixe na ponta.” (</w:t>
      </w:r>
      <w:proofErr w:type="spellStart"/>
      <w:r w:rsidR="000B7BDE">
        <w:t>Bang</w:t>
      </w:r>
      <w:proofErr w:type="spellEnd"/>
      <w:r>
        <w:t>, p. 10).</w:t>
      </w:r>
    </w:p>
    <w:p w14:paraId="681D6D04" w14:textId="5EA902CE" w:rsidR="001F49FD" w:rsidRDefault="00611419">
      <w:pPr>
        <w:pStyle w:val="Recuodecorpodetexto"/>
        <w:ind w:firstLine="1134"/>
      </w:pPr>
      <w:r>
        <w:t xml:space="preserve">- “O antebraço e o punho devem ser sempre movidos para frente e para trás com </w:t>
      </w:r>
      <w:proofErr w:type="gramStart"/>
      <w:r>
        <w:t>uma natural</w:t>
      </w:r>
      <w:proofErr w:type="gramEnd"/>
      <w:r>
        <w:t xml:space="preserve"> liberdade e em ação simultânea. Não mantenha o cotovelo perto do corpo e fique também atento em não </w:t>
      </w:r>
      <w:proofErr w:type="gramStart"/>
      <w:r>
        <w:t>mantê-lo</w:t>
      </w:r>
      <w:proofErr w:type="gramEnd"/>
      <w:r>
        <w:t xml:space="preserve"> demasiadamente elevado.” (</w:t>
      </w:r>
      <w:proofErr w:type="spellStart"/>
      <w:r w:rsidR="000B7BDE">
        <w:t>Bang</w:t>
      </w:r>
      <w:proofErr w:type="spellEnd"/>
      <w:r>
        <w:t>, p. 10).</w:t>
      </w:r>
    </w:p>
    <w:p w14:paraId="4BEC2CD0" w14:textId="40F320B0" w:rsidR="001F49FD" w:rsidRDefault="00611419">
      <w:pPr>
        <w:pStyle w:val="Recuodecorpodetexto"/>
        <w:ind w:firstLine="1134"/>
      </w:pPr>
      <w:r>
        <w:t>- “Nem sempre utilizamos toda a crina do arco; movendo-o do talão à ponta, começamos com a crina inclinada: para isso é necessário deixar cair o punho. Puxando o arco dessa forma, nós o reerguemos progressivamente até que toda a crina repouse sobre as cordas.” (</w:t>
      </w:r>
      <w:proofErr w:type="spellStart"/>
      <w:r w:rsidR="000B7BDE">
        <w:t>Saengeer</w:t>
      </w:r>
      <w:proofErr w:type="spellEnd"/>
      <w:r>
        <w:t>, p. 13).</w:t>
      </w:r>
    </w:p>
    <w:p w14:paraId="3E7FF2CA" w14:textId="2A6421F2" w:rsidR="001F49FD" w:rsidRDefault="00611419">
      <w:pPr>
        <w:pStyle w:val="Recuodecorpodetexto"/>
        <w:ind w:left="57" w:firstLine="1077"/>
      </w:pPr>
      <w:r>
        <w:lastRenderedPageBreak/>
        <w:t>- “Para mover o arco no outro sentido, o mesmo movimento do punho e a mesma rotação se produzem na ordem inversa.” (</w:t>
      </w:r>
      <w:proofErr w:type="spellStart"/>
      <w:r w:rsidR="000B7BDE">
        <w:t>Saengeer</w:t>
      </w:r>
      <w:proofErr w:type="spellEnd"/>
      <w:r>
        <w:t>, p. 13).</w:t>
      </w:r>
    </w:p>
    <w:p w14:paraId="4D92174F" w14:textId="77777777" w:rsidR="001F49FD" w:rsidRDefault="001F49FD">
      <w:pPr>
        <w:pStyle w:val="Recuodecorpodetexto"/>
        <w:spacing w:line="240" w:lineRule="auto"/>
        <w:ind w:left="283" w:firstLine="1134"/>
      </w:pPr>
    </w:p>
    <w:p w14:paraId="78950910" w14:textId="77777777" w:rsidR="001F49FD" w:rsidRDefault="00611419">
      <w:pPr>
        <w:ind w:firstLine="0"/>
        <w:rPr>
          <w:rFonts w:ascii="Times New Roman" w:hAnsi="Times New Roman" w:cs="Times New Roman"/>
          <w:szCs w:val="24"/>
        </w:rPr>
      </w:pPr>
      <w:r>
        <w:rPr>
          <w:noProof/>
        </w:rPr>
        <w:drawing>
          <wp:inline distT="0" distB="0" distL="0" distR="0" wp14:anchorId="22BD88D1" wp14:editId="5C368D52">
            <wp:extent cx="5568315" cy="3629025"/>
            <wp:effectExtent l="0" t="0" r="0" b="0"/>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4"/>
                    <pic:cNvPicPr>
                      <a:picLocks noChangeAspect="1" noChangeArrowheads="1"/>
                    </pic:cNvPicPr>
                  </pic:nvPicPr>
                  <pic:blipFill>
                    <a:blip r:embed="rId16"/>
                    <a:stretch>
                      <a:fillRect/>
                    </a:stretch>
                  </pic:blipFill>
                  <pic:spPr bwMode="auto">
                    <a:xfrm>
                      <a:off x="0" y="0"/>
                      <a:ext cx="5568315" cy="3629025"/>
                    </a:xfrm>
                    <a:prstGeom prst="rect">
                      <a:avLst/>
                    </a:prstGeom>
                  </pic:spPr>
                </pic:pic>
              </a:graphicData>
            </a:graphic>
          </wp:inline>
        </w:drawing>
      </w:r>
    </w:p>
    <w:p w14:paraId="0889A313" w14:textId="1986B895" w:rsidR="001F49FD" w:rsidRDefault="00611419">
      <w:pPr>
        <w:pStyle w:val="Corpodetexto"/>
        <w:ind w:firstLine="0"/>
        <w:jc w:val="center"/>
        <w:rPr>
          <w:sz w:val="20"/>
          <w:szCs w:val="20"/>
        </w:rPr>
      </w:pPr>
      <w:r>
        <w:rPr>
          <w:b/>
          <w:sz w:val="20"/>
          <w:szCs w:val="20"/>
        </w:rPr>
        <w:t xml:space="preserve">Figura 8: </w:t>
      </w:r>
      <w:r>
        <w:rPr>
          <w:sz w:val="20"/>
          <w:szCs w:val="20"/>
        </w:rPr>
        <w:t xml:space="preserve">posição da mão no arco de Leopold </w:t>
      </w:r>
      <w:proofErr w:type="spellStart"/>
      <w:r>
        <w:rPr>
          <w:sz w:val="20"/>
          <w:szCs w:val="20"/>
        </w:rPr>
        <w:t>Auer</w:t>
      </w:r>
      <w:proofErr w:type="spellEnd"/>
      <w:r>
        <w:rPr>
          <w:sz w:val="20"/>
          <w:szCs w:val="20"/>
        </w:rPr>
        <w:t xml:space="preserve"> (</w:t>
      </w:r>
      <w:proofErr w:type="spellStart"/>
      <w:r w:rsidR="000B7BDE">
        <w:rPr>
          <w:sz w:val="20"/>
          <w:szCs w:val="20"/>
        </w:rPr>
        <w:t>Saengeer</w:t>
      </w:r>
      <w:proofErr w:type="spellEnd"/>
      <w:r>
        <w:rPr>
          <w:sz w:val="20"/>
          <w:szCs w:val="20"/>
        </w:rPr>
        <w:t>, 1925, p. 14).</w:t>
      </w:r>
    </w:p>
    <w:p w14:paraId="3004CE7A" w14:textId="69303994" w:rsidR="001F49FD" w:rsidRDefault="00611419" w:rsidP="00317C67">
      <w:pPr>
        <w:pStyle w:val="Recuodecorpodetexto"/>
        <w:tabs>
          <w:tab w:val="left" w:pos="336"/>
        </w:tabs>
        <w:ind w:firstLine="709"/>
      </w:pPr>
      <w:r>
        <w:t xml:space="preserve">A esse último preceito, a edição de Maia </w:t>
      </w:r>
      <w:proofErr w:type="spellStart"/>
      <w:r>
        <w:t>Bang</w:t>
      </w:r>
      <w:proofErr w:type="spellEnd"/>
      <w:r>
        <w:t xml:space="preserve"> acrescenta a alcunha “Escola Russa” e podemos intuir que tal menção não é </w:t>
      </w:r>
      <w:proofErr w:type="gramStart"/>
      <w:r>
        <w:t>inócua</w:t>
      </w:r>
      <w:proofErr w:type="gramEnd"/>
      <w:r>
        <w:t xml:space="preserve">. À época das publicações de </w:t>
      </w:r>
      <w:proofErr w:type="spellStart"/>
      <w:r>
        <w:t>Bang</w:t>
      </w:r>
      <w:proofErr w:type="spellEnd"/>
      <w:r>
        <w:t xml:space="preserve"> e Saenger, os alunos do período em que </w:t>
      </w:r>
      <w:proofErr w:type="spellStart"/>
      <w:r>
        <w:t>Auer</w:t>
      </w:r>
      <w:proofErr w:type="spellEnd"/>
      <w:r>
        <w:t xml:space="preserve"> lecionava em São Petersburgo – tal como Efrem Zimbalist (1890-1985), </w:t>
      </w:r>
      <w:proofErr w:type="spellStart"/>
      <w:r>
        <w:t>Misha</w:t>
      </w:r>
      <w:proofErr w:type="spellEnd"/>
      <w:r>
        <w:t xml:space="preserve"> </w:t>
      </w:r>
      <w:proofErr w:type="spellStart"/>
      <w:r>
        <w:t>Elman</w:t>
      </w:r>
      <w:proofErr w:type="spellEnd"/>
      <w:r>
        <w:t xml:space="preserve"> (1891-1967) e </w:t>
      </w:r>
      <w:proofErr w:type="spellStart"/>
      <w:r>
        <w:t>Jascha</w:t>
      </w:r>
      <w:proofErr w:type="spellEnd"/>
      <w:r>
        <w:t xml:space="preserve"> </w:t>
      </w:r>
      <w:proofErr w:type="spellStart"/>
      <w:r>
        <w:t>Heifetz</w:t>
      </w:r>
      <w:proofErr w:type="spellEnd"/>
      <w:r>
        <w:t xml:space="preserve"> (1901-1987) – já desfrutavam de uma grande notoriedade na América do Norte. Portanto, atribuir os conceitos de </w:t>
      </w:r>
      <w:proofErr w:type="spellStart"/>
      <w:r>
        <w:t>Auer</w:t>
      </w:r>
      <w:proofErr w:type="spellEnd"/>
      <w:r>
        <w:t xml:space="preserve"> às características da Escola Russa certamente incrementaria sua aura de fundador daquela Escola, principalmente quando se trata da posição da mão no arco,</w:t>
      </w:r>
      <w:r>
        <w:rPr>
          <w:rStyle w:val="Refdenotaderodap"/>
          <w:rFonts w:cs="Times New Roman"/>
          <w:szCs w:val="24"/>
        </w:rPr>
        <w:footnoteReference w:id="26"/>
      </w:r>
      <w:r>
        <w:t xml:space="preserve"> pois os elementos que compõem a técnica de arco são os que mais suscitam o debate sobre o pertencimento a uma determinada corrente violinística. Ademais, pelos motivos acima citados, a </w:t>
      </w:r>
      <w:proofErr w:type="spellStart"/>
      <w:r>
        <w:rPr>
          <w:i/>
        </w:rPr>
        <w:t>russian</w:t>
      </w:r>
      <w:proofErr w:type="spellEnd"/>
      <w:r>
        <w:rPr>
          <w:i/>
        </w:rPr>
        <w:t xml:space="preserve"> grip</w:t>
      </w:r>
      <w:r>
        <w:rPr>
          <w:rStyle w:val="Refdenotaderodap"/>
          <w:rFonts w:cs="Times New Roman"/>
          <w:szCs w:val="24"/>
        </w:rPr>
        <w:footnoteReference w:id="27"/>
      </w:r>
      <w:r>
        <w:rPr>
          <w:i/>
        </w:rPr>
        <w:t xml:space="preserve"> </w:t>
      </w:r>
      <w:r>
        <w:t xml:space="preserve">começava a ser cultuada pelos violinistas, como registrará Flesch alguns anos mais tarde.            </w:t>
      </w:r>
    </w:p>
    <w:p w14:paraId="4371E713" w14:textId="77777777" w:rsidR="001F49FD" w:rsidRDefault="00611419" w:rsidP="00317C67">
      <w:pPr>
        <w:pStyle w:val="Ttulo2"/>
      </w:pPr>
      <w:bookmarkStart w:id="79" w:name="_Toc219359030"/>
      <w:r>
        <w:lastRenderedPageBreak/>
        <w:t>2</w:t>
      </w:r>
      <w:bookmarkStart w:id="80" w:name="_Toc522439238"/>
      <w:bookmarkStart w:id="81" w:name="_Toc14331029"/>
      <w:r>
        <w:t xml:space="preserve">.2    </w:t>
      </w:r>
      <w:r>
        <w:rPr>
          <w:rStyle w:val="Ttulo2Char"/>
          <w:b/>
        </w:rPr>
        <w:t>A definição das Escolas de violino por Carl Flesch</w:t>
      </w:r>
      <w:bookmarkEnd w:id="79"/>
      <w:bookmarkEnd w:id="80"/>
      <w:bookmarkEnd w:id="81"/>
      <w:r>
        <w:t xml:space="preserve"> </w:t>
      </w:r>
    </w:p>
    <w:p w14:paraId="03BAAC0F" w14:textId="77777777" w:rsidR="001F49FD" w:rsidRDefault="00611419" w:rsidP="00F06716">
      <w:pPr>
        <w:pStyle w:val="Recuodecorpodetexto"/>
        <w:ind w:firstLine="709"/>
      </w:pPr>
      <w:r>
        <w:t xml:space="preserve">Carl Flesch é estimado como um dos professores de violino mais importantes do século XX. Como vimos, </w:t>
      </w:r>
      <w:proofErr w:type="spellStart"/>
      <w:r>
        <w:t>Auer</w:t>
      </w:r>
      <w:proofErr w:type="spellEnd"/>
      <w:r>
        <w:t>, mesmo que inserido em um modelo de ensino com características do século precedente, fortemente calcado em dogmas institucionais que reforçavam o viés padronizador do conceito de Escola, foi um dos primeiros a enfatizar a importância dos processos mentais na formação do violinista. Em seguida, Flesch desenvolveu ainda mais esse princípio, contribuindo para a transformação da pedagogia violinística ao considerar a individualidade dos alunos como um dos principais veículos de aprendizagem.</w:t>
      </w:r>
    </w:p>
    <w:p w14:paraId="2B675AFF" w14:textId="77777777" w:rsidR="001F49FD" w:rsidRDefault="00611419" w:rsidP="00F06716">
      <w:pPr>
        <w:pStyle w:val="Recuodecorpodetexto"/>
        <w:ind w:firstLine="709"/>
      </w:pPr>
      <w:r>
        <w:t xml:space="preserve">Assim como </w:t>
      </w:r>
      <w:proofErr w:type="spellStart"/>
      <w:r>
        <w:t>Auer</w:t>
      </w:r>
      <w:proofErr w:type="spellEnd"/>
      <w:r>
        <w:t xml:space="preserve">, Flesch é originário da Hungria e iniciou seus estudos em Viena, onde seu mais importante professor foi o violinista Jacob </w:t>
      </w:r>
      <w:proofErr w:type="spellStart"/>
      <w:r>
        <w:t>Grün</w:t>
      </w:r>
      <w:proofErr w:type="spellEnd"/>
      <w:r>
        <w:rPr>
          <w:rStyle w:val="Refdenotaderodap"/>
          <w:rFonts w:cs="Times New Roman"/>
          <w:szCs w:val="24"/>
        </w:rPr>
        <w:footnoteReference w:id="28"/>
      </w:r>
      <w:r>
        <w:t xml:space="preserve"> (1837-1916). Aos dezessete anos, ingressou no Conservatório de Paris na classe de </w:t>
      </w:r>
      <w:proofErr w:type="spellStart"/>
      <w:r>
        <w:t>Eugène</w:t>
      </w:r>
      <w:proofErr w:type="spellEnd"/>
      <w:r>
        <w:t xml:space="preserve"> </w:t>
      </w:r>
      <w:proofErr w:type="spellStart"/>
      <w:r>
        <w:t>Sauzay</w:t>
      </w:r>
      <w:proofErr w:type="spellEnd"/>
      <w:r>
        <w:t xml:space="preserve"> (1809-1901) e, posteriormente, na classe de Martin </w:t>
      </w:r>
      <w:proofErr w:type="spellStart"/>
      <w:r>
        <w:t>Marsick</w:t>
      </w:r>
      <w:proofErr w:type="spellEnd"/>
      <w:r>
        <w:t xml:space="preserve"> (1847-1924), onde estudavam também George </w:t>
      </w:r>
      <w:proofErr w:type="spellStart"/>
      <w:r>
        <w:t>Enescu</w:t>
      </w:r>
      <w:proofErr w:type="spellEnd"/>
      <w:r>
        <w:t xml:space="preserve"> (1881-1955) e Jacques </w:t>
      </w:r>
      <w:proofErr w:type="spellStart"/>
      <w:r>
        <w:t>Thibault</w:t>
      </w:r>
      <w:proofErr w:type="spellEnd"/>
      <w:r>
        <w:t xml:space="preserve"> (1880-1953). Flesch refere-se à </w:t>
      </w:r>
      <w:proofErr w:type="spellStart"/>
      <w:r>
        <w:t>Marsick</w:t>
      </w:r>
      <w:proofErr w:type="spellEnd"/>
      <w:r>
        <w:t xml:space="preserve"> como o grande inspirador de seu pensamento pedagógico:</w:t>
      </w:r>
    </w:p>
    <w:p w14:paraId="371AAE2C" w14:textId="77777777" w:rsidR="001F49FD" w:rsidRDefault="00611419">
      <w:pPr>
        <w:pStyle w:val="Primeirorecuodecorpodetexto2"/>
        <w:spacing w:line="240" w:lineRule="auto"/>
        <w:ind w:left="2268" w:firstLine="0"/>
        <w:rPr>
          <w:sz w:val="20"/>
          <w:szCs w:val="20"/>
        </w:rPr>
      </w:pPr>
      <w:r>
        <w:rPr>
          <w:sz w:val="20"/>
          <w:szCs w:val="20"/>
        </w:rPr>
        <w:t xml:space="preserve">A relevância peculiar de </w:t>
      </w:r>
      <w:proofErr w:type="spellStart"/>
      <w:r>
        <w:rPr>
          <w:sz w:val="20"/>
          <w:szCs w:val="20"/>
        </w:rPr>
        <w:t>Marsick</w:t>
      </w:r>
      <w:proofErr w:type="spellEnd"/>
      <w:r>
        <w:rPr>
          <w:sz w:val="20"/>
          <w:szCs w:val="20"/>
        </w:rPr>
        <w:t xml:space="preserve">, no entanto, encontra-se no seu talento como professor. Incansável, sempre insatisfeito consigo mesmo e impulsionado por sua sede de perfeição, ele foi uma influência estimulante e suas opiniões levavam sempre em conta a individualidade de seus alunos. Foi ele que me ensinou a pensar logicamente sem </w:t>
      </w:r>
      <w:proofErr w:type="spellStart"/>
      <w:proofErr w:type="gramStart"/>
      <w:r>
        <w:rPr>
          <w:sz w:val="20"/>
          <w:szCs w:val="20"/>
        </w:rPr>
        <w:t>por</w:t>
      </w:r>
      <w:proofErr w:type="spellEnd"/>
      <w:proofErr w:type="gramEnd"/>
      <w:r>
        <w:rPr>
          <w:sz w:val="20"/>
          <w:szCs w:val="20"/>
        </w:rPr>
        <w:t xml:space="preserve"> em perigo o espírito da obra de arte viva, e a ele devo o desenvolvimento do que mais tarde me fez perceber que o ensino era a mais nobre das atividades artísticas (FLESCH, 1957, p. 66 apud AMARAL, 2013, p. 14).</w:t>
      </w:r>
    </w:p>
    <w:p w14:paraId="1598970B" w14:textId="77777777" w:rsidR="001F49FD" w:rsidRDefault="001F49FD">
      <w:pPr>
        <w:pStyle w:val="Primeirorecuodecorpodetexto2"/>
        <w:ind w:left="0" w:firstLine="0"/>
        <w:rPr>
          <w:sz w:val="20"/>
          <w:szCs w:val="20"/>
        </w:rPr>
      </w:pPr>
    </w:p>
    <w:p w14:paraId="19E7384C" w14:textId="6FD72EAA" w:rsidR="001F49FD" w:rsidRDefault="00611419" w:rsidP="00F06716">
      <w:pPr>
        <w:pStyle w:val="Recuodecorpodetexto"/>
        <w:ind w:firstLine="709"/>
        <w:rPr>
          <w:color w:val="222222"/>
          <w:shd w:val="clear" w:color="auto" w:fill="FFFFFF"/>
        </w:rPr>
      </w:pPr>
      <w:r>
        <w:t xml:space="preserve">Ao longo de sua carreira, Flesch reside em diversos países, atuando como concertista e professor em instituições como: Conservatório de Bucareste (1887 - 1902); </w:t>
      </w:r>
      <w:r>
        <w:rPr>
          <w:color w:val="222222"/>
          <w:shd w:val="clear" w:color="auto" w:fill="FFFFFF"/>
        </w:rPr>
        <w:t> </w:t>
      </w:r>
      <w:hyperlink r:id="rId17" w:tgtFrame="Amsterdam">
        <w:r w:rsidR="001F49FD">
          <w:rPr>
            <w:rStyle w:val="Hyperlink"/>
            <w:rFonts w:cs="Times New Roman"/>
            <w:szCs w:val="24"/>
            <w:shd w:val="clear" w:color="auto" w:fill="FFFFFF"/>
          </w:rPr>
          <w:t>Conservatório</w:t>
        </w:r>
      </w:hyperlink>
      <w:r>
        <w:t xml:space="preserve"> de Amsterdam (</w:t>
      </w:r>
      <w:r>
        <w:rPr>
          <w:color w:val="222222"/>
          <w:shd w:val="clear" w:color="auto" w:fill="FFFFFF"/>
        </w:rPr>
        <w:t xml:space="preserve">1903-1908); </w:t>
      </w:r>
      <w:r>
        <w:rPr>
          <w:i/>
          <w:shd w:val="clear" w:color="auto" w:fill="FFFFFF"/>
        </w:rPr>
        <w:t xml:space="preserve">Curtis </w:t>
      </w:r>
      <w:proofErr w:type="spellStart"/>
      <w:r>
        <w:rPr>
          <w:i/>
          <w:shd w:val="clear" w:color="auto" w:fill="FFFFFF"/>
        </w:rPr>
        <w:t>Institute</w:t>
      </w:r>
      <w:proofErr w:type="spellEnd"/>
      <w:r>
        <w:rPr>
          <w:shd w:val="clear" w:color="auto" w:fill="FFFFFF"/>
        </w:rPr>
        <w:t>, </w:t>
      </w:r>
      <w:hyperlink r:id="rId18" w:tgtFrame="Philadelphia">
        <w:r w:rsidR="001F49FD">
          <w:rPr>
            <w:rStyle w:val="Hyperlink"/>
            <w:rFonts w:cs="Times New Roman"/>
            <w:szCs w:val="24"/>
            <w:shd w:val="clear" w:color="auto" w:fill="FFFFFF"/>
          </w:rPr>
          <w:t>Filadélfia</w:t>
        </w:r>
      </w:hyperlink>
      <w:r>
        <w:rPr>
          <w:rStyle w:val="Hyperlink"/>
          <w:rFonts w:cs="Times New Roman"/>
          <w:szCs w:val="24"/>
          <w:shd w:val="clear" w:color="auto" w:fill="FFFFFF"/>
        </w:rPr>
        <w:t>,</w:t>
      </w:r>
      <w:r>
        <w:rPr>
          <w:shd w:val="clear" w:color="auto" w:fill="FFFFFF"/>
        </w:rPr>
        <w:t> </w:t>
      </w:r>
      <w:r>
        <w:rPr>
          <w:color w:val="222222"/>
          <w:shd w:val="clear" w:color="auto" w:fill="FFFFFF"/>
        </w:rPr>
        <w:t>(1924-1928); Escola de Música de Berlim (1928-1934). Ao fim desse período, durante o regime nazista, Flesch perde sua nacionalidade e é forçado a mudar-se para a Inglaterra. Seus últimos anos de vida passam-se na Suíça, ainda lecionando no Conservatório de Lucerna (A</w:t>
      </w:r>
      <w:r w:rsidR="00482651">
        <w:rPr>
          <w:color w:val="222222"/>
          <w:shd w:val="clear" w:color="auto" w:fill="FFFFFF"/>
        </w:rPr>
        <w:t>maral</w:t>
      </w:r>
      <w:r>
        <w:rPr>
          <w:color w:val="222222"/>
          <w:shd w:val="clear" w:color="auto" w:fill="FFFFFF"/>
        </w:rPr>
        <w:t xml:space="preserve">, 2013). </w:t>
      </w:r>
    </w:p>
    <w:p w14:paraId="56677108" w14:textId="77777777" w:rsidR="001F49FD" w:rsidRDefault="00611419" w:rsidP="00F06716">
      <w:pPr>
        <w:pStyle w:val="Recuodecorpodetexto"/>
        <w:ind w:firstLine="709"/>
        <w:rPr>
          <w:color w:val="222222"/>
          <w:shd w:val="clear" w:color="auto" w:fill="FFFFFF"/>
        </w:rPr>
      </w:pPr>
      <w:r>
        <w:rPr>
          <w:shd w:val="clear" w:color="auto" w:fill="FFFFFF"/>
        </w:rPr>
        <w:t xml:space="preserve">No ano de sua chegada à Alemanha, é editada a obra que possui as mais completas informações sobre o seu pensamento pedagógico e artístico. Os dois volumes de </w:t>
      </w:r>
      <w:r>
        <w:rPr>
          <w:i/>
          <w:shd w:val="clear" w:color="auto" w:fill="FFFFFF"/>
        </w:rPr>
        <w:t xml:space="preserve">Die </w:t>
      </w:r>
      <w:proofErr w:type="spellStart"/>
      <w:r>
        <w:rPr>
          <w:i/>
          <w:shd w:val="clear" w:color="auto" w:fill="FFFFFF"/>
        </w:rPr>
        <w:t>Kunst</w:t>
      </w:r>
      <w:proofErr w:type="spellEnd"/>
      <w:r>
        <w:rPr>
          <w:i/>
          <w:shd w:val="clear" w:color="auto" w:fill="FFFFFF"/>
        </w:rPr>
        <w:t xml:space="preserve"> </w:t>
      </w:r>
      <w:proofErr w:type="spellStart"/>
      <w:r>
        <w:rPr>
          <w:i/>
          <w:shd w:val="clear" w:color="auto" w:fill="FFFFFF"/>
        </w:rPr>
        <w:t>des</w:t>
      </w:r>
      <w:proofErr w:type="spellEnd"/>
      <w:r>
        <w:rPr>
          <w:i/>
          <w:shd w:val="clear" w:color="auto" w:fill="FFFFFF"/>
        </w:rPr>
        <w:t xml:space="preserve"> </w:t>
      </w:r>
      <w:proofErr w:type="spellStart"/>
      <w:r>
        <w:rPr>
          <w:i/>
          <w:shd w:val="clear" w:color="auto" w:fill="FFFFFF"/>
        </w:rPr>
        <w:t>Violinspiels</w:t>
      </w:r>
      <w:proofErr w:type="spellEnd"/>
      <w:r>
        <w:rPr>
          <w:i/>
          <w:shd w:val="clear" w:color="auto" w:fill="FFFFFF"/>
        </w:rPr>
        <w:t xml:space="preserve"> </w:t>
      </w:r>
      <w:r>
        <w:rPr>
          <w:shd w:val="clear" w:color="auto" w:fill="FFFFFF"/>
        </w:rPr>
        <w:t>(FLESCH, 1928)</w:t>
      </w:r>
      <w:r>
        <w:rPr>
          <w:i/>
          <w:shd w:val="clear" w:color="auto" w:fill="FFFFFF"/>
        </w:rPr>
        <w:t xml:space="preserve"> </w:t>
      </w:r>
      <w:r>
        <w:rPr>
          <w:shd w:val="clear" w:color="auto" w:fill="FFFFFF"/>
        </w:rPr>
        <w:t xml:space="preserve">comprovam sua dedicação ao ensino, estabelecendo reflexões sobre o passado, presente e futuro da prática do violino. Enfim, uma obra que, por sua abrangência, pode ser comparada aos registros literários do século precedente.  No </w:t>
      </w:r>
      <w:r>
        <w:rPr>
          <w:shd w:val="clear" w:color="auto" w:fill="FFFFFF"/>
        </w:rPr>
        <w:lastRenderedPageBreak/>
        <w:t xml:space="preserve">primeiro volume, o método de escalas inserido como suplemento foi mais tarde revisado e editado por seu aluno Max </w:t>
      </w:r>
      <w:proofErr w:type="spellStart"/>
      <w:r>
        <w:rPr>
          <w:shd w:val="clear" w:color="auto" w:fill="FFFFFF"/>
        </w:rPr>
        <w:t>Rostal</w:t>
      </w:r>
      <w:proofErr w:type="spellEnd"/>
      <w:r>
        <w:rPr>
          <w:shd w:val="clear" w:color="auto" w:fill="FFFFFF"/>
        </w:rPr>
        <w:t xml:space="preserve"> (1905-1991) e perdura como material didático de referência em grande parte das instituições de ensino do violino (FLESCH, ROSTAL, 1987).</w:t>
      </w:r>
      <w:r>
        <w:rPr>
          <w:rStyle w:val="Refdenotaderodap"/>
          <w:rFonts w:cs="Times New Roman"/>
          <w:color w:val="222222"/>
          <w:szCs w:val="24"/>
          <w:shd w:val="clear" w:color="auto" w:fill="FFFFFF"/>
        </w:rPr>
        <w:footnoteReference w:id="29"/>
      </w:r>
      <w:r>
        <w:rPr>
          <w:shd w:val="clear" w:color="auto" w:fill="FFFFFF"/>
        </w:rPr>
        <w:t xml:space="preserve"> Na introdução de </w:t>
      </w:r>
      <w:r>
        <w:rPr>
          <w:i/>
          <w:shd w:val="clear" w:color="auto" w:fill="FFFFFF"/>
        </w:rPr>
        <w:t xml:space="preserve">Die </w:t>
      </w:r>
      <w:proofErr w:type="spellStart"/>
      <w:r>
        <w:rPr>
          <w:i/>
          <w:shd w:val="clear" w:color="auto" w:fill="FFFFFF"/>
        </w:rPr>
        <w:t>Kunst</w:t>
      </w:r>
      <w:proofErr w:type="spellEnd"/>
      <w:r>
        <w:rPr>
          <w:i/>
          <w:shd w:val="clear" w:color="auto" w:fill="FFFFFF"/>
        </w:rPr>
        <w:t xml:space="preserve"> </w:t>
      </w:r>
      <w:proofErr w:type="spellStart"/>
      <w:r>
        <w:rPr>
          <w:i/>
          <w:shd w:val="clear" w:color="auto" w:fill="FFFFFF"/>
        </w:rPr>
        <w:t>des</w:t>
      </w:r>
      <w:proofErr w:type="spellEnd"/>
      <w:r>
        <w:rPr>
          <w:i/>
          <w:shd w:val="clear" w:color="auto" w:fill="FFFFFF"/>
        </w:rPr>
        <w:t xml:space="preserve"> </w:t>
      </w:r>
      <w:proofErr w:type="spellStart"/>
      <w:r>
        <w:rPr>
          <w:i/>
          <w:shd w:val="clear" w:color="auto" w:fill="FFFFFF"/>
        </w:rPr>
        <w:t>Violinspiels</w:t>
      </w:r>
      <w:proofErr w:type="spellEnd"/>
      <w:r>
        <w:rPr>
          <w:shd w:val="clear" w:color="auto" w:fill="FFFFFF"/>
        </w:rPr>
        <w:t>,</w:t>
      </w:r>
      <w:r>
        <w:rPr>
          <w:i/>
          <w:shd w:val="clear" w:color="auto" w:fill="FFFFFF"/>
        </w:rPr>
        <w:t xml:space="preserve"> </w:t>
      </w:r>
      <w:r>
        <w:rPr>
          <w:shd w:val="clear" w:color="auto" w:fill="FFFFFF"/>
        </w:rPr>
        <w:t>Flesch explica os objetivos da realização de sua obra literária:</w:t>
      </w:r>
    </w:p>
    <w:p w14:paraId="0C9EC44F" w14:textId="70CBDFE1" w:rsidR="001F49FD" w:rsidRDefault="00611419" w:rsidP="00317C67">
      <w:pPr>
        <w:pStyle w:val="Primeirorecuodecorpodetexto2"/>
        <w:spacing w:line="240" w:lineRule="auto"/>
        <w:ind w:left="2268" w:firstLine="0"/>
        <w:rPr>
          <w:sz w:val="20"/>
          <w:szCs w:val="20"/>
          <w:shd w:val="clear" w:color="auto" w:fill="FFFFFF"/>
        </w:rPr>
      </w:pPr>
      <w:r>
        <w:rPr>
          <w:sz w:val="20"/>
          <w:szCs w:val="20"/>
          <w:shd w:val="clear" w:color="auto" w:fill="FFFFFF"/>
        </w:rPr>
        <w:t>Este trabalho não é um simples “método”, de acordo com o significado geralmente associado a essa palavra, porque a pedagogia é aqui considerada em todo o seu papel e em um campo muito amplo. De fato, o objetivo desse livro não é apenas fornecer aos professores instruções que permitam iniciar seus alunos às técnicas modernas, mas também de induzir os violinistas (e isso através do estudo aprofundado dos problemas técnicos) a se tornarem eles mesmos, e com o passar do tempo, seu próprio mestre (FLESCH, 1990, p. 7).</w:t>
      </w:r>
      <w:bookmarkStart w:id="82" w:name="_Toc522439239"/>
      <w:bookmarkStart w:id="83" w:name="_Toc14331030"/>
    </w:p>
    <w:p w14:paraId="41DDBC4D" w14:textId="65887FB5" w:rsidR="001F49FD" w:rsidRDefault="00611419" w:rsidP="000A6E65">
      <w:pPr>
        <w:pStyle w:val="Ttulo3"/>
      </w:pPr>
      <w:bookmarkStart w:id="84" w:name="_Toc219359031"/>
      <w:r>
        <w:t>Principais preceitos do método de Carl</w:t>
      </w:r>
      <w:r>
        <w:rPr>
          <w:rStyle w:val="Ttulo2Char"/>
          <w:rFonts w:eastAsiaTheme="majorEastAsia" w:cstheme="majorHAnsi"/>
          <w:b/>
          <w:bCs w:val="0"/>
          <w:szCs w:val="24"/>
          <w:lang w:eastAsia="pt-BR"/>
        </w:rPr>
        <w:t xml:space="preserve"> </w:t>
      </w:r>
      <w:bookmarkEnd w:id="82"/>
      <w:r>
        <w:t>Flesc</w:t>
      </w:r>
      <w:bookmarkEnd w:id="83"/>
      <w:r>
        <w:t>h</w:t>
      </w:r>
      <w:bookmarkEnd w:id="84"/>
    </w:p>
    <w:p w14:paraId="728DB940" w14:textId="77777777" w:rsidR="001F49FD" w:rsidRDefault="00611419" w:rsidP="00F06716">
      <w:pPr>
        <w:pStyle w:val="Recuodecorpodetexto"/>
        <w:ind w:firstLine="709"/>
        <w:rPr>
          <w:shd w:val="clear" w:color="auto" w:fill="FFFFFF"/>
        </w:rPr>
      </w:pPr>
      <w:r>
        <w:rPr>
          <w:i/>
          <w:shd w:val="clear" w:color="auto" w:fill="FFFFFF"/>
        </w:rPr>
        <w:t xml:space="preserve">Die </w:t>
      </w:r>
      <w:proofErr w:type="spellStart"/>
      <w:r>
        <w:rPr>
          <w:i/>
          <w:shd w:val="clear" w:color="auto" w:fill="FFFFFF"/>
        </w:rPr>
        <w:t>Kunst</w:t>
      </w:r>
      <w:proofErr w:type="spellEnd"/>
      <w:r>
        <w:rPr>
          <w:i/>
          <w:shd w:val="clear" w:color="auto" w:fill="FFFFFF"/>
        </w:rPr>
        <w:t xml:space="preserve"> </w:t>
      </w:r>
      <w:proofErr w:type="spellStart"/>
      <w:r>
        <w:rPr>
          <w:i/>
          <w:shd w:val="clear" w:color="auto" w:fill="FFFFFF"/>
        </w:rPr>
        <w:t>des</w:t>
      </w:r>
      <w:proofErr w:type="spellEnd"/>
      <w:r>
        <w:rPr>
          <w:i/>
          <w:shd w:val="clear" w:color="auto" w:fill="FFFFFF"/>
        </w:rPr>
        <w:t xml:space="preserve"> </w:t>
      </w:r>
      <w:proofErr w:type="spellStart"/>
      <w:r>
        <w:rPr>
          <w:i/>
          <w:shd w:val="clear" w:color="auto" w:fill="FFFFFF"/>
        </w:rPr>
        <w:t>Violinspiels</w:t>
      </w:r>
      <w:proofErr w:type="spellEnd"/>
      <w:r>
        <w:rPr>
          <w:shd w:val="clear" w:color="auto" w:fill="FFFFFF"/>
        </w:rPr>
        <w:t xml:space="preserve"> é dividido em dois volumes. O primeiro volume é formado pelos capítulos </w:t>
      </w:r>
      <w:r>
        <w:rPr>
          <w:b/>
          <w:shd w:val="clear" w:color="auto" w:fill="FFFFFF"/>
        </w:rPr>
        <w:t>Técnica geral</w:t>
      </w:r>
      <w:r>
        <w:rPr>
          <w:shd w:val="clear" w:color="auto" w:fill="FFFFFF"/>
        </w:rPr>
        <w:t xml:space="preserve"> e </w:t>
      </w:r>
      <w:r>
        <w:rPr>
          <w:b/>
          <w:shd w:val="clear" w:color="auto" w:fill="FFFFFF"/>
        </w:rPr>
        <w:t>Técnica aplicada</w:t>
      </w:r>
      <w:r>
        <w:rPr>
          <w:shd w:val="clear" w:color="auto" w:fill="FFFFFF"/>
        </w:rPr>
        <w:t>. O segundo intitula-se</w:t>
      </w:r>
      <w:r>
        <w:rPr>
          <w:b/>
          <w:shd w:val="clear" w:color="auto" w:fill="FFFFFF"/>
        </w:rPr>
        <w:t xml:space="preserve"> Prática artística</w:t>
      </w:r>
      <w:r>
        <w:rPr>
          <w:shd w:val="clear" w:color="auto" w:fill="FFFFFF"/>
        </w:rPr>
        <w:t xml:space="preserve">. Assim como </w:t>
      </w:r>
      <w:proofErr w:type="spellStart"/>
      <w:r>
        <w:rPr>
          <w:shd w:val="clear" w:color="auto" w:fill="FFFFFF"/>
        </w:rPr>
        <w:t>Bang</w:t>
      </w:r>
      <w:proofErr w:type="spellEnd"/>
      <w:r>
        <w:rPr>
          <w:shd w:val="clear" w:color="auto" w:fill="FFFFFF"/>
        </w:rPr>
        <w:t xml:space="preserve"> e Saenger compilaram os registros de Leopold </w:t>
      </w:r>
      <w:proofErr w:type="spellStart"/>
      <w:r>
        <w:rPr>
          <w:shd w:val="clear" w:color="auto" w:fill="FFFFFF"/>
        </w:rPr>
        <w:t>Auer</w:t>
      </w:r>
      <w:proofErr w:type="spellEnd"/>
      <w:r>
        <w:rPr>
          <w:shd w:val="clear" w:color="auto" w:fill="FFFFFF"/>
        </w:rPr>
        <w:t>, diversas edições são atualizadas constantemente devido ao cunho comercial, apresentando algumas variações. Em nossa pesquisa, foram consultadas duas edições.</w:t>
      </w:r>
      <w:r>
        <w:rPr>
          <w:rStyle w:val="Refdenotaderodap"/>
          <w:rFonts w:cs="Times New Roman"/>
          <w:color w:val="222222"/>
          <w:szCs w:val="24"/>
          <w:shd w:val="clear" w:color="auto" w:fill="FFFFFF"/>
        </w:rPr>
        <w:footnoteReference w:id="30"/>
      </w:r>
      <w:r>
        <w:rPr>
          <w:shd w:val="clear" w:color="auto" w:fill="FFFFFF"/>
        </w:rPr>
        <w:t xml:space="preserve"> </w:t>
      </w:r>
    </w:p>
    <w:p w14:paraId="4208BFF1" w14:textId="77777777" w:rsidR="001F49FD" w:rsidRDefault="00611419" w:rsidP="00F06716">
      <w:pPr>
        <w:pStyle w:val="Recuodecorpodetexto"/>
        <w:ind w:firstLine="709"/>
        <w:rPr>
          <w:shd w:val="clear" w:color="auto" w:fill="FFFFFF"/>
        </w:rPr>
      </w:pPr>
      <w:r>
        <w:rPr>
          <w:shd w:val="clear" w:color="auto" w:fill="FFFFFF"/>
        </w:rPr>
        <w:t xml:space="preserve">O primeiro capítulo do Volume I contém o material estudado nesse trabalho, dividindo-se em </w:t>
      </w:r>
      <w:r>
        <w:rPr>
          <w:b/>
          <w:shd w:val="clear" w:color="auto" w:fill="FFFFFF"/>
        </w:rPr>
        <w:t xml:space="preserve">O instrumento e suas partes </w:t>
      </w:r>
      <w:r>
        <w:rPr>
          <w:shd w:val="clear" w:color="auto" w:fill="FFFFFF"/>
        </w:rPr>
        <w:t>e</w:t>
      </w:r>
      <w:r>
        <w:rPr>
          <w:color w:val="000000"/>
        </w:rPr>
        <w:t xml:space="preserve"> </w:t>
      </w:r>
      <w:r>
        <w:rPr>
          <w:b/>
          <w:shd w:val="clear" w:color="auto" w:fill="FFFFFF"/>
        </w:rPr>
        <w:t>Postura corporal</w:t>
      </w:r>
      <w:r>
        <w:rPr>
          <w:shd w:val="clear" w:color="auto" w:fill="FFFFFF"/>
        </w:rPr>
        <w:t xml:space="preserve">, onde constam os tópicos: a) </w:t>
      </w:r>
      <w:r>
        <w:rPr>
          <w:b/>
          <w:shd w:val="clear" w:color="auto" w:fill="FFFFFF"/>
        </w:rPr>
        <w:t>Posição das pernas</w:t>
      </w:r>
      <w:r>
        <w:rPr>
          <w:shd w:val="clear" w:color="auto" w:fill="FFFFFF"/>
        </w:rPr>
        <w:t xml:space="preserve">; b) </w:t>
      </w:r>
      <w:r>
        <w:rPr>
          <w:b/>
          <w:shd w:val="clear" w:color="auto" w:fill="FFFFFF"/>
        </w:rPr>
        <w:t>Colocação do violino</w:t>
      </w:r>
      <w:r>
        <w:rPr>
          <w:shd w:val="clear" w:color="auto" w:fill="FFFFFF"/>
        </w:rPr>
        <w:t xml:space="preserve">; c) </w:t>
      </w:r>
      <w:r>
        <w:rPr>
          <w:b/>
          <w:shd w:val="clear" w:color="auto" w:fill="FFFFFF"/>
        </w:rPr>
        <w:t>Sustentação do violino</w:t>
      </w:r>
      <w:r>
        <w:rPr>
          <w:shd w:val="clear" w:color="auto" w:fill="FFFFFF"/>
        </w:rPr>
        <w:t xml:space="preserve">; d) </w:t>
      </w:r>
      <w:r>
        <w:rPr>
          <w:b/>
          <w:shd w:val="clear" w:color="auto" w:fill="FFFFFF"/>
        </w:rPr>
        <w:t>Posição da cabeça</w:t>
      </w:r>
      <w:r>
        <w:rPr>
          <w:shd w:val="clear" w:color="auto" w:fill="FFFFFF"/>
        </w:rPr>
        <w:t>. Tal extensão e detalhamento demonstram a importância conferida à postura corporal e à forma de sustentação do violino para o desempenho instrumental. Para Flesch, a base da técnica é norteada pelas características naturais do corpo e, de imediato, Flesch refuta a distribuição do peso do corpo somente sobre uma das pernas:</w:t>
      </w:r>
    </w:p>
    <w:p w14:paraId="64B84568" w14:textId="77777777" w:rsidR="001F49FD" w:rsidRDefault="001F49FD">
      <w:pPr>
        <w:pStyle w:val="Recuodecorpodetexto"/>
        <w:rPr>
          <w:shd w:val="clear" w:color="auto" w:fill="FFFFFF"/>
        </w:rPr>
      </w:pPr>
    </w:p>
    <w:p w14:paraId="0C4BA437" w14:textId="77777777" w:rsidR="001F49FD" w:rsidRDefault="00611419">
      <w:pPr>
        <w:pStyle w:val="Recuodecorpodetexto"/>
        <w:numPr>
          <w:ilvl w:val="0"/>
          <w:numId w:val="2"/>
        </w:numPr>
        <w:ind w:left="1276" w:hanging="142"/>
        <w:rPr>
          <w:shd w:val="clear" w:color="auto" w:fill="FFFFFF"/>
        </w:rPr>
      </w:pPr>
      <w:r>
        <w:rPr>
          <w:b/>
          <w:shd w:val="clear" w:color="auto" w:fill="FFFFFF"/>
        </w:rPr>
        <w:t>Posição das pernas</w:t>
      </w:r>
      <w:r>
        <w:rPr>
          <w:shd w:val="clear" w:color="auto" w:fill="FFFFFF"/>
        </w:rPr>
        <w:t xml:space="preserve"> (FLESCH, 1990, p. 12)</w:t>
      </w:r>
    </w:p>
    <w:p w14:paraId="4CE78801" w14:textId="77777777" w:rsidR="001F49FD" w:rsidRDefault="00611419">
      <w:pPr>
        <w:pStyle w:val="Recuodecorpodetexto"/>
        <w:ind w:firstLine="1134"/>
        <w:rPr>
          <w:color w:val="222222"/>
          <w:shd w:val="clear" w:color="auto" w:fill="FFFFFF"/>
        </w:rPr>
      </w:pPr>
      <w:r>
        <w:rPr>
          <w:color w:val="222222"/>
          <w:shd w:val="clear" w:color="auto" w:fill="FFFFFF"/>
        </w:rPr>
        <w:t>- “A posição retangular, pés juntos</w:t>
      </w:r>
      <w:r>
        <w:rPr>
          <w:i/>
          <w:color w:val="222222"/>
          <w:shd w:val="clear" w:color="auto" w:fill="FFFFFF"/>
        </w:rPr>
        <w:t xml:space="preserve">. </w:t>
      </w:r>
      <w:r>
        <w:t xml:space="preserve">Essa postura do aluno considerado ‘dedicado’, que ainda é recomendada pelos velhos métodos, deve ser rejeitada, por uma simples razão anatômica e por ser contrária ao equilíbrio.” </w:t>
      </w:r>
      <w:r>
        <w:rPr>
          <w:shd w:val="clear" w:color="auto" w:fill="FFFFFF"/>
        </w:rPr>
        <w:t>(p. 16).</w:t>
      </w:r>
    </w:p>
    <w:p w14:paraId="695966C7" w14:textId="77777777" w:rsidR="001F49FD" w:rsidRDefault="00611419">
      <w:pPr>
        <w:pStyle w:val="Recuodecorpodetexto"/>
        <w:ind w:firstLine="1134"/>
        <w:rPr>
          <w:shd w:val="clear" w:color="auto" w:fill="FFFFFF"/>
        </w:rPr>
      </w:pPr>
      <w:r>
        <w:rPr>
          <w:shd w:val="clear" w:color="auto" w:fill="FFFFFF"/>
        </w:rPr>
        <w:t>- “Para poder tocar violino de uma maneira bem constituída e segura, é necessário se equilibrar e se sentir bem aprumado sobre as duas pernas.” (p. 16).</w:t>
      </w:r>
    </w:p>
    <w:p w14:paraId="25C8C706" w14:textId="77777777" w:rsidR="001F49FD" w:rsidRDefault="001F49FD">
      <w:pPr>
        <w:pStyle w:val="Recuodecorpodetexto"/>
        <w:ind w:left="283" w:firstLine="1134"/>
      </w:pPr>
    </w:p>
    <w:p w14:paraId="2287E5C8" w14:textId="77777777" w:rsidR="001F49FD" w:rsidRDefault="00611419" w:rsidP="00F06716">
      <w:pPr>
        <w:pStyle w:val="Recuodecorpodetexto"/>
        <w:tabs>
          <w:tab w:val="left" w:pos="336"/>
        </w:tabs>
        <w:ind w:firstLine="709"/>
      </w:pPr>
      <w:r>
        <w:t>Sobre os aspectos técnicos que envolvem a sustentação do violino, Flesch os define em função da eficiência da mão esquerda, que para tal não deve sustentar o instrumento em demasia. O autor considera ainda que a posição do violino para cima ou para baixo traz efeitos sonoros negativos, o que indica sua preferência por manter o instrumento no nível horizontal:</w:t>
      </w:r>
    </w:p>
    <w:p w14:paraId="5286F0C3" w14:textId="77777777" w:rsidR="001F49FD" w:rsidRDefault="001F49FD">
      <w:pPr>
        <w:pStyle w:val="Recuodecorpodetexto"/>
        <w:ind w:left="283" w:firstLine="1134"/>
      </w:pPr>
    </w:p>
    <w:p w14:paraId="1DCF5124" w14:textId="77777777" w:rsidR="001F49FD" w:rsidRDefault="00611419">
      <w:pPr>
        <w:pStyle w:val="Recuodecorpodetexto"/>
        <w:numPr>
          <w:ilvl w:val="0"/>
          <w:numId w:val="2"/>
        </w:numPr>
        <w:ind w:left="1276" w:hanging="142"/>
      </w:pPr>
      <w:r>
        <w:rPr>
          <w:b/>
          <w:shd w:val="clear" w:color="auto" w:fill="FFFFFF"/>
        </w:rPr>
        <w:t>Colocação do violino</w:t>
      </w:r>
      <w:r>
        <w:rPr>
          <w:shd w:val="clear" w:color="auto" w:fill="FFFFFF"/>
        </w:rPr>
        <w:t xml:space="preserve">; </w:t>
      </w:r>
      <w:r>
        <w:rPr>
          <w:b/>
          <w:shd w:val="clear" w:color="auto" w:fill="FFFFFF"/>
        </w:rPr>
        <w:t>Sustentação do violino</w:t>
      </w:r>
      <w:r>
        <w:rPr>
          <w:shd w:val="clear" w:color="auto" w:fill="FFFFFF"/>
        </w:rPr>
        <w:t xml:space="preserve">; </w:t>
      </w:r>
      <w:r>
        <w:rPr>
          <w:b/>
          <w:shd w:val="clear" w:color="auto" w:fill="FFFFFF"/>
        </w:rPr>
        <w:t>Posição da cabe</w:t>
      </w:r>
      <w:r>
        <w:rPr>
          <w:shd w:val="clear" w:color="auto" w:fill="FFFFFF"/>
        </w:rPr>
        <w:t>ça (FLESCH, 1990, p.12 e 13)</w:t>
      </w:r>
      <w:r>
        <w:t xml:space="preserve"> </w:t>
      </w:r>
    </w:p>
    <w:p w14:paraId="3568A5ED" w14:textId="77777777" w:rsidR="001F49FD" w:rsidRDefault="00611419">
      <w:pPr>
        <w:pStyle w:val="Recuodecorpodetexto"/>
        <w:ind w:firstLine="1134"/>
      </w:pPr>
      <w:r>
        <w:t xml:space="preserve">- “Deve-se colocar o violino sobre a clavícula e mantê-lo preso através do rebaixamento do maxilar esquerdo. A função da mão esquerda, que deve, acima de tudo, manter sua independência para as mudanças de posição, se limita, portanto, a </w:t>
      </w:r>
      <w:r>
        <w:rPr>
          <w:i/>
        </w:rPr>
        <w:t>amparar</w:t>
      </w:r>
      <w:r>
        <w:t xml:space="preserve"> o violino.” (</w:t>
      </w:r>
      <w:r>
        <w:rPr>
          <w:shd w:val="clear" w:color="auto" w:fill="FFFFFF"/>
        </w:rPr>
        <w:t>p. 17).</w:t>
      </w:r>
    </w:p>
    <w:p w14:paraId="0AB23265" w14:textId="77777777" w:rsidR="001F49FD" w:rsidRDefault="00611419">
      <w:pPr>
        <w:pStyle w:val="Recuodecorpodetexto"/>
        <w:ind w:firstLine="1134"/>
      </w:pPr>
      <w:r>
        <w:t>- “A posição do violino para baixo resulta em uma sonoridade fenecida e amorfa.” (</w:t>
      </w:r>
      <w:r>
        <w:rPr>
          <w:shd w:val="clear" w:color="auto" w:fill="FFFFFF"/>
        </w:rPr>
        <w:t>p. 17).</w:t>
      </w:r>
    </w:p>
    <w:p w14:paraId="7143F021" w14:textId="77777777" w:rsidR="001F49FD" w:rsidRDefault="00611419">
      <w:pPr>
        <w:pStyle w:val="Recuodecorpodetexto"/>
        <w:ind w:firstLine="1134"/>
      </w:pPr>
      <w:r>
        <w:t xml:space="preserve">- “No entanto, a posição inversa (ou seja, demasiadamente para cima), ainda que não seja tão defeituosa, deve ser descartada [...], pois endurece e pode “arranhar”, especialmente nos </w:t>
      </w:r>
      <w:proofErr w:type="spellStart"/>
      <w:r>
        <w:rPr>
          <w:i/>
        </w:rPr>
        <w:t>détachés</w:t>
      </w:r>
      <w:proofErr w:type="spellEnd"/>
      <w:r>
        <w:rPr>
          <w:i/>
        </w:rPr>
        <w:t>.</w:t>
      </w:r>
      <w:r>
        <w:t>” (</w:t>
      </w:r>
      <w:r>
        <w:rPr>
          <w:shd w:val="clear" w:color="auto" w:fill="FFFFFF"/>
        </w:rPr>
        <w:t>p. 17).</w:t>
      </w:r>
    </w:p>
    <w:p w14:paraId="56601EF8" w14:textId="77777777" w:rsidR="001F49FD" w:rsidRDefault="00611419">
      <w:pPr>
        <w:pStyle w:val="Recuodecorpodetexto"/>
        <w:ind w:firstLine="1134"/>
      </w:pPr>
      <w:r>
        <w:t xml:space="preserve">- “O maxilar deve apoiar-se sobre a </w:t>
      </w:r>
      <w:proofErr w:type="spellStart"/>
      <w:r>
        <w:t>queixeira</w:t>
      </w:r>
      <w:proofErr w:type="spellEnd"/>
      <w:r>
        <w:t>; o queixo deve apenas tocar o estandarte.” (</w:t>
      </w:r>
      <w:r>
        <w:rPr>
          <w:shd w:val="clear" w:color="auto" w:fill="FFFFFF"/>
        </w:rPr>
        <w:t>p. 18)</w:t>
      </w:r>
      <w:r>
        <w:t>.</w:t>
      </w:r>
    </w:p>
    <w:p w14:paraId="4090E909" w14:textId="77777777" w:rsidR="001F49FD" w:rsidRDefault="001F49FD">
      <w:pPr>
        <w:pStyle w:val="Recuodecorpodetexto"/>
        <w:ind w:left="283" w:firstLine="1134"/>
      </w:pPr>
    </w:p>
    <w:p w14:paraId="1248C90D" w14:textId="77777777" w:rsidR="001F49FD" w:rsidRDefault="00611419" w:rsidP="00F06716">
      <w:pPr>
        <w:pStyle w:val="Recuodecorpodetexto"/>
        <w:ind w:firstLine="709"/>
        <w:rPr>
          <w:b/>
          <w:shd w:val="clear" w:color="auto" w:fill="FFFFFF"/>
        </w:rPr>
      </w:pPr>
      <w:r>
        <w:rPr>
          <w:shd w:val="clear" w:color="auto" w:fill="FFFFFF"/>
        </w:rPr>
        <w:t xml:space="preserve">A seção relacionada à técnica de mão esquerda </w:t>
      </w:r>
      <w:r>
        <w:rPr>
          <w:b/>
          <w:shd w:val="clear" w:color="auto" w:fill="FFFFFF"/>
        </w:rPr>
        <w:t xml:space="preserve">– O braço esquerdo – </w:t>
      </w:r>
      <w:r>
        <w:rPr>
          <w:shd w:val="clear" w:color="auto" w:fill="FFFFFF"/>
        </w:rPr>
        <w:t xml:space="preserve">abrange diversos temas, tais como afinação, vibrato e mudanças de posição. No primeiro tópico, </w:t>
      </w:r>
      <w:r>
        <w:rPr>
          <w:b/>
          <w:shd w:val="clear" w:color="auto" w:fill="FFFFFF"/>
        </w:rPr>
        <w:t>Posição do braço esquerdo</w:t>
      </w:r>
      <w:r>
        <w:rPr>
          <w:shd w:val="clear" w:color="auto" w:fill="FFFFFF"/>
        </w:rPr>
        <w:t>, Flesch preconiza que os dedos devem se manter próximos ao espelho. Em seguida, considera que o ponto de contato do dedo polegar depende de questões anatômicas, mas detalha o posicionamento do dedo indicador, conferindo-lhe uma posição relativamente alta da mão sobre o espelho na primeira posição. O último preceito revela que, para Flesch, os dedos devem se posicionar na direção das cordas e não perpendiculares com relação ao espelho:</w:t>
      </w:r>
      <w:r>
        <w:rPr>
          <w:b/>
          <w:shd w:val="clear" w:color="auto" w:fill="FFFFFF"/>
        </w:rPr>
        <w:t xml:space="preserve"> </w:t>
      </w:r>
    </w:p>
    <w:p w14:paraId="0D55B5D7" w14:textId="77777777" w:rsidR="001F49FD" w:rsidRDefault="001F49FD">
      <w:pPr>
        <w:pStyle w:val="Recuodecorpodetexto"/>
        <w:ind w:left="283" w:firstLine="1134"/>
        <w:rPr>
          <w:shd w:val="clear" w:color="auto" w:fill="FFFFFF"/>
        </w:rPr>
      </w:pPr>
    </w:p>
    <w:p w14:paraId="2C2DC2D6" w14:textId="77777777" w:rsidR="001F49FD" w:rsidRDefault="00611419">
      <w:pPr>
        <w:pStyle w:val="Recuodecorpodetexto"/>
        <w:numPr>
          <w:ilvl w:val="0"/>
          <w:numId w:val="2"/>
        </w:numPr>
        <w:ind w:left="1276" w:hanging="142"/>
        <w:rPr>
          <w:shd w:val="clear" w:color="auto" w:fill="FFFFFF"/>
        </w:rPr>
      </w:pPr>
      <w:r>
        <w:rPr>
          <w:b/>
          <w:shd w:val="clear" w:color="auto" w:fill="FFFFFF"/>
        </w:rPr>
        <w:t xml:space="preserve">Posição do braço esquerdo </w:t>
      </w:r>
      <w:r>
        <w:rPr>
          <w:shd w:val="clear" w:color="auto" w:fill="FFFFFF"/>
        </w:rPr>
        <w:t>(FLESCH, 1990, p. 18)</w:t>
      </w:r>
    </w:p>
    <w:p w14:paraId="72985B63" w14:textId="20D4D92E" w:rsidR="001F49FD" w:rsidRDefault="00611419">
      <w:pPr>
        <w:pStyle w:val="Recuodecorpodetexto"/>
        <w:ind w:firstLine="1134"/>
        <w:rPr>
          <w:b/>
          <w:shd w:val="clear" w:color="auto" w:fill="FFFFFF"/>
        </w:rPr>
      </w:pPr>
      <w:r>
        <w:rPr>
          <w:shd w:val="clear" w:color="auto" w:fill="FFFFFF"/>
        </w:rPr>
        <w:t>- “Eu penso que elevar exageradamente os dedos e projetá-los violentamente sobre as cordas é um desperdício de força</w:t>
      </w:r>
      <w:r w:rsidR="000B06AC">
        <w:rPr>
          <w:shd w:val="clear" w:color="auto" w:fill="FFFFFF"/>
        </w:rPr>
        <w:t>,</w:t>
      </w:r>
      <w:r>
        <w:rPr>
          <w:shd w:val="clear" w:color="auto" w:fill="FFFFFF"/>
        </w:rPr>
        <w:t xml:space="preserve"> inútil e mesmo prejudicial.” (p. 20).</w:t>
      </w:r>
    </w:p>
    <w:p w14:paraId="59F6E863" w14:textId="77777777" w:rsidR="001F49FD" w:rsidRDefault="00611419">
      <w:pPr>
        <w:pStyle w:val="Recuodecorpodetexto"/>
        <w:ind w:firstLine="1134"/>
        <w:rPr>
          <w:b/>
          <w:shd w:val="clear" w:color="auto" w:fill="FFFFFF"/>
        </w:rPr>
      </w:pPr>
      <w:r>
        <w:rPr>
          <w:shd w:val="clear" w:color="auto" w:fill="FFFFFF"/>
        </w:rPr>
        <w:lastRenderedPageBreak/>
        <w:t xml:space="preserve">- “[O dedo polegar deve] sustentar o braço do violino sem o apertar, através do auxílio da terceira falange [distal] do dedo indicador.” (p. 18). </w:t>
      </w:r>
    </w:p>
    <w:p w14:paraId="703E0EE1" w14:textId="77777777" w:rsidR="001F49FD" w:rsidRDefault="00611419">
      <w:pPr>
        <w:pStyle w:val="Recuodecorpodetexto"/>
        <w:ind w:firstLine="1134"/>
      </w:pPr>
      <w:r>
        <w:rPr>
          <w:shd w:val="clear" w:color="auto" w:fill="FFFFFF"/>
        </w:rPr>
        <w:t xml:space="preserve">- “O local do dedo polegar, ao se colocar sob o braço do violino, depende menos do dedo em si do que dos demais dedos e seus respectivos tamanhos.” (p. 18). </w:t>
      </w:r>
    </w:p>
    <w:p w14:paraId="17CDC3AE" w14:textId="4F598EE1" w:rsidR="001F49FD" w:rsidRDefault="00611419">
      <w:pPr>
        <w:pStyle w:val="Recuodecorpodetexto"/>
        <w:ind w:firstLine="1134"/>
      </w:pPr>
      <w:r>
        <w:rPr>
          <w:shd w:val="clear" w:color="auto" w:fill="FFFFFF"/>
        </w:rPr>
        <w:t xml:space="preserve">- “É de suma importância que o dedo indicador repouse no braço do instrumento, não pela parte situada acima da terceira falange [articulação </w:t>
      </w:r>
      <w:r w:rsidR="00CE4E69">
        <w:rPr>
          <w:shd w:val="clear" w:color="auto" w:fill="FFFFFF"/>
        </w:rPr>
        <w:t>interfalangiana</w:t>
      </w:r>
      <w:r>
        <w:rPr>
          <w:shd w:val="clear" w:color="auto" w:fill="FFFFFF"/>
        </w:rPr>
        <w:t xml:space="preserve"> proximal], mas pela parte </w:t>
      </w:r>
      <w:r>
        <w:rPr>
          <w:i/>
          <w:shd w:val="clear" w:color="auto" w:fill="FFFFFF"/>
        </w:rPr>
        <w:t>inferior</w:t>
      </w:r>
      <w:r>
        <w:rPr>
          <w:shd w:val="clear" w:color="auto" w:fill="FFFFFF"/>
        </w:rPr>
        <w:t xml:space="preserve"> da articulação (metacarpo) que liga o dedo à palma da mão [articulação </w:t>
      </w:r>
      <w:r w:rsidR="00CE4E69">
        <w:rPr>
          <w:shd w:val="clear" w:color="auto" w:fill="FFFFFF"/>
        </w:rPr>
        <w:t>metacarpo falangeana</w:t>
      </w:r>
      <w:r>
        <w:rPr>
          <w:shd w:val="clear" w:color="auto" w:fill="FFFFFF"/>
        </w:rPr>
        <w:t>].” (p. 19).</w:t>
      </w:r>
    </w:p>
    <w:p w14:paraId="4BD89A17" w14:textId="627DE405" w:rsidR="001F49FD" w:rsidRDefault="00611419">
      <w:pPr>
        <w:pStyle w:val="Recuodecorpodetexto"/>
        <w:ind w:firstLine="1134"/>
      </w:pPr>
      <w:r>
        <w:rPr>
          <w:shd w:val="clear" w:color="auto" w:fill="FFFFFF"/>
        </w:rPr>
        <w:t>- “É pela lateral de sua terceira articulação [</w:t>
      </w:r>
      <w:r w:rsidR="00CE4E69">
        <w:rPr>
          <w:shd w:val="clear" w:color="auto" w:fill="FFFFFF"/>
        </w:rPr>
        <w:t>metacarpo falangeana</w:t>
      </w:r>
      <w:r>
        <w:rPr>
          <w:shd w:val="clear" w:color="auto" w:fill="FFFFFF"/>
        </w:rPr>
        <w:t>] que o dedo deve encostar-se ao braço do violino e não pela sua face inferior, pois isso acarretaria para o antebraço uma contorção ainda mais penosa do que aquela à qual já é submetido devido ao formato do instrumento.” (p. 19 e 20).</w:t>
      </w:r>
    </w:p>
    <w:p w14:paraId="4F9C40D1" w14:textId="77777777" w:rsidR="001F49FD" w:rsidRDefault="001F49FD">
      <w:pPr>
        <w:pStyle w:val="Recuodecorpodetexto"/>
        <w:ind w:left="283" w:firstLine="1134"/>
        <w:rPr>
          <w:shd w:val="clear" w:color="auto" w:fill="FFFFFF"/>
        </w:rPr>
      </w:pPr>
    </w:p>
    <w:p w14:paraId="386F714F" w14:textId="30CFC5AA" w:rsidR="001F49FD" w:rsidRDefault="00611419" w:rsidP="00F06716">
      <w:pPr>
        <w:pStyle w:val="Recuodecorpodetexto"/>
        <w:ind w:firstLine="709"/>
        <w:rPr>
          <w:shd w:val="clear" w:color="auto" w:fill="FFFFFF"/>
        </w:rPr>
      </w:pPr>
      <w:r>
        <w:rPr>
          <w:shd w:val="clear" w:color="auto" w:fill="FFFFFF"/>
        </w:rPr>
        <w:t xml:space="preserve">A última seção, referente à técnica de arco, merece atenção especial, pois Flesch, antes de expor seus próprios princípios, discorre sobre as características da técnica de arco das Escolas de Violino mais reputadas em sua época. Esse registro influenciou as gerações futuras no entendimento da posição da mão no arco de cada Escola e contribuiu para os estudos sobre a </w:t>
      </w:r>
      <w:r w:rsidR="000B06AC">
        <w:rPr>
          <w:shd w:val="clear" w:color="auto" w:fill="FFFFFF"/>
        </w:rPr>
        <w:t>h</w:t>
      </w:r>
      <w:r>
        <w:rPr>
          <w:shd w:val="clear" w:color="auto" w:fill="FFFFFF"/>
        </w:rPr>
        <w:t>istória da prática do instrumento, e por isso deve ser verificado:</w:t>
      </w:r>
    </w:p>
    <w:p w14:paraId="265AC64F" w14:textId="77777777" w:rsidR="001F49FD" w:rsidRDefault="001F49FD">
      <w:pPr>
        <w:pStyle w:val="Recuodecorpodetexto"/>
        <w:ind w:left="283" w:firstLine="1134"/>
        <w:rPr>
          <w:shd w:val="clear" w:color="auto" w:fill="FFFFFF"/>
        </w:rPr>
      </w:pPr>
    </w:p>
    <w:p w14:paraId="037679AD" w14:textId="77777777" w:rsidR="001F49FD" w:rsidRDefault="00611419">
      <w:pPr>
        <w:pStyle w:val="Recuodecorpodetexto"/>
        <w:numPr>
          <w:ilvl w:val="0"/>
          <w:numId w:val="2"/>
        </w:numPr>
        <w:ind w:left="1276" w:hanging="142"/>
        <w:rPr>
          <w:shd w:val="clear" w:color="auto" w:fill="FFFFFF"/>
        </w:rPr>
      </w:pPr>
      <w:r>
        <w:rPr>
          <w:b/>
          <w:shd w:val="clear" w:color="auto" w:fill="FFFFFF"/>
        </w:rPr>
        <w:t>O braço direito</w:t>
      </w:r>
      <w:r>
        <w:rPr>
          <w:shd w:val="clear" w:color="auto" w:fill="FFFFFF"/>
        </w:rPr>
        <w:t xml:space="preserve"> </w:t>
      </w:r>
    </w:p>
    <w:p w14:paraId="7326A56E" w14:textId="77777777" w:rsidR="001F49FD" w:rsidRDefault="00611419">
      <w:pPr>
        <w:pStyle w:val="Commarcadores4"/>
        <w:ind w:left="1134" w:firstLine="0"/>
        <w:rPr>
          <w:shd w:val="clear" w:color="auto" w:fill="FFFFFF"/>
        </w:rPr>
      </w:pPr>
      <w:r>
        <w:rPr>
          <w:b/>
          <w:shd w:val="clear" w:color="auto" w:fill="FFFFFF"/>
        </w:rPr>
        <w:t>1. A escola antiga (</w:t>
      </w:r>
      <w:proofErr w:type="gramStart"/>
      <w:r>
        <w:rPr>
          <w:b/>
          <w:shd w:val="clear" w:color="auto" w:fill="FFFFFF"/>
        </w:rPr>
        <w:t>Alemã</w:t>
      </w:r>
      <w:proofErr w:type="gramEnd"/>
      <w:r>
        <w:rPr>
          <w:b/>
          <w:shd w:val="clear" w:color="auto" w:fill="FFFFFF"/>
        </w:rPr>
        <w:t>)</w:t>
      </w:r>
    </w:p>
    <w:p w14:paraId="2CA56705" w14:textId="2AD51ADF" w:rsidR="001F49FD" w:rsidRDefault="00611419">
      <w:pPr>
        <w:pStyle w:val="Recuodecorpodetexto"/>
        <w:ind w:firstLine="1134"/>
        <w:rPr>
          <w:shd w:val="clear" w:color="auto" w:fill="FFFFFF"/>
        </w:rPr>
      </w:pPr>
      <w:r>
        <w:rPr>
          <w:shd w:val="clear" w:color="auto" w:fill="FFFFFF"/>
        </w:rPr>
        <w:t>- “O dedo indicador pressiona a vareta pelo seu lado interno próximo à articulação que liga a primeira falange à segunda [</w:t>
      </w:r>
      <w:r w:rsidR="00393CC4">
        <w:rPr>
          <w:shd w:val="clear" w:color="auto" w:fill="FFFFFF"/>
        </w:rPr>
        <w:t>interfalangiana</w:t>
      </w:r>
      <w:r>
        <w:rPr>
          <w:shd w:val="clear" w:color="auto" w:fill="FFFFFF"/>
        </w:rPr>
        <w:t xml:space="preserve"> distal] [...] os dedos permanecem bem apertados uns contra os outros.” (FLESCH, 1990, p. 49).</w:t>
      </w:r>
    </w:p>
    <w:p w14:paraId="606E009C" w14:textId="77777777" w:rsidR="001F49FD" w:rsidRDefault="00611419">
      <w:pPr>
        <w:pStyle w:val="Recuodecorpodetexto"/>
        <w:ind w:left="425" w:firstLine="709"/>
        <w:rPr>
          <w:shd w:val="clear" w:color="auto" w:fill="FFFFFF"/>
        </w:rPr>
      </w:pPr>
      <w:r>
        <w:rPr>
          <w:shd w:val="clear" w:color="auto" w:fill="FFFFFF"/>
        </w:rPr>
        <w:t>- “A posição do antebraço é horizontal.” (FLESCH, 1990, p. 49).</w:t>
      </w:r>
    </w:p>
    <w:p w14:paraId="771A39AF" w14:textId="77777777" w:rsidR="001F49FD" w:rsidRDefault="00611419">
      <w:pPr>
        <w:pStyle w:val="Recuodecorpodetexto"/>
        <w:tabs>
          <w:tab w:val="left" w:pos="1134"/>
        </w:tabs>
        <w:ind w:left="283" w:firstLine="1134"/>
        <w:rPr>
          <w:shd w:val="clear" w:color="auto" w:fill="FFFFFF"/>
        </w:rPr>
      </w:pPr>
      <w:r>
        <w:rPr>
          <w:shd w:val="clear" w:color="auto" w:fill="FFFFFF"/>
        </w:rPr>
        <w:t xml:space="preserve">                                            </w:t>
      </w:r>
    </w:p>
    <w:p w14:paraId="4423E6AF" w14:textId="77777777" w:rsidR="001F49FD" w:rsidRDefault="001F49FD">
      <w:pPr>
        <w:pStyle w:val="Recuodecorpodetexto"/>
        <w:tabs>
          <w:tab w:val="left" w:pos="1134"/>
        </w:tabs>
        <w:ind w:left="283" w:firstLine="1134"/>
        <w:rPr>
          <w:shd w:val="clear" w:color="auto" w:fill="FFFFFF"/>
        </w:rPr>
      </w:pPr>
    </w:p>
    <w:p w14:paraId="3055A802" w14:textId="77777777" w:rsidR="001F49FD" w:rsidRDefault="00611419">
      <w:pPr>
        <w:pStyle w:val="Commarcadores3"/>
        <w:tabs>
          <w:tab w:val="left" w:pos="1134"/>
        </w:tabs>
        <w:ind w:left="0" w:firstLine="1134"/>
        <w:rPr>
          <w:shd w:val="clear" w:color="auto" w:fill="FFFFFF"/>
        </w:rPr>
      </w:pPr>
      <w:r>
        <w:rPr>
          <w:b/>
          <w:shd w:val="clear" w:color="auto" w:fill="FFFFFF"/>
        </w:rPr>
        <w:t>2. A nova escola</w:t>
      </w:r>
      <w:r>
        <w:rPr>
          <w:b/>
          <w:i/>
          <w:shd w:val="clear" w:color="auto" w:fill="FFFFFF"/>
        </w:rPr>
        <w:t xml:space="preserve"> </w:t>
      </w:r>
      <w:r>
        <w:rPr>
          <w:b/>
          <w:shd w:val="clear" w:color="auto" w:fill="FFFFFF"/>
        </w:rPr>
        <w:t>(Franco-belga)</w:t>
      </w:r>
      <w:r>
        <w:rPr>
          <w:rFonts w:cs="Times New Roman"/>
          <w:szCs w:val="24"/>
          <w:shd w:val="clear" w:color="auto" w:fill="FFFFFF"/>
        </w:rPr>
        <w:t xml:space="preserve">                                                                            </w:t>
      </w:r>
    </w:p>
    <w:p w14:paraId="611B25CC" w14:textId="77777777" w:rsidR="001F49FD" w:rsidRDefault="00611419">
      <w:pPr>
        <w:pStyle w:val="Recuodecorpodetexto"/>
        <w:tabs>
          <w:tab w:val="left" w:pos="1134"/>
        </w:tabs>
        <w:ind w:firstLine="1134"/>
        <w:rPr>
          <w:rFonts w:eastAsia="Times New Roman"/>
          <w:lang w:val="pt-PT"/>
        </w:rPr>
      </w:pPr>
      <w:r>
        <w:rPr>
          <w:rFonts w:eastAsia="Times New Roman"/>
          <w:lang w:val="pt-PT"/>
        </w:rPr>
        <w:t>- “O dedo indicador apoia sobre a vareta lateralmente, na extremidade da segunda falange [média], razão pela qual o dedo fica muito afastado para frente; assim o dedo indicador e o dedo médio encontram-se separados.”</w:t>
      </w:r>
      <w:r>
        <w:rPr>
          <w:shd w:val="clear" w:color="auto" w:fill="FFFFFF"/>
        </w:rPr>
        <w:t xml:space="preserve"> (FLESCH, 1990, p. 49).</w:t>
      </w:r>
    </w:p>
    <w:p w14:paraId="6985F17A" w14:textId="77777777" w:rsidR="001F49FD" w:rsidRDefault="00611419">
      <w:pPr>
        <w:pStyle w:val="Recuodecorpodetexto"/>
        <w:tabs>
          <w:tab w:val="left" w:pos="1134"/>
        </w:tabs>
        <w:ind w:firstLine="1134"/>
        <w:rPr>
          <w:rFonts w:eastAsia="Times New Roman"/>
        </w:rPr>
      </w:pPr>
      <w:r>
        <w:rPr>
          <w:rFonts w:eastAsia="Times New Roman"/>
        </w:rPr>
        <w:t xml:space="preserve">- “Há um espaço entre o dedo indicador e o dedo médio.” (FLESCH, 2000, p. 35). </w:t>
      </w:r>
    </w:p>
    <w:p w14:paraId="528DC483" w14:textId="77777777" w:rsidR="001F49FD" w:rsidRDefault="00611419">
      <w:pPr>
        <w:pStyle w:val="Recuodecorpodetexto"/>
        <w:tabs>
          <w:tab w:val="left" w:pos="1134"/>
        </w:tabs>
        <w:ind w:firstLine="1134"/>
        <w:rPr>
          <w:shd w:val="clear" w:color="auto" w:fill="FFFFFF"/>
        </w:rPr>
      </w:pPr>
      <w:r>
        <w:rPr>
          <w:shd w:val="clear" w:color="auto" w:fill="FFFFFF"/>
        </w:rPr>
        <w:lastRenderedPageBreak/>
        <w:t>- “A tensão da crina é forte e o arco é consideravelmente inclinado.”</w:t>
      </w:r>
      <w:r>
        <w:rPr>
          <w:rFonts w:eastAsia="Times New Roman"/>
        </w:rPr>
        <w:t xml:space="preserve"> (FLESCH, 2000, p. 35).</w:t>
      </w:r>
    </w:p>
    <w:p w14:paraId="23B8C4B6" w14:textId="77777777" w:rsidR="001F49FD" w:rsidRDefault="00611419">
      <w:pPr>
        <w:pStyle w:val="Recuodecorpodetexto"/>
        <w:tabs>
          <w:tab w:val="left" w:pos="1134"/>
        </w:tabs>
        <w:ind w:firstLine="1134"/>
      </w:pPr>
      <w:r>
        <w:rPr>
          <w:shd w:val="clear" w:color="auto" w:fill="FFFFFF"/>
        </w:rPr>
        <w:t>- “O antebraço efetua uma pronação, através da articulação do cotovelo, em curva de aproximadamente 25 graus.” (FLESCH, 1990, p. 49).</w:t>
      </w:r>
    </w:p>
    <w:p w14:paraId="025F3BE9" w14:textId="316FDF35" w:rsidR="001F49FD" w:rsidRDefault="00611419">
      <w:pPr>
        <w:pStyle w:val="Recuodecorpodetexto"/>
        <w:tabs>
          <w:tab w:val="left" w:pos="1134"/>
        </w:tabs>
        <w:ind w:firstLine="1134"/>
      </w:pPr>
      <w:r>
        <w:rPr>
          <w:shd w:val="clear" w:color="auto" w:fill="FFFFFF"/>
        </w:rPr>
        <w:t xml:space="preserve">- “[O dedo indicador é posicionado sobre o arco] pela extremidade da segunda falange [articulação </w:t>
      </w:r>
      <w:r w:rsidR="00393CC4">
        <w:rPr>
          <w:shd w:val="clear" w:color="auto" w:fill="FFFFFF"/>
        </w:rPr>
        <w:t>interfalangiana</w:t>
      </w:r>
      <w:r>
        <w:rPr>
          <w:shd w:val="clear" w:color="auto" w:fill="FFFFFF"/>
        </w:rPr>
        <w:t xml:space="preserve"> distal].” (FLESCH, 1990, p. 49).</w:t>
      </w:r>
    </w:p>
    <w:p w14:paraId="1A89F931" w14:textId="77777777" w:rsidR="001F49FD" w:rsidRDefault="001F49FD">
      <w:pPr>
        <w:pStyle w:val="Recuodecorpodetexto"/>
        <w:tabs>
          <w:tab w:val="left" w:pos="1134"/>
        </w:tabs>
        <w:ind w:left="283" w:firstLine="1134"/>
        <w:rPr>
          <w:shd w:val="clear" w:color="auto" w:fill="FFFFFF"/>
        </w:rPr>
      </w:pPr>
    </w:p>
    <w:p w14:paraId="3A299256" w14:textId="77777777" w:rsidR="001F49FD" w:rsidRDefault="00611419">
      <w:pPr>
        <w:pStyle w:val="Commarcadores3"/>
        <w:tabs>
          <w:tab w:val="left" w:pos="1134"/>
        </w:tabs>
        <w:ind w:left="0" w:firstLine="1134"/>
        <w:rPr>
          <w:shd w:val="clear" w:color="auto" w:fill="FFFFFF"/>
        </w:rPr>
      </w:pPr>
      <w:r>
        <w:rPr>
          <w:b/>
          <w:shd w:val="clear" w:color="auto" w:fill="FFFFFF"/>
        </w:rPr>
        <w:t>3. A escola moderna (Russa)</w:t>
      </w:r>
      <w:r>
        <w:rPr>
          <w:shd w:val="clear" w:color="auto" w:fill="FFFFFF"/>
        </w:rPr>
        <w:t xml:space="preserve"> </w:t>
      </w:r>
    </w:p>
    <w:p w14:paraId="67DFCD4C" w14:textId="523914E1" w:rsidR="001F49FD" w:rsidRDefault="00611419">
      <w:pPr>
        <w:pStyle w:val="PargrafodaLista"/>
        <w:tabs>
          <w:tab w:val="left" w:pos="1134"/>
        </w:tabs>
        <w:ind w:left="0"/>
        <w:rPr>
          <w:rFonts w:ascii="Times New Roman" w:hAnsi="Times New Roman" w:cs="Times New Roman"/>
          <w:color w:val="222222"/>
          <w:szCs w:val="24"/>
          <w:shd w:val="clear" w:color="auto" w:fill="FFFFFF"/>
        </w:rPr>
      </w:pPr>
      <w:r>
        <w:rPr>
          <w:rFonts w:cs="Times New Roman"/>
          <w:color w:val="222222"/>
          <w:szCs w:val="24"/>
          <w:shd w:val="clear" w:color="auto" w:fill="FFFFFF"/>
        </w:rPr>
        <w:t xml:space="preserve">- </w:t>
      </w:r>
      <w:r>
        <w:rPr>
          <w:rFonts w:cs="Times New Roman"/>
          <w:szCs w:val="24"/>
          <w:shd w:val="clear" w:color="auto" w:fill="FFFFFF"/>
        </w:rPr>
        <w:t>“</w:t>
      </w:r>
      <w:r>
        <w:rPr>
          <w:rFonts w:cs="Times New Roman"/>
          <w:color w:val="222222"/>
          <w:szCs w:val="24"/>
          <w:shd w:val="clear" w:color="auto" w:fill="FFFFFF"/>
        </w:rPr>
        <w:t xml:space="preserve">O ponto de contato com a vareta encontra-se sobre a linha que separa a segunda da terceira falange [articulação </w:t>
      </w:r>
      <w:r w:rsidR="00393CC4">
        <w:rPr>
          <w:rFonts w:cs="Times New Roman"/>
          <w:color w:val="222222"/>
          <w:szCs w:val="24"/>
          <w:shd w:val="clear" w:color="auto" w:fill="FFFFFF"/>
        </w:rPr>
        <w:t>interfalangiana</w:t>
      </w:r>
      <w:r>
        <w:rPr>
          <w:rFonts w:cs="Times New Roman"/>
          <w:color w:val="222222"/>
          <w:szCs w:val="24"/>
          <w:shd w:val="clear" w:color="auto" w:fill="FFFFFF"/>
        </w:rPr>
        <w:t xml:space="preserve"> proximal]. O espaço entre o dedo indicador e o dedo médio é bastante reduzido.” </w:t>
      </w:r>
      <w:r>
        <w:rPr>
          <w:shd w:val="clear" w:color="auto" w:fill="FFFFFF"/>
        </w:rPr>
        <w:t>(FLESCH, 1990, p. 49).</w:t>
      </w:r>
    </w:p>
    <w:p w14:paraId="0FD3D792" w14:textId="77777777" w:rsidR="001F49FD" w:rsidRDefault="00611419">
      <w:pPr>
        <w:pStyle w:val="Recuodecorpodetexto"/>
        <w:ind w:firstLine="1134"/>
      </w:pPr>
      <w:r>
        <w:rPr>
          <w:shd w:val="clear" w:color="auto" w:fill="FFFFFF"/>
        </w:rPr>
        <w:t>- “O antebraço é pronado de forma mais acentuada, em uma curva de aproximadamente 45 graus.” (FLESCH, 1990, p. 49).</w:t>
      </w:r>
    </w:p>
    <w:p w14:paraId="4D01B249" w14:textId="77777777" w:rsidR="001F49FD" w:rsidRDefault="00611419">
      <w:pPr>
        <w:pStyle w:val="Recuodecorpodetexto"/>
        <w:ind w:firstLine="1134"/>
      </w:pPr>
      <w:r>
        <w:rPr>
          <w:shd w:val="clear" w:color="auto" w:fill="FFFFFF"/>
        </w:rPr>
        <w:t>- “A posição da mão sobre o arco é modificada de forma que a terceira falange [proximal] do dedo indicador apoie sobre a vareta no ponto onde começa a articulação que a liga à segunda falange [média].” (FLESCH, 1990, p. 49).</w:t>
      </w:r>
    </w:p>
    <w:p w14:paraId="552187D7" w14:textId="059DE41E" w:rsidR="001F49FD" w:rsidRDefault="00611419">
      <w:pPr>
        <w:pStyle w:val="Recuodecorpodetexto"/>
        <w:ind w:firstLine="1134"/>
      </w:pPr>
      <w:r>
        <w:rPr>
          <w:szCs w:val="24"/>
          <w:shd w:val="clear" w:color="auto" w:fill="FFFFFF"/>
        </w:rPr>
        <w:t>- “O dedo indicador exerce uma pressão sobre a vareta através da articulação mediana [</w:t>
      </w:r>
      <w:r w:rsidR="00393CC4">
        <w:rPr>
          <w:szCs w:val="24"/>
          <w:shd w:val="clear" w:color="auto" w:fill="FFFFFF"/>
        </w:rPr>
        <w:t>interfalangiana</w:t>
      </w:r>
      <w:r>
        <w:rPr>
          <w:szCs w:val="24"/>
          <w:shd w:val="clear" w:color="auto" w:fill="FFFFFF"/>
        </w:rPr>
        <w:t xml:space="preserve"> proximal].”</w:t>
      </w:r>
      <w:r>
        <w:rPr>
          <w:rFonts w:eastAsia="Times New Roman"/>
        </w:rPr>
        <w:t xml:space="preserve"> (FLESCH, 2000, p. 35).</w:t>
      </w:r>
      <w:r>
        <w:rPr>
          <w:szCs w:val="24"/>
          <w:shd w:val="clear" w:color="auto" w:fill="FFFFFF"/>
        </w:rPr>
        <w:t xml:space="preserve"> </w:t>
      </w:r>
    </w:p>
    <w:p w14:paraId="02651D79" w14:textId="77777777" w:rsidR="001F49FD" w:rsidRDefault="00611419">
      <w:pPr>
        <w:pStyle w:val="Recuodecorpodetexto"/>
        <w:ind w:firstLine="1134"/>
      </w:pPr>
      <w:r>
        <w:rPr>
          <w:szCs w:val="24"/>
          <w:shd w:val="clear" w:color="auto" w:fill="FFFFFF"/>
        </w:rPr>
        <w:t>- “O dedo indicador também pressiona a vareta com a ajuda de sua ponta.”</w:t>
      </w:r>
      <w:r>
        <w:rPr>
          <w:rFonts w:eastAsia="Times New Roman"/>
        </w:rPr>
        <w:t xml:space="preserve"> (FLESCH, 2000, p. 35).</w:t>
      </w:r>
    </w:p>
    <w:p w14:paraId="7C2860AD" w14:textId="77777777" w:rsidR="001F49FD" w:rsidRDefault="00611419">
      <w:pPr>
        <w:pStyle w:val="Recuodecorpodetexto"/>
        <w:ind w:firstLine="1134"/>
        <w:rPr>
          <w:rFonts w:eastAsia="Times New Roman"/>
        </w:rPr>
      </w:pPr>
      <w:r>
        <w:rPr>
          <w:szCs w:val="24"/>
          <w:shd w:val="clear" w:color="auto" w:fill="FFFFFF"/>
        </w:rPr>
        <w:t>- “Há um pequeno espaço entre o dedo indicador e o dedo médio.”</w:t>
      </w:r>
      <w:r>
        <w:rPr>
          <w:rFonts w:eastAsia="Times New Roman"/>
        </w:rPr>
        <w:t xml:space="preserve"> (FLESCH, 2000, p. 35).</w:t>
      </w:r>
    </w:p>
    <w:p w14:paraId="3411D61F" w14:textId="77777777" w:rsidR="001F49FD" w:rsidRDefault="001F49FD">
      <w:pPr>
        <w:pStyle w:val="Recuodecorpodetexto"/>
        <w:ind w:left="283" w:firstLine="1134"/>
        <w:rPr>
          <w:szCs w:val="24"/>
          <w:shd w:val="clear" w:color="auto" w:fill="FFFFFF"/>
        </w:rPr>
      </w:pPr>
    </w:p>
    <w:p w14:paraId="2B5024D3" w14:textId="77777777" w:rsidR="001F49FD" w:rsidRDefault="00611419" w:rsidP="00F06716">
      <w:pPr>
        <w:pStyle w:val="Recuodecorpodetexto"/>
        <w:ind w:firstLine="709"/>
      </w:pPr>
      <w:r>
        <w:rPr>
          <w:szCs w:val="24"/>
          <w:shd w:val="clear" w:color="auto" w:fill="FFFFFF"/>
        </w:rPr>
        <w:t>As alcunhas conferidas a cada Escola (</w:t>
      </w:r>
      <w:r>
        <w:rPr>
          <w:i/>
          <w:szCs w:val="24"/>
          <w:shd w:val="clear" w:color="auto" w:fill="FFFFFF"/>
        </w:rPr>
        <w:t>antiga</w:t>
      </w:r>
      <w:r>
        <w:rPr>
          <w:szCs w:val="24"/>
          <w:shd w:val="clear" w:color="auto" w:fill="FFFFFF"/>
        </w:rPr>
        <w:t xml:space="preserve">, </w:t>
      </w:r>
      <w:r>
        <w:rPr>
          <w:i/>
          <w:szCs w:val="24"/>
          <w:shd w:val="clear" w:color="auto" w:fill="FFFFFF"/>
        </w:rPr>
        <w:t>nova</w:t>
      </w:r>
      <w:r>
        <w:rPr>
          <w:szCs w:val="24"/>
          <w:shd w:val="clear" w:color="auto" w:fill="FFFFFF"/>
        </w:rPr>
        <w:t xml:space="preserve"> e </w:t>
      </w:r>
      <w:r>
        <w:rPr>
          <w:i/>
          <w:szCs w:val="24"/>
          <w:shd w:val="clear" w:color="auto" w:fill="FFFFFF"/>
        </w:rPr>
        <w:t>moderna</w:t>
      </w:r>
      <w:r>
        <w:rPr>
          <w:szCs w:val="24"/>
          <w:shd w:val="clear" w:color="auto" w:fill="FFFFFF"/>
        </w:rPr>
        <w:t xml:space="preserve">) evidenciam as preferências de Flesch sobre o posicionamento da mão direita. Assim, o autor declara-se convencido de que a </w:t>
      </w:r>
      <w:proofErr w:type="spellStart"/>
      <w:r>
        <w:rPr>
          <w:i/>
          <w:szCs w:val="24"/>
          <w:shd w:val="clear" w:color="auto" w:fill="FFFFFF"/>
        </w:rPr>
        <w:t>russian</w:t>
      </w:r>
      <w:proofErr w:type="spellEnd"/>
      <w:r>
        <w:rPr>
          <w:i/>
          <w:szCs w:val="24"/>
          <w:shd w:val="clear" w:color="auto" w:fill="FFFFFF"/>
        </w:rPr>
        <w:t xml:space="preserve"> grip</w:t>
      </w:r>
      <w:r>
        <w:rPr>
          <w:szCs w:val="24"/>
          <w:shd w:val="clear" w:color="auto" w:fill="FFFFFF"/>
        </w:rPr>
        <w:t xml:space="preserve"> será predominante nos cinquenta anos seguintes e exorta os alunos de seu tempo a alterar suas técnicas de arco, através dos seguintes preceitos:</w:t>
      </w:r>
    </w:p>
    <w:p w14:paraId="3CA18A05" w14:textId="77777777" w:rsidR="001F49FD" w:rsidRDefault="00611419">
      <w:pPr>
        <w:pStyle w:val="Recuodecorpodetexto"/>
        <w:ind w:firstLine="1134"/>
      </w:pPr>
      <w:r>
        <w:rPr>
          <w:szCs w:val="24"/>
          <w:shd w:val="clear" w:color="auto" w:fill="FFFFFF"/>
        </w:rPr>
        <w:t>- “A empunhadura do arco é alterada, certificando-se de que o contato entre o dedo indicador e a vareta seja feito através de sua falange média, e que sua ponta envolva a vareta.” (</w:t>
      </w:r>
      <w:r>
        <w:rPr>
          <w:rFonts w:eastAsia="Times New Roman"/>
        </w:rPr>
        <w:t xml:space="preserve">FLESCH, 2000, </w:t>
      </w:r>
      <w:r>
        <w:rPr>
          <w:szCs w:val="24"/>
          <w:shd w:val="clear" w:color="auto" w:fill="FFFFFF"/>
        </w:rPr>
        <w:t>p. 36).</w:t>
      </w:r>
    </w:p>
    <w:p w14:paraId="1C38B3B7" w14:textId="77777777" w:rsidR="001F49FD" w:rsidRDefault="00611419">
      <w:pPr>
        <w:pStyle w:val="Recuodecorpodetexto"/>
        <w:ind w:firstLine="1134"/>
      </w:pPr>
      <w:r>
        <w:rPr>
          <w:szCs w:val="24"/>
          <w:shd w:val="clear" w:color="auto" w:fill="FFFFFF"/>
        </w:rPr>
        <w:t>- “O arco não deve estar inclinado, mas plano (com a vareta acima da crina).” (</w:t>
      </w:r>
      <w:r>
        <w:rPr>
          <w:rFonts w:eastAsia="Times New Roman"/>
        </w:rPr>
        <w:t xml:space="preserve">FLESCH, 2000, p. 36). </w:t>
      </w:r>
    </w:p>
    <w:p w14:paraId="46533B69" w14:textId="77777777" w:rsidR="001F49FD" w:rsidRDefault="00611419">
      <w:pPr>
        <w:pStyle w:val="Recuodecorpodetexto"/>
        <w:ind w:firstLine="1134"/>
        <w:rPr>
          <w:szCs w:val="24"/>
          <w:shd w:val="clear" w:color="auto" w:fill="FFFFFF"/>
        </w:rPr>
      </w:pPr>
      <w:r>
        <w:rPr>
          <w:szCs w:val="24"/>
          <w:shd w:val="clear" w:color="auto" w:fill="FFFFFF"/>
        </w:rPr>
        <w:lastRenderedPageBreak/>
        <w:t>- “É preciso ter cuidado para não esticar o dedo indicador demasiadamente para frente.” (</w:t>
      </w:r>
      <w:r>
        <w:rPr>
          <w:rFonts w:eastAsia="Times New Roman"/>
        </w:rPr>
        <w:t xml:space="preserve">FLESCH, 2000, </w:t>
      </w:r>
      <w:r>
        <w:rPr>
          <w:szCs w:val="24"/>
          <w:shd w:val="clear" w:color="auto" w:fill="FFFFFF"/>
        </w:rPr>
        <w:t>p. 36).</w:t>
      </w:r>
    </w:p>
    <w:p w14:paraId="021B1360" w14:textId="77777777" w:rsidR="001F49FD" w:rsidRDefault="00611419">
      <w:pPr>
        <w:pStyle w:val="PargrafodaLista"/>
        <w:ind w:left="0"/>
        <w:rPr>
          <w:rFonts w:ascii="Times New Roman" w:hAnsi="Times New Roman" w:cs="Times New Roman"/>
          <w:color w:val="222222"/>
          <w:szCs w:val="24"/>
          <w:shd w:val="clear" w:color="auto" w:fill="FFFFFF"/>
        </w:rPr>
      </w:pPr>
      <w:r>
        <w:rPr>
          <w:rFonts w:cs="Times New Roman"/>
          <w:color w:val="222222"/>
          <w:szCs w:val="24"/>
          <w:shd w:val="clear" w:color="auto" w:fill="FFFFFF"/>
        </w:rPr>
        <w:t>- “Eu permito uma forte tensão da crina, mas com a única condição de que arco esteja inclinado. Portanto, pouca tensão significa arco plano, forte tensão significa arco inclinado.” (p. 36).</w:t>
      </w:r>
    </w:p>
    <w:p w14:paraId="63C2F063" w14:textId="77777777" w:rsidR="001F49FD" w:rsidRDefault="00611419">
      <w:pPr>
        <w:pStyle w:val="PargrafodaLista"/>
        <w:ind w:left="0"/>
        <w:rPr>
          <w:rFonts w:ascii="Times New Roman" w:hAnsi="Times New Roman" w:cs="Times New Roman"/>
          <w:color w:val="222222"/>
          <w:szCs w:val="24"/>
          <w:shd w:val="clear" w:color="auto" w:fill="FFFFFF"/>
        </w:rPr>
      </w:pPr>
      <w:r>
        <w:rPr>
          <w:rFonts w:cs="Times New Roman"/>
          <w:color w:val="222222"/>
          <w:szCs w:val="24"/>
          <w:shd w:val="clear" w:color="auto" w:fill="FFFFFF"/>
        </w:rPr>
        <w:t>- “É preciso ter cuidado para não estender o dedo indicador muito para frente.” (</w:t>
      </w:r>
      <w:r>
        <w:rPr>
          <w:rFonts w:eastAsia="Times New Roman"/>
        </w:rPr>
        <w:t xml:space="preserve">FLESCH, 2000, </w:t>
      </w:r>
      <w:r>
        <w:rPr>
          <w:rFonts w:cs="Times New Roman"/>
          <w:color w:val="222222"/>
          <w:szCs w:val="24"/>
          <w:shd w:val="clear" w:color="auto" w:fill="FFFFFF"/>
        </w:rPr>
        <w:t>p. 36).</w:t>
      </w:r>
    </w:p>
    <w:p w14:paraId="488CEDBE" w14:textId="77777777" w:rsidR="001F49FD" w:rsidRDefault="001F49FD">
      <w:pPr>
        <w:pStyle w:val="PargrafodaLista"/>
        <w:ind w:left="0"/>
        <w:rPr>
          <w:rFonts w:ascii="Times New Roman" w:hAnsi="Times New Roman" w:cs="Times New Roman"/>
          <w:color w:val="222222"/>
          <w:szCs w:val="24"/>
          <w:shd w:val="clear" w:color="auto" w:fill="FFFFFF"/>
        </w:rPr>
      </w:pPr>
    </w:p>
    <w:p w14:paraId="61897274" w14:textId="2A7F7B48" w:rsidR="001F49FD" w:rsidRDefault="00611419" w:rsidP="00F06716">
      <w:pPr>
        <w:pStyle w:val="Recuodecorpodetexto"/>
        <w:tabs>
          <w:tab w:val="left" w:pos="567"/>
          <w:tab w:val="left" w:pos="709"/>
          <w:tab w:val="left" w:pos="1116"/>
        </w:tabs>
        <w:ind w:left="284" w:firstLine="0"/>
        <w:rPr>
          <w:szCs w:val="24"/>
          <w:shd w:val="clear" w:color="auto" w:fill="FFFFFF"/>
        </w:rPr>
      </w:pPr>
      <w:r>
        <w:rPr>
          <w:szCs w:val="24"/>
          <w:shd w:val="clear" w:color="auto" w:fill="FFFFFF"/>
        </w:rPr>
        <w:t xml:space="preserve">     </w:t>
      </w:r>
      <w:r w:rsidR="00F06716">
        <w:rPr>
          <w:szCs w:val="24"/>
          <w:shd w:val="clear" w:color="auto" w:fill="FFFFFF"/>
        </w:rPr>
        <w:t xml:space="preserve">  </w:t>
      </w:r>
      <w:r>
        <w:rPr>
          <w:szCs w:val="24"/>
          <w:shd w:val="clear" w:color="auto" w:fill="FFFFFF"/>
        </w:rPr>
        <w:t xml:space="preserve">Por fim, Flesch enfatiza: </w:t>
      </w:r>
    </w:p>
    <w:p w14:paraId="70F8C393" w14:textId="77777777" w:rsidR="001F49FD" w:rsidRDefault="00611419">
      <w:pPr>
        <w:pStyle w:val="Primeirorecuodecorpodetexto2"/>
        <w:spacing w:line="240" w:lineRule="auto"/>
        <w:ind w:left="2268" w:firstLine="0"/>
        <w:rPr>
          <w:sz w:val="20"/>
          <w:szCs w:val="20"/>
          <w:shd w:val="clear" w:color="auto" w:fill="FFFFFF"/>
        </w:rPr>
      </w:pPr>
      <w:r>
        <w:rPr>
          <w:sz w:val="20"/>
          <w:szCs w:val="20"/>
          <w:shd w:val="clear" w:color="auto" w:fill="FFFFFF"/>
        </w:rPr>
        <w:t xml:space="preserve">Após séculos de restrição imposta ao braço, acabou-se por compreender que era necessário lhe devolver total liberdade de movimento. Assim, daqui a cinquenta anos, a posição da mão no arco da escola russa será ensinada a efeito de exclusão de todas as outras, devido à economia de força e às qualidades de emissão sonora que nos oferece (FLESCH, 1990, p. 50). </w:t>
      </w:r>
    </w:p>
    <w:p w14:paraId="1273CCC6" w14:textId="77777777" w:rsidR="001F49FD" w:rsidRDefault="001F49FD">
      <w:pPr>
        <w:pStyle w:val="Primeirorecuodecorpodetexto2"/>
        <w:spacing w:line="240" w:lineRule="auto"/>
        <w:ind w:left="2268" w:firstLine="0"/>
        <w:rPr>
          <w:sz w:val="20"/>
          <w:szCs w:val="20"/>
          <w:shd w:val="clear" w:color="auto" w:fill="FFFFFF"/>
        </w:rPr>
      </w:pPr>
    </w:p>
    <w:p w14:paraId="7F8390D5" w14:textId="69E824C1" w:rsidR="001F49FD" w:rsidRDefault="00317C67" w:rsidP="00F06716">
      <w:pPr>
        <w:pStyle w:val="Recuodecorpodetexto"/>
        <w:ind w:firstLine="709"/>
        <w:rPr>
          <w:szCs w:val="24"/>
        </w:rPr>
      </w:pPr>
      <w:r>
        <w:rPr>
          <w:szCs w:val="24"/>
        </w:rPr>
        <w:t>Certamente, a</w:t>
      </w:r>
      <w:r w:rsidR="00611419">
        <w:rPr>
          <w:szCs w:val="24"/>
        </w:rPr>
        <w:t xml:space="preserve">s gerações </w:t>
      </w:r>
      <w:r>
        <w:rPr>
          <w:szCs w:val="24"/>
        </w:rPr>
        <w:t>de violinistas avindas a partir da segunda metade do século XX</w:t>
      </w:r>
      <w:r w:rsidR="00611419">
        <w:rPr>
          <w:szCs w:val="24"/>
        </w:rPr>
        <w:t xml:space="preserve"> </w:t>
      </w:r>
      <w:r>
        <w:rPr>
          <w:szCs w:val="24"/>
        </w:rPr>
        <w:t xml:space="preserve">em diante </w:t>
      </w:r>
      <w:r w:rsidR="00611419">
        <w:rPr>
          <w:szCs w:val="24"/>
        </w:rPr>
        <w:t xml:space="preserve">conheceram mais </w:t>
      </w:r>
      <w:r>
        <w:rPr>
          <w:szCs w:val="24"/>
        </w:rPr>
        <w:t>a</w:t>
      </w:r>
      <w:r w:rsidR="00611419">
        <w:rPr>
          <w:szCs w:val="24"/>
        </w:rPr>
        <w:t xml:space="preserve"> obra escrita </w:t>
      </w:r>
      <w:r>
        <w:rPr>
          <w:szCs w:val="24"/>
        </w:rPr>
        <w:t xml:space="preserve">de Flesch </w:t>
      </w:r>
      <w:r w:rsidR="00611419">
        <w:rPr>
          <w:szCs w:val="24"/>
        </w:rPr>
        <w:t xml:space="preserve">do que os registros originais dos reconhecidos fundadores das referidas Escolas. </w:t>
      </w:r>
      <w:r w:rsidR="00611419">
        <w:rPr>
          <w:color w:val="000000"/>
          <w:szCs w:val="24"/>
        </w:rPr>
        <w:t xml:space="preserve">Felizmente, suas descrições sobre as caraterísticas da posição da mão no arco de cada Escola condizem com os preceitos verificados nos métodos de Spohr ou Moser/Joachim para a Escola Germânica, de </w:t>
      </w:r>
      <w:proofErr w:type="spellStart"/>
      <w:r w:rsidR="00611419">
        <w:rPr>
          <w:color w:val="000000"/>
          <w:szCs w:val="24"/>
        </w:rPr>
        <w:t>Bériot</w:t>
      </w:r>
      <w:proofErr w:type="spellEnd"/>
      <w:r w:rsidR="00611419">
        <w:rPr>
          <w:color w:val="000000"/>
          <w:szCs w:val="24"/>
        </w:rPr>
        <w:t xml:space="preserve"> para a Escola Franc</w:t>
      </w:r>
      <w:r w:rsidR="00611419">
        <w:rPr>
          <w:szCs w:val="24"/>
        </w:rPr>
        <w:t xml:space="preserve">o-belga e de </w:t>
      </w:r>
      <w:proofErr w:type="spellStart"/>
      <w:r w:rsidR="00611419">
        <w:rPr>
          <w:szCs w:val="24"/>
        </w:rPr>
        <w:t>Auer</w:t>
      </w:r>
      <w:proofErr w:type="spellEnd"/>
      <w:r w:rsidR="00611419">
        <w:rPr>
          <w:szCs w:val="24"/>
        </w:rPr>
        <w:t xml:space="preserve"> para a Escola russa, pois </w:t>
      </w:r>
      <w:r>
        <w:rPr>
          <w:szCs w:val="24"/>
        </w:rPr>
        <w:t>é</w:t>
      </w:r>
      <w:r w:rsidR="00611419">
        <w:rPr>
          <w:szCs w:val="24"/>
        </w:rPr>
        <w:t xml:space="preserve"> sua definição que prevalece até os dias de hoje. </w:t>
      </w:r>
      <w:r w:rsidR="00611419">
        <w:rPr>
          <w:color w:val="000000"/>
          <w:szCs w:val="24"/>
        </w:rPr>
        <w:t>Porém,</w:t>
      </w:r>
      <w:r w:rsidR="00611419">
        <w:rPr>
          <w:color w:val="4F81BD" w:themeColor="accent1"/>
          <w:szCs w:val="24"/>
        </w:rPr>
        <w:t xml:space="preserve"> </w:t>
      </w:r>
      <w:r w:rsidR="00611419">
        <w:rPr>
          <w:szCs w:val="24"/>
        </w:rPr>
        <w:t>pela forma de se remeter às fontes literárias das antigas escolas, é possível ainda que o próprio autor nã</w:t>
      </w:r>
      <w:r w:rsidR="00611419">
        <w:rPr>
          <w:color w:val="000000"/>
          <w:szCs w:val="24"/>
        </w:rPr>
        <w:t xml:space="preserve">o as admirasse </w:t>
      </w:r>
      <w:r w:rsidR="00611419">
        <w:rPr>
          <w:szCs w:val="24"/>
        </w:rPr>
        <w:t xml:space="preserve">tão profundamente: </w:t>
      </w:r>
    </w:p>
    <w:p w14:paraId="75583177" w14:textId="77777777" w:rsidR="001F49FD" w:rsidRDefault="00611419">
      <w:pPr>
        <w:pStyle w:val="Primeirorecuodecorpodetexto2"/>
        <w:spacing w:line="240" w:lineRule="auto"/>
        <w:ind w:left="2268" w:firstLine="0"/>
        <w:rPr>
          <w:sz w:val="20"/>
          <w:szCs w:val="20"/>
        </w:rPr>
      </w:pPr>
      <w:r>
        <w:rPr>
          <w:sz w:val="20"/>
          <w:szCs w:val="20"/>
        </w:rPr>
        <w:t xml:space="preserve">Os métodos para violino de </w:t>
      </w:r>
      <w:proofErr w:type="spellStart"/>
      <w:r>
        <w:rPr>
          <w:sz w:val="20"/>
          <w:szCs w:val="20"/>
        </w:rPr>
        <w:t>Baillot</w:t>
      </w:r>
      <w:proofErr w:type="spellEnd"/>
      <w:r>
        <w:rPr>
          <w:sz w:val="20"/>
          <w:szCs w:val="20"/>
        </w:rPr>
        <w:t xml:space="preserve">, </w:t>
      </w:r>
      <w:proofErr w:type="spellStart"/>
      <w:r>
        <w:rPr>
          <w:sz w:val="20"/>
          <w:szCs w:val="20"/>
        </w:rPr>
        <w:t>Bériot</w:t>
      </w:r>
      <w:proofErr w:type="spellEnd"/>
      <w:r>
        <w:rPr>
          <w:sz w:val="20"/>
          <w:szCs w:val="20"/>
        </w:rPr>
        <w:t xml:space="preserve">, Spohr, </w:t>
      </w:r>
      <w:proofErr w:type="spellStart"/>
      <w:r>
        <w:rPr>
          <w:sz w:val="20"/>
          <w:szCs w:val="20"/>
        </w:rPr>
        <w:t>Léonard</w:t>
      </w:r>
      <w:proofErr w:type="spellEnd"/>
      <w:r>
        <w:rPr>
          <w:sz w:val="20"/>
          <w:szCs w:val="20"/>
        </w:rPr>
        <w:t xml:space="preserve">, Joachim, contêm, é verdade, exercícios extremamente úteis e às vezes indicações muito valiosas relativas à estética, mas, em geral, não trazem nenhuma solução verdadeiramente pessoal aos problemas puramente técnicos (FLESCH, 1990, p. 7). </w:t>
      </w:r>
    </w:p>
    <w:p w14:paraId="536E8642" w14:textId="77777777" w:rsidR="001F49FD" w:rsidRDefault="001F49FD">
      <w:pPr>
        <w:pStyle w:val="Primeirorecuodecorpodetexto2"/>
        <w:ind w:left="0" w:firstLine="0"/>
        <w:rPr>
          <w:sz w:val="20"/>
          <w:szCs w:val="20"/>
        </w:rPr>
      </w:pPr>
    </w:p>
    <w:p w14:paraId="52217EB2" w14:textId="5998C2E7" w:rsidR="001F49FD" w:rsidRDefault="00611419" w:rsidP="00F06716">
      <w:pPr>
        <w:pStyle w:val="Recuodecorpodetexto"/>
        <w:ind w:firstLine="709"/>
        <w:rPr>
          <w:szCs w:val="24"/>
        </w:rPr>
      </w:pPr>
      <w:r>
        <w:rPr>
          <w:szCs w:val="24"/>
        </w:rPr>
        <w:t xml:space="preserve">Enfim, é comum um violinista se referir à posição da mão no arco de uma Escola de violino baseado nas imagens e descrições de </w:t>
      </w:r>
      <w:r>
        <w:rPr>
          <w:i/>
          <w:szCs w:val="24"/>
        </w:rPr>
        <w:t>A Arte de tocar violino</w:t>
      </w:r>
      <w:r>
        <w:rPr>
          <w:szCs w:val="24"/>
        </w:rPr>
        <w:t xml:space="preserve">, consolidando-se como verdade e constituindo um marco na </w:t>
      </w:r>
      <w:r w:rsidR="000B06AC">
        <w:rPr>
          <w:szCs w:val="24"/>
        </w:rPr>
        <w:t>h</w:t>
      </w:r>
      <w:r>
        <w:rPr>
          <w:szCs w:val="24"/>
        </w:rPr>
        <w:t>istória da prática do instrumento:</w:t>
      </w:r>
    </w:p>
    <w:p w14:paraId="6A066201" w14:textId="77777777" w:rsidR="001F49FD" w:rsidRDefault="001F49FD">
      <w:pPr>
        <w:ind w:firstLine="708"/>
        <w:rPr>
          <w:rFonts w:ascii="Times New Roman" w:hAnsi="Times New Roman" w:cs="Times New Roman"/>
          <w:szCs w:val="24"/>
        </w:rPr>
      </w:pPr>
    </w:p>
    <w:p w14:paraId="11EABD6C" w14:textId="77777777" w:rsidR="001F49FD" w:rsidRDefault="00611419">
      <w:pPr>
        <w:spacing w:line="240" w:lineRule="auto"/>
        <w:ind w:hanging="425"/>
        <w:jc w:val="center"/>
        <w:rPr>
          <w:rFonts w:ascii="Times New Roman" w:hAnsi="Times New Roman" w:cs="Times New Roman"/>
          <w:szCs w:val="24"/>
        </w:rPr>
      </w:pPr>
      <w:r>
        <w:rPr>
          <w:noProof/>
        </w:rPr>
        <w:lastRenderedPageBreak/>
        <w:drawing>
          <wp:inline distT="0" distB="0" distL="0" distR="0" wp14:anchorId="33D86300" wp14:editId="0F5AB32C">
            <wp:extent cx="6085205" cy="2078355"/>
            <wp:effectExtent l="0" t="0" r="0" b="0"/>
            <wp:docPr id="9" name="Imagem 8"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8" descr="Imagem relacionada"/>
                    <pic:cNvPicPr>
                      <a:picLocks noChangeAspect="1" noChangeArrowheads="1"/>
                    </pic:cNvPicPr>
                  </pic:nvPicPr>
                  <pic:blipFill>
                    <a:blip r:embed="rId19"/>
                    <a:stretch>
                      <a:fillRect/>
                    </a:stretch>
                  </pic:blipFill>
                  <pic:spPr bwMode="auto">
                    <a:xfrm>
                      <a:off x="0" y="0"/>
                      <a:ext cx="6085205" cy="2078355"/>
                    </a:xfrm>
                    <a:prstGeom prst="rect">
                      <a:avLst/>
                    </a:prstGeom>
                  </pic:spPr>
                </pic:pic>
              </a:graphicData>
            </a:graphic>
          </wp:inline>
        </w:drawing>
      </w:r>
    </w:p>
    <w:p w14:paraId="757191C7" w14:textId="77777777" w:rsidR="001F49FD" w:rsidRDefault="00611419">
      <w:pPr>
        <w:pStyle w:val="Primeirorecuodecorpodetexto2"/>
        <w:tabs>
          <w:tab w:val="left" w:pos="1134"/>
        </w:tabs>
        <w:ind w:left="0" w:firstLine="0"/>
        <w:jc w:val="center"/>
        <w:rPr>
          <w:sz w:val="20"/>
          <w:szCs w:val="20"/>
        </w:rPr>
      </w:pPr>
      <w:r>
        <w:rPr>
          <w:b/>
          <w:sz w:val="20"/>
          <w:szCs w:val="20"/>
        </w:rPr>
        <w:t>Figura 9</w:t>
      </w:r>
      <w:r>
        <w:rPr>
          <w:sz w:val="20"/>
          <w:szCs w:val="20"/>
        </w:rPr>
        <w:t>: posição da mão no arco das diferentes Escolas de violino (</w:t>
      </w:r>
      <w:r>
        <w:rPr>
          <w:color w:val="222222"/>
          <w:sz w:val="20"/>
          <w:szCs w:val="20"/>
          <w:shd w:val="clear" w:color="auto" w:fill="FFFFFF"/>
        </w:rPr>
        <w:t>FLESCH, 1990, p. 100-101).</w:t>
      </w:r>
    </w:p>
    <w:p w14:paraId="20F26C51" w14:textId="77777777" w:rsidR="001F49FD" w:rsidRDefault="00611419" w:rsidP="000A6E65">
      <w:pPr>
        <w:pStyle w:val="Ttulo2"/>
      </w:pPr>
      <w:bookmarkStart w:id="85" w:name="_Toc219359032"/>
      <w:r>
        <w:t>2</w:t>
      </w:r>
      <w:bookmarkStart w:id="86" w:name="_Toc522439240"/>
      <w:bookmarkStart w:id="87" w:name="_Toc14331031"/>
      <w:r>
        <w:t xml:space="preserve">.3    Ivan </w:t>
      </w:r>
      <w:proofErr w:type="spellStart"/>
      <w:r>
        <w:t>Galamian</w:t>
      </w:r>
      <w:proofErr w:type="spellEnd"/>
      <w:r>
        <w:t>, ícone da pedagogia violinística</w:t>
      </w:r>
      <w:bookmarkEnd w:id="85"/>
      <w:bookmarkEnd w:id="86"/>
      <w:bookmarkEnd w:id="87"/>
    </w:p>
    <w:p w14:paraId="0F321DFF" w14:textId="77777777" w:rsidR="001F49FD" w:rsidRDefault="00611419" w:rsidP="00F06716">
      <w:pPr>
        <w:pStyle w:val="Recuodecorpodetexto"/>
        <w:ind w:firstLine="709"/>
      </w:pPr>
      <w:r>
        <w:rPr>
          <w:szCs w:val="24"/>
        </w:rPr>
        <w:t xml:space="preserve">Ivan </w:t>
      </w:r>
      <w:proofErr w:type="spellStart"/>
      <w:r>
        <w:rPr>
          <w:szCs w:val="24"/>
        </w:rPr>
        <w:t>Galamian</w:t>
      </w:r>
      <w:proofErr w:type="spellEnd"/>
      <w:r>
        <w:rPr>
          <w:szCs w:val="24"/>
        </w:rPr>
        <w:t xml:space="preserve"> (1903-1981) foi um dos professores mais requisitados da segunda metade do século XX, tornando-se um ícone da pedagogia do instrumento.</w:t>
      </w:r>
    </w:p>
    <w:p w14:paraId="10B56674" w14:textId="77777777" w:rsidR="001F49FD" w:rsidRDefault="00611419" w:rsidP="00F06716">
      <w:pPr>
        <w:pStyle w:val="Recuodecorpodetexto"/>
        <w:tabs>
          <w:tab w:val="left" w:pos="567"/>
        </w:tabs>
        <w:ind w:firstLine="709"/>
      </w:pPr>
      <w:r>
        <w:rPr>
          <w:szCs w:val="24"/>
        </w:rPr>
        <w:t>Nos seus primeiros anos de formação, sua genealogia violinística remonta a Joachim, pois, nascido na antiga Pérsia,</w:t>
      </w:r>
      <w:r>
        <w:rPr>
          <w:rStyle w:val="Refdenotaderodap"/>
          <w:rFonts w:cs="Times New Roman"/>
          <w:szCs w:val="24"/>
        </w:rPr>
        <w:footnoteReference w:id="31"/>
      </w:r>
      <w:r>
        <w:rPr>
          <w:szCs w:val="24"/>
        </w:rPr>
        <w:t xml:space="preserve"> migrou ainda criança para Moscou, onde iniciou seus estudos com </w:t>
      </w:r>
      <w:proofErr w:type="spellStart"/>
      <w:r>
        <w:rPr>
          <w:szCs w:val="24"/>
        </w:rPr>
        <w:t>Kostantin</w:t>
      </w:r>
      <w:proofErr w:type="spellEnd"/>
      <w:r>
        <w:rPr>
          <w:szCs w:val="24"/>
        </w:rPr>
        <w:t xml:space="preserve"> Mostras (1886-1965), um aluno de Leopold </w:t>
      </w:r>
      <w:proofErr w:type="spellStart"/>
      <w:r>
        <w:rPr>
          <w:szCs w:val="24"/>
        </w:rPr>
        <w:t>Auer</w:t>
      </w:r>
      <w:proofErr w:type="spellEnd"/>
      <w:r>
        <w:rPr>
          <w:szCs w:val="24"/>
        </w:rPr>
        <w:t>.</w:t>
      </w:r>
      <w:r>
        <w:rPr>
          <w:rStyle w:val="Refdenotaderodap"/>
          <w:rFonts w:cs="Times New Roman"/>
          <w:szCs w:val="24"/>
        </w:rPr>
        <w:footnoteReference w:id="32"/>
      </w:r>
      <w:r>
        <w:rPr>
          <w:szCs w:val="24"/>
        </w:rPr>
        <w:t xml:space="preserve"> Esse período parece ter sido suficiente para que </w:t>
      </w:r>
      <w:proofErr w:type="spellStart"/>
      <w:r>
        <w:rPr>
          <w:szCs w:val="24"/>
        </w:rPr>
        <w:t>Galamian</w:t>
      </w:r>
      <w:proofErr w:type="spellEnd"/>
      <w:r>
        <w:rPr>
          <w:szCs w:val="24"/>
        </w:rPr>
        <w:t xml:space="preserve"> alcançasse um alto nível instrumental, pois ao se mudar para Paris e continuar seus estudos sob a orientação de Lucien </w:t>
      </w:r>
      <w:proofErr w:type="spellStart"/>
      <w:r>
        <w:rPr>
          <w:szCs w:val="24"/>
        </w:rPr>
        <w:t>Capet</w:t>
      </w:r>
      <w:proofErr w:type="spellEnd"/>
      <w:r>
        <w:rPr>
          <w:szCs w:val="24"/>
        </w:rPr>
        <w:t xml:space="preserve"> (1873-1928), tornou-se rapidamente seu assistente e estreou na capital francesa, no ano de 1924. </w:t>
      </w:r>
    </w:p>
    <w:p w14:paraId="1A282711" w14:textId="77777777" w:rsidR="001F49FD" w:rsidRDefault="00611419" w:rsidP="00F06716">
      <w:pPr>
        <w:pStyle w:val="Recuodecorpodetexto"/>
        <w:ind w:firstLine="709"/>
      </w:pPr>
      <w:r>
        <w:rPr>
          <w:szCs w:val="24"/>
        </w:rPr>
        <w:t xml:space="preserve">Diversos relatos afirmam que sua carreira artística foi abreviada por um severo problema de nervosismo no palco (KARP, 1981), impulsionando </w:t>
      </w:r>
      <w:proofErr w:type="spellStart"/>
      <w:r>
        <w:rPr>
          <w:szCs w:val="24"/>
        </w:rPr>
        <w:t>Galamian</w:t>
      </w:r>
      <w:proofErr w:type="spellEnd"/>
      <w:r>
        <w:rPr>
          <w:szCs w:val="24"/>
        </w:rPr>
        <w:t xml:space="preserve"> a dedicar-se plenamente à pedagogia, principalmente quando parte para os Estados Unidos fugido do crescente fascismo na Europa. Em 1944 integra o </w:t>
      </w:r>
      <w:r>
        <w:rPr>
          <w:i/>
          <w:szCs w:val="24"/>
        </w:rPr>
        <w:t xml:space="preserve">Curtis </w:t>
      </w:r>
      <w:proofErr w:type="spellStart"/>
      <w:r>
        <w:rPr>
          <w:i/>
          <w:szCs w:val="24"/>
        </w:rPr>
        <w:t>Institute</w:t>
      </w:r>
      <w:proofErr w:type="spellEnd"/>
      <w:r>
        <w:rPr>
          <w:i/>
          <w:szCs w:val="24"/>
        </w:rPr>
        <w:t xml:space="preserve"> </w:t>
      </w:r>
      <w:proofErr w:type="spellStart"/>
      <w:r>
        <w:rPr>
          <w:i/>
          <w:szCs w:val="24"/>
        </w:rPr>
        <w:t>of</w:t>
      </w:r>
      <w:proofErr w:type="spellEnd"/>
      <w:r>
        <w:rPr>
          <w:i/>
          <w:szCs w:val="24"/>
        </w:rPr>
        <w:t xml:space="preserve"> Music</w:t>
      </w:r>
      <w:r>
        <w:rPr>
          <w:szCs w:val="24"/>
        </w:rPr>
        <w:t xml:space="preserve">, na Filadélfia, e em seguida a </w:t>
      </w:r>
      <w:r>
        <w:rPr>
          <w:i/>
          <w:szCs w:val="24"/>
        </w:rPr>
        <w:t xml:space="preserve">Julliard </w:t>
      </w:r>
      <w:proofErr w:type="spellStart"/>
      <w:r>
        <w:rPr>
          <w:i/>
          <w:szCs w:val="24"/>
        </w:rPr>
        <w:t>School</w:t>
      </w:r>
      <w:proofErr w:type="spellEnd"/>
      <w:r>
        <w:rPr>
          <w:i/>
          <w:szCs w:val="24"/>
        </w:rPr>
        <w:t xml:space="preserve"> </w:t>
      </w:r>
      <w:proofErr w:type="spellStart"/>
      <w:r>
        <w:rPr>
          <w:i/>
          <w:szCs w:val="24"/>
        </w:rPr>
        <w:t>of</w:t>
      </w:r>
      <w:proofErr w:type="spellEnd"/>
      <w:r>
        <w:rPr>
          <w:i/>
          <w:szCs w:val="24"/>
        </w:rPr>
        <w:t xml:space="preserve"> Music</w:t>
      </w:r>
      <w:r>
        <w:rPr>
          <w:szCs w:val="24"/>
        </w:rPr>
        <w:t>, em Nova York, no ano de 1946, lecionando nas duas instituições até o fim da vida.</w:t>
      </w:r>
    </w:p>
    <w:p w14:paraId="116F7020" w14:textId="77777777" w:rsidR="001F49FD" w:rsidRDefault="00611419" w:rsidP="00F06716">
      <w:pPr>
        <w:pStyle w:val="Recuodecorpodetexto"/>
        <w:ind w:firstLine="709"/>
      </w:pPr>
      <w:r>
        <w:rPr>
          <w:szCs w:val="24"/>
        </w:rPr>
        <w:t xml:space="preserve">Além de editar diversos concertos e sonatas para violino nas décadas de 60 e 70, </w:t>
      </w:r>
      <w:proofErr w:type="spellStart"/>
      <w:r>
        <w:rPr>
          <w:szCs w:val="24"/>
        </w:rPr>
        <w:t>Galamian</w:t>
      </w:r>
      <w:proofErr w:type="spellEnd"/>
      <w:r>
        <w:rPr>
          <w:szCs w:val="24"/>
        </w:rPr>
        <w:t xml:space="preserve"> publicou o </w:t>
      </w:r>
      <w:r>
        <w:rPr>
          <w:rStyle w:val="CitaoHTML"/>
          <w:rFonts w:cs="Times New Roman"/>
          <w:szCs w:val="24"/>
        </w:rPr>
        <w:t xml:space="preserve"> </w:t>
      </w:r>
      <w:hyperlink r:id="rId20">
        <w:proofErr w:type="spellStart"/>
        <w:r w:rsidR="001F49FD">
          <w:rPr>
            <w:rStyle w:val="Hyperlink"/>
            <w:rFonts w:cs="Times New Roman"/>
            <w:i/>
            <w:iCs/>
            <w:szCs w:val="24"/>
          </w:rPr>
          <w:t>Principles</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of</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Violin</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Playing</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and</w:t>
        </w:r>
        <w:proofErr w:type="spellEnd"/>
        <w:r w:rsidR="001F49FD">
          <w:rPr>
            <w:rStyle w:val="Hyperlink"/>
            <w:rFonts w:cs="Times New Roman"/>
            <w:i/>
            <w:iCs/>
            <w:szCs w:val="24"/>
          </w:rPr>
          <w:t xml:space="preserve"> </w:t>
        </w:r>
        <w:proofErr w:type="spellStart"/>
        <w:r w:rsidR="001F49FD">
          <w:rPr>
            <w:rStyle w:val="Hyperlink"/>
            <w:rFonts w:cs="Times New Roman"/>
            <w:i/>
            <w:iCs/>
            <w:szCs w:val="24"/>
          </w:rPr>
          <w:t>Teaching</w:t>
        </w:r>
        <w:proofErr w:type="spellEnd"/>
      </w:hyperlink>
      <w:r>
        <w:rPr>
          <w:rStyle w:val="Hyperlink"/>
          <w:rFonts w:cs="Times New Roman"/>
          <w:iCs/>
          <w:szCs w:val="24"/>
        </w:rPr>
        <w:t xml:space="preserve"> (GALAMIAN, 1964)</w:t>
      </w:r>
      <w:r>
        <w:rPr>
          <w:rStyle w:val="CitaoHTML"/>
          <w:rFonts w:cs="Times New Roman"/>
          <w:i w:val="0"/>
          <w:szCs w:val="24"/>
        </w:rPr>
        <w:t xml:space="preserve">. Assim como para </w:t>
      </w:r>
      <w:proofErr w:type="spellStart"/>
      <w:r>
        <w:rPr>
          <w:rStyle w:val="CitaoHTML"/>
          <w:rFonts w:cs="Times New Roman"/>
          <w:i w:val="0"/>
          <w:szCs w:val="24"/>
        </w:rPr>
        <w:t>Auer</w:t>
      </w:r>
      <w:proofErr w:type="spellEnd"/>
      <w:r>
        <w:rPr>
          <w:rStyle w:val="CitaoHTML"/>
          <w:rFonts w:cs="Times New Roman"/>
          <w:i w:val="0"/>
          <w:szCs w:val="24"/>
        </w:rPr>
        <w:t>, esse registro literário foi realizado graças à contribuição de seus alunos e pelo forte interesse de editores nas suas últimas décadas de vida, em função do prestígio de sua carreira pedagógica.</w:t>
      </w:r>
    </w:p>
    <w:p w14:paraId="7B2D30E5" w14:textId="77777777" w:rsidR="001F49FD" w:rsidRDefault="00611419" w:rsidP="00F06716">
      <w:pPr>
        <w:pStyle w:val="Recuodecorpodetexto"/>
        <w:ind w:firstLine="709"/>
        <w:rPr>
          <w:rStyle w:val="Hyperlink"/>
          <w:rFonts w:ascii="Times New Roman" w:hAnsi="Times New Roman" w:cs="Times New Roman"/>
          <w:iCs/>
          <w:szCs w:val="24"/>
        </w:rPr>
      </w:pPr>
      <w:r>
        <w:rPr>
          <w:rStyle w:val="CitaoHTML"/>
          <w:rFonts w:cs="Times New Roman"/>
          <w:i w:val="0"/>
          <w:szCs w:val="24"/>
        </w:rPr>
        <w:lastRenderedPageBreak/>
        <w:t xml:space="preserve">Nessa obra, os preceitos de </w:t>
      </w:r>
      <w:proofErr w:type="spellStart"/>
      <w:r>
        <w:rPr>
          <w:rStyle w:val="CitaoHTML"/>
          <w:rFonts w:cs="Times New Roman"/>
          <w:i w:val="0"/>
          <w:szCs w:val="24"/>
        </w:rPr>
        <w:t>Galamian</w:t>
      </w:r>
      <w:proofErr w:type="spellEnd"/>
      <w:r>
        <w:rPr>
          <w:rStyle w:val="CitaoHTML"/>
          <w:rFonts w:cs="Times New Roman"/>
          <w:i w:val="0"/>
          <w:szCs w:val="24"/>
        </w:rPr>
        <w:t xml:space="preserve"> sobre questões técnicas fundamentais estão detalhadamente estabelecidos</w:t>
      </w:r>
      <w:r>
        <w:rPr>
          <w:rStyle w:val="Hyperlink"/>
          <w:rFonts w:cs="Times New Roman"/>
          <w:iCs/>
          <w:szCs w:val="24"/>
        </w:rPr>
        <w:t xml:space="preserve">, embora o autor alerte em sua introdução sobre o perigo de adotar regras na aprendizagem: </w:t>
      </w:r>
    </w:p>
    <w:p w14:paraId="0FB9C704" w14:textId="397ADA33" w:rsidR="001F49FD" w:rsidRDefault="00611419" w:rsidP="00982256">
      <w:pPr>
        <w:pStyle w:val="Recuodecorpodetexto"/>
        <w:spacing w:line="240" w:lineRule="auto"/>
        <w:ind w:left="2268" w:firstLine="0"/>
        <w:rPr>
          <w:rStyle w:val="Hyperlink"/>
          <w:rFonts w:ascii="Times New Roman" w:hAnsi="Times New Roman" w:cs="Times New Roman"/>
          <w:iCs/>
          <w:sz w:val="20"/>
          <w:szCs w:val="20"/>
        </w:rPr>
      </w:pPr>
      <w:r>
        <w:rPr>
          <w:rStyle w:val="Hyperlink"/>
          <w:rFonts w:cs="Times New Roman"/>
          <w:iCs/>
          <w:sz w:val="20"/>
          <w:szCs w:val="20"/>
        </w:rPr>
        <w:t xml:space="preserve">A elaboração de regras rígidas é um procedimento perigoso, uma vez que as </w:t>
      </w:r>
      <w:r w:rsidR="00982256">
        <w:rPr>
          <w:rStyle w:val="Hyperlink"/>
          <w:rFonts w:cs="Times New Roman"/>
          <w:iCs/>
          <w:sz w:val="20"/>
          <w:szCs w:val="20"/>
        </w:rPr>
        <w:t xml:space="preserve">  </w:t>
      </w:r>
      <w:r>
        <w:rPr>
          <w:rStyle w:val="Hyperlink"/>
          <w:rFonts w:cs="Times New Roman"/>
          <w:iCs/>
          <w:sz w:val="20"/>
          <w:szCs w:val="20"/>
        </w:rPr>
        <w:t>regras devem ser feitas para o benefício dos alunos, os quais não devem ser usados para glorificá-las (GALAMIAN, 1964, p. 1).</w:t>
      </w:r>
    </w:p>
    <w:p w14:paraId="6514A7D0" w14:textId="77777777" w:rsidR="001F49FD" w:rsidRDefault="001F49FD" w:rsidP="00F06716">
      <w:pPr>
        <w:pStyle w:val="Recuodecorpodetexto"/>
        <w:spacing w:line="240" w:lineRule="auto"/>
        <w:ind w:left="2268" w:firstLine="709"/>
        <w:rPr>
          <w:rStyle w:val="Hyperlink"/>
          <w:rFonts w:ascii="Times New Roman" w:hAnsi="Times New Roman" w:cs="Times New Roman"/>
          <w:iCs/>
          <w:sz w:val="20"/>
          <w:szCs w:val="20"/>
        </w:rPr>
      </w:pPr>
    </w:p>
    <w:p w14:paraId="6476BBB7" w14:textId="77777777" w:rsidR="001F49FD" w:rsidRDefault="00611419" w:rsidP="00982256">
      <w:pPr>
        <w:pStyle w:val="Primeirorecuodecorpodetexto2"/>
        <w:spacing w:line="240" w:lineRule="auto"/>
        <w:ind w:left="2268" w:firstLine="0"/>
        <w:rPr>
          <w:rStyle w:val="Hyperlink"/>
          <w:rFonts w:ascii="Times New Roman" w:hAnsi="Times New Roman" w:cs="Times New Roman"/>
          <w:iCs/>
          <w:sz w:val="20"/>
          <w:szCs w:val="20"/>
        </w:rPr>
      </w:pPr>
      <w:r>
        <w:rPr>
          <w:rStyle w:val="Hyperlink"/>
          <w:rFonts w:cs="Times New Roman"/>
          <w:iCs/>
          <w:sz w:val="20"/>
          <w:szCs w:val="20"/>
        </w:rPr>
        <w:t>Para tocar violino, como em qualquer outra forma de arte, não deve ser formulado um</w:t>
      </w:r>
      <w:r>
        <w:rPr>
          <w:rFonts w:eastAsia="Times New Roman"/>
          <w:sz w:val="20"/>
          <w:szCs w:val="20"/>
          <w:lang w:val="pt-PT"/>
        </w:rPr>
        <w:t xml:space="preserve"> conjunto de regras inflexíveis, mas sim princípios gerais suficientemente amplos para abrigar todos os casos, e ainda flexíveis o suficiente para serem aplicados a qualquer caso particular </w:t>
      </w:r>
      <w:r>
        <w:rPr>
          <w:rStyle w:val="Hyperlink"/>
          <w:rFonts w:cs="Times New Roman"/>
          <w:iCs/>
          <w:sz w:val="20"/>
          <w:szCs w:val="20"/>
        </w:rPr>
        <w:t>(GALAMIAN, 1964, p. 1).</w:t>
      </w:r>
    </w:p>
    <w:p w14:paraId="3A0C3D90" w14:textId="77777777" w:rsidR="001F49FD" w:rsidRDefault="001F49FD" w:rsidP="00F06716">
      <w:pPr>
        <w:pStyle w:val="Primeirorecuodecorpodetexto2"/>
        <w:ind w:left="0" w:firstLine="709"/>
        <w:rPr>
          <w:rStyle w:val="Hyperlink"/>
          <w:rFonts w:ascii="Times New Roman" w:hAnsi="Times New Roman" w:cs="Times New Roman"/>
          <w:iCs/>
          <w:sz w:val="20"/>
          <w:szCs w:val="20"/>
        </w:rPr>
      </w:pPr>
    </w:p>
    <w:p w14:paraId="02A28E3D" w14:textId="77777777" w:rsidR="001F49FD" w:rsidRDefault="00611419" w:rsidP="00F06716">
      <w:pPr>
        <w:pStyle w:val="Recuodecorpodetexto"/>
        <w:tabs>
          <w:tab w:val="left" w:pos="567"/>
        </w:tabs>
        <w:ind w:firstLine="709"/>
      </w:pPr>
      <w:r>
        <w:t xml:space="preserve">As características físicas e psicológicas do violinista, já contempladas no ensino </w:t>
      </w:r>
      <w:r>
        <w:rPr>
          <w:szCs w:val="24"/>
        </w:rPr>
        <w:t xml:space="preserve">de Flesch, fizeram-se ainda mais presentes no pensamento pedagógico de </w:t>
      </w:r>
      <w:proofErr w:type="spellStart"/>
      <w:r>
        <w:rPr>
          <w:szCs w:val="24"/>
        </w:rPr>
        <w:t>Galamian</w:t>
      </w:r>
      <w:proofErr w:type="spellEnd"/>
      <w:r>
        <w:rPr>
          <w:szCs w:val="24"/>
        </w:rPr>
        <w:t xml:space="preserve">, que se valeu dos conceitos de individualidade e flexibilidade como premissa para as regras da técnica violinística. </w:t>
      </w:r>
    </w:p>
    <w:p w14:paraId="5E83EA17" w14:textId="5291ED44" w:rsidR="00982256" w:rsidRDefault="00611419" w:rsidP="000A6E65">
      <w:pPr>
        <w:pStyle w:val="Recuodecorpodetexto"/>
        <w:ind w:firstLine="709"/>
      </w:pPr>
      <w:r>
        <w:rPr>
          <w:szCs w:val="24"/>
        </w:rPr>
        <w:t xml:space="preserve">Em nossos dias seus alunos ainda atuam e lecionam, confirmando </w:t>
      </w:r>
      <w:proofErr w:type="spellStart"/>
      <w:r>
        <w:rPr>
          <w:szCs w:val="24"/>
        </w:rPr>
        <w:t>Galamian</w:t>
      </w:r>
      <w:proofErr w:type="spellEnd"/>
      <w:r>
        <w:rPr>
          <w:szCs w:val="24"/>
        </w:rPr>
        <w:t xml:space="preserve"> como um dos últimos elos entre etapas remotas da prática do violino e o pensamento contemporâneo.</w:t>
      </w:r>
      <w:bookmarkStart w:id="88" w:name="_Toc522439241"/>
      <w:bookmarkStart w:id="89" w:name="_Toc14331032"/>
    </w:p>
    <w:p w14:paraId="3772CC82" w14:textId="50DD8D56" w:rsidR="001F49FD" w:rsidRDefault="00611419" w:rsidP="000A6E65">
      <w:pPr>
        <w:pStyle w:val="Ttulo3"/>
      </w:pPr>
      <w:bookmarkStart w:id="90" w:name="_Toc219359033"/>
      <w:r>
        <w:t xml:space="preserve">Principais preceitos do método de </w:t>
      </w:r>
      <w:proofErr w:type="spellStart"/>
      <w:r>
        <w:t>Galamian</w:t>
      </w:r>
      <w:bookmarkEnd w:id="88"/>
      <w:bookmarkEnd w:id="89"/>
      <w:bookmarkEnd w:id="90"/>
      <w:proofErr w:type="spellEnd"/>
    </w:p>
    <w:p w14:paraId="4A1C763C" w14:textId="77777777" w:rsidR="001F49FD" w:rsidRDefault="00611419" w:rsidP="00982256">
      <w:pPr>
        <w:pStyle w:val="Recuodecorpodetexto"/>
        <w:ind w:firstLine="709"/>
      </w:pPr>
      <w:proofErr w:type="spellStart"/>
      <w:r>
        <w:rPr>
          <w:rStyle w:val="CitaoHTML"/>
          <w:rFonts w:cs="Times New Roman"/>
          <w:szCs w:val="24"/>
        </w:rPr>
        <w:t>Principles</w:t>
      </w:r>
      <w:proofErr w:type="spellEnd"/>
      <w:r>
        <w:rPr>
          <w:rStyle w:val="CitaoHTML"/>
          <w:rFonts w:cs="Times New Roman"/>
          <w:szCs w:val="24"/>
        </w:rPr>
        <w:t xml:space="preserve"> </w:t>
      </w:r>
      <w:proofErr w:type="spellStart"/>
      <w:r>
        <w:rPr>
          <w:rStyle w:val="CitaoHTML"/>
          <w:rFonts w:cs="Times New Roman"/>
          <w:szCs w:val="24"/>
        </w:rPr>
        <w:t>of</w:t>
      </w:r>
      <w:proofErr w:type="spellEnd"/>
      <w:r>
        <w:rPr>
          <w:rStyle w:val="CitaoHTML"/>
          <w:rFonts w:cs="Times New Roman"/>
          <w:szCs w:val="24"/>
        </w:rPr>
        <w:t xml:space="preserve"> </w:t>
      </w:r>
      <w:proofErr w:type="spellStart"/>
      <w:r>
        <w:rPr>
          <w:rStyle w:val="CitaoHTML"/>
          <w:rFonts w:cs="Times New Roman"/>
          <w:szCs w:val="24"/>
        </w:rPr>
        <w:t>violin</w:t>
      </w:r>
      <w:proofErr w:type="spellEnd"/>
      <w:r>
        <w:rPr>
          <w:rStyle w:val="CitaoHTML"/>
          <w:rFonts w:cs="Times New Roman"/>
          <w:szCs w:val="24"/>
        </w:rPr>
        <w:t xml:space="preserve"> </w:t>
      </w:r>
      <w:proofErr w:type="spellStart"/>
      <w:r>
        <w:rPr>
          <w:rStyle w:val="CitaoHTML"/>
          <w:rFonts w:cs="Times New Roman"/>
          <w:szCs w:val="24"/>
        </w:rPr>
        <w:t>playing</w:t>
      </w:r>
      <w:proofErr w:type="spellEnd"/>
      <w:r>
        <w:rPr>
          <w:rStyle w:val="CitaoHTML"/>
          <w:rFonts w:cs="Times New Roman"/>
          <w:szCs w:val="24"/>
        </w:rPr>
        <w:t xml:space="preserve"> </w:t>
      </w:r>
      <w:proofErr w:type="spellStart"/>
      <w:r>
        <w:rPr>
          <w:rStyle w:val="CitaoHTML"/>
          <w:rFonts w:cs="Times New Roman"/>
          <w:szCs w:val="24"/>
        </w:rPr>
        <w:t>and</w:t>
      </w:r>
      <w:proofErr w:type="spellEnd"/>
      <w:r>
        <w:rPr>
          <w:rStyle w:val="CitaoHTML"/>
          <w:rFonts w:cs="Times New Roman"/>
          <w:szCs w:val="24"/>
        </w:rPr>
        <w:t xml:space="preserve"> </w:t>
      </w:r>
      <w:proofErr w:type="spellStart"/>
      <w:r>
        <w:rPr>
          <w:rStyle w:val="CitaoHTML"/>
          <w:rFonts w:cs="Times New Roman"/>
          <w:szCs w:val="24"/>
        </w:rPr>
        <w:t>teaching</w:t>
      </w:r>
      <w:proofErr w:type="spellEnd"/>
      <w:r>
        <w:rPr>
          <w:rStyle w:val="CitaoHTML"/>
          <w:rFonts w:cs="Times New Roman"/>
          <w:i w:val="0"/>
          <w:szCs w:val="24"/>
        </w:rPr>
        <w:t xml:space="preserve"> contém quatro capítulos: </w:t>
      </w:r>
      <w:r>
        <w:rPr>
          <w:rStyle w:val="CitaoHTML"/>
          <w:rFonts w:cs="Times New Roman"/>
          <w:b/>
          <w:i w:val="0"/>
          <w:szCs w:val="24"/>
        </w:rPr>
        <w:t>Técnica e Interpretação</w:t>
      </w:r>
      <w:r>
        <w:rPr>
          <w:rStyle w:val="CitaoHTML"/>
          <w:rFonts w:cs="Times New Roman"/>
          <w:i w:val="0"/>
          <w:szCs w:val="24"/>
        </w:rPr>
        <w:t xml:space="preserve">; </w:t>
      </w:r>
      <w:r>
        <w:rPr>
          <w:rStyle w:val="CitaoHTML"/>
          <w:rFonts w:cs="Times New Roman"/>
          <w:b/>
          <w:i w:val="0"/>
          <w:szCs w:val="24"/>
        </w:rPr>
        <w:t>A mão esquerda</w:t>
      </w:r>
      <w:r>
        <w:rPr>
          <w:rStyle w:val="CitaoHTML"/>
          <w:rFonts w:cs="Times New Roman"/>
          <w:i w:val="0"/>
          <w:szCs w:val="24"/>
        </w:rPr>
        <w:t xml:space="preserve">; </w:t>
      </w:r>
      <w:r>
        <w:rPr>
          <w:rStyle w:val="CitaoHTML"/>
          <w:rFonts w:cs="Times New Roman"/>
          <w:b/>
          <w:i w:val="0"/>
          <w:szCs w:val="24"/>
        </w:rPr>
        <w:t>A mão direita</w:t>
      </w:r>
      <w:r>
        <w:rPr>
          <w:rStyle w:val="CitaoHTML"/>
          <w:rFonts w:cs="Times New Roman"/>
          <w:i w:val="0"/>
          <w:szCs w:val="24"/>
        </w:rPr>
        <w:t xml:space="preserve">; </w:t>
      </w:r>
      <w:r>
        <w:rPr>
          <w:rStyle w:val="CitaoHTML"/>
          <w:rFonts w:cs="Times New Roman"/>
          <w:b/>
          <w:i w:val="0"/>
          <w:szCs w:val="24"/>
        </w:rPr>
        <w:t>Estudando</w:t>
      </w:r>
      <w:r>
        <w:rPr>
          <w:rStyle w:val="CitaoHTML"/>
          <w:rFonts w:cs="Times New Roman"/>
          <w:i w:val="0"/>
          <w:szCs w:val="24"/>
        </w:rPr>
        <w:t>.</w:t>
      </w:r>
    </w:p>
    <w:p w14:paraId="40F0C1ED" w14:textId="77777777" w:rsidR="001F49FD" w:rsidRDefault="00611419" w:rsidP="00982256">
      <w:pPr>
        <w:pStyle w:val="Recuodecorpodetexto"/>
        <w:ind w:firstLine="709"/>
      </w:pPr>
      <w:r>
        <w:rPr>
          <w:rStyle w:val="CitaoHTML"/>
          <w:rFonts w:cs="Times New Roman"/>
          <w:i w:val="0"/>
          <w:szCs w:val="24"/>
        </w:rPr>
        <w:t xml:space="preserve">No primeiro capítulo, </w:t>
      </w:r>
      <w:proofErr w:type="spellStart"/>
      <w:r>
        <w:rPr>
          <w:rStyle w:val="CitaoHTML"/>
          <w:rFonts w:cs="Times New Roman"/>
          <w:i w:val="0"/>
          <w:szCs w:val="24"/>
        </w:rPr>
        <w:t>Galamian</w:t>
      </w:r>
      <w:proofErr w:type="spellEnd"/>
      <w:r>
        <w:rPr>
          <w:rStyle w:val="CitaoHTML"/>
          <w:rFonts w:cs="Times New Roman"/>
          <w:i w:val="0"/>
          <w:szCs w:val="24"/>
        </w:rPr>
        <w:t xml:space="preserve"> discorre principalmente sobre as relações entre os aspectos físicos, mentais e emocionais, valendo-se do conceito de </w:t>
      </w:r>
      <w:r>
        <w:rPr>
          <w:rStyle w:val="CitaoHTML"/>
          <w:rFonts w:cs="Times New Roman"/>
          <w:szCs w:val="24"/>
        </w:rPr>
        <w:t>correlação</w:t>
      </w:r>
      <w:r>
        <w:rPr>
          <w:rStyle w:val="CitaoHTML"/>
          <w:rFonts w:cs="Times New Roman"/>
          <w:i w:val="0"/>
          <w:iCs w:val="0"/>
          <w:szCs w:val="24"/>
        </w:rPr>
        <w:t>,</w:t>
      </w:r>
      <w:r>
        <w:rPr>
          <w:rStyle w:val="CitaoHTML"/>
          <w:rFonts w:cs="Times New Roman"/>
          <w:i w:val="0"/>
          <w:szCs w:val="24"/>
        </w:rPr>
        <w:t xml:space="preserve"> que trata do domínio da mente sobre o acionamento dos músculos na execução instrumental. </w:t>
      </w:r>
    </w:p>
    <w:p w14:paraId="6F4C6AAD" w14:textId="77777777" w:rsidR="001F49FD" w:rsidRDefault="00611419" w:rsidP="00982256">
      <w:pPr>
        <w:pStyle w:val="Recuodecorpodetexto"/>
        <w:ind w:firstLine="709"/>
      </w:pPr>
      <w:r>
        <w:rPr>
          <w:rStyle w:val="CitaoHTML"/>
          <w:rFonts w:cs="Times New Roman"/>
          <w:i w:val="0"/>
          <w:szCs w:val="24"/>
        </w:rPr>
        <w:t xml:space="preserve">A seção </w:t>
      </w:r>
      <w:r>
        <w:rPr>
          <w:rStyle w:val="CitaoHTML"/>
          <w:rFonts w:cs="Times New Roman"/>
          <w:b/>
          <w:i w:val="0"/>
          <w:szCs w:val="24"/>
        </w:rPr>
        <w:t>Corpo e instrumento</w:t>
      </w:r>
      <w:r>
        <w:rPr>
          <w:rStyle w:val="CitaoHTML"/>
          <w:rFonts w:cs="Times New Roman"/>
          <w:i w:val="0"/>
          <w:szCs w:val="24"/>
        </w:rPr>
        <w:t xml:space="preserve"> está inserida no segundo capítulo, intitulado </w:t>
      </w:r>
      <w:r>
        <w:rPr>
          <w:rStyle w:val="CitaoHTML"/>
          <w:rFonts w:cs="Times New Roman"/>
          <w:b/>
          <w:i w:val="0"/>
          <w:szCs w:val="24"/>
        </w:rPr>
        <w:t>A mão esquerda</w:t>
      </w:r>
      <w:r>
        <w:rPr>
          <w:rStyle w:val="CitaoHTML"/>
          <w:rFonts w:cs="Times New Roman"/>
          <w:i w:val="0"/>
          <w:szCs w:val="24"/>
        </w:rPr>
        <w:t xml:space="preserve">, indicando que, na concepção do autor, a postura corporal e a sustentação do violino estão vinculadas à técnica de mão esquerda. Ambiguamente, sua opção pela posição do violino com a voluta elevada (descrita abaixo no terceiro preceito) – é justificada em função da técnica de arco. </w:t>
      </w:r>
      <w:proofErr w:type="spellStart"/>
      <w:r>
        <w:rPr>
          <w:rStyle w:val="CitaoHTML"/>
          <w:rFonts w:cs="Times New Roman"/>
          <w:i w:val="0"/>
          <w:szCs w:val="24"/>
        </w:rPr>
        <w:t>Galamian</w:t>
      </w:r>
      <w:proofErr w:type="spellEnd"/>
      <w:r>
        <w:rPr>
          <w:rStyle w:val="CitaoHTML"/>
          <w:rFonts w:cs="Times New Roman"/>
          <w:i w:val="0"/>
          <w:szCs w:val="24"/>
        </w:rPr>
        <w:t xml:space="preserve"> esforça-se em não estabelecer regras precisas, ressaltando as variações de sustentação existentes entre a mão esquerda e o apoio do queixo:</w:t>
      </w:r>
    </w:p>
    <w:p w14:paraId="61A556EC" w14:textId="77777777" w:rsidR="001F49FD" w:rsidRDefault="001F49FD">
      <w:pPr>
        <w:pStyle w:val="Recuodecorpodetexto"/>
        <w:ind w:left="283" w:firstLine="1134"/>
        <w:rPr>
          <w:rStyle w:val="CitaoHTML"/>
          <w:rFonts w:ascii="Times New Roman" w:hAnsi="Times New Roman" w:cs="Times New Roman"/>
          <w:b/>
          <w:i w:val="0"/>
          <w:szCs w:val="24"/>
        </w:rPr>
      </w:pPr>
    </w:p>
    <w:p w14:paraId="1F04811D" w14:textId="77777777" w:rsidR="001F49FD" w:rsidRDefault="00611419">
      <w:pPr>
        <w:pStyle w:val="Recuodecorpodetexto"/>
        <w:numPr>
          <w:ilvl w:val="0"/>
          <w:numId w:val="4"/>
        </w:numPr>
        <w:ind w:left="1276" w:hanging="142"/>
        <w:rPr>
          <w:rStyle w:val="CitaoHTML"/>
          <w:rFonts w:ascii="Times New Roman" w:hAnsi="Times New Roman" w:cs="Times New Roman"/>
          <w:b/>
          <w:i w:val="0"/>
          <w:szCs w:val="24"/>
        </w:rPr>
      </w:pPr>
      <w:r>
        <w:rPr>
          <w:rStyle w:val="CitaoHTML"/>
          <w:rFonts w:cs="Times New Roman"/>
          <w:b/>
          <w:i w:val="0"/>
          <w:szCs w:val="24"/>
        </w:rPr>
        <w:t xml:space="preserve">Corpo e instrumento </w:t>
      </w:r>
      <w:r>
        <w:rPr>
          <w:rStyle w:val="CitaoHTML"/>
          <w:rFonts w:cs="Times New Roman"/>
          <w:i w:val="0"/>
          <w:szCs w:val="24"/>
        </w:rPr>
        <w:t xml:space="preserve">(p. 12 e 13)  </w:t>
      </w:r>
      <w:r>
        <w:rPr>
          <w:rStyle w:val="Refdenotaderodap"/>
          <w:rFonts w:cs="Times New Roman"/>
          <w:szCs w:val="24"/>
        </w:rPr>
        <w:footnoteReference w:id="33"/>
      </w:r>
    </w:p>
    <w:p w14:paraId="0ADA0629" w14:textId="77777777" w:rsidR="001F49FD" w:rsidRDefault="00611419">
      <w:pPr>
        <w:pStyle w:val="PargrafodaLista"/>
        <w:ind w:left="0"/>
        <w:rPr>
          <w:rFonts w:ascii="Times New Roman" w:hAnsi="Times New Roman" w:cs="Times New Roman"/>
          <w:szCs w:val="24"/>
        </w:rPr>
      </w:pPr>
      <w:r>
        <w:rPr>
          <w:rStyle w:val="CitaoHTML"/>
          <w:rFonts w:cs="Times New Roman"/>
          <w:i w:val="0"/>
          <w:szCs w:val="24"/>
        </w:rPr>
        <w:t xml:space="preserve">- </w:t>
      </w:r>
      <w:r>
        <w:rPr>
          <w:rFonts w:cs="Times New Roman"/>
          <w:szCs w:val="24"/>
        </w:rPr>
        <w:t xml:space="preserve">“A maneira de se colocar de pé ou sentado não deve ser objeto de prescrições exatas, a não ser de se sentir à vontade.” </w:t>
      </w:r>
    </w:p>
    <w:p w14:paraId="692B1774" w14:textId="77777777" w:rsidR="001F49FD" w:rsidRDefault="00611419">
      <w:pPr>
        <w:pStyle w:val="Recuodecorpodetexto"/>
        <w:ind w:firstLine="1134"/>
      </w:pPr>
      <w:r>
        <w:rPr>
          <w:szCs w:val="24"/>
        </w:rPr>
        <w:lastRenderedPageBreak/>
        <w:t>- “Não há uma regra exata de como se deve segurar o instrumento. Alguns artistas sustentam o violino inteiramente com o ombro e a cabeça e estão evidentemente confortáveis ao fazê-lo. Outros relegam o suporte do instrumento para a mão esquerda, repousando o violino na clavícula.”</w:t>
      </w:r>
    </w:p>
    <w:p w14:paraId="352F9EB3" w14:textId="445E6DA1" w:rsidR="001F49FD" w:rsidRDefault="00611419">
      <w:pPr>
        <w:pStyle w:val="Recuodecorpodetexto"/>
        <w:ind w:firstLine="1134"/>
      </w:pPr>
      <w:r>
        <w:rPr>
          <w:szCs w:val="24"/>
        </w:rPr>
        <w:t>- “Sobre a altura da voluta, é melhor tê-la mais alta do que mais baixa.</w:t>
      </w:r>
      <w:r>
        <w:rPr>
          <w:rStyle w:val="CitaoHTML"/>
          <w:rFonts w:cs="Times New Roman"/>
          <w:i w:val="0"/>
          <w:szCs w:val="24"/>
        </w:rPr>
        <w:t xml:space="preserve"> Uma voluta alta leva o peso do instrumento </w:t>
      </w:r>
      <w:r>
        <w:rPr>
          <w:rStyle w:val="CitaoHTML"/>
          <w:rFonts w:cs="Times New Roman"/>
          <w:szCs w:val="24"/>
        </w:rPr>
        <w:t>na direção</w:t>
      </w:r>
      <w:r>
        <w:rPr>
          <w:rStyle w:val="CitaoHTML"/>
          <w:rFonts w:cs="Times New Roman"/>
          <w:i w:val="0"/>
          <w:szCs w:val="24"/>
        </w:rPr>
        <w:t xml:space="preserve"> do pescoço e do ombro do instrumentista, enquanto, se a voluta estiver muito baixa, grande parte do peso recai sobre a mão esquerda, e o arco tende a deslizar na direção do espelho.”</w:t>
      </w:r>
    </w:p>
    <w:p w14:paraId="7EE7FF88" w14:textId="77777777" w:rsidR="001F49FD" w:rsidRDefault="00611419">
      <w:pPr>
        <w:pStyle w:val="Recuodecorpodetexto"/>
        <w:ind w:firstLine="1134"/>
      </w:pPr>
      <w:r>
        <w:rPr>
          <w:rStyle w:val="CitaoHTML"/>
          <w:rFonts w:cs="Times New Roman"/>
          <w:i w:val="0"/>
          <w:szCs w:val="24"/>
        </w:rPr>
        <w:t xml:space="preserve">- </w:t>
      </w:r>
      <w:r>
        <w:t xml:space="preserve">“O queixo nunca deve encostar-se ao estandarte. É aconselhável o uso de uma </w:t>
      </w:r>
      <w:proofErr w:type="spellStart"/>
      <w:r>
        <w:t>queixeira</w:t>
      </w:r>
      <w:proofErr w:type="spellEnd"/>
      <w:r>
        <w:t xml:space="preserve"> que se localiza sobre o estandarte.” </w:t>
      </w:r>
    </w:p>
    <w:p w14:paraId="254301B0" w14:textId="77777777" w:rsidR="001F49FD" w:rsidRDefault="00611419">
      <w:pPr>
        <w:pStyle w:val="Recuodecorpodetexto"/>
        <w:ind w:left="283" w:firstLine="1134"/>
      </w:pPr>
      <w:r>
        <w:t xml:space="preserve">                     </w:t>
      </w:r>
    </w:p>
    <w:p w14:paraId="16A48B64" w14:textId="77777777" w:rsidR="001F49FD" w:rsidRDefault="00611419" w:rsidP="00982256">
      <w:pPr>
        <w:pStyle w:val="Recuodecorpodetexto"/>
        <w:ind w:firstLine="709"/>
      </w:pPr>
      <w:r>
        <w:t xml:space="preserve">Nos tópicos concernentes à técnica de mão esquerda, </w:t>
      </w:r>
      <w:proofErr w:type="spellStart"/>
      <w:r>
        <w:t>Galamian</w:t>
      </w:r>
      <w:proofErr w:type="spellEnd"/>
      <w:r>
        <w:t xml:space="preserve"> define que o posicionamento do braço e da mão está condicionado às características físicas do violinista, criticando assim a imposição de antigas escolas – sem mencioná-las especificamente – de colocar o cotovelo acentuadamente para a direita, e defende que o braço deve se posicionar em função do ponto de contato ideal dos dedos sobre a corda. O autor refuta, ainda, o ângulo paralelo da base da mão com relação ao espelho e a elevação exagerada dos dedos. Finalmente, estabelece um preceito técnico ainda não discutido pelos autores precedentes, o ponto de contato exato da ponta dos dedos com a corda:</w:t>
      </w:r>
    </w:p>
    <w:p w14:paraId="4184359F" w14:textId="77777777" w:rsidR="001F49FD" w:rsidRDefault="001F49FD">
      <w:pPr>
        <w:pStyle w:val="Recuodecorpodetexto"/>
        <w:ind w:left="283" w:firstLine="1134"/>
      </w:pPr>
    </w:p>
    <w:p w14:paraId="0809FABE" w14:textId="77777777" w:rsidR="001F49FD" w:rsidRDefault="00611419">
      <w:pPr>
        <w:pStyle w:val="Recuodecorpodetexto"/>
        <w:numPr>
          <w:ilvl w:val="0"/>
          <w:numId w:val="2"/>
        </w:numPr>
        <w:ind w:left="1276" w:hanging="142"/>
        <w:rPr>
          <w:b/>
        </w:rPr>
      </w:pPr>
      <w:r>
        <w:rPr>
          <w:b/>
        </w:rPr>
        <w:t xml:space="preserve">Braço esquerdo; Punho; Mão; Dedos e polegar </w:t>
      </w:r>
    </w:p>
    <w:p w14:paraId="01E506AC" w14:textId="77777777" w:rsidR="001F49FD" w:rsidRDefault="00611419">
      <w:pPr>
        <w:pStyle w:val="Recuodecorpodetexto"/>
        <w:ind w:firstLine="1134"/>
      </w:pPr>
      <w:r>
        <w:t>- “As antigas escolas de violino exigiam que todos os alunos empurrassem o cotovelo esquerdo demasiadamente para a direita.” (p. 13).</w:t>
      </w:r>
    </w:p>
    <w:p w14:paraId="4A3D9813" w14:textId="77777777" w:rsidR="001F49FD" w:rsidRDefault="00611419">
      <w:pPr>
        <w:pStyle w:val="Recuodecorpodetexto"/>
        <w:ind w:firstLine="1134"/>
      </w:pPr>
      <w:r>
        <w:t>- “O princípio correto para todo esse assunto designa os dedos como o fator determinante [...]. Feito isso, todo o resto – dedo polegar, mão, braço – irá consequentemente encontrar sua posição natural.” (p. 14)</w:t>
      </w:r>
      <w:r>
        <w:rPr>
          <w:rStyle w:val="CitaoHTML"/>
          <w:rFonts w:cs="Times New Roman"/>
          <w:i w:val="0"/>
          <w:szCs w:val="24"/>
        </w:rPr>
        <w:t>.</w:t>
      </w:r>
      <w:r>
        <w:t xml:space="preserve">  </w:t>
      </w:r>
    </w:p>
    <w:p w14:paraId="37FFF576" w14:textId="77777777" w:rsidR="001F49FD" w:rsidRDefault="00611419">
      <w:pPr>
        <w:pStyle w:val="Recuodecorpodetexto"/>
        <w:ind w:firstLine="1134"/>
      </w:pPr>
      <w:r>
        <w:t>- “Pode-se dizer que os violinistas com braços e dedos curtos deverão levar o cotovelo bem longe para a direita, enquanto aqueles com braços e dedos longos perceberão que o cotovelo se posicionará um pouco mais para a esquerda.” (p.14).</w:t>
      </w:r>
    </w:p>
    <w:p w14:paraId="71787134" w14:textId="77777777" w:rsidR="001F49FD" w:rsidRDefault="00611419">
      <w:pPr>
        <w:pStyle w:val="Recuodecorpodetexto"/>
        <w:ind w:firstLine="1134"/>
      </w:pPr>
      <w:r>
        <w:t>- “O quão alto (acima do nível do espelho) ou o quão baixo a mão deve ser posicionada depende novamente do formato da mão e de cada dedo.” (p. 15).</w:t>
      </w:r>
    </w:p>
    <w:p w14:paraId="349BC0B7" w14:textId="77777777" w:rsidR="001F49FD" w:rsidRDefault="00611419">
      <w:pPr>
        <w:pStyle w:val="Recuodecorpodetexto"/>
        <w:ind w:firstLine="1134"/>
      </w:pPr>
      <w:r>
        <w:lastRenderedPageBreak/>
        <w:t>- “Há uma corrente que defende que as articulações da base da mão esquerda devem estar paralelas às cordas. Tal posição não é natural e cria uma tensão devido à rotação excessiva da mão e do antebraço.” (p. 15).</w:t>
      </w:r>
    </w:p>
    <w:p w14:paraId="563D0AD0" w14:textId="75A08F34" w:rsidR="001F49FD" w:rsidRDefault="00611419">
      <w:pPr>
        <w:pStyle w:val="Recuodecorpodetexto"/>
        <w:ind w:firstLine="1134"/>
      </w:pPr>
      <w:r>
        <w:t>- “Os dedos descem perpendicularmente</w:t>
      </w:r>
      <w:r w:rsidR="009E4107">
        <w:t>,</w:t>
      </w:r>
      <w:r>
        <w:t xml:space="preserve"> tanto na posição ‘quadrada’ quanto na posição alongada, dependendo da nota tocada.” (p. 17).</w:t>
      </w:r>
    </w:p>
    <w:p w14:paraId="7ED4C1B3" w14:textId="77777777" w:rsidR="001F49FD" w:rsidRDefault="00611419">
      <w:pPr>
        <w:pStyle w:val="Recuodecorpodetexto"/>
        <w:ind w:firstLine="1134"/>
      </w:pPr>
      <w:r>
        <w:t xml:space="preserve">- “As pontas dos dedos inclinam-se ligeiramente em direção ao cavalete e seu ponto de contato com as cordas é levemente à esquerda do centro. Esta colocação à esquerda do centro da ponta do dedo é especialmente importante para o vibrato, que assim ganha liberdade e amplitude.” (p. 17). </w:t>
      </w:r>
    </w:p>
    <w:p w14:paraId="4317DEB2" w14:textId="77777777" w:rsidR="001F49FD" w:rsidRDefault="00611419">
      <w:pPr>
        <w:pStyle w:val="Recuodecorpodetexto"/>
        <w:ind w:firstLine="1134"/>
      </w:pPr>
      <w:r>
        <w:t>- “</w:t>
      </w:r>
      <w:r>
        <w:rPr>
          <w:rFonts w:eastAsia="Times New Roman"/>
        </w:rPr>
        <w:t>A elevação demasiada [dos dedos] retarda a ação, pois aumenta a distância a ser coberta. E as batidas e pressões tendem a criar tensões perigosas.”</w:t>
      </w:r>
      <w:r>
        <w:t xml:space="preserve"> (p.19).</w:t>
      </w:r>
    </w:p>
    <w:p w14:paraId="05C73772" w14:textId="77777777" w:rsidR="001F49FD" w:rsidRDefault="001F49FD">
      <w:pPr>
        <w:pStyle w:val="Recuodecorpodetexto"/>
        <w:ind w:left="283" w:firstLine="1134"/>
        <w:rPr>
          <w:rFonts w:eastAsia="Times New Roman"/>
        </w:rPr>
      </w:pPr>
    </w:p>
    <w:p w14:paraId="46A6CFA7" w14:textId="77777777" w:rsidR="001F49FD" w:rsidRDefault="00611419" w:rsidP="00982256">
      <w:pPr>
        <w:pStyle w:val="Recuodecorpodetexto"/>
        <w:ind w:firstLine="709"/>
      </w:pPr>
      <w:r>
        <w:t xml:space="preserve">No capítulo </w:t>
      </w:r>
      <w:r>
        <w:rPr>
          <w:b/>
        </w:rPr>
        <w:t>A mão direita,</w:t>
      </w:r>
      <w:r>
        <w:t xml:space="preserve"> é a seção </w:t>
      </w:r>
      <w:r>
        <w:rPr>
          <w:b/>
        </w:rPr>
        <w:t xml:space="preserve">Fundamentos </w:t>
      </w:r>
      <w:r>
        <w:t xml:space="preserve">que fornece os preceitos técnicos mais específicos, norteados pelo conceito de flexibilidade das articulações do ombro, cotovelo, punho e dedos – denominado </w:t>
      </w:r>
      <w:r>
        <w:rPr>
          <w:i/>
        </w:rPr>
        <w:t>Sistema de molas.</w:t>
      </w:r>
      <w:r>
        <w:t xml:space="preserve"> Assim, </w:t>
      </w:r>
      <w:proofErr w:type="spellStart"/>
      <w:r>
        <w:t>Galamian</w:t>
      </w:r>
      <w:proofErr w:type="spellEnd"/>
      <w:r>
        <w:t xml:space="preserve"> determina o ponto de contato ideal do dedo médio e do dedo indicador, ao qual atribui certa mobilidade, permitindo-o se distanciar dos demais. Em seguida, sua indicação sobre a colocação do dedo mínimo vem a ser um dos elementos mais originais de sua concepção da posição da mão no arco, pois não se situa acima da vareta, como recomendado usualmente. Por fim, condena a excessiva elevação do punho quando a mão está próxima ao talão:</w:t>
      </w:r>
    </w:p>
    <w:p w14:paraId="08791F33" w14:textId="77777777" w:rsidR="001F49FD" w:rsidRDefault="001F49FD">
      <w:pPr>
        <w:pStyle w:val="Recuodecorpodetexto"/>
        <w:ind w:left="283" w:firstLine="1134"/>
      </w:pPr>
    </w:p>
    <w:p w14:paraId="29AE9FBA" w14:textId="77777777" w:rsidR="001F49FD" w:rsidRDefault="00611419">
      <w:pPr>
        <w:pStyle w:val="Recuodecorpodetexto"/>
        <w:numPr>
          <w:ilvl w:val="0"/>
          <w:numId w:val="2"/>
        </w:numPr>
        <w:ind w:left="1276" w:hanging="142"/>
        <w:rPr>
          <w:b/>
        </w:rPr>
      </w:pPr>
      <w:r>
        <w:rPr>
          <w:b/>
        </w:rPr>
        <w:t xml:space="preserve">Fundamentos </w:t>
      </w:r>
    </w:p>
    <w:p w14:paraId="2B325EE4" w14:textId="56AB6F02" w:rsidR="001F49FD" w:rsidRDefault="00611419">
      <w:pPr>
        <w:pStyle w:val="Recuodecorpodetexto"/>
        <w:ind w:firstLine="1134"/>
      </w:pPr>
      <w:r>
        <w:t>- “O dedo médio tocará a vareta através da articulação mais próxima à unha [</w:t>
      </w:r>
      <w:r w:rsidR="009F2309">
        <w:t>interfalangiana</w:t>
      </w:r>
      <w:r>
        <w:t xml:space="preserve"> distal].” (p. 46).</w:t>
      </w:r>
    </w:p>
    <w:p w14:paraId="466F0CC5" w14:textId="77777777" w:rsidR="001F49FD" w:rsidRDefault="00611419">
      <w:pPr>
        <w:pStyle w:val="PargrafodaLista"/>
        <w:ind w:left="0"/>
        <w:jc w:val="left"/>
        <w:rPr>
          <w:rFonts w:ascii="Times New Roman" w:hAnsi="Times New Roman" w:cs="Times New Roman"/>
          <w:szCs w:val="24"/>
        </w:rPr>
      </w:pPr>
      <w:r>
        <w:rPr>
          <w:rFonts w:cs="Times New Roman"/>
          <w:szCs w:val="24"/>
        </w:rPr>
        <w:t>- “Quando o contato com o arco não se faz no ponto correto do dedo (entre a falange média e a articulação mais próxima à unha), o aluno pode corrigi-lo ao liberar a ponta do dedo indicador de seu contato com a vareta, afastando-se assim ligeiramente do dedo médio.” (p. 46).</w:t>
      </w:r>
    </w:p>
    <w:p w14:paraId="2D49C765" w14:textId="77777777" w:rsidR="001F49FD" w:rsidRDefault="00611419">
      <w:pPr>
        <w:pStyle w:val="Recuodecorpodetexto"/>
        <w:ind w:firstLine="1134"/>
      </w:pPr>
      <w:r>
        <w:t xml:space="preserve">- “A parte da vareta no local do dedo indicador é sempre de construção octogonal, mesmo quando ela é redonda. Ao posicionar o dedo mínimo, sua extremidade não fica diretamente na face superior da vareta, mas sim no lado interno do octógono, contatando a superfície plana situada logo abaixo da face superior.” (p. 46). </w:t>
      </w:r>
    </w:p>
    <w:p w14:paraId="027341C4" w14:textId="77777777" w:rsidR="001F49FD" w:rsidRDefault="00611419" w:rsidP="009E4107">
      <w:pPr>
        <w:pStyle w:val="Recuodecorpodetexto"/>
        <w:ind w:firstLine="1077"/>
      </w:pPr>
      <w:r>
        <w:lastRenderedPageBreak/>
        <w:t>- “O dedo indicador é posicionado a uma pequena distância do dedo médio e contata a vareta quase pelo lado externo da falange média.” (p. 46).</w:t>
      </w:r>
    </w:p>
    <w:p w14:paraId="1AAEA80A" w14:textId="52D340B8" w:rsidR="001F49FD" w:rsidRDefault="00611419">
      <w:pPr>
        <w:pStyle w:val="PargrafodaLista"/>
        <w:ind w:left="0" w:firstLine="1077"/>
      </w:pPr>
      <w:r>
        <w:rPr>
          <w:rFonts w:cs="Times New Roman"/>
          <w:szCs w:val="24"/>
        </w:rPr>
        <w:t xml:space="preserve"> -</w:t>
      </w:r>
      <w:r w:rsidR="001C2A9C">
        <w:rPr>
          <w:rFonts w:cs="Times New Roman"/>
          <w:szCs w:val="24"/>
        </w:rPr>
        <w:t xml:space="preserve"> </w:t>
      </w:r>
      <w:r>
        <w:rPr>
          <w:rFonts w:cs="Times New Roman"/>
          <w:szCs w:val="24"/>
        </w:rPr>
        <w:t>“Os quatro dedos devem repousar acima da vareta com uma ligeira distância entre si, com a mesma naturalidade de quando a mão está pendente, suspensa pelo</w:t>
      </w:r>
      <w:r>
        <w:t xml:space="preserve"> punho</w:t>
      </w:r>
      <w:r>
        <w:rPr>
          <w:rFonts w:cs="Times New Roman"/>
          <w:szCs w:val="24"/>
        </w:rPr>
        <w:t>, e completamente relaxada.” (p. 47).</w:t>
      </w:r>
    </w:p>
    <w:p w14:paraId="39714514" w14:textId="77777777" w:rsidR="001F49FD" w:rsidRDefault="00611419">
      <w:pPr>
        <w:pStyle w:val="Referncia"/>
      </w:pPr>
      <w:r>
        <w:rPr>
          <w:rStyle w:val="Ttulo10"/>
        </w:rPr>
        <w:t xml:space="preserve">- “Ao aproximar-se do talão, uma elevação excessiva do </w:t>
      </w:r>
      <w:r>
        <w:t>punho</w:t>
      </w:r>
      <w:r>
        <w:rPr>
          <w:rStyle w:val="Ttulo10"/>
        </w:rPr>
        <w:t xml:space="preserve"> e, consequentemente, o abaixamento excessivo da mão, farão com que o</w:t>
      </w:r>
      <w:r>
        <w:t xml:space="preserve"> punho</w:t>
      </w:r>
      <w:r>
        <w:rPr>
          <w:rStyle w:val="Ttulo10"/>
        </w:rPr>
        <w:t xml:space="preserve"> forme um ângulo reto. Isso é absolutamente indesejável e evidencia um exagero.” (p. 54).</w:t>
      </w:r>
      <w:bookmarkStart w:id="91" w:name="_Toc522439242"/>
    </w:p>
    <w:p w14:paraId="4973D8A5" w14:textId="77777777" w:rsidR="001F49FD" w:rsidRDefault="00611419">
      <w:pPr>
        <w:pStyle w:val="Ttulo2"/>
      </w:pPr>
      <w:bookmarkStart w:id="92" w:name="_Toc219359034"/>
      <w:r>
        <w:t>2</w:t>
      </w:r>
      <w:bookmarkStart w:id="93" w:name="_Toc14331033"/>
      <w:r>
        <w:t>.4    Simon Fischer, violinista contemporâneo</w:t>
      </w:r>
      <w:bookmarkEnd w:id="91"/>
      <w:bookmarkEnd w:id="92"/>
      <w:bookmarkEnd w:id="93"/>
    </w:p>
    <w:p w14:paraId="7C4B1D9C" w14:textId="77777777" w:rsidR="001F49FD" w:rsidRDefault="00611419" w:rsidP="00982256">
      <w:pPr>
        <w:pStyle w:val="Recuodecorpodetexto"/>
        <w:ind w:firstLine="709"/>
      </w:pPr>
      <w:r>
        <w:t>No último terço do século XX – período que pode ser nomeado, sob o ponto de vista pedagógico, de era pós-Flesch/</w:t>
      </w:r>
      <w:proofErr w:type="spellStart"/>
      <w:r>
        <w:t>Galamian</w:t>
      </w:r>
      <w:proofErr w:type="spellEnd"/>
      <w:r>
        <w:t xml:space="preserve"> –, a proliferação de instituições de ensino musical e o número crescente de violinistas em todo o mundo dificultaram a percepção do pensamento da técnica violinística e até mesmo de conceitos gerais da prática do instrumento. Nesse contexto, ou os violinistas se reconheciam como pertencentes a determinadas Escolas, ou se sentiam mais destacados de quaisquer linhagens – o que parece ter sido a tendência da época. Em ambos os casos, observamos que o entendimento das etapas históricas da prática do violino e das características das Escolas de Violino costumou ser bastante impreciso, trazendo ainda mais obstáculos para a verificação dos parâmetros técnicos predominantes. Enfim, alguns podem ainda considerar esse período como contemporâneo, pois grande parte dos violinistas do final do século XX atua nos dias de hoje artística e/ou pedagogicamente. </w:t>
      </w:r>
    </w:p>
    <w:p w14:paraId="68BBEA8C" w14:textId="77777777" w:rsidR="001F49FD" w:rsidRDefault="00611419" w:rsidP="00982256">
      <w:pPr>
        <w:pStyle w:val="Recuodecorpodetexto"/>
        <w:ind w:firstLine="709"/>
      </w:pPr>
      <w:r>
        <w:t>Seguindo a tendência da primeira metade do século e atendendo cada vez mais às exigências mercadológicas, os métodos sobre a prática do violino posteriormente publicados possuem um perfil mais aplicado do que teórico, ainda que alguns apresentem uma ou duas páginas introdutórias com imagens e considerações posturais – principalmente relativas à técnica de arco. Dentre os violinistas que se empenharam em registrar os elementos da técnica do instrumento na era pós-Flesch/</w:t>
      </w:r>
      <w:proofErr w:type="spellStart"/>
      <w:r>
        <w:t>Galamian</w:t>
      </w:r>
      <w:proofErr w:type="spellEnd"/>
      <w:r>
        <w:t xml:space="preserve">, Simon Fischer foi um dos que mais forneceu conteúdo, através do extenso método </w:t>
      </w:r>
      <w:proofErr w:type="spellStart"/>
      <w:r>
        <w:rPr>
          <w:i/>
        </w:rPr>
        <w:t>Basics</w:t>
      </w:r>
      <w:proofErr w:type="spellEnd"/>
      <w:r>
        <w:t xml:space="preserve"> (FISCHER, 1997), cuja abrangência assemelha-se às obras de seus antecessores. Além do estudo do método, uma segunda obra publicada nos primeiros anos do nosso século – </w:t>
      </w:r>
      <w:proofErr w:type="spellStart"/>
      <w:r>
        <w:rPr>
          <w:i/>
        </w:rPr>
        <w:t>Practice</w:t>
      </w:r>
      <w:proofErr w:type="spellEnd"/>
      <w:r>
        <w:rPr>
          <w:i/>
        </w:rPr>
        <w:t xml:space="preserve"> </w:t>
      </w:r>
      <w:r>
        <w:t>(FISCHER, 2004) – complementará a apresentação dos principais preceitos de Fischer.</w:t>
      </w:r>
    </w:p>
    <w:p w14:paraId="0C21E6E3" w14:textId="77777777" w:rsidR="001F49FD" w:rsidRDefault="00611419" w:rsidP="00982256">
      <w:pPr>
        <w:pStyle w:val="Recuodecorpodetexto"/>
        <w:ind w:firstLine="709"/>
        <w:rPr>
          <w:shd w:val="clear" w:color="auto" w:fill="FFFFFF"/>
        </w:rPr>
      </w:pPr>
      <w:r>
        <w:t xml:space="preserve">Outro fator enriquecedor para a presente pesquisa é o percurso de formação instrumental do autor: um de seus mais importantes professores, </w:t>
      </w:r>
      <w:proofErr w:type="spellStart"/>
      <w:r>
        <w:rPr>
          <w:bCs/>
          <w:color w:val="222222"/>
          <w:shd w:val="clear" w:color="auto" w:fill="FFFFFF"/>
        </w:rPr>
        <w:t>Yfrah</w:t>
      </w:r>
      <w:proofErr w:type="spellEnd"/>
      <w:r>
        <w:rPr>
          <w:bCs/>
          <w:color w:val="222222"/>
          <w:shd w:val="clear" w:color="auto" w:fill="FFFFFF"/>
        </w:rPr>
        <w:t xml:space="preserve"> </w:t>
      </w:r>
      <w:proofErr w:type="spellStart"/>
      <w:r>
        <w:rPr>
          <w:bCs/>
          <w:color w:val="222222"/>
          <w:shd w:val="clear" w:color="auto" w:fill="FFFFFF"/>
        </w:rPr>
        <w:t>Neaman</w:t>
      </w:r>
      <w:proofErr w:type="spellEnd"/>
      <w:r>
        <w:rPr>
          <w:bCs/>
          <w:color w:val="222222"/>
          <w:shd w:val="clear" w:color="auto" w:fill="FFFFFF"/>
        </w:rPr>
        <w:t xml:space="preserve"> (1923-2003),</w:t>
      </w:r>
      <w:r>
        <w:t xml:space="preserve"> foi aluno de Jacques Thibaud no Conservatório de Paris; em seguida, Fischer prosseguiu seus </w:t>
      </w:r>
      <w:r>
        <w:lastRenderedPageBreak/>
        <w:t xml:space="preserve">estudos com </w:t>
      </w:r>
      <w:hyperlink r:id="rId21" w:tgtFrame="Max Rostal">
        <w:r w:rsidR="001F49FD">
          <w:rPr>
            <w:rStyle w:val="Hyperlink"/>
            <w:rFonts w:cs="Times New Roman"/>
            <w:szCs w:val="24"/>
            <w:shd w:val="clear" w:color="auto" w:fill="FFFFFF"/>
          </w:rPr>
          <w:t xml:space="preserve">Max </w:t>
        </w:r>
        <w:proofErr w:type="spellStart"/>
        <w:r w:rsidR="001F49FD">
          <w:rPr>
            <w:rStyle w:val="Hyperlink"/>
            <w:rFonts w:cs="Times New Roman"/>
            <w:szCs w:val="24"/>
            <w:shd w:val="clear" w:color="auto" w:fill="FFFFFF"/>
          </w:rPr>
          <w:t>Rostal</w:t>
        </w:r>
        <w:proofErr w:type="spellEnd"/>
      </w:hyperlink>
      <w:r>
        <w:rPr>
          <w:shd w:val="clear" w:color="auto" w:fill="FFFFFF"/>
        </w:rPr>
        <w:t xml:space="preserve">; e sua pós-graduação na </w:t>
      </w:r>
      <w:r>
        <w:rPr>
          <w:i/>
          <w:shd w:val="clear" w:color="auto" w:fill="FFFFFF"/>
        </w:rPr>
        <w:t xml:space="preserve">Julliard </w:t>
      </w:r>
      <w:proofErr w:type="spellStart"/>
      <w:r>
        <w:rPr>
          <w:i/>
          <w:shd w:val="clear" w:color="auto" w:fill="FFFFFF"/>
        </w:rPr>
        <w:t>School</w:t>
      </w:r>
      <w:proofErr w:type="spellEnd"/>
      <w:r>
        <w:rPr>
          <w:i/>
          <w:shd w:val="clear" w:color="auto" w:fill="FFFFFF"/>
        </w:rPr>
        <w:t xml:space="preserve"> </w:t>
      </w:r>
      <w:proofErr w:type="spellStart"/>
      <w:r>
        <w:rPr>
          <w:i/>
          <w:shd w:val="clear" w:color="auto" w:fill="FFFFFF"/>
        </w:rPr>
        <w:t>of</w:t>
      </w:r>
      <w:proofErr w:type="spellEnd"/>
      <w:r>
        <w:rPr>
          <w:i/>
          <w:shd w:val="clear" w:color="auto" w:fill="FFFFFF"/>
        </w:rPr>
        <w:t xml:space="preserve"> Music</w:t>
      </w:r>
      <w:r>
        <w:rPr>
          <w:shd w:val="clear" w:color="auto" w:fill="FFFFFF"/>
        </w:rPr>
        <w:t xml:space="preserve">, em Nova York, foi realizada sob a orientação de Dorothy </w:t>
      </w:r>
      <w:proofErr w:type="spellStart"/>
      <w:r>
        <w:rPr>
          <w:shd w:val="clear" w:color="auto" w:fill="FFFFFF"/>
        </w:rPr>
        <w:t>DeLay</w:t>
      </w:r>
      <w:proofErr w:type="spellEnd"/>
      <w:r>
        <w:rPr>
          <w:shd w:val="clear" w:color="auto" w:fill="FFFFFF"/>
        </w:rPr>
        <w:t xml:space="preserve"> (1917-2002), discípula e assistente de Ivan </w:t>
      </w:r>
      <w:proofErr w:type="spellStart"/>
      <w:r>
        <w:rPr>
          <w:shd w:val="clear" w:color="auto" w:fill="FFFFFF"/>
        </w:rPr>
        <w:t>Galamian</w:t>
      </w:r>
      <w:proofErr w:type="spellEnd"/>
      <w:r>
        <w:rPr>
          <w:shd w:val="clear" w:color="auto" w:fill="FFFFFF"/>
        </w:rPr>
        <w:t>.</w:t>
      </w:r>
      <w:r>
        <w:rPr>
          <w:rStyle w:val="Refdenotaderodap"/>
          <w:rFonts w:cs="Times New Roman"/>
          <w:szCs w:val="24"/>
          <w:shd w:val="clear" w:color="auto" w:fill="FFFFFF"/>
        </w:rPr>
        <w:footnoteReference w:id="34"/>
      </w:r>
      <w:r>
        <w:rPr>
          <w:shd w:val="clear" w:color="auto" w:fill="FFFFFF"/>
        </w:rPr>
        <w:t xml:space="preserve">Assim, a genealogia violinística de Simon Fischer </w:t>
      </w:r>
      <w:r>
        <w:t>remete às Escolas e violinistas trabalhados acima</w:t>
      </w:r>
      <w:r>
        <w:rPr>
          <w:shd w:val="clear" w:color="auto" w:fill="FFFFFF"/>
        </w:rPr>
        <w:t xml:space="preserve"> comprovando ao mesmo tempo que,</w:t>
      </w:r>
      <w:r>
        <w:t xml:space="preserve"> com o passar das gerações, as ascendências tornam-se cada vez mais diversas e complexas:</w:t>
      </w:r>
    </w:p>
    <w:p w14:paraId="0BA346C5" w14:textId="77777777" w:rsidR="001F49FD" w:rsidRDefault="001F49FD">
      <w:pPr>
        <w:pStyle w:val="Recuodecorpodetexto"/>
        <w:ind w:left="283" w:firstLine="1134"/>
        <w:rPr>
          <w:shd w:val="clear" w:color="auto" w:fill="FFFFFF"/>
        </w:rPr>
      </w:pPr>
    </w:p>
    <w:p w14:paraId="11DE9ECE" w14:textId="77777777" w:rsidR="001F49FD" w:rsidRDefault="00611419">
      <w:pPr>
        <w:pStyle w:val="Recuodecorpodetexto"/>
        <w:ind w:left="840" w:firstLine="0"/>
        <w:rPr>
          <w:shd w:val="clear" w:color="auto" w:fill="FFFFFF"/>
          <w:lang w:val="en-GB"/>
        </w:rPr>
      </w:pPr>
      <w:r>
        <w:rPr>
          <w:shd w:val="clear" w:color="auto" w:fill="FFFFFF"/>
        </w:rPr>
        <w:t xml:space="preserve">     </w:t>
      </w:r>
      <w:r>
        <w:rPr>
          <w:shd w:val="clear" w:color="auto" w:fill="FFFFFF"/>
          <w:lang w:val="en-GB"/>
        </w:rPr>
        <w:t xml:space="preserve">. Neaman - Thibault - </w:t>
      </w:r>
      <w:proofErr w:type="spellStart"/>
      <w:r>
        <w:rPr>
          <w:shd w:val="clear" w:color="auto" w:fill="FFFFFF"/>
          <w:lang w:val="en-GB"/>
        </w:rPr>
        <w:t>Marsick</w:t>
      </w:r>
      <w:proofErr w:type="spellEnd"/>
      <w:r>
        <w:rPr>
          <w:shd w:val="clear" w:color="auto" w:fill="FFFFFF"/>
          <w:lang w:val="en-GB"/>
        </w:rPr>
        <w:t xml:space="preserve"> - Massart - Kreutzer.</w:t>
      </w:r>
    </w:p>
    <w:p w14:paraId="247EF0E5" w14:textId="77777777" w:rsidR="001F49FD" w:rsidRDefault="00611419">
      <w:pPr>
        <w:pStyle w:val="Commarcadores3"/>
        <w:ind w:left="0" w:firstLine="1134"/>
        <w:rPr>
          <w:shd w:val="clear" w:color="auto" w:fill="FFFFFF"/>
          <w:lang w:val="en-GB"/>
        </w:rPr>
      </w:pPr>
      <w:r>
        <w:rPr>
          <w:shd w:val="clear" w:color="auto" w:fill="FFFFFF"/>
          <w:lang w:val="en-GB"/>
        </w:rPr>
        <w:t xml:space="preserve">. Neaman - </w:t>
      </w:r>
      <w:proofErr w:type="spellStart"/>
      <w:r>
        <w:rPr>
          <w:shd w:val="clear" w:color="auto" w:fill="FFFFFF"/>
          <w:lang w:val="en-GB"/>
        </w:rPr>
        <w:t>Rostal</w:t>
      </w:r>
      <w:proofErr w:type="spellEnd"/>
      <w:r>
        <w:rPr>
          <w:shd w:val="clear" w:color="auto" w:fill="FFFFFF"/>
          <w:lang w:val="en-GB"/>
        </w:rPr>
        <w:t xml:space="preserve"> - Flesch</w:t>
      </w:r>
      <w:r>
        <w:rPr>
          <w:lang w:val="en-GB"/>
        </w:rPr>
        <w:t>.</w:t>
      </w:r>
    </w:p>
    <w:p w14:paraId="34EC538A" w14:textId="77777777" w:rsidR="001F49FD" w:rsidRDefault="00611419">
      <w:pPr>
        <w:pStyle w:val="Commarcadores3"/>
        <w:ind w:left="0" w:firstLine="1134"/>
        <w:rPr>
          <w:shd w:val="clear" w:color="auto" w:fill="FFFFFF"/>
          <w:lang w:val="en-GB"/>
        </w:rPr>
      </w:pPr>
      <w:r>
        <w:rPr>
          <w:shd w:val="clear" w:color="auto" w:fill="FFFFFF"/>
          <w:lang w:val="en-GB"/>
        </w:rPr>
        <w:t xml:space="preserve">. DeLay - Galamian - Capet - </w:t>
      </w:r>
      <w:proofErr w:type="spellStart"/>
      <w:r>
        <w:rPr>
          <w:shd w:val="clear" w:color="auto" w:fill="FFFFFF"/>
          <w:lang w:val="en-GB"/>
        </w:rPr>
        <w:t>Mostras</w:t>
      </w:r>
      <w:proofErr w:type="spellEnd"/>
      <w:r>
        <w:rPr>
          <w:shd w:val="clear" w:color="auto" w:fill="FFFFFF"/>
          <w:lang w:val="en-GB"/>
        </w:rPr>
        <w:t xml:space="preserve"> - Auer.</w:t>
      </w:r>
    </w:p>
    <w:p w14:paraId="694DA082" w14:textId="77777777" w:rsidR="001F49FD" w:rsidRDefault="001F49FD">
      <w:pPr>
        <w:rPr>
          <w:rFonts w:ascii="Times New Roman" w:hAnsi="Times New Roman" w:cs="Times New Roman"/>
          <w:szCs w:val="24"/>
          <w:shd w:val="clear" w:color="auto" w:fill="FFFFFF"/>
          <w:lang w:val="en-GB"/>
        </w:rPr>
      </w:pPr>
    </w:p>
    <w:p w14:paraId="62139116" w14:textId="77777777" w:rsidR="001F49FD" w:rsidRDefault="00611419" w:rsidP="00982256">
      <w:pPr>
        <w:pStyle w:val="Recuodecorpodetexto"/>
        <w:ind w:firstLine="709"/>
      </w:pPr>
      <w:r>
        <w:rPr>
          <w:shd w:val="clear" w:color="auto" w:fill="FFFFFF"/>
        </w:rPr>
        <w:t xml:space="preserve">Fischer demonstra reconhecer a importância da genealogia violinística na tradição da prática do instrumento ao citar sua última professora, Dorothy </w:t>
      </w:r>
      <w:proofErr w:type="spellStart"/>
      <w:r>
        <w:rPr>
          <w:shd w:val="clear" w:color="auto" w:fill="FFFFFF"/>
        </w:rPr>
        <w:t>DeLay</w:t>
      </w:r>
      <w:proofErr w:type="spellEnd"/>
      <w:r>
        <w:rPr>
          <w:shd w:val="clear" w:color="auto" w:fill="FFFFFF"/>
        </w:rPr>
        <w:t xml:space="preserve">, na ocasião em que pedia permissão para publicar um antigo exercício, por ela ensinado: “Não se preocupe, eu aprendi isso com </w:t>
      </w:r>
      <w:proofErr w:type="spellStart"/>
      <w:r>
        <w:rPr>
          <w:shd w:val="clear" w:color="auto" w:fill="FFFFFF"/>
        </w:rPr>
        <w:t>Galamian</w:t>
      </w:r>
      <w:proofErr w:type="spellEnd"/>
      <w:r>
        <w:rPr>
          <w:shd w:val="clear" w:color="auto" w:fill="FFFFFF"/>
        </w:rPr>
        <w:t xml:space="preserve">, e ele aprendeu com </w:t>
      </w:r>
      <w:proofErr w:type="spellStart"/>
      <w:r>
        <w:rPr>
          <w:shd w:val="clear" w:color="auto" w:fill="FFFFFF"/>
        </w:rPr>
        <w:t>Capet</w:t>
      </w:r>
      <w:proofErr w:type="spellEnd"/>
      <w:r>
        <w:rPr>
          <w:shd w:val="clear" w:color="auto" w:fill="FFFFFF"/>
        </w:rPr>
        <w:t>, então se sinta livre – o importante é que está se tornando conhecido!” (FISCHER, 1997, p. VII).</w:t>
      </w:r>
    </w:p>
    <w:p w14:paraId="226983A6" w14:textId="52C5E60D" w:rsidR="00982256" w:rsidRPr="000A6E65" w:rsidRDefault="00611419" w:rsidP="000A6E65">
      <w:pPr>
        <w:pStyle w:val="Recuodecorpodetexto"/>
        <w:ind w:firstLine="709"/>
        <w:rPr>
          <w:rFonts w:cstheme="majorHAnsi"/>
          <w:szCs w:val="24"/>
        </w:rPr>
      </w:pPr>
      <w:r>
        <w:rPr>
          <w:rFonts w:cstheme="majorHAnsi"/>
          <w:szCs w:val="24"/>
        </w:rPr>
        <w:t xml:space="preserve">Naturalmente, os preceitos de Fischer não são adotados por todos de seu tempo. No entanto, não deixam de ser igualmente representativos do pensamento do final século XX. Seus conceitos trazem novas perspectivas na aprendizagem do instrumento, e tanto a organização meticulosa de </w:t>
      </w:r>
      <w:proofErr w:type="spellStart"/>
      <w:r>
        <w:rPr>
          <w:rFonts w:cstheme="majorHAnsi"/>
          <w:i/>
          <w:szCs w:val="24"/>
        </w:rPr>
        <w:t>Basics</w:t>
      </w:r>
      <w:proofErr w:type="spellEnd"/>
      <w:r>
        <w:rPr>
          <w:rFonts w:cstheme="majorHAnsi"/>
          <w:szCs w:val="24"/>
        </w:rPr>
        <w:t xml:space="preserve"> quanto as orientações coletadas em </w:t>
      </w:r>
      <w:proofErr w:type="spellStart"/>
      <w:r>
        <w:rPr>
          <w:rFonts w:cstheme="majorHAnsi"/>
          <w:i/>
          <w:szCs w:val="24"/>
        </w:rPr>
        <w:t>Practice</w:t>
      </w:r>
      <w:proofErr w:type="spellEnd"/>
      <w:r>
        <w:rPr>
          <w:rFonts w:cstheme="majorHAnsi"/>
          <w:szCs w:val="24"/>
        </w:rPr>
        <w:t xml:space="preserve"> revelam-se como um valioso material para completar a verificação dos elementos técnicos nas etapas que precederam nosso estágio atual da prática do violino.</w:t>
      </w:r>
      <w:bookmarkStart w:id="94" w:name="_Toc522439243"/>
      <w:bookmarkStart w:id="95" w:name="_Toc14331034"/>
    </w:p>
    <w:p w14:paraId="7C16B753" w14:textId="0C729276" w:rsidR="001F49FD" w:rsidRDefault="00611419" w:rsidP="000A6E65">
      <w:pPr>
        <w:pStyle w:val="Ttulo3"/>
      </w:pPr>
      <w:bookmarkStart w:id="96" w:name="_Toc219359035"/>
      <w:r>
        <w:t>Principais preceitos de Fischer</w:t>
      </w:r>
      <w:bookmarkEnd w:id="94"/>
      <w:bookmarkEnd w:id="95"/>
      <w:bookmarkEnd w:id="96"/>
      <w:r>
        <w:t xml:space="preserve">                                                                                                            </w:t>
      </w:r>
    </w:p>
    <w:p w14:paraId="0E83F8C5" w14:textId="77777777" w:rsidR="001F49FD" w:rsidRDefault="00611419" w:rsidP="00982256">
      <w:pPr>
        <w:pStyle w:val="Recuodecorpodetexto"/>
        <w:ind w:firstLine="709"/>
        <w:rPr>
          <w:rFonts w:asciiTheme="majorHAnsi" w:hAnsiTheme="majorHAnsi" w:cstheme="majorHAnsi"/>
          <w:szCs w:val="24"/>
          <w:shd w:val="clear" w:color="auto" w:fill="FFFFFF"/>
        </w:rPr>
      </w:pPr>
      <w:r>
        <w:rPr>
          <w:rFonts w:cstheme="majorHAnsi"/>
          <w:szCs w:val="24"/>
          <w:shd w:val="clear" w:color="auto" w:fill="FFFFFF"/>
        </w:rPr>
        <w:t xml:space="preserve">Na introdução de </w:t>
      </w:r>
      <w:proofErr w:type="spellStart"/>
      <w:r>
        <w:rPr>
          <w:rFonts w:cstheme="majorHAnsi"/>
          <w:i/>
          <w:szCs w:val="24"/>
          <w:shd w:val="clear" w:color="auto" w:fill="FFFFFF"/>
        </w:rPr>
        <w:t>Basics</w:t>
      </w:r>
      <w:proofErr w:type="spellEnd"/>
      <w:r>
        <w:rPr>
          <w:rFonts w:cstheme="majorHAnsi"/>
          <w:szCs w:val="24"/>
          <w:shd w:val="clear" w:color="auto" w:fill="FFFFFF"/>
        </w:rPr>
        <w:t xml:space="preserve">, Fischer expõe sua ideia principal sobre a técnica violinística: </w:t>
      </w:r>
    </w:p>
    <w:p w14:paraId="77EB5CBA" w14:textId="77777777" w:rsidR="001F49FD" w:rsidRDefault="00611419">
      <w:pPr>
        <w:pStyle w:val="Primeirorecuodecorpodetexto2"/>
        <w:spacing w:line="240" w:lineRule="auto"/>
        <w:ind w:left="2268" w:firstLine="0"/>
        <w:rPr>
          <w:rFonts w:asciiTheme="majorHAnsi" w:hAnsiTheme="majorHAnsi" w:cstheme="majorHAnsi"/>
          <w:sz w:val="20"/>
          <w:szCs w:val="20"/>
          <w:lang w:val="pt-PT"/>
        </w:rPr>
      </w:pPr>
      <w:r>
        <w:rPr>
          <w:rFonts w:cstheme="majorHAnsi"/>
          <w:sz w:val="20"/>
          <w:szCs w:val="20"/>
          <w:lang w:val="pt-PT"/>
        </w:rPr>
        <w:t>A prática do violino é complexa porque, para tocar uma frase, mesmo que simples, um grande número de técnicas bem diferentes devem ser executadas uma após a outra, muitas vezes com grande velocidade (FISCHER, 1997, p. VI).</w:t>
      </w:r>
    </w:p>
    <w:p w14:paraId="1B51507F" w14:textId="77777777" w:rsidR="001F49FD" w:rsidRDefault="001F49FD">
      <w:pPr>
        <w:pStyle w:val="Primeirorecuodecorpodetexto2"/>
        <w:spacing w:line="240" w:lineRule="auto"/>
        <w:ind w:left="2268" w:firstLine="0"/>
        <w:rPr>
          <w:rFonts w:asciiTheme="majorHAnsi" w:hAnsiTheme="majorHAnsi" w:cstheme="majorHAnsi"/>
          <w:sz w:val="20"/>
          <w:szCs w:val="20"/>
          <w:lang w:val="pt-PT"/>
        </w:rPr>
      </w:pPr>
    </w:p>
    <w:p w14:paraId="1989D49B" w14:textId="77777777" w:rsidR="001F49FD" w:rsidRDefault="00611419">
      <w:pPr>
        <w:pStyle w:val="Primeirorecuodecorpodetexto2"/>
        <w:spacing w:line="240" w:lineRule="auto"/>
        <w:ind w:left="2268" w:firstLine="0"/>
        <w:rPr>
          <w:rFonts w:asciiTheme="majorHAnsi" w:hAnsiTheme="majorHAnsi" w:cstheme="majorHAnsi"/>
          <w:sz w:val="20"/>
          <w:szCs w:val="20"/>
          <w:lang w:val="pt-PT"/>
        </w:rPr>
      </w:pPr>
      <w:r>
        <w:rPr>
          <w:rFonts w:cstheme="majorHAnsi"/>
          <w:sz w:val="20"/>
          <w:szCs w:val="20"/>
          <w:lang w:val="pt-PT"/>
        </w:rPr>
        <w:t>Separadamente, a maioria das técnicas é muito simples. Elas tornam-se mais difíceis somente quando tentamos realizar várias delas ao mesmo tempo (FISCHER, 1997, p. VI).</w:t>
      </w:r>
    </w:p>
    <w:p w14:paraId="57AE0830" w14:textId="77777777" w:rsidR="001F49FD" w:rsidRDefault="001F49FD">
      <w:pPr>
        <w:pStyle w:val="Primeirorecuodecorpodetexto2"/>
        <w:ind w:left="0" w:firstLine="1134"/>
        <w:rPr>
          <w:rFonts w:asciiTheme="majorHAnsi" w:hAnsiTheme="majorHAnsi" w:cstheme="majorHAnsi"/>
          <w:szCs w:val="24"/>
          <w:lang w:val="pt-PT"/>
        </w:rPr>
      </w:pPr>
    </w:p>
    <w:p w14:paraId="4A7CF706" w14:textId="3E670CC1" w:rsidR="001F49FD" w:rsidRDefault="001C2A9C" w:rsidP="001C2A9C">
      <w:pPr>
        <w:pStyle w:val="Recuodecorpodetexto"/>
        <w:ind w:firstLine="0"/>
        <w:rPr>
          <w:rFonts w:asciiTheme="majorHAnsi" w:hAnsiTheme="majorHAnsi" w:cstheme="majorHAnsi"/>
          <w:szCs w:val="24"/>
          <w:shd w:val="clear" w:color="auto" w:fill="FFFFFF"/>
        </w:rPr>
      </w:pPr>
      <w:r>
        <w:rPr>
          <w:rFonts w:cstheme="majorHAnsi"/>
          <w:szCs w:val="24"/>
          <w:shd w:val="clear" w:color="auto" w:fill="FFFFFF"/>
          <w:lang w:val="pt-PT"/>
        </w:rPr>
        <w:t xml:space="preserve">           O</w:t>
      </w:r>
      <w:r>
        <w:rPr>
          <w:rFonts w:cstheme="majorHAnsi"/>
          <w:szCs w:val="24"/>
          <w:shd w:val="clear" w:color="auto" w:fill="FFFFFF"/>
        </w:rPr>
        <w:t xml:space="preserve"> formato e a disposição dos tópicos de </w:t>
      </w:r>
      <w:proofErr w:type="spellStart"/>
      <w:r>
        <w:rPr>
          <w:rFonts w:cstheme="majorHAnsi"/>
          <w:i/>
          <w:szCs w:val="24"/>
          <w:shd w:val="clear" w:color="auto" w:fill="FFFFFF"/>
        </w:rPr>
        <w:t>Basics</w:t>
      </w:r>
      <w:proofErr w:type="spellEnd"/>
      <w:r>
        <w:rPr>
          <w:rFonts w:cstheme="majorHAnsi"/>
          <w:i/>
          <w:szCs w:val="24"/>
          <w:shd w:val="clear" w:color="auto" w:fill="FFFFFF"/>
        </w:rPr>
        <w:t xml:space="preserve"> </w:t>
      </w:r>
      <w:r>
        <w:rPr>
          <w:rFonts w:cstheme="majorHAnsi"/>
          <w:szCs w:val="24"/>
          <w:shd w:val="clear" w:color="auto" w:fill="FFFFFF"/>
        </w:rPr>
        <w:t xml:space="preserve">diferem das obras precedentes e os preceitos referentes a elementos técnicos são apresentados esparsamente ao longo do método. </w:t>
      </w:r>
    </w:p>
    <w:p w14:paraId="371D7600" w14:textId="51985B10" w:rsidR="001F49FD" w:rsidRDefault="00611419" w:rsidP="00982256">
      <w:pPr>
        <w:pStyle w:val="Recuodecorpodetexto"/>
        <w:ind w:firstLine="709"/>
        <w:rPr>
          <w:rFonts w:asciiTheme="majorHAnsi" w:hAnsiTheme="majorHAnsi" w:cstheme="majorHAnsi"/>
          <w:szCs w:val="24"/>
          <w:shd w:val="clear" w:color="auto" w:fill="FFFFFF"/>
        </w:rPr>
      </w:pPr>
      <w:r>
        <w:rPr>
          <w:rFonts w:cstheme="majorHAnsi"/>
          <w:szCs w:val="24"/>
          <w:shd w:val="clear" w:color="auto" w:fill="FFFFFF"/>
        </w:rPr>
        <w:lastRenderedPageBreak/>
        <w:t xml:space="preserve">Tal como na obra de </w:t>
      </w:r>
      <w:proofErr w:type="spellStart"/>
      <w:r>
        <w:rPr>
          <w:rFonts w:cstheme="majorHAnsi"/>
          <w:szCs w:val="24"/>
          <w:shd w:val="clear" w:color="auto" w:fill="FFFFFF"/>
        </w:rPr>
        <w:t>Galamian</w:t>
      </w:r>
      <w:proofErr w:type="spellEnd"/>
      <w:r>
        <w:rPr>
          <w:rFonts w:cstheme="majorHAnsi"/>
          <w:szCs w:val="24"/>
          <w:shd w:val="clear" w:color="auto" w:fill="FFFFFF"/>
        </w:rPr>
        <w:t xml:space="preserve"> – que, como vimos, está indiretamente presente em sua formação –</w:t>
      </w:r>
      <w:r w:rsidR="001C2A9C">
        <w:rPr>
          <w:rFonts w:cstheme="majorHAnsi"/>
          <w:szCs w:val="24"/>
          <w:shd w:val="clear" w:color="auto" w:fill="FFFFFF"/>
        </w:rPr>
        <w:t>,</w:t>
      </w:r>
      <w:r>
        <w:rPr>
          <w:rFonts w:cstheme="majorHAnsi"/>
          <w:szCs w:val="24"/>
          <w:shd w:val="clear" w:color="auto" w:fill="FFFFFF"/>
        </w:rPr>
        <w:t xml:space="preserve"> não há itens específicos sobre aspectos de postura corporal, o que sugere duas possibilidades: o autor considera que as questões relacionadas ao tema estão claramente definidas; ou, assim como concebe </w:t>
      </w:r>
      <w:proofErr w:type="spellStart"/>
      <w:r>
        <w:rPr>
          <w:rFonts w:cstheme="majorHAnsi"/>
          <w:szCs w:val="24"/>
          <w:shd w:val="clear" w:color="auto" w:fill="FFFFFF"/>
        </w:rPr>
        <w:t>Galamian</w:t>
      </w:r>
      <w:proofErr w:type="spellEnd"/>
      <w:r>
        <w:rPr>
          <w:rFonts w:cstheme="majorHAnsi"/>
          <w:szCs w:val="24"/>
          <w:shd w:val="clear" w:color="auto" w:fill="FFFFFF"/>
        </w:rPr>
        <w:t xml:space="preserve">, depende de outros fatores. Pelo pensamento revelado na </w:t>
      </w:r>
      <w:r w:rsidR="001C2A9C">
        <w:rPr>
          <w:rFonts w:cstheme="majorHAnsi"/>
          <w:szCs w:val="24"/>
          <w:shd w:val="clear" w:color="auto" w:fill="FFFFFF"/>
        </w:rPr>
        <w:t>i</w:t>
      </w:r>
      <w:r>
        <w:rPr>
          <w:rFonts w:cstheme="majorHAnsi"/>
          <w:szCs w:val="24"/>
          <w:shd w:val="clear" w:color="auto" w:fill="FFFFFF"/>
        </w:rPr>
        <w:t xml:space="preserve">ntrodução de </w:t>
      </w:r>
      <w:proofErr w:type="spellStart"/>
      <w:r>
        <w:rPr>
          <w:rFonts w:cstheme="majorHAnsi"/>
          <w:i/>
          <w:szCs w:val="24"/>
          <w:shd w:val="clear" w:color="auto" w:fill="FFFFFF"/>
        </w:rPr>
        <w:t>Basics</w:t>
      </w:r>
      <w:proofErr w:type="spellEnd"/>
      <w:r w:rsidR="001C2A9C">
        <w:rPr>
          <w:rFonts w:cstheme="majorHAnsi"/>
          <w:iCs/>
          <w:szCs w:val="24"/>
          <w:shd w:val="clear" w:color="auto" w:fill="FFFFFF"/>
        </w:rPr>
        <w:t>,</w:t>
      </w:r>
      <w:r>
        <w:rPr>
          <w:rFonts w:cstheme="majorHAnsi"/>
          <w:szCs w:val="24"/>
          <w:shd w:val="clear" w:color="auto" w:fill="FFFFFF"/>
        </w:rPr>
        <w:t xml:space="preserve"> é provável que a segunda opção, </w:t>
      </w:r>
      <w:r w:rsidR="009E4107">
        <w:rPr>
          <w:rFonts w:cstheme="majorHAnsi"/>
          <w:szCs w:val="24"/>
          <w:shd w:val="clear" w:color="auto" w:fill="FFFFFF"/>
        </w:rPr>
        <w:t>em que</w:t>
      </w:r>
      <w:r>
        <w:rPr>
          <w:rFonts w:cstheme="majorHAnsi"/>
          <w:szCs w:val="24"/>
          <w:shd w:val="clear" w:color="auto" w:fill="FFFFFF"/>
        </w:rPr>
        <w:t xml:space="preserve"> a postura corporal se define em função desse conjunto de elementos técnicos, esteja correta. </w:t>
      </w:r>
      <w:r>
        <w:rPr>
          <w:shd w:val="clear" w:color="auto" w:fill="FFFFFF"/>
        </w:rPr>
        <w:t xml:space="preserve">Por isso, é na </w:t>
      </w:r>
      <w:r>
        <w:rPr>
          <w:b/>
          <w:shd w:val="clear" w:color="auto" w:fill="FFFFFF"/>
        </w:rPr>
        <w:t>Parte A</w:t>
      </w:r>
      <w:r>
        <w:rPr>
          <w:shd w:val="clear" w:color="auto" w:fill="FFFFFF"/>
        </w:rPr>
        <w:t xml:space="preserve">, intitulada </w:t>
      </w:r>
      <w:r>
        <w:rPr>
          <w:b/>
          <w:shd w:val="clear" w:color="auto" w:fill="FFFFFF"/>
        </w:rPr>
        <w:t>Braço direito e mão</w:t>
      </w:r>
      <w:r>
        <w:rPr>
          <w:shd w:val="clear" w:color="auto" w:fill="FFFFFF"/>
        </w:rPr>
        <w:t xml:space="preserve"> – destinada, portanto, à técnica de arco – </w:t>
      </w:r>
      <w:r>
        <w:rPr>
          <w:rFonts w:cstheme="majorHAnsi"/>
          <w:szCs w:val="24"/>
          <w:shd w:val="clear" w:color="auto" w:fill="FFFFFF"/>
        </w:rPr>
        <w:t>que Fis</w:t>
      </w:r>
      <w:r w:rsidR="00FA1E66">
        <w:rPr>
          <w:rFonts w:cstheme="majorHAnsi"/>
          <w:szCs w:val="24"/>
          <w:shd w:val="clear" w:color="auto" w:fill="FFFFFF"/>
        </w:rPr>
        <w:t>c</w:t>
      </w:r>
      <w:r>
        <w:rPr>
          <w:rFonts w:cstheme="majorHAnsi"/>
          <w:szCs w:val="24"/>
          <w:shd w:val="clear" w:color="auto" w:fill="FFFFFF"/>
        </w:rPr>
        <w:t>her define a colocação do violino e seu ângulo de abertura, pois são elementos vitais na relação entre o tamanho do braço e o paralelismo do arco sobre as cordas:</w:t>
      </w:r>
    </w:p>
    <w:p w14:paraId="0044A928" w14:textId="77777777" w:rsidR="001F49FD" w:rsidRDefault="001F49FD">
      <w:pPr>
        <w:pStyle w:val="Recuodecorpodetexto"/>
        <w:tabs>
          <w:tab w:val="left" w:pos="7470"/>
        </w:tabs>
        <w:ind w:left="283" w:firstLine="0"/>
        <w:rPr>
          <w:rFonts w:asciiTheme="majorHAnsi" w:hAnsiTheme="majorHAnsi" w:cstheme="majorHAnsi"/>
          <w:szCs w:val="24"/>
          <w:shd w:val="clear" w:color="auto" w:fill="FFFFFF"/>
        </w:rPr>
      </w:pPr>
    </w:p>
    <w:p w14:paraId="651A1E20" w14:textId="77777777" w:rsidR="001F49FD" w:rsidRDefault="00611419">
      <w:pPr>
        <w:pStyle w:val="Recuodecorpodetexto"/>
        <w:numPr>
          <w:ilvl w:val="0"/>
          <w:numId w:val="2"/>
        </w:numPr>
        <w:ind w:left="1276" w:hanging="142"/>
        <w:rPr>
          <w:rFonts w:asciiTheme="majorHAnsi" w:hAnsiTheme="majorHAnsi" w:cstheme="majorHAnsi"/>
          <w:b/>
          <w:szCs w:val="24"/>
          <w:shd w:val="clear" w:color="auto" w:fill="FFFFFF"/>
        </w:rPr>
      </w:pPr>
      <w:r>
        <w:rPr>
          <w:rFonts w:cstheme="majorHAnsi"/>
          <w:b/>
          <w:szCs w:val="24"/>
          <w:shd w:val="clear" w:color="auto" w:fill="FFFFFF"/>
        </w:rPr>
        <w:t>Sobre o ângulo do violino com relação ao corpo</w:t>
      </w:r>
    </w:p>
    <w:p w14:paraId="36028D1D" w14:textId="77777777" w:rsidR="001F49FD" w:rsidRDefault="00611419">
      <w:pPr>
        <w:pStyle w:val="Recuodecorpodetexto"/>
        <w:ind w:firstLine="1134"/>
        <w:rPr>
          <w:rFonts w:asciiTheme="majorHAnsi" w:hAnsiTheme="majorHAnsi" w:cstheme="majorHAnsi"/>
          <w:szCs w:val="24"/>
          <w:shd w:val="clear" w:color="auto" w:fill="FFFFFF"/>
        </w:rPr>
      </w:pPr>
      <w:r>
        <w:rPr>
          <w:rFonts w:cstheme="majorHAnsi"/>
          <w:szCs w:val="24"/>
          <w:shd w:val="clear" w:color="auto" w:fill="FFFFFF"/>
        </w:rPr>
        <w:t>- “Braços longos: aponte a voluta para a esquerda. Posicione o violino na parte mais baixa do ombro (ou seja, o queixo mais à esquerda do estandarte).” (</w:t>
      </w:r>
      <w:r>
        <w:rPr>
          <w:rFonts w:cstheme="majorHAnsi"/>
          <w:szCs w:val="24"/>
          <w:lang w:val="pt-PT"/>
        </w:rPr>
        <w:t xml:space="preserve">FISCHER, 1997, </w:t>
      </w:r>
      <w:r>
        <w:rPr>
          <w:rFonts w:cstheme="majorHAnsi"/>
          <w:szCs w:val="24"/>
          <w:shd w:val="clear" w:color="auto" w:fill="FFFFFF"/>
        </w:rPr>
        <w:t>p. 20).</w:t>
      </w:r>
    </w:p>
    <w:p w14:paraId="1AEC7172" w14:textId="77777777" w:rsidR="001F49FD" w:rsidRDefault="00611419">
      <w:pPr>
        <w:pStyle w:val="Recuodecorpodetexto"/>
        <w:ind w:firstLine="1134"/>
        <w:rPr>
          <w:rFonts w:asciiTheme="majorHAnsi" w:hAnsiTheme="majorHAnsi" w:cstheme="majorHAnsi"/>
          <w:szCs w:val="24"/>
          <w:shd w:val="clear" w:color="auto" w:fill="FFFFFF"/>
        </w:rPr>
      </w:pPr>
      <w:r>
        <w:rPr>
          <w:rFonts w:cstheme="majorHAnsi"/>
          <w:szCs w:val="24"/>
          <w:shd w:val="clear" w:color="auto" w:fill="FFFFFF"/>
        </w:rPr>
        <w:t>- “Braços curtos: aponte a voluta mais para frente. Posicione o violino na parte mais alta do ombro (ou seja, o queixo mais perto ou acima do estandarte).” (Ibidem p. 20).</w:t>
      </w:r>
    </w:p>
    <w:p w14:paraId="7BC8E911" w14:textId="77777777" w:rsidR="001F49FD" w:rsidRDefault="001F49FD">
      <w:pPr>
        <w:pStyle w:val="Recuodecorpodetexto"/>
        <w:ind w:left="283" w:firstLine="1134"/>
        <w:rPr>
          <w:rFonts w:asciiTheme="majorHAnsi" w:hAnsiTheme="majorHAnsi" w:cstheme="majorHAnsi"/>
          <w:szCs w:val="24"/>
        </w:rPr>
      </w:pPr>
    </w:p>
    <w:p w14:paraId="65A23C64" w14:textId="77777777" w:rsidR="001F49FD" w:rsidRDefault="00611419" w:rsidP="00982256">
      <w:pPr>
        <w:pStyle w:val="Recuodecorpodetexto"/>
        <w:ind w:firstLine="709"/>
        <w:rPr>
          <w:rFonts w:asciiTheme="majorHAnsi" w:hAnsiTheme="majorHAnsi" w:cstheme="majorHAnsi"/>
          <w:szCs w:val="24"/>
          <w:shd w:val="clear" w:color="auto" w:fill="FFFFFF"/>
        </w:rPr>
      </w:pPr>
      <w:r>
        <w:rPr>
          <w:rFonts w:cstheme="majorHAnsi"/>
          <w:szCs w:val="24"/>
        </w:rPr>
        <w:t xml:space="preserve">É na </w:t>
      </w:r>
      <w:r>
        <w:rPr>
          <w:rFonts w:cstheme="majorHAnsi"/>
          <w:b/>
          <w:szCs w:val="24"/>
        </w:rPr>
        <w:t>Parte B</w:t>
      </w:r>
      <w:r>
        <w:rPr>
          <w:rFonts w:cstheme="majorHAnsi"/>
          <w:szCs w:val="24"/>
        </w:rPr>
        <w:t>,</w:t>
      </w:r>
      <w:r>
        <w:rPr>
          <w:rFonts w:cstheme="majorHAnsi"/>
          <w:b/>
          <w:szCs w:val="24"/>
        </w:rPr>
        <w:t xml:space="preserve"> Produção do som</w:t>
      </w:r>
      <w:r>
        <w:rPr>
          <w:rFonts w:cstheme="majorHAnsi"/>
          <w:szCs w:val="24"/>
        </w:rPr>
        <w:t>, que constam seus conceitos sobre a sustentação do violino. Assim como visto acima sobre o ângulo de abertura, para Fischer o nível do violino – ou seja, se esse se mantém na posição horizontal, elevado ou apontando para baixo – está diretamente relacionado à técnica de arco, pois</w:t>
      </w:r>
      <w:r>
        <w:rPr>
          <w:rFonts w:cstheme="majorHAnsi"/>
          <w:szCs w:val="24"/>
          <w:shd w:val="clear" w:color="auto" w:fill="FFFFFF"/>
        </w:rPr>
        <w:t xml:space="preserve"> sua orientação de elevar a voluta visa manutenção do bom ponto de contato do arco sobre a corda:</w:t>
      </w:r>
    </w:p>
    <w:p w14:paraId="1BF3B50D" w14:textId="77777777" w:rsidR="001F49FD" w:rsidRDefault="001F49FD">
      <w:pPr>
        <w:pStyle w:val="Recuodecorpodetexto"/>
        <w:ind w:left="283" w:firstLine="1134"/>
        <w:rPr>
          <w:rFonts w:asciiTheme="majorHAnsi" w:hAnsiTheme="majorHAnsi" w:cstheme="majorHAnsi"/>
          <w:szCs w:val="24"/>
          <w:lang w:eastAsia="en-US"/>
        </w:rPr>
      </w:pPr>
    </w:p>
    <w:p w14:paraId="6F757CB3" w14:textId="77777777" w:rsidR="001F49FD" w:rsidRDefault="00611419">
      <w:pPr>
        <w:pStyle w:val="Recuodecorpodetexto"/>
        <w:numPr>
          <w:ilvl w:val="0"/>
          <w:numId w:val="2"/>
        </w:numPr>
        <w:ind w:left="1276" w:hanging="142"/>
        <w:rPr>
          <w:b/>
        </w:rPr>
      </w:pPr>
      <w:r>
        <w:rPr>
          <w:b/>
        </w:rPr>
        <w:t xml:space="preserve">Sobre a inclinação e o ângulo do violino com relação ao solo </w:t>
      </w:r>
    </w:p>
    <w:p w14:paraId="093DDC16" w14:textId="77777777" w:rsidR="001F49FD" w:rsidRDefault="00611419">
      <w:pPr>
        <w:pStyle w:val="Recuodecorpodetexto"/>
        <w:ind w:firstLine="1134"/>
        <w:rPr>
          <w:rFonts w:asciiTheme="majorHAnsi" w:hAnsiTheme="majorHAnsi" w:cstheme="majorHAnsi"/>
          <w:szCs w:val="24"/>
        </w:rPr>
      </w:pPr>
      <w:r>
        <w:rPr>
          <w:rFonts w:cstheme="majorHAnsi"/>
          <w:szCs w:val="24"/>
        </w:rPr>
        <w:t>- “Quando o violino está paralelo ao chão, seu braço desce ao longo do espelho. Portanto, para que as cordas estejam horizontais, a voluta do violino deve estar levemente elevada. Particularmente nas posições altas, é melhor tocar com as cordas descendo na direção do cavalete, o que auxilia o arco a manter um bom ponto de contato, não muito longe do cavalete. Isso significa que a voluta deve ser elevada consideravelmente.” (</w:t>
      </w:r>
      <w:r>
        <w:rPr>
          <w:rFonts w:cstheme="majorHAnsi"/>
          <w:szCs w:val="24"/>
          <w:lang w:val="pt-PT"/>
        </w:rPr>
        <w:t xml:space="preserve">FISCHER, 1997, </w:t>
      </w:r>
      <w:r>
        <w:rPr>
          <w:rFonts w:cstheme="majorHAnsi"/>
          <w:szCs w:val="24"/>
        </w:rPr>
        <w:t>p. 35).</w:t>
      </w:r>
    </w:p>
    <w:p w14:paraId="2530F19D" w14:textId="77777777" w:rsidR="001F49FD" w:rsidRDefault="001F49FD">
      <w:pPr>
        <w:pStyle w:val="Recuodecorpodetexto"/>
        <w:ind w:left="283" w:firstLine="1134"/>
        <w:rPr>
          <w:rFonts w:asciiTheme="majorHAnsi" w:hAnsiTheme="majorHAnsi" w:cstheme="majorHAnsi"/>
          <w:szCs w:val="24"/>
        </w:rPr>
      </w:pPr>
    </w:p>
    <w:p w14:paraId="61B1E1A9" w14:textId="77777777" w:rsidR="001F49FD" w:rsidRDefault="00611419" w:rsidP="00982256">
      <w:pPr>
        <w:pStyle w:val="Recuodecorpodetexto"/>
        <w:ind w:firstLine="709"/>
        <w:rPr>
          <w:rFonts w:asciiTheme="majorHAnsi" w:hAnsiTheme="majorHAnsi" w:cstheme="majorHAnsi"/>
          <w:i/>
          <w:szCs w:val="24"/>
        </w:rPr>
      </w:pPr>
      <w:r>
        <w:rPr>
          <w:rFonts w:cstheme="majorHAnsi"/>
          <w:szCs w:val="24"/>
        </w:rPr>
        <w:lastRenderedPageBreak/>
        <w:t xml:space="preserve">Ainda sobre elementos técnicos referentes à postura corporal e à sustentação do violino, dois preceitos coletados em </w:t>
      </w:r>
      <w:proofErr w:type="spellStart"/>
      <w:r>
        <w:rPr>
          <w:rFonts w:cstheme="majorHAnsi"/>
          <w:i/>
          <w:szCs w:val="24"/>
        </w:rPr>
        <w:t>Practice</w:t>
      </w:r>
      <w:proofErr w:type="spellEnd"/>
      <w:r>
        <w:rPr>
          <w:rFonts w:cstheme="majorHAnsi"/>
          <w:i/>
          <w:szCs w:val="24"/>
        </w:rPr>
        <w:t xml:space="preserve"> </w:t>
      </w:r>
      <w:r>
        <w:rPr>
          <w:rFonts w:cstheme="majorHAnsi"/>
          <w:szCs w:val="24"/>
        </w:rPr>
        <w:t xml:space="preserve">revelam que o pensamento de Fischer é norteado pela consciência e preservação do corpo: </w:t>
      </w:r>
    </w:p>
    <w:p w14:paraId="002AF122" w14:textId="77777777" w:rsidR="001F49FD" w:rsidRDefault="001F49FD">
      <w:pPr>
        <w:pStyle w:val="Recuodecorpodetexto"/>
        <w:ind w:left="283" w:firstLine="1134"/>
        <w:rPr>
          <w:rFonts w:asciiTheme="majorHAnsi" w:hAnsiTheme="majorHAnsi" w:cstheme="majorHAnsi"/>
          <w:szCs w:val="24"/>
          <w:shd w:val="clear" w:color="auto" w:fill="FFFFFF"/>
        </w:rPr>
      </w:pPr>
    </w:p>
    <w:p w14:paraId="0A714593" w14:textId="77777777" w:rsidR="001F49FD" w:rsidRDefault="00611419">
      <w:pPr>
        <w:tabs>
          <w:tab w:val="left" w:pos="1276"/>
        </w:tabs>
        <w:rPr>
          <w:lang w:eastAsia="en-US"/>
        </w:rPr>
      </w:pPr>
      <w:r>
        <w:rPr>
          <w:lang w:eastAsia="en-US"/>
        </w:rPr>
        <w:t>- “Tocando em pé, a articulação do quadril não deve se deslocar para frente. Assegure-se também de que os joelhos não se enrijeçam para trás [...]. A figura 40e</w:t>
      </w:r>
      <w:r>
        <w:rPr>
          <w:rStyle w:val="Refdenotaderodap"/>
          <w:rFonts w:cs="Times New Roman"/>
          <w:szCs w:val="24"/>
          <w:lang w:eastAsia="en-US"/>
        </w:rPr>
        <w:footnoteReference w:id="35"/>
      </w:r>
      <w:r>
        <w:rPr>
          <w:lang w:eastAsia="en-US"/>
        </w:rPr>
        <w:t xml:space="preserve"> demonstra uma correta posição em pé.” </w:t>
      </w:r>
      <w:r>
        <w:rPr>
          <w:rFonts w:cstheme="majorHAnsi"/>
          <w:shd w:val="clear" w:color="auto" w:fill="FFFFFF"/>
        </w:rPr>
        <w:t>(</w:t>
      </w:r>
      <w:r>
        <w:rPr>
          <w:rFonts w:cstheme="majorHAnsi"/>
          <w:lang w:val="pt-PT"/>
        </w:rPr>
        <w:t xml:space="preserve">FISCHER, 2004, </w:t>
      </w:r>
      <w:r>
        <w:rPr>
          <w:rFonts w:cstheme="majorHAnsi"/>
          <w:shd w:val="clear" w:color="auto" w:fill="FFFFFF"/>
        </w:rPr>
        <w:t>p. 273).</w:t>
      </w:r>
    </w:p>
    <w:p w14:paraId="3686CFED" w14:textId="77777777" w:rsidR="001F49FD" w:rsidRDefault="00611419">
      <w:pPr>
        <w:rPr>
          <w:rFonts w:asciiTheme="majorHAnsi" w:hAnsiTheme="majorHAnsi" w:cstheme="majorHAnsi"/>
          <w:szCs w:val="24"/>
          <w:lang w:eastAsia="en-US"/>
        </w:rPr>
      </w:pPr>
      <w:r>
        <w:rPr>
          <w:rFonts w:cstheme="majorHAnsi"/>
          <w:szCs w:val="24"/>
          <w:lang w:eastAsia="en-US"/>
        </w:rPr>
        <w:t xml:space="preserve">- “Pressionar contínua e fortemente o queixo sobre a </w:t>
      </w:r>
      <w:proofErr w:type="spellStart"/>
      <w:r>
        <w:rPr>
          <w:rFonts w:cstheme="majorHAnsi"/>
          <w:szCs w:val="24"/>
          <w:lang w:eastAsia="en-US"/>
        </w:rPr>
        <w:t>queixeira</w:t>
      </w:r>
      <w:proofErr w:type="spellEnd"/>
      <w:r>
        <w:rPr>
          <w:rFonts w:cstheme="majorHAnsi"/>
          <w:szCs w:val="24"/>
          <w:lang w:eastAsia="en-US"/>
        </w:rPr>
        <w:t xml:space="preserve"> pode levar a severas tensões, que se espalham desde o pescoço e ombros até os braços e costas.” (</w:t>
      </w:r>
      <w:r>
        <w:rPr>
          <w:rFonts w:cstheme="majorHAnsi"/>
          <w:szCs w:val="24"/>
          <w:lang w:val="pt-PT"/>
        </w:rPr>
        <w:t>FISCHER, 2004, p. 271</w:t>
      </w:r>
      <w:r>
        <w:rPr>
          <w:rFonts w:cstheme="majorHAnsi"/>
          <w:szCs w:val="24"/>
          <w:lang w:eastAsia="en-US"/>
        </w:rPr>
        <w:t>).</w:t>
      </w:r>
    </w:p>
    <w:p w14:paraId="6CE38FCD" w14:textId="77777777" w:rsidR="001F49FD" w:rsidRDefault="001F49FD">
      <w:pPr>
        <w:pStyle w:val="Recuodecorpodetexto"/>
        <w:ind w:left="283" w:firstLine="0"/>
        <w:rPr>
          <w:rFonts w:asciiTheme="majorHAnsi" w:hAnsiTheme="majorHAnsi" w:cstheme="majorHAnsi"/>
          <w:b/>
          <w:szCs w:val="24"/>
        </w:rPr>
      </w:pPr>
    </w:p>
    <w:p w14:paraId="71109EC9" w14:textId="77777777" w:rsidR="001F49FD" w:rsidRDefault="00611419">
      <w:pPr>
        <w:pStyle w:val="Recuodecorpodetexto"/>
        <w:ind w:left="283" w:firstLine="0"/>
        <w:jc w:val="center"/>
        <w:rPr>
          <w:rFonts w:asciiTheme="majorHAnsi" w:hAnsiTheme="majorHAnsi" w:cstheme="majorHAnsi"/>
          <w:b/>
          <w:szCs w:val="24"/>
        </w:rPr>
      </w:pPr>
      <w:r>
        <w:rPr>
          <w:noProof/>
        </w:rPr>
        <w:drawing>
          <wp:inline distT="0" distB="0" distL="0" distR="0" wp14:anchorId="25984CFE" wp14:editId="5ECE73FA">
            <wp:extent cx="5473700" cy="3124200"/>
            <wp:effectExtent l="0" t="0" r="0" b="0"/>
            <wp:docPr id="10" name="Imagem 12" descr="C:\Users\Fernando\Pictures\img03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2" descr="C:\Users\Fernando\Pictures\img035 (3).jpg"/>
                    <pic:cNvPicPr>
                      <a:picLocks noChangeAspect="1" noChangeArrowheads="1"/>
                    </pic:cNvPicPr>
                  </pic:nvPicPr>
                  <pic:blipFill>
                    <a:blip r:embed="rId22"/>
                    <a:stretch>
                      <a:fillRect/>
                    </a:stretch>
                  </pic:blipFill>
                  <pic:spPr bwMode="auto">
                    <a:xfrm>
                      <a:off x="0" y="0"/>
                      <a:ext cx="5473700" cy="3124200"/>
                    </a:xfrm>
                    <a:prstGeom prst="rect">
                      <a:avLst/>
                    </a:prstGeom>
                  </pic:spPr>
                </pic:pic>
              </a:graphicData>
            </a:graphic>
          </wp:inline>
        </w:drawing>
      </w:r>
    </w:p>
    <w:p w14:paraId="25A873D7" w14:textId="77777777" w:rsidR="001F49FD" w:rsidRDefault="00611419">
      <w:pPr>
        <w:pStyle w:val="Recuodecorpodetexto"/>
        <w:ind w:left="283" w:firstLine="0"/>
        <w:jc w:val="center"/>
        <w:rPr>
          <w:rFonts w:asciiTheme="majorHAnsi" w:hAnsiTheme="majorHAnsi" w:cstheme="majorHAnsi"/>
          <w:sz w:val="20"/>
          <w:szCs w:val="20"/>
        </w:rPr>
      </w:pPr>
      <w:r>
        <w:rPr>
          <w:rFonts w:cstheme="majorHAnsi"/>
          <w:b/>
          <w:sz w:val="20"/>
          <w:szCs w:val="20"/>
        </w:rPr>
        <w:t>Figura 10</w:t>
      </w:r>
      <w:r>
        <w:rPr>
          <w:rFonts w:cstheme="majorHAnsi"/>
          <w:sz w:val="20"/>
          <w:szCs w:val="20"/>
        </w:rPr>
        <w:t xml:space="preserve">: postura corporal – </w:t>
      </w:r>
      <w:proofErr w:type="spellStart"/>
      <w:r>
        <w:rPr>
          <w:rFonts w:cstheme="majorHAnsi"/>
          <w:i/>
          <w:sz w:val="20"/>
          <w:szCs w:val="20"/>
        </w:rPr>
        <w:t>Practice</w:t>
      </w:r>
      <w:proofErr w:type="spellEnd"/>
      <w:r>
        <w:rPr>
          <w:rFonts w:cstheme="majorHAnsi"/>
          <w:i/>
          <w:sz w:val="20"/>
          <w:szCs w:val="20"/>
        </w:rPr>
        <w:t xml:space="preserve"> </w:t>
      </w:r>
      <w:r>
        <w:rPr>
          <w:rFonts w:cstheme="majorHAnsi"/>
          <w:sz w:val="20"/>
          <w:szCs w:val="20"/>
        </w:rPr>
        <w:t>(FISCHER, 2004, p. 273).</w:t>
      </w:r>
    </w:p>
    <w:p w14:paraId="4A70CB75" w14:textId="77777777" w:rsidR="001F49FD" w:rsidRDefault="001F49FD">
      <w:pPr>
        <w:pStyle w:val="Recuodecorpodetexto"/>
        <w:ind w:left="283" w:firstLine="0"/>
        <w:jc w:val="center"/>
        <w:rPr>
          <w:rFonts w:asciiTheme="majorHAnsi" w:hAnsiTheme="majorHAnsi" w:cstheme="majorHAnsi"/>
          <w:sz w:val="20"/>
          <w:szCs w:val="20"/>
        </w:rPr>
      </w:pPr>
    </w:p>
    <w:p w14:paraId="643A24DD" w14:textId="1A984521" w:rsidR="001F49FD" w:rsidRDefault="00611419" w:rsidP="00982256">
      <w:pPr>
        <w:pStyle w:val="Recuodecorpodetexto"/>
        <w:ind w:firstLine="709"/>
        <w:rPr>
          <w:rFonts w:asciiTheme="majorHAnsi" w:hAnsiTheme="majorHAnsi" w:cstheme="majorHAnsi"/>
          <w:b/>
          <w:szCs w:val="24"/>
        </w:rPr>
      </w:pPr>
      <w:r>
        <w:rPr>
          <w:rFonts w:cstheme="majorHAnsi"/>
          <w:szCs w:val="24"/>
        </w:rPr>
        <w:t xml:space="preserve">Os princípios da técnica de mão esquerda estão contidos na </w:t>
      </w:r>
      <w:r>
        <w:rPr>
          <w:rFonts w:cstheme="majorHAnsi"/>
          <w:b/>
          <w:szCs w:val="24"/>
        </w:rPr>
        <w:t>Parte D</w:t>
      </w:r>
      <w:r>
        <w:rPr>
          <w:rFonts w:cstheme="majorHAnsi"/>
          <w:szCs w:val="24"/>
        </w:rPr>
        <w:t xml:space="preserve"> de </w:t>
      </w:r>
      <w:proofErr w:type="spellStart"/>
      <w:r>
        <w:rPr>
          <w:rFonts w:cstheme="majorHAnsi"/>
          <w:i/>
          <w:szCs w:val="24"/>
        </w:rPr>
        <w:t>Basics</w:t>
      </w:r>
      <w:proofErr w:type="spellEnd"/>
      <w:r>
        <w:rPr>
          <w:rFonts w:cstheme="majorHAnsi"/>
          <w:szCs w:val="24"/>
        </w:rPr>
        <w:t xml:space="preserve">. O primeiro preceito refere-se ao posicionamento do dedo polegar, </w:t>
      </w:r>
      <w:r w:rsidR="009E4107">
        <w:rPr>
          <w:rFonts w:cstheme="majorHAnsi"/>
          <w:szCs w:val="24"/>
        </w:rPr>
        <w:t>no qual</w:t>
      </w:r>
      <w:r>
        <w:rPr>
          <w:rFonts w:cstheme="majorHAnsi"/>
          <w:szCs w:val="24"/>
        </w:rPr>
        <w:t xml:space="preserve"> Fis</w:t>
      </w:r>
      <w:r w:rsidR="009E4107">
        <w:rPr>
          <w:rFonts w:cstheme="majorHAnsi"/>
          <w:szCs w:val="24"/>
        </w:rPr>
        <w:t>c</w:t>
      </w:r>
      <w:r>
        <w:rPr>
          <w:rFonts w:cstheme="majorHAnsi"/>
          <w:szCs w:val="24"/>
        </w:rPr>
        <w:t xml:space="preserve">her apresenta brevemente a posição de violinistas antepassados, sem indicar sua preferência, pois sua prioridade é o mínimo grau de contrapressão desse dedo no braço do violino. Em seguida, Fischer, tal como seu predecessor </w:t>
      </w:r>
      <w:proofErr w:type="spellStart"/>
      <w:r>
        <w:rPr>
          <w:rFonts w:cstheme="majorHAnsi"/>
          <w:szCs w:val="24"/>
        </w:rPr>
        <w:t>Galamian</w:t>
      </w:r>
      <w:proofErr w:type="spellEnd"/>
      <w:r>
        <w:rPr>
          <w:rFonts w:cstheme="majorHAnsi"/>
          <w:szCs w:val="24"/>
        </w:rPr>
        <w:t>, demonstra conferir importância ao ponto de contato exato dos dedos na corda:</w:t>
      </w:r>
    </w:p>
    <w:p w14:paraId="49AC23D4" w14:textId="363DE725" w:rsidR="001F49FD" w:rsidRDefault="00611419" w:rsidP="00FA1E66">
      <w:pPr>
        <w:pStyle w:val="Recuodecorpodetexto"/>
        <w:ind w:left="283" w:firstLine="1134"/>
        <w:rPr>
          <w:rFonts w:asciiTheme="majorHAnsi" w:hAnsiTheme="majorHAnsi" w:cstheme="majorHAnsi"/>
          <w:b/>
          <w:szCs w:val="24"/>
        </w:rPr>
      </w:pPr>
      <w:r>
        <w:rPr>
          <w:rFonts w:cstheme="majorHAnsi"/>
          <w:b/>
          <w:szCs w:val="24"/>
        </w:rPr>
        <w:t xml:space="preserve">                    </w:t>
      </w:r>
    </w:p>
    <w:p w14:paraId="6BE75BD9" w14:textId="54901336" w:rsidR="001F49FD" w:rsidRDefault="00611419">
      <w:pPr>
        <w:pStyle w:val="Recuodecorpodetexto"/>
        <w:numPr>
          <w:ilvl w:val="0"/>
          <w:numId w:val="2"/>
        </w:numPr>
        <w:ind w:left="1276" w:hanging="142"/>
        <w:rPr>
          <w:b/>
        </w:rPr>
      </w:pPr>
      <w:r>
        <w:rPr>
          <w:b/>
        </w:rPr>
        <w:lastRenderedPageBreak/>
        <w:t xml:space="preserve">Mão </w:t>
      </w:r>
      <w:r w:rsidR="00FA1E66">
        <w:rPr>
          <w:b/>
        </w:rPr>
        <w:t>e</w:t>
      </w:r>
      <w:r>
        <w:rPr>
          <w:b/>
        </w:rPr>
        <w:t>squerda</w:t>
      </w:r>
    </w:p>
    <w:p w14:paraId="25BB79E3" w14:textId="77777777" w:rsidR="001F49FD" w:rsidRDefault="00611419">
      <w:pPr>
        <w:pStyle w:val="Recuodecorpodetexto"/>
        <w:ind w:firstLine="1134"/>
        <w:rPr>
          <w:rFonts w:asciiTheme="majorHAnsi" w:hAnsiTheme="majorHAnsi" w:cstheme="majorHAnsi"/>
          <w:szCs w:val="24"/>
        </w:rPr>
      </w:pPr>
      <w:r>
        <w:rPr>
          <w:rFonts w:cstheme="majorHAnsi"/>
          <w:szCs w:val="24"/>
        </w:rPr>
        <w:t xml:space="preserve">- “O professor de </w:t>
      </w:r>
      <w:proofErr w:type="spellStart"/>
      <w:r>
        <w:rPr>
          <w:rFonts w:cstheme="majorHAnsi"/>
          <w:szCs w:val="24"/>
        </w:rPr>
        <w:t>Heifetz</w:t>
      </w:r>
      <w:proofErr w:type="spellEnd"/>
      <w:r>
        <w:rPr>
          <w:rFonts w:cstheme="majorHAnsi"/>
          <w:szCs w:val="24"/>
        </w:rPr>
        <w:t xml:space="preserve">, Leopold </w:t>
      </w:r>
      <w:proofErr w:type="spellStart"/>
      <w:r>
        <w:rPr>
          <w:rFonts w:cstheme="majorHAnsi"/>
          <w:szCs w:val="24"/>
        </w:rPr>
        <w:t>Auer</w:t>
      </w:r>
      <w:proofErr w:type="spellEnd"/>
      <w:r>
        <w:rPr>
          <w:rFonts w:cstheme="majorHAnsi"/>
          <w:szCs w:val="24"/>
        </w:rPr>
        <w:t xml:space="preserve">: posiciona o dedo polegar em frente ao dedo médio tocando a nota Fá natural na corda Ré. </w:t>
      </w:r>
      <w:proofErr w:type="spellStart"/>
      <w:r>
        <w:rPr>
          <w:rFonts w:cstheme="majorHAnsi"/>
          <w:szCs w:val="24"/>
        </w:rPr>
        <w:t>Galamian</w:t>
      </w:r>
      <w:proofErr w:type="spellEnd"/>
      <w:r>
        <w:rPr>
          <w:rFonts w:cstheme="majorHAnsi"/>
          <w:szCs w:val="24"/>
        </w:rPr>
        <w:t xml:space="preserve">: entre o dedo indicador e o dedo médio, ou em frente ao dedo indicador. Flesch, </w:t>
      </w:r>
      <w:proofErr w:type="spellStart"/>
      <w:r>
        <w:rPr>
          <w:rFonts w:cstheme="majorHAnsi"/>
          <w:szCs w:val="24"/>
        </w:rPr>
        <w:t>Sevcík</w:t>
      </w:r>
      <w:proofErr w:type="spellEnd"/>
      <w:r>
        <w:rPr>
          <w:rFonts w:cstheme="majorHAnsi"/>
          <w:szCs w:val="24"/>
        </w:rPr>
        <w:t>: em frente ao dedo indicador, tocando a nota Mi na corda Ré. Suzuki: entre o dedo indicador, tocando a nota Mi na corda Ré, e o filete.” (FISCHER, 1997, p. 89).</w:t>
      </w:r>
    </w:p>
    <w:p w14:paraId="243FBC3A" w14:textId="77777777" w:rsidR="001F49FD" w:rsidRDefault="00611419">
      <w:pPr>
        <w:pStyle w:val="Recuodecorpodetexto"/>
        <w:ind w:firstLine="1134"/>
      </w:pPr>
      <w:r>
        <w:rPr>
          <w:rFonts w:cstheme="majorHAnsi"/>
          <w:szCs w:val="24"/>
        </w:rPr>
        <w:t>- “O local da ponta do dedo que toca a corda afeta o ângulo das articulações de base com relação ao braço do violino. Pousar todos os dedos à esquerda do centro de suas pontas [...] pode causar tensões na mão e no braço.” (p. 93).</w:t>
      </w:r>
    </w:p>
    <w:p w14:paraId="3C24D0D7" w14:textId="77777777" w:rsidR="001F49FD" w:rsidRDefault="00611419">
      <w:pPr>
        <w:pStyle w:val="Recuodecorpodetexto"/>
        <w:ind w:firstLine="1134"/>
      </w:pPr>
      <w:r>
        <w:rPr>
          <w:rFonts w:cstheme="majorHAnsi"/>
          <w:szCs w:val="24"/>
        </w:rPr>
        <w:t>- “Da mesma forma, pousar os dedos muito à direita do centro de suas pontas, a fim de manter as articulações paralelas ao braço do violino, pode causar tensão. O ângulo mais natural das articulações de base varia para cada violinista.” (p. 93).</w:t>
      </w:r>
    </w:p>
    <w:p w14:paraId="6B6CA4CA" w14:textId="77777777" w:rsidR="001F49FD" w:rsidRDefault="00611419">
      <w:pPr>
        <w:pStyle w:val="Recuodecorpodetexto"/>
        <w:ind w:firstLine="1134"/>
      </w:pPr>
      <w:r>
        <w:rPr>
          <w:rFonts w:cstheme="majorHAnsi"/>
          <w:szCs w:val="24"/>
        </w:rPr>
        <w:t>- “As mãos grandes podem se instalar sobre o dedo indicador ou sobre o dedo médio, que ainda assim os dedos anelar e mínimo são capazes de alcançar suas notas com facilidade. As mãos pequenas precisam se instalar sobre o dedo médio, com o dedo indicador encostando pouco em suas notas, assim os dedos anelar e mínimo alcançarão suas notas com facilidade.” (p. 98).</w:t>
      </w:r>
    </w:p>
    <w:p w14:paraId="41FACDAC" w14:textId="77777777" w:rsidR="001F49FD" w:rsidRDefault="001F49FD">
      <w:pPr>
        <w:pStyle w:val="Recuodecorpodetexto"/>
        <w:ind w:left="283" w:firstLine="1134"/>
        <w:rPr>
          <w:rFonts w:asciiTheme="majorHAnsi" w:hAnsiTheme="majorHAnsi" w:cstheme="majorHAnsi"/>
          <w:szCs w:val="24"/>
        </w:rPr>
      </w:pPr>
    </w:p>
    <w:p w14:paraId="4DB115BA" w14:textId="7FD938D3" w:rsidR="001F49FD" w:rsidRDefault="00611419" w:rsidP="00982256">
      <w:pPr>
        <w:pStyle w:val="Recuodecorpodetexto"/>
        <w:ind w:firstLine="709"/>
        <w:rPr>
          <w:rFonts w:cstheme="majorHAnsi"/>
          <w:szCs w:val="24"/>
        </w:rPr>
      </w:pPr>
      <w:r>
        <w:rPr>
          <w:rFonts w:cstheme="majorHAnsi"/>
          <w:szCs w:val="24"/>
        </w:rPr>
        <w:t xml:space="preserve">Em </w:t>
      </w:r>
      <w:proofErr w:type="spellStart"/>
      <w:r>
        <w:rPr>
          <w:rFonts w:cstheme="majorHAnsi"/>
          <w:i/>
          <w:szCs w:val="24"/>
        </w:rPr>
        <w:t>Practice</w:t>
      </w:r>
      <w:proofErr w:type="spellEnd"/>
      <w:r w:rsidR="00FA1E66">
        <w:rPr>
          <w:rFonts w:cstheme="majorHAnsi"/>
          <w:iCs/>
          <w:szCs w:val="24"/>
        </w:rPr>
        <w:t>,</w:t>
      </w:r>
      <w:r>
        <w:rPr>
          <w:rFonts w:cstheme="majorHAnsi"/>
          <w:i/>
          <w:szCs w:val="24"/>
        </w:rPr>
        <w:t xml:space="preserve"> </w:t>
      </w:r>
      <w:r>
        <w:rPr>
          <w:rFonts w:cstheme="majorHAnsi"/>
          <w:szCs w:val="24"/>
        </w:rPr>
        <w:t>verificamos</w:t>
      </w:r>
      <w:r>
        <w:rPr>
          <w:rFonts w:cstheme="majorHAnsi"/>
          <w:i/>
          <w:szCs w:val="24"/>
        </w:rPr>
        <w:t xml:space="preserve"> </w:t>
      </w:r>
      <w:r>
        <w:rPr>
          <w:rFonts w:cstheme="majorHAnsi"/>
          <w:szCs w:val="24"/>
        </w:rPr>
        <w:t>três preceitos que estabelecem normas sobre</w:t>
      </w:r>
      <w:r>
        <w:rPr>
          <w:rFonts w:cs="Times New Roman"/>
          <w:szCs w:val="24"/>
          <w:lang w:eastAsia="en-US"/>
        </w:rPr>
        <w:t xml:space="preserve"> o ponto de contato do dedo indicador, seu posicionam</w:t>
      </w:r>
      <w:r>
        <w:rPr>
          <w:rFonts w:cstheme="majorHAnsi"/>
          <w:szCs w:val="24"/>
        </w:rPr>
        <w:t>ento e sobre o grau de elevação ideal dos dedos. Todos</w:t>
      </w:r>
      <w:r>
        <w:rPr>
          <w:rFonts w:cstheme="majorHAnsi"/>
          <w:i/>
          <w:szCs w:val="24"/>
        </w:rPr>
        <w:t xml:space="preserve"> </w:t>
      </w:r>
      <w:r>
        <w:rPr>
          <w:rFonts w:cstheme="majorHAnsi"/>
          <w:szCs w:val="24"/>
        </w:rPr>
        <w:t>demonstram – assim como para os elementos técnicos referentes à sustentação do violino – que o respeito às características e à integridade física são algumas das principais premissas de Fischer em suas opções técnicas:</w:t>
      </w:r>
    </w:p>
    <w:p w14:paraId="07F1178C" w14:textId="77777777" w:rsidR="00982256" w:rsidRDefault="00982256" w:rsidP="00982256">
      <w:pPr>
        <w:pStyle w:val="Recuodecorpodetexto"/>
        <w:ind w:firstLine="709"/>
        <w:rPr>
          <w:rFonts w:asciiTheme="majorHAnsi" w:hAnsiTheme="majorHAnsi" w:cstheme="majorHAnsi"/>
          <w:szCs w:val="24"/>
        </w:rPr>
      </w:pPr>
    </w:p>
    <w:p w14:paraId="1D9B5D09" w14:textId="77777777" w:rsidR="001F49FD" w:rsidRDefault="00611419">
      <w:pPr>
        <w:rPr>
          <w:rFonts w:asciiTheme="majorHAnsi" w:hAnsiTheme="majorHAnsi" w:cstheme="majorHAnsi"/>
          <w:color w:val="222222"/>
          <w:szCs w:val="24"/>
          <w:shd w:val="clear" w:color="auto" w:fill="FFFFFF"/>
        </w:rPr>
      </w:pPr>
      <w:r>
        <w:rPr>
          <w:rFonts w:cstheme="majorHAnsi"/>
          <w:color w:val="222222"/>
          <w:szCs w:val="24"/>
          <w:shd w:val="clear" w:color="auto" w:fill="FFFFFF"/>
        </w:rPr>
        <w:t>- “Mãos grandes: posicionamento mais baixo. Mãos pequenas: posicionamento mais alto.” (FISCHER, 2004, p. 301).</w:t>
      </w:r>
    </w:p>
    <w:p w14:paraId="6C4CDB4A" w14:textId="77777777" w:rsidR="001F49FD" w:rsidRDefault="00611419">
      <w:pPr>
        <w:ind w:right="-108"/>
      </w:pPr>
      <w:r>
        <w:t xml:space="preserve">- “Nas posições baixas, a lateral do dedo indicador deve encostar-se contínua e levemente ao braço do violino. A tentativa de manter um espaço permanente entre o braço do violino e o lado do primeiro dedo pode causar compressão ou tensão. </w:t>
      </w:r>
      <w:proofErr w:type="spellStart"/>
      <w:r>
        <w:t>Galamian</w:t>
      </w:r>
      <w:proofErr w:type="spellEnd"/>
      <w:r>
        <w:t xml:space="preserve"> nomeou esse fator de</w:t>
      </w:r>
      <w:r>
        <w:rPr>
          <w:i/>
        </w:rPr>
        <w:t xml:space="preserve"> princípio do contato duplo.</w:t>
      </w:r>
      <w:r>
        <w:t>” (FISCHER, 2004, p. 237).</w:t>
      </w:r>
    </w:p>
    <w:p w14:paraId="5B85887D" w14:textId="77777777" w:rsidR="001F49FD" w:rsidRDefault="00611419">
      <w:pPr>
        <w:rPr>
          <w:rFonts w:ascii="Times New Roman" w:hAnsi="Times New Roman" w:cs="Times New Roman"/>
          <w:szCs w:val="24"/>
        </w:rPr>
      </w:pPr>
      <w:r>
        <w:rPr>
          <w:rFonts w:cs="Times New Roman"/>
          <w:szCs w:val="24"/>
        </w:rPr>
        <w:t xml:space="preserve">- “Manter os dedos próximos à corda é apropriado, não somente para passagens rápidas, mas como uma regra geral ao tocar. A ação mais fácil do dedo se dá quando os dedos ‘flutuam’ sobre as cordas, prontos para cair diretamente sobre as suas notas. </w:t>
      </w:r>
      <w:r>
        <w:t>Elevar</w:t>
      </w:r>
      <w:r>
        <w:rPr>
          <w:rFonts w:cs="Times New Roman"/>
          <w:szCs w:val="24"/>
        </w:rPr>
        <w:t xml:space="preserve"> e soltar o </w:t>
      </w:r>
      <w:r>
        <w:rPr>
          <w:rFonts w:cs="Times New Roman"/>
          <w:szCs w:val="24"/>
        </w:rPr>
        <w:lastRenderedPageBreak/>
        <w:t xml:space="preserve">dedo consome muito menos energia do que quando ele se movimenta vários centímetros acima e /ou longe da corda.” </w:t>
      </w:r>
      <w:r>
        <w:t>(FISCHER, 2004, p. 12).</w:t>
      </w:r>
    </w:p>
    <w:p w14:paraId="2CD1FEC0" w14:textId="77777777" w:rsidR="001F49FD" w:rsidRDefault="00611419" w:rsidP="00982256">
      <w:pPr>
        <w:pStyle w:val="Recuodecorpodetexto"/>
        <w:ind w:firstLine="709"/>
        <w:rPr>
          <w:rFonts w:asciiTheme="majorHAnsi" w:hAnsiTheme="majorHAnsi" w:cstheme="majorHAnsi"/>
          <w:szCs w:val="24"/>
        </w:rPr>
      </w:pPr>
      <w:r>
        <w:rPr>
          <w:rFonts w:cstheme="majorHAnsi"/>
          <w:szCs w:val="24"/>
        </w:rPr>
        <w:t xml:space="preserve">Para Fischer, a técnica de arco é baseada no conceito de flexibilidade, principalmente dos dedos, com diversas relações de pressão e movimento, entre as quais: a contrapressão do dedo polegar; o movimento de rotação do arco pela ação do dedo mínimo; os movimentos verticais e horizontais dos dedos. Sob essa ideia de mobilidade, o autor define a posição do dedo indicador e a posição da mão, que pode ser mais ou menos inclinada em função da região do arco. O ponto de contato do dedo mínimo sobre a vareta é o mesmo que o preconizado por </w:t>
      </w:r>
      <w:proofErr w:type="spellStart"/>
      <w:r>
        <w:rPr>
          <w:rFonts w:cstheme="majorHAnsi"/>
          <w:szCs w:val="24"/>
        </w:rPr>
        <w:t>Galamian</w:t>
      </w:r>
      <w:proofErr w:type="spellEnd"/>
      <w:r>
        <w:rPr>
          <w:rFonts w:cstheme="majorHAnsi"/>
          <w:szCs w:val="24"/>
        </w:rPr>
        <w:t xml:space="preserve">:  </w:t>
      </w:r>
    </w:p>
    <w:p w14:paraId="0F26CF57" w14:textId="77777777" w:rsidR="001F49FD" w:rsidRDefault="001F49FD">
      <w:pPr>
        <w:pStyle w:val="Recuodecorpodetexto"/>
        <w:ind w:left="283" w:firstLine="0"/>
        <w:rPr>
          <w:rFonts w:asciiTheme="majorHAnsi" w:hAnsiTheme="majorHAnsi" w:cstheme="majorHAnsi"/>
          <w:szCs w:val="24"/>
        </w:rPr>
      </w:pPr>
    </w:p>
    <w:p w14:paraId="5EECE9EF" w14:textId="77777777" w:rsidR="001F49FD" w:rsidRDefault="00611419">
      <w:pPr>
        <w:pStyle w:val="Recuodecorpodetexto"/>
        <w:numPr>
          <w:ilvl w:val="0"/>
          <w:numId w:val="2"/>
        </w:numPr>
        <w:ind w:left="1276" w:hanging="142"/>
        <w:rPr>
          <w:rFonts w:asciiTheme="majorHAnsi" w:hAnsiTheme="majorHAnsi" w:cstheme="majorHAnsi"/>
          <w:b/>
          <w:szCs w:val="24"/>
        </w:rPr>
      </w:pPr>
      <w:r>
        <w:rPr>
          <w:rFonts w:cstheme="majorHAnsi"/>
          <w:b/>
          <w:szCs w:val="24"/>
        </w:rPr>
        <w:t xml:space="preserve">Equilíbrio da mão </w:t>
      </w:r>
    </w:p>
    <w:p w14:paraId="41D771E8" w14:textId="16BE83C5" w:rsidR="001F49FD" w:rsidRDefault="00611419">
      <w:pPr>
        <w:pStyle w:val="Recuodecorpodetexto"/>
        <w:ind w:firstLine="1134"/>
        <w:rPr>
          <w:rFonts w:asciiTheme="majorHAnsi" w:hAnsiTheme="majorHAnsi" w:cstheme="majorHAnsi"/>
          <w:szCs w:val="24"/>
        </w:rPr>
      </w:pPr>
      <w:r>
        <w:rPr>
          <w:rFonts w:cstheme="majorHAnsi"/>
          <w:szCs w:val="24"/>
        </w:rPr>
        <w:t>- “No talão, o dedo indicador contata o arco pela sua articulação próxima à unha [</w:t>
      </w:r>
      <w:r w:rsidR="00393CC4">
        <w:rPr>
          <w:rFonts w:cstheme="majorHAnsi"/>
          <w:szCs w:val="24"/>
        </w:rPr>
        <w:t>interfalangiana</w:t>
      </w:r>
      <w:r>
        <w:rPr>
          <w:rFonts w:cstheme="majorHAnsi"/>
          <w:szCs w:val="24"/>
        </w:rPr>
        <w:t xml:space="preserve"> distal], o que torna a mão um pouco mais vertical sobre o arco.” (FISCHER, 1997, p. 5).</w:t>
      </w:r>
    </w:p>
    <w:p w14:paraId="0139A355" w14:textId="29237497" w:rsidR="001F49FD" w:rsidRDefault="00611419">
      <w:pPr>
        <w:pStyle w:val="Recuodecorpodetexto"/>
        <w:ind w:firstLine="1134"/>
        <w:rPr>
          <w:rFonts w:asciiTheme="majorHAnsi" w:hAnsiTheme="majorHAnsi" w:cstheme="majorHAnsi"/>
          <w:szCs w:val="24"/>
        </w:rPr>
      </w:pPr>
      <w:r>
        <w:rPr>
          <w:rFonts w:cstheme="majorHAnsi"/>
          <w:szCs w:val="24"/>
        </w:rPr>
        <w:t>- “Na ponta, o dedo indicador contata o arco mais perto da articulação do meio [</w:t>
      </w:r>
      <w:r w:rsidR="00393CC4">
        <w:rPr>
          <w:rFonts w:cstheme="majorHAnsi"/>
          <w:szCs w:val="24"/>
        </w:rPr>
        <w:t>interfalangiana</w:t>
      </w:r>
      <w:r>
        <w:rPr>
          <w:rFonts w:cstheme="majorHAnsi"/>
          <w:szCs w:val="24"/>
        </w:rPr>
        <w:t xml:space="preserve"> proximal], o que torna a mão ligeiramente inclinada, ou seja, saindo do dedo mínimo e indo em direção ao dedo indicador.” (FISCHER, 1997, p. 5).</w:t>
      </w:r>
    </w:p>
    <w:p w14:paraId="1B3BA363" w14:textId="779C52DE" w:rsidR="001F49FD" w:rsidRDefault="00611419">
      <w:pPr>
        <w:pStyle w:val="Recuodecorpodetexto"/>
        <w:ind w:firstLine="1134"/>
      </w:pPr>
      <w:r>
        <w:rPr>
          <w:rFonts w:cstheme="majorHAnsi"/>
          <w:szCs w:val="24"/>
        </w:rPr>
        <w:t>- “Como o ponto de contato na lateral da vareta não muda, há a impressão de que o primeiro dedo permanece fixo em uma posição – mesmo que o ponto de contato na parte superior da vareta se altere entre o talão (mais próximo da articulação da unha) e a ponta</w:t>
      </w:r>
      <w:r w:rsidR="009E4107">
        <w:rPr>
          <w:rFonts w:cstheme="majorHAnsi"/>
          <w:szCs w:val="24"/>
        </w:rPr>
        <w:t xml:space="preserve"> </w:t>
      </w:r>
      <w:r>
        <w:rPr>
          <w:rFonts w:cstheme="majorHAnsi"/>
          <w:szCs w:val="24"/>
        </w:rPr>
        <w:t>(mais perto da articulação do meio).” (FISCHER, 1997, p. 5).</w:t>
      </w:r>
    </w:p>
    <w:p w14:paraId="59F7C696" w14:textId="77777777" w:rsidR="001F49FD" w:rsidRDefault="00611419">
      <w:pPr>
        <w:pStyle w:val="Recuodecorpodetexto"/>
        <w:ind w:firstLine="1134"/>
        <w:rPr>
          <w:rFonts w:asciiTheme="majorHAnsi" w:hAnsiTheme="majorHAnsi" w:cstheme="majorHAnsi"/>
          <w:szCs w:val="24"/>
        </w:rPr>
      </w:pPr>
      <w:r>
        <w:rPr>
          <w:rFonts w:cstheme="majorHAnsi"/>
          <w:szCs w:val="24"/>
        </w:rPr>
        <w:t>- “A posição usual para o quarto dedo se situa na parte superior interna</w:t>
      </w:r>
      <w:r>
        <w:rPr>
          <w:rFonts w:cstheme="majorHAnsi"/>
          <w:i/>
          <w:szCs w:val="24"/>
        </w:rPr>
        <w:t xml:space="preserve"> </w:t>
      </w:r>
      <w:r>
        <w:rPr>
          <w:rFonts w:cstheme="majorHAnsi"/>
          <w:szCs w:val="24"/>
        </w:rPr>
        <w:t xml:space="preserve">do arco.” (FISCHER, 1997, p. 3). </w:t>
      </w:r>
    </w:p>
    <w:p w14:paraId="118A419F" w14:textId="77777777" w:rsidR="001F49FD" w:rsidRDefault="001F49FD">
      <w:pPr>
        <w:pStyle w:val="Recuodecorpodetexto"/>
        <w:spacing w:line="240" w:lineRule="auto"/>
        <w:ind w:left="283" w:firstLine="0"/>
        <w:rPr>
          <w:rFonts w:asciiTheme="majorHAnsi" w:hAnsiTheme="majorHAnsi" w:cstheme="majorHAnsi"/>
          <w:szCs w:val="24"/>
        </w:rPr>
      </w:pPr>
    </w:p>
    <w:p w14:paraId="000439BF" w14:textId="7DB0DF44" w:rsidR="001F49FD" w:rsidRDefault="00611419" w:rsidP="00982256">
      <w:pPr>
        <w:ind w:firstLine="709"/>
        <w:rPr>
          <w:rFonts w:asciiTheme="majorHAnsi" w:hAnsiTheme="majorHAnsi" w:cstheme="majorHAnsi"/>
          <w:szCs w:val="24"/>
        </w:rPr>
      </w:pPr>
      <w:r>
        <w:rPr>
          <w:rFonts w:cstheme="majorHAnsi"/>
          <w:szCs w:val="24"/>
        </w:rPr>
        <w:t xml:space="preserve"> </w:t>
      </w:r>
      <w:r w:rsidR="00364DB7">
        <w:rPr>
          <w:rFonts w:cstheme="majorHAnsi"/>
          <w:szCs w:val="24"/>
        </w:rPr>
        <w:t>1n</w:t>
      </w:r>
      <w:r>
        <w:rPr>
          <w:rFonts w:cstheme="majorHAnsi"/>
          <w:szCs w:val="24"/>
        </w:rPr>
        <w:t xml:space="preserve">Por fim, em </w:t>
      </w:r>
      <w:proofErr w:type="spellStart"/>
      <w:r>
        <w:rPr>
          <w:rFonts w:cstheme="majorHAnsi"/>
          <w:i/>
          <w:szCs w:val="24"/>
        </w:rPr>
        <w:t>Practice</w:t>
      </w:r>
      <w:proofErr w:type="spellEnd"/>
      <w:r>
        <w:rPr>
          <w:rFonts w:cstheme="majorHAnsi"/>
          <w:i/>
          <w:szCs w:val="24"/>
        </w:rPr>
        <w:t xml:space="preserve"> </w:t>
      </w:r>
      <w:r>
        <w:rPr>
          <w:rFonts w:cstheme="majorHAnsi"/>
          <w:szCs w:val="24"/>
        </w:rPr>
        <w:t xml:space="preserve">encontramos os preceitos referentes à distribuição do espaço entre os dedos, </w:t>
      </w:r>
      <w:r w:rsidR="00FA1E66">
        <w:rPr>
          <w:rFonts w:cstheme="majorHAnsi"/>
          <w:szCs w:val="24"/>
        </w:rPr>
        <w:t xml:space="preserve">nos quais </w:t>
      </w:r>
      <w:r>
        <w:rPr>
          <w:rFonts w:cstheme="majorHAnsi"/>
          <w:szCs w:val="24"/>
        </w:rPr>
        <w:t xml:space="preserve">notamos a importância conferida à ação do dedo indicador; o grau de flexibilidade do </w:t>
      </w:r>
      <w:r>
        <w:t>punho</w:t>
      </w:r>
      <w:r>
        <w:rPr>
          <w:rFonts w:cstheme="majorHAnsi"/>
          <w:szCs w:val="24"/>
        </w:rPr>
        <w:t xml:space="preserve"> a quantidade de crina utilizada sobre a corda:</w:t>
      </w:r>
    </w:p>
    <w:p w14:paraId="3D2804B7" w14:textId="77777777" w:rsidR="001F49FD" w:rsidRDefault="001F49FD">
      <w:pPr>
        <w:spacing w:line="240" w:lineRule="auto"/>
        <w:rPr>
          <w:rFonts w:asciiTheme="majorHAnsi" w:hAnsiTheme="majorHAnsi" w:cstheme="majorHAnsi"/>
          <w:i/>
          <w:szCs w:val="24"/>
        </w:rPr>
      </w:pPr>
    </w:p>
    <w:p w14:paraId="4349C064" w14:textId="77777777" w:rsidR="001F49FD" w:rsidRDefault="00611419">
      <w:pPr>
        <w:rPr>
          <w:rFonts w:asciiTheme="majorHAnsi" w:hAnsiTheme="majorHAnsi" w:cstheme="majorHAnsi"/>
          <w:szCs w:val="24"/>
        </w:rPr>
      </w:pPr>
      <w:r>
        <w:rPr>
          <w:rFonts w:cstheme="majorHAnsi"/>
          <w:szCs w:val="24"/>
        </w:rPr>
        <w:t>-</w:t>
      </w:r>
      <w:r>
        <w:rPr>
          <w:rFonts w:cstheme="majorHAnsi"/>
          <w:i/>
          <w:szCs w:val="24"/>
        </w:rPr>
        <w:t xml:space="preserve"> </w:t>
      </w:r>
      <w:r>
        <w:rPr>
          <w:rFonts w:cstheme="majorHAnsi"/>
          <w:szCs w:val="24"/>
        </w:rPr>
        <w:t>“A parte do primeiro dedo acima da vareta auxilia a produção do som. A posição padrão não é nem muito próxima do segundo dedo (levando à perda de alavancagem), nem muito afastada.” (FISCHER, 2004, p. 302).</w:t>
      </w:r>
    </w:p>
    <w:p w14:paraId="7F6690D8" w14:textId="77777777" w:rsidR="001F49FD" w:rsidRDefault="00611419">
      <w:pPr>
        <w:rPr>
          <w:rFonts w:asciiTheme="majorHAnsi" w:hAnsiTheme="majorHAnsi" w:cstheme="majorHAnsi"/>
          <w:szCs w:val="24"/>
        </w:rPr>
      </w:pPr>
      <w:r>
        <w:rPr>
          <w:rFonts w:cstheme="majorHAnsi"/>
          <w:szCs w:val="24"/>
        </w:rPr>
        <w:t xml:space="preserve">- “Tanto uma mão rígida quanto uma muito flexível são </w:t>
      </w:r>
      <w:r>
        <w:rPr>
          <w:rFonts w:cstheme="majorHAnsi"/>
          <w:i/>
          <w:szCs w:val="24"/>
        </w:rPr>
        <w:t>vícios</w:t>
      </w:r>
      <w:r>
        <w:rPr>
          <w:rFonts w:cstheme="majorHAnsi"/>
          <w:szCs w:val="24"/>
        </w:rPr>
        <w:t>; a naturalidade da mão é a virtude que está entre os dois.” (FISCHER, 2004, p. 301).</w:t>
      </w:r>
    </w:p>
    <w:p w14:paraId="1CCFAA7A" w14:textId="77777777" w:rsidR="001F49FD" w:rsidRDefault="00611419">
      <w:pPr>
        <w:rPr>
          <w:rFonts w:asciiTheme="majorHAnsi" w:hAnsiTheme="majorHAnsi" w:cstheme="majorHAnsi"/>
          <w:szCs w:val="24"/>
        </w:rPr>
      </w:pPr>
      <w:r>
        <w:rPr>
          <w:rFonts w:cstheme="majorHAnsi"/>
          <w:szCs w:val="24"/>
        </w:rPr>
        <w:lastRenderedPageBreak/>
        <w:t>- “Toda a crina do arco ou três quartos, inclinando-a quando necessário.” (FISCHER, 2004, p. 301).</w:t>
      </w:r>
    </w:p>
    <w:p w14:paraId="65CBD579" w14:textId="77777777" w:rsidR="001F49FD" w:rsidRDefault="00611419">
      <w:pPr>
        <w:ind w:firstLine="0"/>
        <w:jc w:val="center"/>
        <w:rPr>
          <w:rFonts w:asciiTheme="majorHAnsi" w:hAnsiTheme="majorHAnsi" w:cstheme="majorHAnsi"/>
          <w:szCs w:val="24"/>
        </w:rPr>
      </w:pPr>
      <w:r>
        <w:rPr>
          <w:noProof/>
        </w:rPr>
        <w:drawing>
          <wp:inline distT="0" distB="0" distL="0" distR="0" wp14:anchorId="31443781" wp14:editId="2112291B">
            <wp:extent cx="4610100" cy="2647950"/>
            <wp:effectExtent l="0" t="0" r="0" b="0"/>
            <wp:docPr id="11" name="Imagem 7" descr="Resultado de imagem para simon fischer practice images violin 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7" descr="Resultado de imagem para simon fischer practice images violin stand"/>
                    <pic:cNvPicPr>
                      <a:picLocks noChangeAspect="1" noChangeArrowheads="1"/>
                    </pic:cNvPicPr>
                  </pic:nvPicPr>
                  <pic:blipFill>
                    <a:blip r:embed="rId23"/>
                    <a:stretch>
                      <a:fillRect/>
                    </a:stretch>
                  </pic:blipFill>
                  <pic:spPr bwMode="auto">
                    <a:xfrm>
                      <a:off x="0" y="0"/>
                      <a:ext cx="4610100" cy="2647950"/>
                    </a:xfrm>
                    <a:prstGeom prst="rect">
                      <a:avLst/>
                    </a:prstGeom>
                  </pic:spPr>
                </pic:pic>
              </a:graphicData>
            </a:graphic>
          </wp:inline>
        </w:drawing>
      </w:r>
    </w:p>
    <w:p w14:paraId="57C963EA" w14:textId="77777777" w:rsidR="001F49FD" w:rsidRDefault="00611419">
      <w:pPr>
        <w:pStyle w:val="Recuodecorpodetexto"/>
        <w:ind w:left="283" w:firstLine="0"/>
        <w:jc w:val="center"/>
        <w:rPr>
          <w:rFonts w:asciiTheme="majorHAnsi" w:hAnsiTheme="majorHAnsi" w:cstheme="majorHAnsi"/>
          <w:sz w:val="20"/>
          <w:szCs w:val="20"/>
        </w:rPr>
      </w:pPr>
      <w:r>
        <w:rPr>
          <w:rFonts w:cstheme="majorHAnsi"/>
          <w:b/>
          <w:sz w:val="20"/>
          <w:szCs w:val="20"/>
        </w:rPr>
        <w:t>Figura</w:t>
      </w:r>
      <w:r>
        <w:rPr>
          <w:rFonts w:cstheme="majorHAnsi"/>
          <w:sz w:val="20"/>
          <w:szCs w:val="20"/>
        </w:rPr>
        <w:t>:</w:t>
      </w:r>
      <w:r>
        <w:rPr>
          <w:rFonts w:cstheme="majorHAnsi"/>
          <w:b/>
          <w:sz w:val="20"/>
          <w:szCs w:val="20"/>
        </w:rPr>
        <w:t xml:space="preserve"> 11</w:t>
      </w:r>
      <w:r>
        <w:rPr>
          <w:rFonts w:cstheme="majorHAnsi"/>
          <w:sz w:val="20"/>
          <w:szCs w:val="20"/>
        </w:rPr>
        <w:t xml:space="preserve">: posição da mão no talão - </w:t>
      </w:r>
      <w:proofErr w:type="spellStart"/>
      <w:r>
        <w:rPr>
          <w:rFonts w:cstheme="majorHAnsi"/>
          <w:i/>
          <w:sz w:val="20"/>
          <w:szCs w:val="20"/>
        </w:rPr>
        <w:t>Practice</w:t>
      </w:r>
      <w:proofErr w:type="spellEnd"/>
      <w:r>
        <w:rPr>
          <w:rFonts w:cstheme="majorHAnsi"/>
          <w:sz w:val="20"/>
          <w:szCs w:val="20"/>
        </w:rPr>
        <w:t xml:space="preserve"> (FISCHER, 2004, p. 122).</w:t>
      </w:r>
    </w:p>
    <w:p w14:paraId="640AE37E" w14:textId="77777777" w:rsidR="001F49FD" w:rsidRDefault="001F49FD">
      <w:pPr>
        <w:pStyle w:val="Recuodecorpodetexto"/>
        <w:ind w:left="283" w:firstLine="0"/>
        <w:jc w:val="center"/>
        <w:rPr>
          <w:rFonts w:asciiTheme="majorHAnsi" w:hAnsiTheme="majorHAnsi" w:cstheme="majorHAnsi"/>
          <w:szCs w:val="24"/>
        </w:rPr>
      </w:pPr>
    </w:p>
    <w:p w14:paraId="10C650A9" w14:textId="77777777" w:rsidR="001F49FD" w:rsidRDefault="001F49FD" w:rsidP="000A6E65">
      <w:pPr>
        <w:pStyle w:val="Ttulo1"/>
      </w:pPr>
    </w:p>
    <w:p w14:paraId="23112ED9" w14:textId="77777777" w:rsidR="001F49FD" w:rsidRDefault="001F49FD" w:rsidP="000A6E65">
      <w:pPr>
        <w:pStyle w:val="Ttulo1"/>
      </w:pPr>
    </w:p>
    <w:p w14:paraId="653F114C" w14:textId="77777777" w:rsidR="001F49FD" w:rsidRDefault="001F49FD" w:rsidP="000A6E65">
      <w:pPr>
        <w:pStyle w:val="Ttulo1"/>
      </w:pPr>
    </w:p>
    <w:p w14:paraId="3F8781FA" w14:textId="77777777" w:rsidR="001F49FD" w:rsidRDefault="001F49FD" w:rsidP="000A6E65">
      <w:pPr>
        <w:pStyle w:val="Ttulo1"/>
      </w:pPr>
    </w:p>
    <w:p w14:paraId="4C9226D7" w14:textId="77777777" w:rsidR="001F49FD" w:rsidRDefault="001F49FD" w:rsidP="000A6E65">
      <w:pPr>
        <w:pStyle w:val="Ttulo1"/>
      </w:pPr>
    </w:p>
    <w:p w14:paraId="1DE8E9D6" w14:textId="77777777" w:rsidR="001F49FD" w:rsidRDefault="001F49FD" w:rsidP="000A6E65">
      <w:pPr>
        <w:pStyle w:val="Ttulo1"/>
      </w:pPr>
    </w:p>
    <w:p w14:paraId="0B5F8785" w14:textId="77777777" w:rsidR="001F49FD" w:rsidRDefault="001F49FD" w:rsidP="000A6E65">
      <w:pPr>
        <w:pStyle w:val="Ttulo1"/>
      </w:pPr>
    </w:p>
    <w:p w14:paraId="6ADEA572" w14:textId="77777777" w:rsidR="001F49FD" w:rsidRDefault="001F49FD" w:rsidP="000A6E65">
      <w:pPr>
        <w:pStyle w:val="Ttulo1"/>
      </w:pPr>
    </w:p>
    <w:p w14:paraId="7A7E0617" w14:textId="77777777" w:rsidR="001F49FD" w:rsidRDefault="001F49FD" w:rsidP="000A6E65">
      <w:pPr>
        <w:pStyle w:val="Ttulo1"/>
      </w:pPr>
    </w:p>
    <w:p w14:paraId="4FBC8DFA" w14:textId="77777777" w:rsidR="001F49FD" w:rsidRDefault="001F49FD" w:rsidP="000A6E65">
      <w:pPr>
        <w:pStyle w:val="Ttulo1"/>
      </w:pPr>
    </w:p>
    <w:p w14:paraId="0F9F7FC6" w14:textId="77777777" w:rsidR="001F49FD" w:rsidRDefault="001F49FD">
      <w:pPr>
        <w:rPr>
          <w:lang w:eastAsia="en-US"/>
        </w:rPr>
      </w:pPr>
    </w:p>
    <w:p w14:paraId="7C3EA9A1" w14:textId="77777777" w:rsidR="00853593" w:rsidRDefault="00853593">
      <w:pPr>
        <w:rPr>
          <w:lang w:eastAsia="en-US"/>
        </w:rPr>
      </w:pPr>
    </w:p>
    <w:p w14:paraId="6294FAE0" w14:textId="77777777" w:rsidR="00853593" w:rsidRDefault="00853593">
      <w:pPr>
        <w:rPr>
          <w:lang w:eastAsia="en-US"/>
        </w:rPr>
      </w:pPr>
    </w:p>
    <w:p w14:paraId="74F57B22" w14:textId="5E455D8B" w:rsidR="001F49FD" w:rsidRDefault="00C840E9" w:rsidP="000A6E65">
      <w:pPr>
        <w:pStyle w:val="Ttulo1"/>
      </w:pPr>
      <w:bookmarkStart w:id="97" w:name="_Toc522439244"/>
      <w:bookmarkStart w:id="98" w:name="_Toc14331035"/>
      <w:bookmarkStart w:id="99" w:name="_Toc219359036"/>
      <w:r w:rsidRPr="009E4107">
        <w:lastRenderedPageBreak/>
        <w:t>3</w:t>
      </w:r>
      <w:r>
        <w:t xml:space="preserve">    ANÁLISE COMPARATIVA</w:t>
      </w:r>
      <w:bookmarkEnd w:id="97"/>
      <w:bookmarkEnd w:id="98"/>
      <w:bookmarkEnd w:id="99"/>
      <w:r>
        <w:t xml:space="preserve"> </w:t>
      </w:r>
    </w:p>
    <w:p w14:paraId="0881CE00" w14:textId="10369B03" w:rsidR="001F49FD" w:rsidRDefault="00611419" w:rsidP="00B93F90">
      <w:pPr>
        <w:ind w:firstLine="709"/>
      </w:pPr>
      <w:r>
        <w:t xml:space="preserve">Nos capítulos precedentes, verificamos os princípios técnicos estabelecidos em oito fontes literárias de violinistas representativos da prática do instrumento nos dois últimos séculos. No presente capítulo, selecionamos os preceitos que evidenciam as características e transformações dos elementos técnicos fundamentais. Como vimos, cada obra possui uma organização própria e nomenclaturas distintas para cada tema. Para facilitar a análise, os preceitos são reunidos em tópicos pré-determinados e dispostos em </w:t>
      </w:r>
      <w:r w:rsidR="00C840E9">
        <w:t>q</w:t>
      </w:r>
      <w:r>
        <w:t xml:space="preserve">uadros. Caso uma citação esteja relacionada a mais de um tema, essa poderá constar em dois </w:t>
      </w:r>
      <w:r w:rsidR="00C840E9">
        <w:t>q</w:t>
      </w:r>
      <w:r>
        <w:t>uadros diferentes.</w:t>
      </w:r>
      <w:r>
        <w:rPr>
          <w:rStyle w:val="Refdenotaderodap"/>
          <w:rFonts w:cs="Times New Roman"/>
          <w:szCs w:val="24"/>
        </w:rPr>
        <w:footnoteReference w:id="36"/>
      </w:r>
      <w:r>
        <w:t xml:space="preserve"> Nossa análise vale-se também do conjunto informações obtidas no estudo dos métodos.</w:t>
      </w:r>
    </w:p>
    <w:p w14:paraId="76C89935" w14:textId="77777777" w:rsidR="001F49FD" w:rsidRDefault="00611419" w:rsidP="00B93F90">
      <w:pPr>
        <w:pStyle w:val="Recuodecorpodetexto"/>
        <w:ind w:left="283" w:firstLine="426"/>
      </w:pPr>
      <w:r>
        <w:t>Finalmente, para que a perspectiva cronológica seja bem observada, as datas das obras referem-se ao ano de sua primeira publicação.</w:t>
      </w:r>
    </w:p>
    <w:p w14:paraId="08AA83D6" w14:textId="1289D0E4" w:rsidR="001F49FD" w:rsidRDefault="001E48B1" w:rsidP="00B93F90">
      <w:pPr>
        <w:pStyle w:val="Ttulo2"/>
        <w:rPr>
          <w:rStyle w:val="Ttulo1Char"/>
          <w:rFonts w:cstheme="majorBidi"/>
          <w:b/>
          <w:bCs/>
          <w:szCs w:val="28"/>
        </w:rPr>
      </w:pPr>
      <w:bookmarkStart w:id="100" w:name="_Toc522439245"/>
      <w:bookmarkStart w:id="101" w:name="_Toc14331036"/>
      <w:bookmarkStart w:id="102" w:name="_Toc219359037"/>
      <w:r>
        <w:rPr>
          <w:rStyle w:val="Ttulo1Char"/>
          <w:rFonts w:cstheme="majorBidi"/>
          <w:b/>
          <w:bCs/>
          <w:szCs w:val="28"/>
        </w:rPr>
        <w:t>3</w:t>
      </w:r>
      <w:r w:rsidR="00611419">
        <w:rPr>
          <w:rStyle w:val="Ttulo1Char"/>
          <w:rFonts w:cstheme="majorBidi"/>
          <w:b/>
          <w:bCs/>
          <w:szCs w:val="28"/>
        </w:rPr>
        <w:t>.1    Postura corporal e sustentação do violino</w:t>
      </w:r>
      <w:bookmarkEnd w:id="100"/>
      <w:bookmarkEnd w:id="101"/>
      <w:bookmarkEnd w:id="102"/>
    </w:p>
    <w:p w14:paraId="576041ED" w14:textId="05526C5C" w:rsidR="00B93F90" w:rsidRDefault="00611419" w:rsidP="007C5D20">
      <w:pPr>
        <w:pStyle w:val="Recuodecorpodetexto"/>
        <w:ind w:firstLine="709"/>
      </w:pPr>
      <w:r>
        <w:t>A postura corporal para o manuseio do violino e do arco é o primeiro elemento dentre os diversos que compõem a técnica violinística, sendo, portanto, o tema abordado em primeira instância pela maioria dos autores. Após a conscientização do equilíbrio corporal, advém a questão da sustentação do violino, que abrange diversos elementos técnicos.</w:t>
      </w:r>
    </w:p>
    <w:p w14:paraId="0FA70591" w14:textId="3E81BF3A" w:rsidR="001F49FD" w:rsidRDefault="00611419" w:rsidP="000A6E65">
      <w:pPr>
        <w:pStyle w:val="Ttulo3"/>
      </w:pPr>
      <w:bookmarkStart w:id="103" w:name="_Toc219359038"/>
      <w:r>
        <w:t>Equilíbrio do corpo</w:t>
      </w:r>
      <w:bookmarkEnd w:id="103"/>
    </w:p>
    <w:p w14:paraId="158D4CCB" w14:textId="77777777" w:rsidR="001F49FD" w:rsidRDefault="00611419">
      <w:pPr>
        <w:pStyle w:val="Corpodetexto"/>
        <w:spacing w:after="0"/>
        <w:ind w:firstLine="0"/>
        <w:jc w:val="center"/>
        <w:rPr>
          <w:sz w:val="20"/>
          <w:szCs w:val="20"/>
        </w:rPr>
      </w:pPr>
      <w:r>
        <w:rPr>
          <w:b/>
          <w:sz w:val="20"/>
          <w:szCs w:val="20"/>
        </w:rPr>
        <w:t xml:space="preserve">Quadro 1: </w:t>
      </w:r>
      <w:r>
        <w:rPr>
          <w:sz w:val="20"/>
          <w:szCs w:val="20"/>
        </w:rPr>
        <w:t>equilíbrio do corpo.</w:t>
      </w:r>
    </w:p>
    <w:tbl>
      <w:tblPr>
        <w:tblStyle w:val="Tabelacomgrade"/>
        <w:tblW w:w="9072" w:type="dxa"/>
        <w:tblInd w:w="108" w:type="dxa"/>
        <w:tblLayout w:type="fixed"/>
        <w:tblLook w:val="04A0" w:firstRow="1" w:lastRow="0" w:firstColumn="1" w:lastColumn="0" w:noHBand="0" w:noVBand="1"/>
      </w:tblPr>
      <w:tblGrid>
        <w:gridCol w:w="1134"/>
        <w:gridCol w:w="850"/>
        <w:gridCol w:w="7088"/>
      </w:tblGrid>
      <w:tr w:rsidR="001F49FD" w14:paraId="61BA51BB" w14:textId="77777777">
        <w:trPr>
          <w:trHeight w:val="1803"/>
        </w:trPr>
        <w:tc>
          <w:tcPr>
            <w:tcW w:w="1134" w:type="dxa"/>
          </w:tcPr>
          <w:p w14:paraId="68C7B54D" w14:textId="77777777" w:rsidR="001F49FD" w:rsidRDefault="001F49FD">
            <w:pPr>
              <w:widowControl w:val="0"/>
              <w:spacing w:line="240" w:lineRule="auto"/>
              <w:ind w:left="-108" w:right="-108" w:firstLine="0"/>
              <w:rPr>
                <w:rFonts w:ascii="Times New Roman" w:hAnsi="Times New Roman" w:cs="Times New Roman"/>
                <w:szCs w:val="24"/>
                <w:lang w:eastAsia="en-US"/>
              </w:rPr>
            </w:pPr>
          </w:p>
          <w:p w14:paraId="50833598" w14:textId="77777777" w:rsidR="001F49FD" w:rsidRDefault="00611419">
            <w:pPr>
              <w:widowControl w:val="0"/>
              <w:tabs>
                <w:tab w:val="left" w:pos="87"/>
              </w:tabs>
              <w:spacing w:line="240" w:lineRule="auto"/>
              <w:ind w:left="-108" w:right="-108" w:firstLine="0"/>
              <w:rPr>
                <w:rFonts w:ascii="Times New Roman" w:hAnsi="Times New Roman" w:cs="Times New Roman"/>
                <w:b/>
                <w:lang w:eastAsia="en-US"/>
              </w:rPr>
            </w:pPr>
            <w:r>
              <w:rPr>
                <w:rFonts w:cs="Times New Roman"/>
                <w:szCs w:val="24"/>
                <w:lang w:eastAsia="en-US"/>
              </w:rPr>
              <w:t xml:space="preserve">  </w:t>
            </w:r>
            <w:proofErr w:type="spellStart"/>
            <w:r>
              <w:rPr>
                <w:rFonts w:cs="Times New Roman"/>
                <w:szCs w:val="24"/>
                <w:lang w:eastAsia="en-US"/>
              </w:rPr>
              <w:t>Baillot</w:t>
            </w:r>
            <w:proofErr w:type="spellEnd"/>
          </w:p>
        </w:tc>
        <w:tc>
          <w:tcPr>
            <w:tcW w:w="850" w:type="dxa"/>
          </w:tcPr>
          <w:p w14:paraId="54ABF444" w14:textId="77777777" w:rsidR="001F49FD" w:rsidRDefault="001F49FD">
            <w:pPr>
              <w:widowControl w:val="0"/>
              <w:spacing w:line="240" w:lineRule="auto"/>
              <w:ind w:firstLine="0"/>
              <w:rPr>
                <w:rFonts w:ascii="Times New Roman" w:hAnsi="Times New Roman" w:cs="Times New Roman"/>
                <w:lang w:eastAsia="en-US"/>
              </w:rPr>
            </w:pPr>
          </w:p>
          <w:p w14:paraId="63C6ABB1" w14:textId="77777777" w:rsidR="001F49FD" w:rsidRDefault="00611419">
            <w:pPr>
              <w:widowControl w:val="0"/>
              <w:spacing w:line="240" w:lineRule="auto"/>
              <w:ind w:firstLine="0"/>
              <w:rPr>
                <w:rFonts w:ascii="Times New Roman" w:hAnsi="Times New Roman" w:cs="Times New Roman"/>
                <w:lang w:eastAsia="en-US"/>
              </w:rPr>
            </w:pPr>
            <w:r>
              <w:rPr>
                <w:rFonts w:cs="Times New Roman"/>
                <w:lang w:eastAsia="en-US"/>
              </w:rPr>
              <w:t>1835</w:t>
            </w:r>
          </w:p>
        </w:tc>
        <w:tc>
          <w:tcPr>
            <w:tcW w:w="7088" w:type="dxa"/>
          </w:tcPr>
          <w:p w14:paraId="57B5A115"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6DF17F2A"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peso do corpo repousa sobre a perna esquerda, sem que o corpo se incline.</w:t>
            </w:r>
            <w:r>
              <w:rPr>
                <w:rStyle w:val="Refdenotaderodap"/>
                <w:rFonts w:cs="Times New Roman"/>
                <w:szCs w:val="24"/>
                <w:lang w:eastAsia="en-US"/>
              </w:rPr>
              <w:footnoteReference w:id="37"/>
            </w:r>
          </w:p>
          <w:p w14:paraId="64A8549C"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28C2C34F"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pé direito posiciona-se naturalmente na mesma linha que o pé esquerdo, um pouco voltado para fora.</w:t>
            </w:r>
          </w:p>
          <w:p w14:paraId="52CB70FC" w14:textId="77777777" w:rsidR="001F49FD" w:rsidRDefault="001F49FD">
            <w:pPr>
              <w:widowControl w:val="0"/>
              <w:spacing w:line="240" w:lineRule="auto"/>
              <w:ind w:firstLine="0"/>
              <w:rPr>
                <w:rFonts w:ascii="Times New Roman" w:hAnsi="Times New Roman" w:cs="Times New Roman"/>
                <w:b/>
                <w:lang w:eastAsia="en-US"/>
              </w:rPr>
            </w:pPr>
          </w:p>
        </w:tc>
      </w:tr>
      <w:tr w:rsidR="001F49FD" w14:paraId="2B526EB5" w14:textId="77777777">
        <w:trPr>
          <w:trHeight w:val="1947"/>
        </w:trPr>
        <w:tc>
          <w:tcPr>
            <w:tcW w:w="1134" w:type="dxa"/>
          </w:tcPr>
          <w:p w14:paraId="43DE5923" w14:textId="77777777" w:rsidR="001F49FD" w:rsidRDefault="001F49FD">
            <w:pPr>
              <w:widowControl w:val="0"/>
              <w:spacing w:line="240" w:lineRule="auto"/>
              <w:ind w:left="-108" w:right="-108" w:firstLine="0"/>
              <w:rPr>
                <w:rFonts w:ascii="Times New Roman" w:hAnsi="Times New Roman" w:cs="Times New Roman"/>
                <w:szCs w:val="24"/>
                <w:lang w:eastAsia="en-US"/>
              </w:rPr>
            </w:pPr>
          </w:p>
          <w:p w14:paraId="440E6443" w14:textId="77777777" w:rsidR="001F49FD" w:rsidRDefault="00611419">
            <w:pPr>
              <w:widowControl w:val="0"/>
              <w:spacing w:line="240" w:lineRule="auto"/>
              <w:ind w:left="-108" w:right="-108" w:firstLine="0"/>
              <w:rPr>
                <w:rFonts w:ascii="Times New Roman" w:hAnsi="Times New Roman" w:cs="Times New Roman"/>
                <w:szCs w:val="24"/>
                <w:lang w:eastAsia="en-US"/>
              </w:rPr>
            </w:pPr>
            <w:r>
              <w:rPr>
                <w:rFonts w:cs="Times New Roman"/>
                <w:szCs w:val="24"/>
                <w:lang w:eastAsia="en-US"/>
              </w:rPr>
              <w:t xml:space="preserve">  </w:t>
            </w:r>
            <w:proofErr w:type="spellStart"/>
            <w:r>
              <w:rPr>
                <w:rFonts w:cs="Times New Roman"/>
                <w:szCs w:val="24"/>
                <w:lang w:eastAsia="en-US"/>
              </w:rPr>
              <w:t>Bériot</w:t>
            </w:r>
            <w:proofErr w:type="spellEnd"/>
          </w:p>
        </w:tc>
        <w:tc>
          <w:tcPr>
            <w:tcW w:w="850" w:type="dxa"/>
          </w:tcPr>
          <w:p w14:paraId="7729424B" w14:textId="77777777" w:rsidR="001F49FD" w:rsidRDefault="001F49FD">
            <w:pPr>
              <w:widowControl w:val="0"/>
              <w:spacing w:line="240" w:lineRule="auto"/>
              <w:ind w:firstLine="0"/>
              <w:rPr>
                <w:rFonts w:ascii="Times New Roman" w:hAnsi="Times New Roman" w:cs="Times New Roman"/>
                <w:szCs w:val="24"/>
                <w:lang w:eastAsia="en-US"/>
              </w:rPr>
            </w:pPr>
          </w:p>
          <w:p w14:paraId="04E11CED"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1858</w:t>
            </w:r>
          </w:p>
        </w:tc>
        <w:tc>
          <w:tcPr>
            <w:tcW w:w="7088" w:type="dxa"/>
          </w:tcPr>
          <w:p w14:paraId="4B1F764E"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110A6FBF"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corpo reto e aprumado sobre a perna esquerda, mas evitando avançar o quadril.</w:t>
            </w:r>
          </w:p>
          <w:p w14:paraId="586DAAF5"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0244582B"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pé esquerdo forma quase um ângulo reto com a estante, levemente voltado para fora.</w:t>
            </w:r>
          </w:p>
          <w:p w14:paraId="12F710F6"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7610AA78" w14:textId="77777777">
        <w:trPr>
          <w:trHeight w:val="70"/>
        </w:trPr>
        <w:tc>
          <w:tcPr>
            <w:tcW w:w="1134" w:type="dxa"/>
          </w:tcPr>
          <w:p w14:paraId="146DEF39" w14:textId="77777777" w:rsidR="001F49FD" w:rsidRDefault="001F49FD">
            <w:pPr>
              <w:widowControl w:val="0"/>
              <w:spacing w:line="240" w:lineRule="auto"/>
              <w:ind w:firstLine="0"/>
              <w:rPr>
                <w:rFonts w:ascii="Times New Roman" w:hAnsi="Times New Roman" w:cs="Times New Roman"/>
                <w:szCs w:val="24"/>
                <w:lang w:eastAsia="en-US"/>
              </w:rPr>
            </w:pPr>
          </w:p>
          <w:p w14:paraId="587F0C89" w14:textId="77777777" w:rsidR="001F49FD" w:rsidRDefault="001F49FD">
            <w:pPr>
              <w:widowControl w:val="0"/>
              <w:spacing w:line="240" w:lineRule="auto"/>
              <w:ind w:firstLine="0"/>
              <w:rPr>
                <w:rFonts w:ascii="Times New Roman" w:hAnsi="Times New Roman" w:cs="Times New Roman"/>
                <w:szCs w:val="24"/>
                <w:lang w:eastAsia="en-US"/>
              </w:rPr>
            </w:pPr>
          </w:p>
          <w:p w14:paraId="1D10D1C4"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Moser/ Joachim</w:t>
            </w:r>
          </w:p>
          <w:p w14:paraId="294C188F" w14:textId="77777777" w:rsidR="001F49FD" w:rsidRDefault="001F49FD">
            <w:pPr>
              <w:widowControl w:val="0"/>
              <w:spacing w:line="240" w:lineRule="auto"/>
              <w:ind w:firstLine="0"/>
              <w:rPr>
                <w:rFonts w:ascii="Times New Roman" w:hAnsi="Times New Roman" w:cs="Times New Roman"/>
                <w:szCs w:val="24"/>
                <w:lang w:eastAsia="en-US"/>
              </w:rPr>
            </w:pPr>
          </w:p>
        </w:tc>
        <w:tc>
          <w:tcPr>
            <w:tcW w:w="850" w:type="dxa"/>
          </w:tcPr>
          <w:p w14:paraId="6756DCF2" w14:textId="77777777" w:rsidR="001F49FD" w:rsidRDefault="001F49FD">
            <w:pPr>
              <w:widowControl w:val="0"/>
              <w:spacing w:line="240" w:lineRule="auto"/>
              <w:ind w:firstLine="0"/>
              <w:rPr>
                <w:rFonts w:ascii="Times New Roman" w:hAnsi="Times New Roman" w:cs="Times New Roman"/>
                <w:szCs w:val="24"/>
                <w:lang w:eastAsia="en-US"/>
              </w:rPr>
            </w:pPr>
          </w:p>
          <w:p w14:paraId="0A671632" w14:textId="77777777" w:rsidR="001F49FD" w:rsidRDefault="001F49FD">
            <w:pPr>
              <w:widowControl w:val="0"/>
              <w:spacing w:line="240" w:lineRule="auto"/>
              <w:ind w:firstLine="0"/>
              <w:rPr>
                <w:rFonts w:ascii="Times New Roman" w:hAnsi="Times New Roman" w:cs="Times New Roman"/>
                <w:szCs w:val="24"/>
                <w:lang w:eastAsia="en-US"/>
              </w:rPr>
            </w:pPr>
          </w:p>
          <w:p w14:paraId="2FCB2D51"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1905</w:t>
            </w:r>
          </w:p>
        </w:tc>
        <w:tc>
          <w:tcPr>
            <w:tcW w:w="7088" w:type="dxa"/>
          </w:tcPr>
          <w:p w14:paraId="20965C43" w14:textId="77777777" w:rsidR="001F49FD" w:rsidRDefault="001F49FD">
            <w:pPr>
              <w:pStyle w:val="Textodenotaderodap"/>
              <w:widowControl w:val="0"/>
              <w:ind w:firstLine="0"/>
              <w:rPr>
                <w:rFonts w:cs="Times New Roman"/>
                <w:sz w:val="24"/>
                <w:szCs w:val="24"/>
                <w:lang w:eastAsia="en-US"/>
              </w:rPr>
            </w:pPr>
          </w:p>
          <w:p w14:paraId="435E3607" w14:textId="77777777" w:rsidR="001F49FD" w:rsidRDefault="00611419">
            <w:pPr>
              <w:pStyle w:val="Textodenotaderodap"/>
              <w:widowControl w:val="0"/>
              <w:ind w:firstLine="0"/>
              <w:rPr>
                <w:rFonts w:cs="Times New Roman"/>
                <w:sz w:val="24"/>
                <w:szCs w:val="24"/>
                <w:lang w:eastAsia="en-US"/>
              </w:rPr>
            </w:pPr>
            <w:r>
              <w:rPr>
                <w:rFonts w:cs="Times New Roman"/>
                <w:sz w:val="24"/>
                <w:szCs w:val="24"/>
                <w:lang w:eastAsia="en-US"/>
              </w:rPr>
              <w:lastRenderedPageBreak/>
              <w:t>O aluno deve se portar de forma que, quando seus calcanhares estiverem reunidos, os pés formem um ângulo reto.</w:t>
            </w:r>
          </w:p>
          <w:p w14:paraId="104B9385" w14:textId="77777777" w:rsidR="001F49FD" w:rsidRDefault="001F49FD">
            <w:pPr>
              <w:pStyle w:val="Textodenotaderodap"/>
              <w:widowControl w:val="0"/>
              <w:ind w:firstLine="0"/>
              <w:rPr>
                <w:rFonts w:cs="Times New Roman"/>
                <w:sz w:val="24"/>
                <w:szCs w:val="24"/>
                <w:lang w:eastAsia="en-US"/>
              </w:rPr>
            </w:pPr>
          </w:p>
          <w:p w14:paraId="3E671B26" w14:textId="77777777" w:rsidR="001F49FD" w:rsidRDefault="00611419">
            <w:pPr>
              <w:pStyle w:val="Textodenotaderodap"/>
              <w:widowControl w:val="0"/>
              <w:ind w:firstLine="0"/>
              <w:rPr>
                <w:rFonts w:cs="Times New Roman"/>
                <w:sz w:val="24"/>
                <w:szCs w:val="24"/>
                <w:lang w:eastAsia="en-US"/>
              </w:rPr>
            </w:pPr>
            <w:r>
              <w:rPr>
                <w:rFonts w:cs="Times New Roman"/>
                <w:sz w:val="24"/>
                <w:szCs w:val="24"/>
                <w:lang w:eastAsia="en-US"/>
              </w:rPr>
              <w:t>Em seguida, ele deve deixar o peso de seu corpo sobre o pé esquerdo e mover sua perna direita, com o joelho levemente dobrado, a aproximadamente um palmo de sua posição inicial.</w:t>
            </w:r>
          </w:p>
          <w:p w14:paraId="148965BC" w14:textId="77777777" w:rsidR="001F49FD" w:rsidRDefault="001F49FD">
            <w:pPr>
              <w:pStyle w:val="Textodenotaderodap"/>
              <w:widowControl w:val="0"/>
              <w:ind w:firstLine="0"/>
              <w:rPr>
                <w:rFonts w:cs="Times New Roman"/>
                <w:sz w:val="24"/>
                <w:szCs w:val="24"/>
                <w:lang w:eastAsia="en-US"/>
              </w:rPr>
            </w:pPr>
          </w:p>
        </w:tc>
      </w:tr>
      <w:tr w:rsidR="001F49FD" w14:paraId="723C1247" w14:textId="77777777">
        <w:tc>
          <w:tcPr>
            <w:tcW w:w="1134" w:type="dxa"/>
          </w:tcPr>
          <w:p w14:paraId="7868C13D" w14:textId="77777777" w:rsidR="001F49FD" w:rsidRDefault="001F49FD">
            <w:pPr>
              <w:widowControl w:val="0"/>
              <w:spacing w:line="240" w:lineRule="auto"/>
              <w:ind w:firstLine="0"/>
              <w:rPr>
                <w:rFonts w:ascii="Times New Roman" w:hAnsi="Times New Roman" w:cs="Times New Roman"/>
                <w:szCs w:val="24"/>
                <w:lang w:eastAsia="en-US"/>
              </w:rPr>
            </w:pPr>
          </w:p>
          <w:p w14:paraId="65CA46E8" w14:textId="77777777" w:rsidR="001F49FD" w:rsidRDefault="00611419">
            <w:pPr>
              <w:widowControl w:val="0"/>
              <w:spacing w:line="240" w:lineRule="auto"/>
              <w:ind w:firstLine="0"/>
              <w:rPr>
                <w:rFonts w:ascii="Times New Roman" w:hAnsi="Times New Roman" w:cs="Times New Roman"/>
                <w:szCs w:val="24"/>
                <w:lang w:eastAsia="en-US"/>
              </w:rPr>
            </w:pPr>
            <w:proofErr w:type="spellStart"/>
            <w:r>
              <w:rPr>
                <w:rFonts w:cs="Times New Roman"/>
                <w:szCs w:val="24"/>
                <w:lang w:eastAsia="en-US"/>
              </w:rPr>
              <w:t>Auer</w:t>
            </w:r>
            <w:proofErr w:type="spellEnd"/>
          </w:p>
        </w:tc>
        <w:tc>
          <w:tcPr>
            <w:tcW w:w="850" w:type="dxa"/>
          </w:tcPr>
          <w:p w14:paraId="1C0F14F7" w14:textId="77777777" w:rsidR="001F49FD" w:rsidRDefault="001F49FD">
            <w:pPr>
              <w:widowControl w:val="0"/>
              <w:spacing w:line="240" w:lineRule="auto"/>
              <w:ind w:firstLine="0"/>
              <w:rPr>
                <w:rFonts w:ascii="Times New Roman" w:hAnsi="Times New Roman" w:cs="Times New Roman"/>
                <w:szCs w:val="24"/>
                <w:lang w:eastAsia="en-US"/>
              </w:rPr>
            </w:pPr>
          </w:p>
          <w:p w14:paraId="09A403AD"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1921</w:t>
            </w:r>
          </w:p>
        </w:tc>
        <w:tc>
          <w:tcPr>
            <w:tcW w:w="7088" w:type="dxa"/>
          </w:tcPr>
          <w:p w14:paraId="742DC34F"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1AAAA822"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Mantenha-se ereto, com o peso do corpo sobre o pé esquerdo.</w:t>
            </w:r>
          </w:p>
          <w:p w14:paraId="2000F2B3"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5F6B8867"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Atualmente, alguns preconizam a postura dos pés separados, com o peso do corpo sobre as duas pernas; uma posição estável, porém desgraciosa.</w:t>
            </w:r>
          </w:p>
          <w:p w14:paraId="3B5CCD48"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7D8E8AA1" w14:textId="77777777">
        <w:tc>
          <w:tcPr>
            <w:tcW w:w="1134" w:type="dxa"/>
            <w:tcBorders>
              <w:bottom w:val="nil"/>
            </w:tcBorders>
          </w:tcPr>
          <w:p w14:paraId="059626CE" w14:textId="77777777" w:rsidR="001F49FD" w:rsidRDefault="001F49FD">
            <w:pPr>
              <w:widowControl w:val="0"/>
              <w:spacing w:line="240" w:lineRule="auto"/>
              <w:ind w:firstLine="0"/>
              <w:rPr>
                <w:rFonts w:ascii="Times New Roman" w:hAnsi="Times New Roman" w:cs="Times New Roman"/>
                <w:szCs w:val="24"/>
                <w:lang w:eastAsia="en-US"/>
              </w:rPr>
            </w:pPr>
          </w:p>
          <w:p w14:paraId="6C5B6DCC"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Flesch</w:t>
            </w:r>
          </w:p>
        </w:tc>
        <w:tc>
          <w:tcPr>
            <w:tcW w:w="850" w:type="dxa"/>
            <w:tcBorders>
              <w:bottom w:val="nil"/>
            </w:tcBorders>
          </w:tcPr>
          <w:p w14:paraId="0A901776" w14:textId="77777777" w:rsidR="001F49FD" w:rsidRDefault="001F49FD">
            <w:pPr>
              <w:widowControl w:val="0"/>
              <w:spacing w:line="240" w:lineRule="auto"/>
              <w:ind w:firstLine="0"/>
              <w:rPr>
                <w:rFonts w:ascii="Times New Roman" w:hAnsi="Times New Roman" w:cs="Times New Roman"/>
                <w:szCs w:val="24"/>
                <w:lang w:eastAsia="en-US"/>
              </w:rPr>
            </w:pPr>
          </w:p>
          <w:p w14:paraId="54E0B028"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1928</w:t>
            </w:r>
          </w:p>
        </w:tc>
        <w:tc>
          <w:tcPr>
            <w:tcW w:w="7088" w:type="dxa"/>
            <w:tcBorders>
              <w:bottom w:val="nil"/>
            </w:tcBorders>
          </w:tcPr>
          <w:p w14:paraId="4AD2C167"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12526237"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i/>
                <w:color w:val="222222"/>
                <w:szCs w:val="24"/>
                <w:shd w:val="clear" w:color="auto" w:fill="FFFFFF"/>
                <w:lang w:eastAsia="en-US"/>
              </w:rPr>
              <w:t xml:space="preserve">A posição retangular, pés juntos. </w:t>
            </w:r>
            <w:r>
              <w:rPr>
                <w:rFonts w:cs="Times New Roman"/>
                <w:szCs w:val="24"/>
                <w:lang w:eastAsia="en-US"/>
              </w:rPr>
              <w:t>Essa postura do aluno considerado “aplicado”, que ainda é recomendada pelos velhos métodos, deve ser rejeitada, por uma simples razão anatômica e por ser contrária ao equilíbrio.</w:t>
            </w:r>
          </w:p>
        </w:tc>
      </w:tr>
      <w:tr w:rsidR="001F49FD" w14:paraId="2C962C37" w14:textId="77777777">
        <w:tc>
          <w:tcPr>
            <w:tcW w:w="1134" w:type="dxa"/>
            <w:tcBorders>
              <w:top w:val="nil"/>
            </w:tcBorders>
          </w:tcPr>
          <w:p w14:paraId="60693A99" w14:textId="77777777" w:rsidR="001F49FD" w:rsidRDefault="001F49FD">
            <w:pPr>
              <w:widowControl w:val="0"/>
              <w:spacing w:line="240" w:lineRule="auto"/>
              <w:ind w:firstLine="0"/>
              <w:rPr>
                <w:rFonts w:ascii="Times New Roman" w:hAnsi="Times New Roman" w:cs="Times New Roman"/>
                <w:szCs w:val="24"/>
                <w:lang w:eastAsia="en-US"/>
              </w:rPr>
            </w:pPr>
          </w:p>
        </w:tc>
        <w:tc>
          <w:tcPr>
            <w:tcW w:w="850" w:type="dxa"/>
            <w:tcBorders>
              <w:top w:val="nil"/>
            </w:tcBorders>
          </w:tcPr>
          <w:p w14:paraId="3FF9E004" w14:textId="77777777" w:rsidR="001F49FD" w:rsidRDefault="001F49FD">
            <w:pPr>
              <w:widowControl w:val="0"/>
              <w:spacing w:line="240" w:lineRule="auto"/>
              <w:ind w:firstLine="0"/>
              <w:rPr>
                <w:rFonts w:ascii="Times New Roman" w:hAnsi="Times New Roman" w:cs="Times New Roman"/>
                <w:szCs w:val="24"/>
                <w:lang w:eastAsia="en-US"/>
              </w:rPr>
            </w:pPr>
          </w:p>
        </w:tc>
        <w:tc>
          <w:tcPr>
            <w:tcW w:w="7088" w:type="dxa"/>
            <w:tcBorders>
              <w:top w:val="nil"/>
            </w:tcBorders>
          </w:tcPr>
          <w:p w14:paraId="7013CA86"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424D650D" w14:textId="77777777" w:rsidR="001F49FD" w:rsidRDefault="00611419">
            <w:pPr>
              <w:pStyle w:val="PargrafodaLista"/>
              <w:widowControl w:val="0"/>
              <w:spacing w:line="240" w:lineRule="auto"/>
              <w:ind w:left="0" w:firstLine="0"/>
              <w:rPr>
                <w:rFonts w:ascii="Times New Roman" w:hAnsi="Times New Roman" w:cs="Times New Roman"/>
                <w:color w:val="222222"/>
                <w:szCs w:val="24"/>
                <w:shd w:val="clear" w:color="auto" w:fill="FFFFFF"/>
                <w:lang w:eastAsia="en-US"/>
              </w:rPr>
            </w:pPr>
            <w:r>
              <w:rPr>
                <w:rFonts w:cs="Times New Roman"/>
                <w:color w:val="222222"/>
                <w:szCs w:val="24"/>
                <w:shd w:val="clear" w:color="auto" w:fill="FFFFFF"/>
                <w:lang w:eastAsia="en-US"/>
              </w:rPr>
              <w:t>Para poder tocar violino de uma maneira bem constituída e segura, é necessário se equilibrar e se sentir bem aprumado sobre as duas pernas.</w:t>
            </w:r>
          </w:p>
          <w:p w14:paraId="2E2A6CA1"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6C90A08B" w14:textId="77777777">
        <w:tc>
          <w:tcPr>
            <w:tcW w:w="1134" w:type="dxa"/>
          </w:tcPr>
          <w:p w14:paraId="182AF7A6" w14:textId="77777777" w:rsidR="001F49FD" w:rsidRDefault="001F49FD">
            <w:pPr>
              <w:widowControl w:val="0"/>
              <w:spacing w:line="240" w:lineRule="auto"/>
              <w:ind w:firstLine="0"/>
              <w:rPr>
                <w:rFonts w:ascii="Times New Roman" w:hAnsi="Times New Roman" w:cs="Times New Roman"/>
                <w:szCs w:val="24"/>
                <w:lang w:eastAsia="en-US"/>
              </w:rPr>
            </w:pPr>
          </w:p>
          <w:p w14:paraId="436B6196" w14:textId="77777777" w:rsidR="001F49FD" w:rsidRDefault="00611419">
            <w:pPr>
              <w:widowControl w:val="0"/>
              <w:spacing w:line="240" w:lineRule="auto"/>
              <w:ind w:right="-108" w:firstLine="0"/>
              <w:rPr>
                <w:rFonts w:ascii="Times New Roman" w:hAnsi="Times New Roman" w:cs="Times New Roman"/>
                <w:szCs w:val="24"/>
                <w:lang w:eastAsia="en-US"/>
              </w:rPr>
            </w:pPr>
            <w:proofErr w:type="spellStart"/>
            <w:r>
              <w:rPr>
                <w:rFonts w:cs="Times New Roman"/>
                <w:szCs w:val="24"/>
                <w:lang w:eastAsia="en-US"/>
              </w:rPr>
              <w:t>Galamian</w:t>
            </w:r>
            <w:proofErr w:type="spellEnd"/>
          </w:p>
        </w:tc>
        <w:tc>
          <w:tcPr>
            <w:tcW w:w="850" w:type="dxa"/>
          </w:tcPr>
          <w:p w14:paraId="098B9FDF" w14:textId="77777777" w:rsidR="001F49FD" w:rsidRDefault="001F49FD">
            <w:pPr>
              <w:widowControl w:val="0"/>
              <w:spacing w:line="240" w:lineRule="auto"/>
              <w:ind w:firstLine="0"/>
              <w:rPr>
                <w:rFonts w:ascii="Times New Roman" w:hAnsi="Times New Roman" w:cs="Times New Roman"/>
                <w:szCs w:val="24"/>
                <w:lang w:eastAsia="en-US"/>
              </w:rPr>
            </w:pPr>
          </w:p>
          <w:p w14:paraId="4C80E276"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1962</w:t>
            </w:r>
          </w:p>
        </w:tc>
        <w:tc>
          <w:tcPr>
            <w:tcW w:w="7088" w:type="dxa"/>
          </w:tcPr>
          <w:p w14:paraId="077CA868"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54554199"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A maneira de se colocar de pé ou sentado não deve ser objeto de prescrições exatas, a não ser de se sentir à vontade.</w:t>
            </w:r>
          </w:p>
          <w:p w14:paraId="65C25DAD"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48AF14DF" w14:textId="77777777">
        <w:tc>
          <w:tcPr>
            <w:tcW w:w="1134" w:type="dxa"/>
          </w:tcPr>
          <w:p w14:paraId="036BE784" w14:textId="77777777" w:rsidR="001F49FD" w:rsidRDefault="001F49FD">
            <w:pPr>
              <w:widowControl w:val="0"/>
              <w:spacing w:line="240" w:lineRule="auto"/>
              <w:ind w:firstLine="0"/>
              <w:rPr>
                <w:rFonts w:ascii="Times New Roman" w:hAnsi="Times New Roman" w:cs="Times New Roman"/>
                <w:szCs w:val="24"/>
                <w:lang w:eastAsia="en-US"/>
              </w:rPr>
            </w:pPr>
          </w:p>
          <w:p w14:paraId="5D9D5F89"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Fischer</w:t>
            </w:r>
          </w:p>
        </w:tc>
        <w:tc>
          <w:tcPr>
            <w:tcW w:w="850" w:type="dxa"/>
          </w:tcPr>
          <w:p w14:paraId="7966E787" w14:textId="77777777" w:rsidR="001F49FD" w:rsidRDefault="001F49FD">
            <w:pPr>
              <w:widowControl w:val="0"/>
              <w:spacing w:line="240" w:lineRule="auto"/>
              <w:ind w:firstLine="0"/>
              <w:rPr>
                <w:rFonts w:ascii="Times New Roman" w:hAnsi="Times New Roman" w:cs="Times New Roman"/>
                <w:szCs w:val="24"/>
                <w:lang w:eastAsia="en-US"/>
              </w:rPr>
            </w:pPr>
          </w:p>
          <w:p w14:paraId="7BCD214C"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2004</w:t>
            </w:r>
          </w:p>
        </w:tc>
        <w:tc>
          <w:tcPr>
            <w:tcW w:w="7088" w:type="dxa"/>
          </w:tcPr>
          <w:p w14:paraId="0783592C"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p w14:paraId="5500AA80"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Tocando em pé, a articulação do quadril não deve se deslocar para frente. Assegure-se também de que os joelhos não se enrijeçam para trás. A figura 40e</w:t>
            </w:r>
            <w:r>
              <w:rPr>
                <w:rStyle w:val="Refdenotaderodap"/>
                <w:rFonts w:cs="Times New Roman"/>
                <w:szCs w:val="24"/>
                <w:lang w:eastAsia="en-US"/>
              </w:rPr>
              <w:footnoteReference w:id="38"/>
            </w:r>
            <w:r>
              <w:rPr>
                <w:rFonts w:cs="Times New Roman"/>
                <w:szCs w:val="24"/>
                <w:lang w:eastAsia="en-US"/>
              </w:rPr>
              <w:t xml:space="preserve"> demonstra uma correta posição em pé.</w:t>
            </w:r>
          </w:p>
          <w:p w14:paraId="1599CF36"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bl>
    <w:p w14:paraId="7FC08912" w14:textId="77777777" w:rsidR="001F49FD" w:rsidRDefault="001F49FD">
      <w:pPr>
        <w:ind w:firstLine="0"/>
        <w:rPr>
          <w:rFonts w:ascii="Times New Roman" w:hAnsi="Times New Roman" w:cs="Times New Roman"/>
          <w:szCs w:val="24"/>
        </w:rPr>
      </w:pPr>
    </w:p>
    <w:p w14:paraId="54ECBFA1" w14:textId="3F395F59" w:rsidR="00B93F90" w:rsidRPr="00B93F90" w:rsidRDefault="00611419" w:rsidP="007C5D20">
      <w:pPr>
        <w:pStyle w:val="Recuodecorpodetexto"/>
        <w:ind w:firstLine="709"/>
        <w:rPr>
          <w:b/>
        </w:rPr>
      </w:pPr>
      <w:r>
        <w:t xml:space="preserve">Pelo fato </w:t>
      </w:r>
      <w:r w:rsidR="00C840E9">
        <w:t>de o</w:t>
      </w:r>
      <w:r>
        <w:t xml:space="preserve"> violino estar situado junto ao corpo de forma descentralizada, o elemento técnico primordial concernente à postura violinística é o equilíbrio corporal, principalmente quando da posição em pé. As fontes indicam que o deslocamento do peso do corpo para o lado esquerdo foi um posicionamento consolidado até as primeiras décadas do século XX, quando surgem violinistas que distribuem igualmente o peso do corpo sobre as duas pernas, como relatado – e refutado – por </w:t>
      </w:r>
      <w:proofErr w:type="spellStart"/>
      <w:r>
        <w:t>Auer</w:t>
      </w:r>
      <w:proofErr w:type="spellEnd"/>
      <w:r>
        <w:t xml:space="preserve">. Por sua vez, Flesch condena a pouca base dos pés decorrente desse deslocamento e preconiza o </w:t>
      </w:r>
      <w:r>
        <w:rPr>
          <w:rFonts w:eastAsia="Times New Roman" w:cstheme="majorHAnsi"/>
          <w:szCs w:val="24"/>
        </w:rPr>
        <w:t>equilíbrio sobre as duas pernas</w:t>
      </w:r>
      <w:r>
        <w:rPr>
          <w:rStyle w:val="Refdenotaderodap"/>
          <w:rFonts w:eastAsia="Times New Roman" w:cstheme="majorHAnsi"/>
          <w:szCs w:val="24"/>
        </w:rPr>
        <w:footnoteReference w:id="39"/>
      </w:r>
      <w:r>
        <w:t xml:space="preserve">, revelando, quanto a esse componente técnico, uma divergência em períodos próximos. A partir da segunda metade do século XX, os registros de </w:t>
      </w:r>
      <w:proofErr w:type="spellStart"/>
      <w:r>
        <w:t>Galamian</w:t>
      </w:r>
      <w:proofErr w:type="spellEnd"/>
      <w:r>
        <w:t xml:space="preserve"> indicam a escolha </w:t>
      </w:r>
      <w:r>
        <w:lastRenderedPageBreak/>
        <w:t>individual, ao passo que Fischer, através das orientações sobre o posicionamento do quadril e dos joelhos, associado às imagens</w:t>
      </w:r>
      <w:r>
        <w:rPr>
          <w:rStyle w:val="Refdenotaderodap"/>
        </w:rPr>
        <w:footnoteReference w:id="40"/>
      </w:r>
      <w:r>
        <w:t xml:space="preserve">, parece adotar a equilíbrio sobre as duas pernas, ratificando o preceito de Flesch. Pode-se concluir que, ao longo dos dois séculos, passou-se de um único conceito rigidamente consolidado – o peso do corpo sobre a perna esquerda no século XIX – para o acréscimo de mais uma forma postural – o equilíbrio sobre as duas pernas </w:t>
      </w:r>
      <w:r>
        <w:rPr>
          <w:rFonts w:cs="Times New Roman"/>
          <w:szCs w:val="24"/>
        </w:rPr>
        <w:t xml:space="preserve">– </w:t>
      </w:r>
      <w:r>
        <w:t>sem que o primeiro posicionamento tenha sido completamente abolido.</w:t>
      </w:r>
      <w:bookmarkStart w:id="104" w:name="_Toc14331038"/>
    </w:p>
    <w:p w14:paraId="70822FC8" w14:textId="0610FDFE" w:rsidR="001F49FD" w:rsidRDefault="00611419" w:rsidP="000A6E65">
      <w:pPr>
        <w:pStyle w:val="Ttulo3"/>
      </w:pPr>
      <w:bookmarkStart w:id="105" w:name="_Toc219359039"/>
      <w:r>
        <w:t>Local de posicionamento do violino</w:t>
      </w:r>
      <w:bookmarkEnd w:id="104"/>
      <w:bookmarkEnd w:id="105"/>
      <w:r>
        <w:t xml:space="preserve"> </w:t>
      </w:r>
    </w:p>
    <w:p w14:paraId="4D700856" w14:textId="77777777" w:rsidR="001F49FD" w:rsidRDefault="00611419">
      <w:pPr>
        <w:pStyle w:val="Corpodetexto"/>
        <w:spacing w:after="0"/>
        <w:ind w:firstLine="0"/>
        <w:jc w:val="center"/>
        <w:rPr>
          <w:sz w:val="20"/>
          <w:szCs w:val="20"/>
        </w:rPr>
      </w:pPr>
      <w:r>
        <w:rPr>
          <w:b/>
          <w:sz w:val="20"/>
          <w:szCs w:val="20"/>
        </w:rPr>
        <w:t xml:space="preserve">Quadro 2: </w:t>
      </w:r>
      <w:r>
        <w:rPr>
          <w:sz w:val="20"/>
          <w:szCs w:val="20"/>
        </w:rPr>
        <w:t>local de posicionamento do violino.</w:t>
      </w:r>
    </w:p>
    <w:tbl>
      <w:tblPr>
        <w:tblStyle w:val="Tabelacomgrade"/>
        <w:tblpPr w:leftFromText="141" w:rightFromText="141" w:vertAnchor="text" w:horzAnchor="margin" w:tblpXSpec="center" w:tblpY="20"/>
        <w:tblW w:w="9039" w:type="dxa"/>
        <w:jc w:val="center"/>
        <w:tblLayout w:type="fixed"/>
        <w:tblLook w:val="04A0" w:firstRow="1" w:lastRow="0" w:firstColumn="1" w:lastColumn="0" w:noHBand="0" w:noVBand="1"/>
      </w:tblPr>
      <w:tblGrid>
        <w:gridCol w:w="1100"/>
        <w:gridCol w:w="993"/>
        <w:gridCol w:w="6946"/>
      </w:tblGrid>
      <w:tr w:rsidR="001F49FD" w14:paraId="685EFED8" w14:textId="77777777">
        <w:trPr>
          <w:trHeight w:val="1268"/>
          <w:jc w:val="center"/>
        </w:trPr>
        <w:tc>
          <w:tcPr>
            <w:tcW w:w="1100" w:type="dxa"/>
            <w:tcBorders>
              <w:bottom w:val="nil"/>
            </w:tcBorders>
          </w:tcPr>
          <w:p w14:paraId="5DFCAEAC" w14:textId="77777777" w:rsidR="001F49FD" w:rsidRDefault="001F49FD">
            <w:pPr>
              <w:widowControl w:val="0"/>
              <w:spacing w:line="240" w:lineRule="auto"/>
              <w:jc w:val="center"/>
              <w:rPr>
                <w:rFonts w:ascii="Times New Roman" w:hAnsi="Times New Roman" w:cs="Times New Roman"/>
                <w:szCs w:val="24"/>
                <w:lang w:eastAsia="en-US"/>
              </w:rPr>
            </w:pPr>
          </w:p>
          <w:p w14:paraId="41C5D7BF"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Spohr</w:t>
            </w:r>
          </w:p>
          <w:p w14:paraId="5DF29D5E" w14:textId="77777777" w:rsidR="001F49FD" w:rsidRDefault="001F49FD">
            <w:pPr>
              <w:widowControl w:val="0"/>
              <w:spacing w:line="240" w:lineRule="auto"/>
              <w:jc w:val="center"/>
              <w:rPr>
                <w:rFonts w:ascii="Times New Roman" w:hAnsi="Times New Roman" w:cs="Times New Roman"/>
                <w:szCs w:val="24"/>
                <w:lang w:eastAsia="en-US"/>
              </w:rPr>
            </w:pPr>
          </w:p>
        </w:tc>
        <w:tc>
          <w:tcPr>
            <w:tcW w:w="993" w:type="dxa"/>
            <w:tcBorders>
              <w:bottom w:val="nil"/>
            </w:tcBorders>
          </w:tcPr>
          <w:p w14:paraId="3F8BF6F7" w14:textId="77777777" w:rsidR="001F49FD" w:rsidRDefault="001F49FD">
            <w:pPr>
              <w:widowControl w:val="0"/>
              <w:spacing w:line="240" w:lineRule="auto"/>
              <w:ind w:firstLine="0"/>
              <w:jc w:val="center"/>
              <w:rPr>
                <w:rFonts w:ascii="Times New Roman" w:hAnsi="Times New Roman" w:cs="Times New Roman"/>
                <w:szCs w:val="24"/>
                <w:lang w:eastAsia="en-US"/>
              </w:rPr>
            </w:pPr>
          </w:p>
          <w:p w14:paraId="778E3712" w14:textId="77777777" w:rsidR="001F49FD" w:rsidRDefault="00611419">
            <w:pPr>
              <w:widowControl w:val="0"/>
              <w:spacing w:line="240" w:lineRule="auto"/>
              <w:ind w:firstLine="0"/>
              <w:jc w:val="center"/>
              <w:rPr>
                <w:rFonts w:ascii="Times New Roman" w:hAnsi="Times New Roman" w:cs="Times New Roman"/>
                <w:szCs w:val="24"/>
                <w:lang w:eastAsia="en-US"/>
              </w:rPr>
            </w:pPr>
            <w:r>
              <w:rPr>
                <w:rFonts w:cs="Times New Roman"/>
                <w:szCs w:val="24"/>
                <w:lang w:eastAsia="en-US"/>
              </w:rPr>
              <w:t>1832</w:t>
            </w:r>
          </w:p>
          <w:p w14:paraId="25E3A979" w14:textId="77777777" w:rsidR="001F49FD" w:rsidRDefault="001F49FD">
            <w:pPr>
              <w:widowControl w:val="0"/>
              <w:spacing w:line="240" w:lineRule="auto"/>
              <w:ind w:firstLine="0"/>
              <w:rPr>
                <w:rFonts w:ascii="Times New Roman" w:hAnsi="Times New Roman" w:cs="Times New Roman"/>
                <w:szCs w:val="24"/>
                <w:lang w:eastAsia="en-US"/>
              </w:rPr>
            </w:pPr>
          </w:p>
          <w:p w14:paraId="29E94B38" w14:textId="77777777" w:rsidR="001F49FD" w:rsidRDefault="001F49FD">
            <w:pPr>
              <w:widowControl w:val="0"/>
              <w:spacing w:line="240" w:lineRule="auto"/>
              <w:ind w:firstLine="0"/>
              <w:jc w:val="center"/>
              <w:rPr>
                <w:rFonts w:ascii="Times New Roman" w:hAnsi="Times New Roman" w:cs="Times New Roman"/>
                <w:szCs w:val="24"/>
                <w:lang w:eastAsia="en-US"/>
              </w:rPr>
            </w:pPr>
          </w:p>
        </w:tc>
        <w:tc>
          <w:tcPr>
            <w:tcW w:w="6946" w:type="dxa"/>
          </w:tcPr>
          <w:p w14:paraId="75F76906" w14:textId="77777777" w:rsidR="001F49FD" w:rsidRDefault="001F49FD">
            <w:pPr>
              <w:pStyle w:val="PargrafodaLista"/>
              <w:widowControl w:val="0"/>
              <w:spacing w:line="240" w:lineRule="auto"/>
              <w:ind w:left="0"/>
              <w:rPr>
                <w:rFonts w:ascii="Times New Roman" w:hAnsi="Times New Roman" w:cs="Times New Roman"/>
                <w:szCs w:val="24"/>
                <w:u w:val="single"/>
                <w:lang w:eastAsia="en-US"/>
              </w:rPr>
            </w:pPr>
          </w:p>
          <w:p w14:paraId="2F850889"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u w:val="single"/>
                <w:lang w:eastAsia="en-US"/>
              </w:rPr>
              <w:t>A borda inferior do fundo do violino é posicionada na clavícula esquerda</w:t>
            </w:r>
            <w:r>
              <w:rPr>
                <w:rFonts w:cs="Times New Roman"/>
                <w:szCs w:val="24"/>
                <w:lang w:eastAsia="en-US"/>
              </w:rPr>
              <w:t xml:space="preserve"> e mantida firmemente pela pressão do queixo sobre a </w:t>
            </w:r>
            <w:proofErr w:type="spellStart"/>
            <w:r>
              <w:rPr>
                <w:rFonts w:cs="Times New Roman"/>
                <w:szCs w:val="24"/>
                <w:lang w:eastAsia="en-US"/>
              </w:rPr>
              <w:t>queixeira</w:t>
            </w:r>
            <w:proofErr w:type="spellEnd"/>
            <w:r>
              <w:rPr>
                <w:rFonts w:cs="Times New Roman"/>
                <w:szCs w:val="24"/>
                <w:lang w:eastAsia="en-US"/>
              </w:rPr>
              <w:t>.</w:t>
            </w:r>
          </w:p>
          <w:p w14:paraId="1DA54544" w14:textId="77777777" w:rsidR="001F49FD" w:rsidRDefault="001F49FD">
            <w:pPr>
              <w:widowControl w:val="0"/>
              <w:spacing w:line="240" w:lineRule="auto"/>
              <w:ind w:firstLine="0"/>
              <w:rPr>
                <w:rFonts w:ascii="Times New Roman" w:hAnsi="Times New Roman" w:cs="Times New Roman"/>
                <w:szCs w:val="24"/>
                <w:lang w:eastAsia="en-US"/>
              </w:rPr>
            </w:pPr>
          </w:p>
        </w:tc>
      </w:tr>
      <w:tr w:rsidR="001F49FD" w14:paraId="4497B5BE" w14:textId="77777777">
        <w:trPr>
          <w:trHeight w:val="1268"/>
          <w:jc w:val="center"/>
        </w:trPr>
        <w:tc>
          <w:tcPr>
            <w:tcW w:w="1100" w:type="dxa"/>
            <w:tcBorders>
              <w:bottom w:val="nil"/>
            </w:tcBorders>
          </w:tcPr>
          <w:p w14:paraId="1F6386B4" w14:textId="77777777" w:rsidR="001F49FD" w:rsidRDefault="00611419">
            <w:pPr>
              <w:widowControl w:val="0"/>
              <w:spacing w:line="240" w:lineRule="auto"/>
              <w:rPr>
                <w:rFonts w:ascii="Times New Roman" w:hAnsi="Times New Roman" w:cs="Times New Roman"/>
                <w:szCs w:val="24"/>
                <w:lang w:eastAsia="en-US"/>
              </w:rPr>
            </w:pPr>
            <w:proofErr w:type="spellStart"/>
            <w:r>
              <w:rPr>
                <w:rFonts w:cs="Times New Roman"/>
                <w:szCs w:val="24"/>
                <w:lang w:eastAsia="en-US"/>
              </w:rPr>
              <w:t>BBaillot</w:t>
            </w:r>
            <w:proofErr w:type="spellEnd"/>
          </w:p>
        </w:tc>
        <w:tc>
          <w:tcPr>
            <w:tcW w:w="993" w:type="dxa"/>
            <w:tcBorders>
              <w:bottom w:val="nil"/>
            </w:tcBorders>
          </w:tcPr>
          <w:p w14:paraId="48335FE3" w14:textId="77777777" w:rsidR="001F49FD" w:rsidRDefault="001F49FD" w:rsidP="00C840E9">
            <w:pPr>
              <w:widowControl w:val="0"/>
              <w:spacing w:line="240" w:lineRule="auto"/>
              <w:ind w:firstLine="0"/>
              <w:rPr>
                <w:rFonts w:ascii="Times New Roman" w:hAnsi="Times New Roman" w:cs="Times New Roman"/>
                <w:szCs w:val="24"/>
                <w:lang w:eastAsia="en-US"/>
              </w:rPr>
            </w:pPr>
          </w:p>
          <w:p w14:paraId="75F25FA7" w14:textId="77777777" w:rsidR="001F49FD" w:rsidRDefault="00611419">
            <w:pPr>
              <w:widowControl w:val="0"/>
              <w:spacing w:line="240" w:lineRule="auto"/>
              <w:ind w:firstLine="0"/>
              <w:jc w:val="center"/>
              <w:rPr>
                <w:rFonts w:ascii="Times New Roman" w:hAnsi="Times New Roman" w:cs="Times New Roman"/>
                <w:szCs w:val="24"/>
                <w:lang w:eastAsia="en-US"/>
              </w:rPr>
            </w:pPr>
            <w:r>
              <w:rPr>
                <w:rFonts w:cs="Times New Roman"/>
                <w:szCs w:val="24"/>
                <w:lang w:eastAsia="en-US"/>
              </w:rPr>
              <w:t>1835</w:t>
            </w:r>
          </w:p>
        </w:tc>
        <w:tc>
          <w:tcPr>
            <w:tcW w:w="6946" w:type="dxa"/>
          </w:tcPr>
          <w:p w14:paraId="6E4C81DA" w14:textId="77777777" w:rsidR="001F49FD" w:rsidRDefault="001F49FD">
            <w:pPr>
              <w:pStyle w:val="PargrafodaLista"/>
              <w:widowControl w:val="0"/>
              <w:spacing w:line="240" w:lineRule="auto"/>
              <w:ind w:left="0"/>
              <w:rPr>
                <w:lang w:eastAsia="en-US"/>
              </w:rPr>
            </w:pPr>
          </w:p>
          <w:p w14:paraId="081E6F86" w14:textId="77777777" w:rsidR="001F49FD" w:rsidRDefault="00611419">
            <w:pPr>
              <w:widowControl w:val="0"/>
              <w:spacing w:line="240" w:lineRule="auto"/>
              <w:ind w:firstLine="0"/>
              <w:rPr>
                <w:lang w:eastAsia="en-US"/>
              </w:rPr>
            </w:pPr>
            <w:r>
              <w:rPr>
                <w:lang w:eastAsia="en-US"/>
              </w:rPr>
              <w:t>O violino deve estar posicionado sobre a clavícula.</w:t>
            </w:r>
          </w:p>
          <w:p w14:paraId="12A92DBE" w14:textId="77777777" w:rsidR="001F49FD" w:rsidRDefault="001F49FD">
            <w:pPr>
              <w:widowControl w:val="0"/>
              <w:spacing w:line="240" w:lineRule="auto"/>
              <w:ind w:firstLine="0"/>
              <w:rPr>
                <w:lang w:eastAsia="en-US"/>
              </w:rPr>
            </w:pPr>
          </w:p>
          <w:p w14:paraId="7F4C7F20" w14:textId="77777777" w:rsidR="001F49FD" w:rsidRDefault="00611419">
            <w:pPr>
              <w:widowControl w:val="0"/>
              <w:spacing w:line="240" w:lineRule="auto"/>
              <w:ind w:firstLine="0"/>
              <w:rPr>
                <w:rFonts w:ascii="Times New Roman" w:hAnsi="Times New Roman"/>
              </w:rPr>
            </w:pPr>
            <w:r>
              <w:rPr>
                <w:u w:val="single"/>
              </w:rPr>
              <w:t>Preso pelo queixo, que se apoia sobre o violino</w:t>
            </w:r>
            <w:r>
              <w:t>, do lado esquerdo, e não sobre o estandarte.</w:t>
            </w:r>
          </w:p>
          <w:p w14:paraId="34B5FC2A" w14:textId="77777777" w:rsidR="001F49FD" w:rsidRDefault="001F49FD">
            <w:pPr>
              <w:widowControl w:val="0"/>
              <w:spacing w:line="240" w:lineRule="auto"/>
              <w:ind w:firstLine="0"/>
              <w:rPr>
                <w:rFonts w:ascii="Times New Roman" w:hAnsi="Times New Roman"/>
              </w:rPr>
            </w:pPr>
          </w:p>
        </w:tc>
      </w:tr>
      <w:tr w:rsidR="001F49FD" w14:paraId="029312DE" w14:textId="77777777">
        <w:trPr>
          <w:trHeight w:val="708"/>
          <w:jc w:val="center"/>
        </w:trPr>
        <w:tc>
          <w:tcPr>
            <w:tcW w:w="1100" w:type="dxa"/>
          </w:tcPr>
          <w:p w14:paraId="0B2415BD" w14:textId="77777777" w:rsidR="001F49FD" w:rsidRDefault="001F49FD">
            <w:pPr>
              <w:widowControl w:val="0"/>
              <w:spacing w:line="240" w:lineRule="auto"/>
              <w:jc w:val="center"/>
              <w:rPr>
                <w:rFonts w:ascii="Times New Roman" w:hAnsi="Times New Roman" w:cs="Times New Roman"/>
                <w:szCs w:val="24"/>
                <w:lang w:eastAsia="en-US"/>
              </w:rPr>
            </w:pPr>
          </w:p>
          <w:p w14:paraId="0262B3BA" w14:textId="77777777" w:rsidR="001F49FD" w:rsidRDefault="00611419">
            <w:pPr>
              <w:widowControl w:val="0"/>
              <w:spacing w:line="240" w:lineRule="auto"/>
              <w:ind w:firstLine="0"/>
              <w:rPr>
                <w:rFonts w:ascii="Times New Roman" w:hAnsi="Times New Roman" w:cs="Times New Roman"/>
                <w:szCs w:val="24"/>
                <w:lang w:eastAsia="en-US"/>
              </w:rPr>
            </w:pPr>
            <w:proofErr w:type="spellStart"/>
            <w:r>
              <w:rPr>
                <w:rFonts w:cs="Times New Roman"/>
                <w:szCs w:val="24"/>
                <w:lang w:eastAsia="en-US"/>
              </w:rPr>
              <w:t>Bériot</w:t>
            </w:r>
            <w:proofErr w:type="spellEnd"/>
          </w:p>
        </w:tc>
        <w:tc>
          <w:tcPr>
            <w:tcW w:w="993" w:type="dxa"/>
          </w:tcPr>
          <w:p w14:paraId="1F95A5AA" w14:textId="77777777" w:rsidR="001F49FD" w:rsidRDefault="001F49FD">
            <w:pPr>
              <w:widowControl w:val="0"/>
              <w:spacing w:line="240" w:lineRule="auto"/>
              <w:ind w:firstLine="0"/>
              <w:rPr>
                <w:rFonts w:ascii="Times New Roman" w:hAnsi="Times New Roman" w:cs="Times New Roman"/>
                <w:szCs w:val="24"/>
                <w:lang w:eastAsia="en-US"/>
              </w:rPr>
            </w:pPr>
          </w:p>
          <w:p w14:paraId="4B011BFD" w14:textId="77777777" w:rsidR="001F49FD" w:rsidRDefault="00611419">
            <w:pPr>
              <w:widowControl w:val="0"/>
              <w:spacing w:line="240" w:lineRule="auto"/>
              <w:ind w:firstLine="0"/>
              <w:jc w:val="center"/>
              <w:rPr>
                <w:rFonts w:ascii="Times New Roman" w:hAnsi="Times New Roman" w:cs="Times New Roman"/>
                <w:szCs w:val="24"/>
                <w:lang w:eastAsia="en-US"/>
              </w:rPr>
            </w:pPr>
            <w:r>
              <w:rPr>
                <w:rFonts w:cs="Times New Roman"/>
                <w:szCs w:val="24"/>
                <w:lang w:eastAsia="en-US"/>
              </w:rPr>
              <w:t>1858</w:t>
            </w:r>
          </w:p>
        </w:tc>
        <w:tc>
          <w:tcPr>
            <w:tcW w:w="6946" w:type="dxa"/>
          </w:tcPr>
          <w:p w14:paraId="049B905B" w14:textId="77777777" w:rsidR="001F49FD" w:rsidRDefault="001F49FD">
            <w:pPr>
              <w:pStyle w:val="PargrafodaLista"/>
              <w:widowControl w:val="0"/>
              <w:spacing w:line="240" w:lineRule="auto"/>
              <w:ind w:left="0"/>
              <w:rPr>
                <w:rFonts w:ascii="Times New Roman" w:hAnsi="Times New Roman" w:cs="Times New Roman"/>
                <w:szCs w:val="24"/>
                <w:u w:val="single"/>
                <w:lang w:eastAsia="en-US"/>
              </w:rPr>
            </w:pPr>
          </w:p>
          <w:p w14:paraId="5EFDA58F"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u w:val="single"/>
                <w:lang w:eastAsia="en-US"/>
              </w:rPr>
              <w:t>O violino é posicionado sobre a clavícula esquerda, escorado no pescoço</w:t>
            </w:r>
            <w:r>
              <w:rPr>
                <w:rFonts w:cs="Times New Roman"/>
                <w:szCs w:val="24"/>
                <w:lang w:eastAsia="en-US"/>
              </w:rPr>
              <w:t xml:space="preserve"> e amparado pela gola da vestimenta e do colete, que o inclinam naturalmente para a direita.</w:t>
            </w:r>
          </w:p>
          <w:p w14:paraId="43C5491F" w14:textId="77777777" w:rsidR="001F49FD" w:rsidRDefault="001F49FD">
            <w:pPr>
              <w:pStyle w:val="PargrafodaLista"/>
              <w:widowControl w:val="0"/>
              <w:spacing w:line="240" w:lineRule="auto"/>
              <w:ind w:left="0" w:firstLine="0"/>
              <w:rPr>
                <w:rFonts w:ascii="Times New Roman" w:hAnsi="Times New Roman" w:cs="Times New Roman"/>
                <w:szCs w:val="24"/>
                <w:lang w:eastAsia="en-US"/>
              </w:rPr>
            </w:pPr>
          </w:p>
        </w:tc>
      </w:tr>
      <w:tr w:rsidR="001F49FD" w14:paraId="7D942ED9" w14:textId="77777777">
        <w:trPr>
          <w:trHeight w:val="1390"/>
          <w:jc w:val="center"/>
        </w:trPr>
        <w:tc>
          <w:tcPr>
            <w:tcW w:w="1100" w:type="dxa"/>
          </w:tcPr>
          <w:p w14:paraId="5F4771A3" w14:textId="77777777" w:rsidR="001F49FD" w:rsidRDefault="001F49FD">
            <w:pPr>
              <w:widowControl w:val="0"/>
              <w:spacing w:line="240" w:lineRule="auto"/>
              <w:jc w:val="center"/>
              <w:rPr>
                <w:rFonts w:ascii="Times New Roman" w:hAnsi="Times New Roman" w:cs="Times New Roman"/>
                <w:szCs w:val="24"/>
                <w:lang w:eastAsia="en-US"/>
              </w:rPr>
            </w:pPr>
          </w:p>
          <w:p w14:paraId="52DF73C0"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Moser/</w:t>
            </w:r>
          </w:p>
          <w:p w14:paraId="61686F0E"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lang w:eastAsia="en-US"/>
              </w:rPr>
              <w:t>Joachim</w:t>
            </w:r>
          </w:p>
        </w:tc>
        <w:tc>
          <w:tcPr>
            <w:tcW w:w="993" w:type="dxa"/>
          </w:tcPr>
          <w:p w14:paraId="7E7951E9" w14:textId="77777777" w:rsidR="001F49FD" w:rsidRDefault="001F49FD">
            <w:pPr>
              <w:widowControl w:val="0"/>
              <w:spacing w:line="240" w:lineRule="auto"/>
              <w:jc w:val="center"/>
              <w:rPr>
                <w:rFonts w:ascii="Times New Roman" w:hAnsi="Times New Roman" w:cs="Times New Roman"/>
                <w:szCs w:val="24"/>
                <w:lang w:eastAsia="en-US"/>
              </w:rPr>
            </w:pPr>
          </w:p>
          <w:p w14:paraId="0F485215" w14:textId="77777777" w:rsidR="001F49FD" w:rsidRDefault="00611419">
            <w:pPr>
              <w:widowControl w:val="0"/>
              <w:spacing w:line="240" w:lineRule="auto"/>
              <w:ind w:firstLine="0"/>
              <w:jc w:val="center"/>
              <w:rPr>
                <w:rFonts w:ascii="Times New Roman" w:hAnsi="Times New Roman" w:cs="Times New Roman"/>
                <w:szCs w:val="24"/>
                <w:lang w:eastAsia="en-US"/>
              </w:rPr>
            </w:pPr>
            <w:r>
              <w:rPr>
                <w:rFonts w:cs="Times New Roman"/>
                <w:szCs w:val="24"/>
                <w:lang w:eastAsia="en-US"/>
              </w:rPr>
              <w:t>1905</w:t>
            </w:r>
          </w:p>
        </w:tc>
        <w:tc>
          <w:tcPr>
            <w:tcW w:w="6946" w:type="dxa"/>
          </w:tcPr>
          <w:p w14:paraId="64819B9C" w14:textId="77777777" w:rsidR="001F49FD" w:rsidRDefault="001F49FD">
            <w:pPr>
              <w:pStyle w:val="PargrafodaLista"/>
              <w:widowControl w:val="0"/>
              <w:spacing w:line="240" w:lineRule="auto"/>
              <w:ind w:left="0"/>
              <w:rPr>
                <w:rFonts w:ascii="Times New Roman" w:hAnsi="Times New Roman" w:cs="Times New Roman"/>
                <w:szCs w:val="24"/>
                <w:lang w:eastAsia="en-US"/>
              </w:rPr>
            </w:pPr>
          </w:p>
          <w:p w14:paraId="5B3BA169" w14:textId="77777777" w:rsidR="001F49FD" w:rsidRDefault="00611419">
            <w:pPr>
              <w:pStyle w:val="PargrafodaLista"/>
              <w:widowControl w:val="0"/>
              <w:spacing w:line="240" w:lineRule="auto"/>
              <w:ind w:left="0" w:firstLine="0"/>
              <w:rPr>
                <w:rFonts w:ascii="Times New Roman" w:hAnsi="Times New Roman" w:cs="Times New Roman"/>
                <w:szCs w:val="24"/>
                <w:lang w:eastAsia="en-US"/>
              </w:rPr>
            </w:pPr>
            <w:r>
              <w:rPr>
                <w:rFonts w:cs="Times New Roman"/>
                <w:szCs w:val="24"/>
                <w:lang w:eastAsia="en-US"/>
              </w:rPr>
              <w:t>O lado do violino à esquerda do estandarte deve ser colocado embaixo do queixo a fim de que a cabeça mantenha sua posição reta, possibilitando um olhar irrestrito ao longo do espelho.</w:t>
            </w:r>
          </w:p>
          <w:p w14:paraId="19AC2F02" w14:textId="77777777" w:rsidR="001F49FD" w:rsidRDefault="001F49FD">
            <w:pPr>
              <w:pStyle w:val="PargrafodaLista"/>
              <w:widowControl w:val="0"/>
              <w:spacing w:line="240" w:lineRule="auto"/>
              <w:ind w:left="0"/>
              <w:rPr>
                <w:rFonts w:ascii="Times New Roman" w:hAnsi="Times New Roman" w:cs="Times New Roman"/>
                <w:szCs w:val="24"/>
                <w:lang w:eastAsia="en-US"/>
              </w:rPr>
            </w:pPr>
          </w:p>
        </w:tc>
      </w:tr>
    </w:tbl>
    <w:p w14:paraId="38D633D8" w14:textId="77777777" w:rsidR="001F49FD" w:rsidRDefault="001F49FD">
      <w:pPr>
        <w:rPr>
          <w:rFonts w:ascii="Times New Roman" w:hAnsi="Times New Roman" w:cs="Times New Roman"/>
          <w:b/>
        </w:rPr>
      </w:pPr>
    </w:p>
    <w:p w14:paraId="6FC22C11" w14:textId="4AC2CD6E" w:rsidR="00B93F90" w:rsidRDefault="00611419" w:rsidP="007C5D20">
      <w:pPr>
        <w:pStyle w:val="Recuodecorpodetexto"/>
        <w:ind w:firstLine="426"/>
      </w:pPr>
      <w:r>
        <w:t xml:space="preserve">O </w:t>
      </w:r>
      <w:r w:rsidR="00C840E9">
        <w:t>q</w:t>
      </w:r>
      <w:r>
        <w:t xml:space="preserve">uadro acima demonstra que, dentre os autores estudados, as fontes mais remotas precisaram afirmar a colocação do violino sobre a clavícula esquerda, o que comprova que o violino situado abaixo da clavícula foi uma prática comum em períodos precedentes e abolida ao longo do século XIX. O novo local de posicionamento, que implica em uma ligeira inclinação descendente do lado direito do instrumento, modificou os elementos técnicos de sustentação, dentre os quais destacamos: o equilíbrio entre o apoio do queixo e o auxílio da mão no suporte do violino; seu nivelamento com relação ao solo; o local de colocação do queixo; o direcionamento da cabeça. O </w:t>
      </w:r>
      <w:r w:rsidR="001E48B1">
        <w:t>q</w:t>
      </w:r>
      <w:r>
        <w:t xml:space="preserve">uadro 3 abrange esses quatro itens, pois estão </w:t>
      </w:r>
      <w:r>
        <w:lastRenderedPageBreak/>
        <w:t xml:space="preserve">relacionados entre si. Para uma melhor visualização, os preceitos estão separados por autor e apresentados uniformemente, apesar de estarem dispostos em ordens </w:t>
      </w:r>
      <w:r w:rsidRPr="001E48B1">
        <w:t xml:space="preserve">diversas nos </w:t>
      </w:r>
      <w:r w:rsidR="00C840E9" w:rsidRPr="001E48B1">
        <w:t>c</w:t>
      </w:r>
      <w:r w:rsidRPr="001E48B1">
        <w:t xml:space="preserve">apítulos </w:t>
      </w:r>
      <w:r w:rsidR="001E48B1" w:rsidRPr="001E48B1">
        <w:t>1</w:t>
      </w:r>
      <w:r w:rsidRPr="001E48B1">
        <w:t xml:space="preserve"> e </w:t>
      </w:r>
      <w:r w:rsidR="001E48B1" w:rsidRPr="001E48B1">
        <w:t>2</w:t>
      </w:r>
      <w:r w:rsidRPr="001E48B1">
        <w:t xml:space="preserve">: </w:t>
      </w:r>
    </w:p>
    <w:p w14:paraId="7DF0B64E" w14:textId="07218E73" w:rsidR="001F49FD" w:rsidRDefault="00611419" w:rsidP="000A6E65">
      <w:pPr>
        <w:pStyle w:val="Ttulo3"/>
      </w:pPr>
      <w:bookmarkStart w:id="106" w:name="_Toc14331039"/>
      <w:bookmarkStart w:id="107" w:name="_Toc219359040"/>
      <w:r>
        <w:t>Sustentação do violino</w:t>
      </w:r>
      <w:bookmarkEnd w:id="106"/>
      <w:bookmarkEnd w:id="107"/>
    </w:p>
    <w:p w14:paraId="168EC134" w14:textId="77777777" w:rsidR="001F49FD" w:rsidRDefault="00611419">
      <w:pPr>
        <w:pStyle w:val="Corpodetexto"/>
        <w:spacing w:after="0"/>
        <w:ind w:firstLine="0"/>
        <w:jc w:val="center"/>
        <w:rPr>
          <w:sz w:val="20"/>
          <w:szCs w:val="20"/>
        </w:rPr>
      </w:pPr>
      <w:r>
        <w:rPr>
          <w:b/>
          <w:sz w:val="20"/>
          <w:szCs w:val="20"/>
        </w:rPr>
        <w:t xml:space="preserve">Quadro 3: </w:t>
      </w:r>
      <w:r>
        <w:rPr>
          <w:sz w:val="20"/>
          <w:szCs w:val="20"/>
        </w:rPr>
        <w:t>sustentação do violino.</w:t>
      </w:r>
    </w:p>
    <w:tbl>
      <w:tblPr>
        <w:tblStyle w:val="Tabelacomgrade"/>
        <w:tblW w:w="9072" w:type="dxa"/>
        <w:tblInd w:w="108" w:type="dxa"/>
        <w:tblLayout w:type="fixed"/>
        <w:tblLook w:val="04A0" w:firstRow="1" w:lastRow="0" w:firstColumn="1" w:lastColumn="0" w:noHBand="0" w:noVBand="1"/>
      </w:tblPr>
      <w:tblGrid>
        <w:gridCol w:w="1276"/>
        <w:gridCol w:w="708"/>
        <w:gridCol w:w="1844"/>
        <w:gridCol w:w="5244"/>
      </w:tblGrid>
      <w:tr w:rsidR="001F49FD" w14:paraId="5BFEA00F" w14:textId="77777777">
        <w:tc>
          <w:tcPr>
            <w:tcW w:w="1276" w:type="dxa"/>
            <w:tcBorders>
              <w:bottom w:val="nil"/>
            </w:tcBorders>
          </w:tcPr>
          <w:p w14:paraId="7D96ACE5"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p w14:paraId="1873D890" w14:textId="77777777" w:rsidR="001F49FD" w:rsidRDefault="00611419">
            <w:pPr>
              <w:widowControl w:val="0"/>
              <w:tabs>
                <w:tab w:val="left" w:pos="1843"/>
                <w:tab w:val="left" w:pos="1985"/>
                <w:tab w:val="left" w:pos="2127"/>
              </w:tabs>
              <w:spacing w:line="240" w:lineRule="auto"/>
              <w:ind w:firstLine="0"/>
              <w:rPr>
                <w:rFonts w:ascii="Times New Roman" w:hAnsi="Times New Roman" w:cs="Times New Roman"/>
                <w:szCs w:val="24"/>
              </w:rPr>
            </w:pPr>
            <w:r>
              <w:rPr>
                <w:rFonts w:cs="Times New Roman"/>
                <w:szCs w:val="24"/>
              </w:rPr>
              <w:t>Spohr</w:t>
            </w:r>
          </w:p>
        </w:tc>
        <w:tc>
          <w:tcPr>
            <w:tcW w:w="708" w:type="dxa"/>
            <w:tcBorders>
              <w:bottom w:val="nil"/>
            </w:tcBorders>
          </w:tcPr>
          <w:p w14:paraId="2F47BA18"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p w14:paraId="6DBB03E2" w14:textId="77777777" w:rsidR="001F49FD" w:rsidRDefault="00611419">
            <w:pPr>
              <w:widowControl w:val="0"/>
              <w:tabs>
                <w:tab w:val="left" w:pos="1843"/>
                <w:tab w:val="left" w:pos="1985"/>
                <w:tab w:val="left" w:pos="2127"/>
              </w:tabs>
              <w:spacing w:line="240" w:lineRule="auto"/>
              <w:ind w:firstLine="0"/>
              <w:rPr>
                <w:rFonts w:ascii="Times New Roman" w:hAnsi="Times New Roman" w:cs="Times New Roman"/>
                <w:szCs w:val="24"/>
              </w:rPr>
            </w:pPr>
            <w:r>
              <w:rPr>
                <w:rFonts w:cs="Times New Roman"/>
                <w:szCs w:val="24"/>
              </w:rPr>
              <w:t>1832</w:t>
            </w:r>
          </w:p>
        </w:tc>
        <w:tc>
          <w:tcPr>
            <w:tcW w:w="1844" w:type="dxa"/>
          </w:tcPr>
          <w:p w14:paraId="3A90D4C9"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p w14:paraId="613FFB35" w14:textId="77777777" w:rsidR="001F49FD" w:rsidRDefault="00611419">
            <w:pPr>
              <w:widowControl w:val="0"/>
              <w:tabs>
                <w:tab w:val="left" w:pos="1843"/>
                <w:tab w:val="left" w:pos="1985"/>
                <w:tab w:val="left" w:pos="2127"/>
              </w:tabs>
              <w:spacing w:line="240" w:lineRule="auto"/>
              <w:ind w:firstLine="0"/>
              <w:jc w:val="left"/>
              <w:rPr>
                <w:rFonts w:ascii="Times New Roman" w:hAnsi="Times New Roman" w:cs="Times New Roman"/>
                <w:szCs w:val="24"/>
              </w:rPr>
            </w:pPr>
            <w:r>
              <w:rPr>
                <w:rFonts w:cs="Times New Roman"/>
                <w:szCs w:val="24"/>
              </w:rPr>
              <w:t>Suporte</w:t>
            </w:r>
          </w:p>
        </w:tc>
        <w:tc>
          <w:tcPr>
            <w:tcW w:w="5243" w:type="dxa"/>
          </w:tcPr>
          <w:p w14:paraId="6E951870" w14:textId="77777777" w:rsidR="001F49FD" w:rsidRDefault="001F49FD">
            <w:pPr>
              <w:widowControl w:val="0"/>
              <w:spacing w:line="240" w:lineRule="auto"/>
              <w:rPr>
                <w:rFonts w:asciiTheme="majorHAnsi" w:hAnsiTheme="majorHAnsi" w:cstheme="majorHAnsi"/>
                <w:szCs w:val="24"/>
              </w:rPr>
            </w:pPr>
          </w:p>
          <w:p w14:paraId="68D76803"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A borda inferior do fundo do violino é posicionada sobre a clavícula esquerda e </w:t>
            </w:r>
            <w:r>
              <w:rPr>
                <w:rFonts w:cstheme="majorHAnsi"/>
                <w:szCs w:val="24"/>
                <w:u w:val="single"/>
              </w:rPr>
              <w:t xml:space="preserve">mantida firmemente pela pressão do queixo sobre a </w:t>
            </w:r>
            <w:proofErr w:type="spellStart"/>
            <w:r>
              <w:rPr>
                <w:rFonts w:cstheme="majorHAnsi"/>
                <w:szCs w:val="24"/>
                <w:u w:val="single"/>
              </w:rPr>
              <w:t>queixeira</w:t>
            </w:r>
            <w:proofErr w:type="spellEnd"/>
            <w:r>
              <w:rPr>
                <w:rFonts w:cstheme="majorHAnsi"/>
                <w:szCs w:val="24"/>
                <w:u w:val="single"/>
              </w:rPr>
              <w:t>.</w:t>
            </w:r>
          </w:p>
          <w:p w14:paraId="2ABE2783"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r>
      <w:tr w:rsidR="001F49FD" w14:paraId="3D03F2CA" w14:textId="77777777">
        <w:tc>
          <w:tcPr>
            <w:tcW w:w="1276" w:type="dxa"/>
            <w:tcBorders>
              <w:top w:val="nil"/>
              <w:bottom w:val="nil"/>
            </w:tcBorders>
          </w:tcPr>
          <w:p w14:paraId="524F46A0"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708" w:type="dxa"/>
            <w:tcBorders>
              <w:top w:val="nil"/>
              <w:bottom w:val="nil"/>
            </w:tcBorders>
          </w:tcPr>
          <w:p w14:paraId="46554689"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1844" w:type="dxa"/>
          </w:tcPr>
          <w:p w14:paraId="507FCA83" w14:textId="77777777" w:rsidR="001F49FD" w:rsidRDefault="001F49FD">
            <w:pPr>
              <w:widowControl w:val="0"/>
              <w:spacing w:line="240" w:lineRule="auto"/>
              <w:rPr>
                <w:rFonts w:asciiTheme="majorHAnsi" w:hAnsiTheme="majorHAnsi" w:cstheme="majorHAnsi"/>
                <w:szCs w:val="24"/>
              </w:rPr>
            </w:pPr>
          </w:p>
          <w:p w14:paraId="5188EE23" w14:textId="77777777" w:rsidR="001F49FD" w:rsidRDefault="00611419">
            <w:pPr>
              <w:widowControl w:val="0"/>
              <w:tabs>
                <w:tab w:val="left" w:pos="1843"/>
                <w:tab w:val="left" w:pos="1985"/>
                <w:tab w:val="left" w:pos="2127"/>
              </w:tabs>
              <w:spacing w:line="240" w:lineRule="auto"/>
              <w:ind w:firstLine="0"/>
              <w:rPr>
                <w:rFonts w:asciiTheme="majorHAnsi" w:hAnsiTheme="majorHAnsi" w:cstheme="majorHAnsi"/>
                <w:szCs w:val="24"/>
              </w:rPr>
            </w:pPr>
            <w:r>
              <w:rPr>
                <w:rFonts w:cstheme="majorHAnsi"/>
                <w:szCs w:val="24"/>
              </w:rPr>
              <w:t>Nível</w:t>
            </w:r>
          </w:p>
        </w:tc>
        <w:tc>
          <w:tcPr>
            <w:tcW w:w="5243" w:type="dxa"/>
          </w:tcPr>
          <w:p w14:paraId="0D2499CC" w14:textId="77777777" w:rsidR="001F49FD" w:rsidRDefault="001F49FD">
            <w:pPr>
              <w:widowControl w:val="0"/>
              <w:spacing w:line="240" w:lineRule="auto"/>
              <w:rPr>
                <w:rFonts w:asciiTheme="majorHAnsi" w:hAnsiTheme="majorHAnsi" w:cstheme="majorHAnsi"/>
                <w:szCs w:val="24"/>
              </w:rPr>
            </w:pPr>
          </w:p>
          <w:p w14:paraId="502CDBDC"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cotovelo esquerdo é direcionado para dentro até chegar ao meio do violino, mas não deve encostar-se ao corpo, o que faria com que o instrumento caísse em demasia na direção do braço do violino.</w:t>
            </w:r>
          </w:p>
          <w:p w14:paraId="63FB5BF7" w14:textId="77777777" w:rsidR="001F49FD" w:rsidRDefault="001F49FD">
            <w:pPr>
              <w:widowControl w:val="0"/>
              <w:spacing w:line="240" w:lineRule="auto"/>
              <w:rPr>
                <w:rFonts w:asciiTheme="majorHAnsi" w:hAnsiTheme="majorHAnsi" w:cstheme="majorHAnsi"/>
                <w:szCs w:val="24"/>
              </w:rPr>
            </w:pPr>
          </w:p>
        </w:tc>
      </w:tr>
      <w:tr w:rsidR="001F49FD" w14:paraId="7696DDF1" w14:textId="77777777">
        <w:trPr>
          <w:trHeight w:val="1428"/>
        </w:trPr>
        <w:tc>
          <w:tcPr>
            <w:tcW w:w="1276" w:type="dxa"/>
            <w:tcBorders>
              <w:top w:val="nil"/>
              <w:bottom w:val="nil"/>
            </w:tcBorders>
          </w:tcPr>
          <w:p w14:paraId="5B8603FA"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708" w:type="dxa"/>
            <w:tcBorders>
              <w:top w:val="nil"/>
              <w:bottom w:val="nil"/>
            </w:tcBorders>
          </w:tcPr>
          <w:p w14:paraId="3F536A6F"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1844" w:type="dxa"/>
            <w:tcBorders>
              <w:bottom w:val="nil"/>
            </w:tcBorders>
          </w:tcPr>
          <w:p w14:paraId="7E26EB47" w14:textId="77777777" w:rsidR="001F49FD" w:rsidRDefault="001F49FD">
            <w:pPr>
              <w:widowControl w:val="0"/>
              <w:spacing w:line="240" w:lineRule="auto"/>
              <w:ind w:firstLine="0"/>
              <w:rPr>
                <w:rFonts w:asciiTheme="majorHAnsi" w:hAnsiTheme="majorHAnsi" w:cstheme="majorHAnsi"/>
                <w:szCs w:val="24"/>
              </w:rPr>
            </w:pPr>
          </w:p>
          <w:p w14:paraId="361D0385"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121CE18E"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Borders>
              <w:bottom w:val="nil"/>
            </w:tcBorders>
          </w:tcPr>
          <w:p w14:paraId="7905CF10" w14:textId="77777777" w:rsidR="001F49FD" w:rsidRDefault="001F49FD">
            <w:pPr>
              <w:widowControl w:val="0"/>
              <w:spacing w:line="240" w:lineRule="auto"/>
              <w:ind w:firstLine="0"/>
              <w:rPr>
                <w:rFonts w:asciiTheme="majorHAnsi" w:hAnsiTheme="majorHAnsi" w:cstheme="majorHAnsi"/>
                <w:szCs w:val="24"/>
              </w:rPr>
            </w:pPr>
          </w:p>
          <w:p w14:paraId="6EE587C7" w14:textId="4EDA124A"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Caso o aluno não utilize a </w:t>
            </w:r>
            <w:proofErr w:type="spellStart"/>
            <w:r>
              <w:rPr>
                <w:rFonts w:cstheme="majorHAnsi"/>
                <w:szCs w:val="24"/>
              </w:rPr>
              <w:t>queixeira</w:t>
            </w:r>
            <w:proofErr w:type="spellEnd"/>
            <w:r>
              <w:rPr>
                <w:rFonts w:cstheme="majorHAnsi"/>
                <w:szCs w:val="24"/>
              </w:rPr>
              <w:t>, ele deve posicionar o queixo</w:t>
            </w:r>
            <w:r w:rsidR="00C840E9">
              <w:rPr>
                <w:rFonts w:cstheme="majorHAnsi"/>
                <w:szCs w:val="24"/>
              </w:rPr>
              <w:t>,</w:t>
            </w:r>
            <w:r>
              <w:rPr>
                <w:rFonts w:cstheme="majorHAnsi"/>
                <w:szCs w:val="24"/>
              </w:rPr>
              <w:t xml:space="preserve"> em parte</w:t>
            </w:r>
            <w:r w:rsidR="00C840E9">
              <w:rPr>
                <w:rFonts w:cstheme="majorHAnsi"/>
                <w:szCs w:val="24"/>
              </w:rPr>
              <w:t>,</w:t>
            </w:r>
            <w:r>
              <w:rPr>
                <w:rFonts w:cstheme="majorHAnsi"/>
                <w:szCs w:val="24"/>
              </w:rPr>
              <w:t xml:space="preserve"> sobre o lado esquerdo do estandarte e</w:t>
            </w:r>
            <w:r w:rsidR="00C840E9">
              <w:rPr>
                <w:rFonts w:cstheme="majorHAnsi"/>
                <w:szCs w:val="24"/>
              </w:rPr>
              <w:t>,</w:t>
            </w:r>
            <w:r>
              <w:rPr>
                <w:rFonts w:cstheme="majorHAnsi"/>
                <w:szCs w:val="24"/>
              </w:rPr>
              <w:t xml:space="preserve"> em parte sobre o estandarte.</w:t>
            </w:r>
          </w:p>
        </w:tc>
      </w:tr>
      <w:tr w:rsidR="001F49FD" w14:paraId="4D0474DA" w14:textId="77777777">
        <w:tc>
          <w:tcPr>
            <w:tcW w:w="1276" w:type="dxa"/>
            <w:tcBorders>
              <w:top w:val="nil"/>
            </w:tcBorders>
          </w:tcPr>
          <w:p w14:paraId="14CD621C"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708" w:type="dxa"/>
            <w:tcBorders>
              <w:top w:val="nil"/>
            </w:tcBorders>
          </w:tcPr>
          <w:p w14:paraId="263993E1" w14:textId="77777777" w:rsidR="001F49FD" w:rsidRDefault="001F49FD">
            <w:pPr>
              <w:widowControl w:val="0"/>
              <w:tabs>
                <w:tab w:val="left" w:pos="1843"/>
                <w:tab w:val="left" w:pos="1985"/>
                <w:tab w:val="left" w:pos="2127"/>
              </w:tabs>
              <w:spacing w:line="240" w:lineRule="auto"/>
              <w:ind w:firstLine="0"/>
              <w:rPr>
                <w:rFonts w:ascii="Times New Roman" w:hAnsi="Times New Roman" w:cs="Times New Roman"/>
                <w:szCs w:val="24"/>
              </w:rPr>
            </w:pPr>
          </w:p>
        </w:tc>
        <w:tc>
          <w:tcPr>
            <w:tcW w:w="1844" w:type="dxa"/>
            <w:tcBorders>
              <w:top w:val="nil"/>
            </w:tcBorders>
          </w:tcPr>
          <w:p w14:paraId="09EAF210" w14:textId="77777777" w:rsidR="001F49FD" w:rsidRDefault="00611419">
            <w:pPr>
              <w:widowControl w:val="0"/>
              <w:spacing w:line="240" w:lineRule="auto"/>
              <w:ind w:firstLine="0"/>
              <w:rPr>
                <w:rFonts w:asciiTheme="majorHAnsi" w:hAnsiTheme="majorHAnsi" w:cstheme="majorHAnsi"/>
                <w:szCs w:val="24"/>
              </w:rPr>
            </w:pPr>
            <w:r>
              <w:rPr>
                <w:rFonts w:cstheme="majorHAnsi"/>
                <w:szCs w:val="24"/>
                <w:lang w:eastAsia="en-US"/>
              </w:rPr>
              <w:t>Direcionamento da cabeça</w:t>
            </w:r>
          </w:p>
        </w:tc>
        <w:tc>
          <w:tcPr>
            <w:tcW w:w="5243" w:type="dxa"/>
            <w:tcBorders>
              <w:top w:val="nil"/>
            </w:tcBorders>
          </w:tcPr>
          <w:p w14:paraId="155502B1" w14:textId="1EFC8451" w:rsidR="001F49FD" w:rsidRDefault="00611419">
            <w:pPr>
              <w:widowControl w:val="0"/>
              <w:spacing w:line="240" w:lineRule="auto"/>
              <w:ind w:firstLine="0"/>
              <w:rPr>
                <w:rFonts w:asciiTheme="majorHAnsi" w:hAnsiTheme="majorHAnsi" w:cstheme="majorHAnsi"/>
                <w:szCs w:val="24"/>
              </w:rPr>
            </w:pPr>
            <w:r>
              <w:rPr>
                <w:rFonts w:cstheme="majorHAnsi"/>
                <w:szCs w:val="24"/>
              </w:rPr>
              <w:t>A posição do violinista deve ser digna e fácil, com a face voltada para a estante</w:t>
            </w:r>
            <w:r w:rsidR="00C840E9">
              <w:rPr>
                <w:rFonts w:cstheme="majorHAnsi"/>
                <w:szCs w:val="24"/>
              </w:rPr>
              <w:t>,</w:t>
            </w:r>
            <w:r>
              <w:rPr>
                <w:rFonts w:cstheme="majorHAnsi"/>
                <w:szCs w:val="24"/>
              </w:rPr>
              <w:t xml:space="preserve"> de forma que os olhos estejam na direção da música, por cima do cavalete e da mão esquerda.</w:t>
            </w:r>
          </w:p>
          <w:p w14:paraId="79550096" w14:textId="77777777" w:rsidR="001F49FD" w:rsidRDefault="001F49FD">
            <w:pPr>
              <w:widowControl w:val="0"/>
              <w:spacing w:line="240" w:lineRule="auto"/>
              <w:ind w:firstLine="0"/>
              <w:rPr>
                <w:rFonts w:asciiTheme="majorHAnsi" w:hAnsiTheme="majorHAnsi" w:cstheme="majorHAnsi"/>
                <w:szCs w:val="24"/>
              </w:rPr>
            </w:pPr>
          </w:p>
        </w:tc>
      </w:tr>
    </w:tbl>
    <w:p w14:paraId="3F039A80" w14:textId="77777777" w:rsidR="001F49FD" w:rsidRDefault="001F49FD"/>
    <w:p w14:paraId="084AE909" w14:textId="77777777" w:rsidR="001F49FD" w:rsidRDefault="001F49FD"/>
    <w:p w14:paraId="3CDAAB27" w14:textId="77777777" w:rsidR="001F49FD" w:rsidRDefault="001F49FD"/>
    <w:p w14:paraId="2BE4C971" w14:textId="77777777" w:rsidR="001F49FD" w:rsidRDefault="001F49FD"/>
    <w:p w14:paraId="0310B877" w14:textId="77777777" w:rsidR="001F49FD" w:rsidRDefault="001F49FD"/>
    <w:p w14:paraId="23352BA3" w14:textId="77777777" w:rsidR="007C5D20" w:rsidRDefault="007C5D20"/>
    <w:p w14:paraId="33815A7D" w14:textId="77777777" w:rsidR="001F49FD" w:rsidRDefault="001F49FD"/>
    <w:p w14:paraId="04793C2B" w14:textId="77777777" w:rsidR="001F49FD" w:rsidRDefault="001F49FD"/>
    <w:p w14:paraId="3A05DE11" w14:textId="77777777" w:rsidR="001F49FD" w:rsidRDefault="001F49FD"/>
    <w:p w14:paraId="0E24FE9B" w14:textId="77777777" w:rsidR="001F49FD" w:rsidRDefault="001F49FD">
      <w:pPr>
        <w:ind w:firstLine="0"/>
      </w:pPr>
    </w:p>
    <w:p w14:paraId="3C483E46" w14:textId="77777777" w:rsidR="001F49FD" w:rsidRDefault="001F49FD"/>
    <w:tbl>
      <w:tblPr>
        <w:tblStyle w:val="Tabelacomgrade"/>
        <w:tblW w:w="9072" w:type="dxa"/>
        <w:tblInd w:w="108" w:type="dxa"/>
        <w:tblLayout w:type="fixed"/>
        <w:tblLook w:val="04A0" w:firstRow="1" w:lastRow="0" w:firstColumn="1" w:lastColumn="0" w:noHBand="0" w:noVBand="1"/>
      </w:tblPr>
      <w:tblGrid>
        <w:gridCol w:w="1276"/>
        <w:gridCol w:w="708"/>
        <w:gridCol w:w="1844"/>
        <w:gridCol w:w="5244"/>
      </w:tblGrid>
      <w:tr w:rsidR="001F49FD" w14:paraId="69B5C860" w14:textId="77777777">
        <w:trPr>
          <w:trHeight w:val="1408"/>
        </w:trPr>
        <w:tc>
          <w:tcPr>
            <w:tcW w:w="1276" w:type="dxa"/>
            <w:tcBorders>
              <w:bottom w:val="nil"/>
            </w:tcBorders>
          </w:tcPr>
          <w:p w14:paraId="3A89E596"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p w14:paraId="57398362" w14:textId="77777777" w:rsidR="001F49FD" w:rsidRDefault="00611419">
            <w:pPr>
              <w:widowControl w:val="0"/>
              <w:tabs>
                <w:tab w:val="left" w:pos="1843"/>
                <w:tab w:val="left" w:pos="1985"/>
                <w:tab w:val="left" w:pos="2127"/>
              </w:tabs>
              <w:spacing w:line="240" w:lineRule="auto"/>
              <w:ind w:firstLine="0"/>
              <w:rPr>
                <w:rFonts w:ascii="Times New Roman" w:hAnsi="Times New Roman" w:cs="Times New Roman"/>
                <w:szCs w:val="24"/>
              </w:rPr>
            </w:pPr>
            <w:proofErr w:type="spellStart"/>
            <w:r>
              <w:rPr>
                <w:rFonts w:cstheme="majorHAnsi"/>
                <w:szCs w:val="24"/>
              </w:rPr>
              <w:t>Baillot</w:t>
            </w:r>
            <w:proofErr w:type="spellEnd"/>
          </w:p>
        </w:tc>
        <w:tc>
          <w:tcPr>
            <w:tcW w:w="708" w:type="dxa"/>
            <w:tcBorders>
              <w:bottom w:val="nil"/>
            </w:tcBorders>
          </w:tcPr>
          <w:p w14:paraId="547222EA"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p w14:paraId="39B23C75" w14:textId="77777777" w:rsidR="001F49FD" w:rsidRDefault="00611419">
            <w:pPr>
              <w:widowControl w:val="0"/>
              <w:tabs>
                <w:tab w:val="left" w:pos="1843"/>
                <w:tab w:val="left" w:pos="1985"/>
                <w:tab w:val="left" w:pos="2127"/>
              </w:tabs>
              <w:spacing w:line="240" w:lineRule="auto"/>
              <w:ind w:firstLine="0"/>
              <w:rPr>
                <w:rFonts w:ascii="Times New Roman" w:hAnsi="Times New Roman" w:cs="Times New Roman"/>
                <w:szCs w:val="24"/>
              </w:rPr>
            </w:pPr>
            <w:r>
              <w:rPr>
                <w:rFonts w:cstheme="majorHAnsi"/>
                <w:szCs w:val="24"/>
              </w:rPr>
              <w:t>1835</w:t>
            </w:r>
          </w:p>
        </w:tc>
        <w:tc>
          <w:tcPr>
            <w:tcW w:w="1844" w:type="dxa"/>
          </w:tcPr>
          <w:p w14:paraId="05C618FE" w14:textId="77777777" w:rsidR="001F49FD" w:rsidRDefault="001F49FD">
            <w:pPr>
              <w:widowControl w:val="0"/>
              <w:spacing w:line="240" w:lineRule="auto"/>
              <w:ind w:firstLine="0"/>
              <w:jc w:val="left"/>
              <w:rPr>
                <w:rFonts w:ascii="Times New Roman" w:hAnsi="Times New Roman" w:cs="Times New Roman"/>
                <w:szCs w:val="24"/>
              </w:rPr>
            </w:pPr>
          </w:p>
          <w:p w14:paraId="1BB97C80" w14:textId="77777777" w:rsidR="001F49FD" w:rsidRDefault="00611419">
            <w:pPr>
              <w:widowControl w:val="0"/>
              <w:spacing w:line="240" w:lineRule="auto"/>
              <w:ind w:firstLine="0"/>
              <w:jc w:val="left"/>
              <w:rPr>
                <w:rFonts w:asciiTheme="majorHAnsi" w:hAnsiTheme="majorHAnsi" w:cstheme="majorHAnsi"/>
                <w:szCs w:val="24"/>
              </w:rPr>
            </w:pPr>
            <w:r>
              <w:rPr>
                <w:rFonts w:cs="Times New Roman"/>
                <w:szCs w:val="24"/>
              </w:rPr>
              <w:t>Suporte</w:t>
            </w:r>
          </w:p>
        </w:tc>
        <w:tc>
          <w:tcPr>
            <w:tcW w:w="5243" w:type="dxa"/>
          </w:tcPr>
          <w:p w14:paraId="35EA0521" w14:textId="77777777" w:rsidR="001F49FD" w:rsidRDefault="001F49FD">
            <w:pPr>
              <w:widowControl w:val="0"/>
              <w:spacing w:line="240" w:lineRule="auto"/>
              <w:ind w:firstLine="0"/>
              <w:rPr>
                <w:rFonts w:asciiTheme="majorHAnsi" w:hAnsiTheme="majorHAnsi" w:cstheme="majorHAnsi"/>
                <w:szCs w:val="24"/>
              </w:rPr>
            </w:pPr>
          </w:p>
          <w:p w14:paraId="6DD39987"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queixo não deve estar avançado, apoiando-se sem exagero com sua parte mais proeminente,</w:t>
            </w:r>
            <w:r>
              <w:rPr>
                <w:rFonts w:cstheme="majorHAnsi"/>
                <w:i/>
                <w:szCs w:val="24"/>
              </w:rPr>
              <w:t xml:space="preserve"> </w:t>
            </w:r>
            <w:r>
              <w:rPr>
                <w:rFonts w:cstheme="majorHAnsi"/>
                <w:szCs w:val="24"/>
              </w:rPr>
              <w:t>e não lateralmente.</w:t>
            </w:r>
          </w:p>
        </w:tc>
      </w:tr>
      <w:tr w:rsidR="001F49FD" w14:paraId="63FE3995" w14:textId="77777777">
        <w:tc>
          <w:tcPr>
            <w:tcW w:w="1276" w:type="dxa"/>
            <w:tcBorders>
              <w:top w:val="nil"/>
              <w:bottom w:val="nil"/>
            </w:tcBorders>
          </w:tcPr>
          <w:p w14:paraId="7DD50049"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tc>
        <w:tc>
          <w:tcPr>
            <w:tcW w:w="708" w:type="dxa"/>
            <w:tcBorders>
              <w:top w:val="nil"/>
              <w:bottom w:val="nil"/>
            </w:tcBorders>
          </w:tcPr>
          <w:p w14:paraId="6F78E28F"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tc>
        <w:tc>
          <w:tcPr>
            <w:tcW w:w="1844" w:type="dxa"/>
          </w:tcPr>
          <w:p w14:paraId="0B98737A" w14:textId="77777777" w:rsidR="001F49FD" w:rsidRDefault="001F49FD">
            <w:pPr>
              <w:widowControl w:val="0"/>
              <w:spacing w:line="240" w:lineRule="auto"/>
              <w:rPr>
                <w:rFonts w:asciiTheme="majorHAnsi" w:hAnsiTheme="majorHAnsi" w:cstheme="majorHAnsi"/>
                <w:szCs w:val="24"/>
              </w:rPr>
            </w:pPr>
          </w:p>
          <w:p w14:paraId="7292B59B"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Nível</w:t>
            </w:r>
          </w:p>
        </w:tc>
        <w:tc>
          <w:tcPr>
            <w:tcW w:w="5243" w:type="dxa"/>
          </w:tcPr>
          <w:p w14:paraId="014DF48C" w14:textId="77777777" w:rsidR="001F49FD" w:rsidRDefault="001F49FD">
            <w:pPr>
              <w:widowControl w:val="0"/>
              <w:spacing w:line="240" w:lineRule="auto"/>
              <w:rPr>
                <w:rFonts w:asciiTheme="majorHAnsi" w:hAnsiTheme="majorHAnsi" w:cstheme="majorHAnsi"/>
                <w:szCs w:val="24"/>
              </w:rPr>
            </w:pPr>
          </w:p>
          <w:p w14:paraId="26AB4E71" w14:textId="60E76F22"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Sustentar o </w:t>
            </w:r>
            <w:r w:rsidR="00C840E9">
              <w:rPr>
                <w:rFonts w:cstheme="majorHAnsi"/>
                <w:szCs w:val="24"/>
              </w:rPr>
              <w:t>v</w:t>
            </w:r>
            <w:r>
              <w:rPr>
                <w:rFonts w:cstheme="majorHAnsi"/>
                <w:szCs w:val="24"/>
              </w:rPr>
              <w:t>iolino horizontalmente.</w:t>
            </w:r>
          </w:p>
          <w:p w14:paraId="14ED05A5" w14:textId="77777777" w:rsidR="001F49FD" w:rsidRDefault="001F49FD">
            <w:pPr>
              <w:widowControl w:val="0"/>
              <w:spacing w:line="240" w:lineRule="auto"/>
              <w:ind w:firstLine="0"/>
              <w:rPr>
                <w:rFonts w:asciiTheme="majorHAnsi" w:hAnsiTheme="majorHAnsi" w:cstheme="majorHAnsi"/>
                <w:szCs w:val="24"/>
              </w:rPr>
            </w:pPr>
          </w:p>
        </w:tc>
      </w:tr>
      <w:tr w:rsidR="001F49FD" w14:paraId="10BF4BCB" w14:textId="77777777">
        <w:tc>
          <w:tcPr>
            <w:tcW w:w="1276" w:type="dxa"/>
            <w:tcBorders>
              <w:top w:val="nil"/>
            </w:tcBorders>
          </w:tcPr>
          <w:p w14:paraId="2AF3F8E3"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tc>
        <w:tc>
          <w:tcPr>
            <w:tcW w:w="708" w:type="dxa"/>
            <w:tcBorders>
              <w:top w:val="nil"/>
            </w:tcBorders>
          </w:tcPr>
          <w:p w14:paraId="6C9FDFE6" w14:textId="77777777" w:rsidR="001F49FD" w:rsidRDefault="001F49FD">
            <w:pPr>
              <w:widowControl w:val="0"/>
              <w:tabs>
                <w:tab w:val="left" w:pos="1843"/>
                <w:tab w:val="left" w:pos="1985"/>
                <w:tab w:val="left" w:pos="2127"/>
              </w:tabs>
              <w:spacing w:line="240" w:lineRule="auto"/>
              <w:ind w:firstLine="0"/>
              <w:rPr>
                <w:rFonts w:asciiTheme="majorHAnsi" w:hAnsiTheme="majorHAnsi" w:cstheme="majorHAnsi"/>
                <w:szCs w:val="24"/>
              </w:rPr>
            </w:pPr>
          </w:p>
        </w:tc>
        <w:tc>
          <w:tcPr>
            <w:tcW w:w="1844" w:type="dxa"/>
          </w:tcPr>
          <w:p w14:paraId="4C5D66AD" w14:textId="77777777" w:rsidR="001F49FD" w:rsidRDefault="001F49FD">
            <w:pPr>
              <w:widowControl w:val="0"/>
              <w:spacing w:line="240" w:lineRule="auto"/>
              <w:ind w:firstLine="0"/>
              <w:rPr>
                <w:rFonts w:asciiTheme="majorHAnsi" w:hAnsiTheme="majorHAnsi" w:cstheme="majorHAnsi"/>
                <w:szCs w:val="24"/>
              </w:rPr>
            </w:pPr>
          </w:p>
          <w:p w14:paraId="3638D8E2"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3DE52E5E" w14:textId="77777777" w:rsidR="001F49FD" w:rsidRDefault="001F49FD">
            <w:pPr>
              <w:widowControl w:val="0"/>
              <w:spacing w:line="240" w:lineRule="auto"/>
              <w:ind w:firstLine="0"/>
              <w:jc w:val="left"/>
              <w:rPr>
                <w:rFonts w:asciiTheme="majorHAnsi" w:hAnsiTheme="majorHAnsi" w:cstheme="majorHAnsi"/>
                <w:szCs w:val="24"/>
                <w:lang w:eastAsia="en-US"/>
              </w:rPr>
            </w:pPr>
          </w:p>
          <w:p w14:paraId="1C30A4F1"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Direcionamento da cabeça</w:t>
            </w:r>
          </w:p>
          <w:p w14:paraId="11346E65" w14:textId="77777777" w:rsidR="001F49FD" w:rsidRDefault="001F49FD">
            <w:pPr>
              <w:widowControl w:val="0"/>
              <w:spacing w:line="240" w:lineRule="auto"/>
              <w:ind w:firstLine="0"/>
              <w:rPr>
                <w:rFonts w:asciiTheme="majorHAnsi" w:hAnsiTheme="majorHAnsi" w:cstheme="majorHAnsi"/>
                <w:szCs w:val="24"/>
              </w:rPr>
            </w:pPr>
          </w:p>
        </w:tc>
        <w:tc>
          <w:tcPr>
            <w:tcW w:w="5243" w:type="dxa"/>
          </w:tcPr>
          <w:p w14:paraId="237BDF0D" w14:textId="77777777" w:rsidR="001F49FD" w:rsidRDefault="001F49FD">
            <w:pPr>
              <w:widowControl w:val="0"/>
              <w:spacing w:line="240" w:lineRule="auto"/>
              <w:ind w:firstLine="0"/>
              <w:rPr>
                <w:rFonts w:asciiTheme="majorHAnsi" w:hAnsiTheme="majorHAnsi" w:cstheme="majorHAnsi"/>
                <w:szCs w:val="24"/>
                <w:lang w:eastAsia="en-US"/>
              </w:rPr>
            </w:pPr>
          </w:p>
          <w:p w14:paraId="6228BEB3"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Preso pelo queixo, que se apoia sobre o violino, do lado esquerdo, e não sobre o estandarte.</w:t>
            </w:r>
          </w:p>
          <w:p w14:paraId="5028D615" w14:textId="77777777" w:rsidR="001F49FD" w:rsidRDefault="001F49FD">
            <w:pPr>
              <w:widowControl w:val="0"/>
              <w:spacing w:line="240" w:lineRule="auto"/>
              <w:ind w:firstLine="0"/>
              <w:rPr>
                <w:rFonts w:asciiTheme="majorHAnsi" w:hAnsiTheme="majorHAnsi" w:cstheme="majorHAnsi"/>
                <w:szCs w:val="24"/>
              </w:rPr>
            </w:pPr>
          </w:p>
          <w:p w14:paraId="49A9C38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w:t>
            </w:r>
          </w:p>
        </w:tc>
      </w:tr>
      <w:tr w:rsidR="001F49FD" w14:paraId="11C69865" w14:textId="77777777">
        <w:tc>
          <w:tcPr>
            <w:tcW w:w="1276" w:type="dxa"/>
            <w:tcBorders>
              <w:bottom w:val="nil"/>
            </w:tcBorders>
          </w:tcPr>
          <w:p w14:paraId="15CB693D" w14:textId="77777777" w:rsidR="001F49FD" w:rsidRDefault="001F49FD">
            <w:pPr>
              <w:widowControl w:val="0"/>
              <w:spacing w:line="240" w:lineRule="auto"/>
              <w:rPr>
                <w:rFonts w:asciiTheme="majorHAnsi" w:hAnsiTheme="majorHAnsi" w:cstheme="majorHAnsi"/>
                <w:szCs w:val="24"/>
                <w:lang w:eastAsia="en-US"/>
              </w:rPr>
            </w:pPr>
          </w:p>
          <w:p w14:paraId="37910F5E"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lang w:eastAsia="en-US"/>
              </w:rPr>
              <w:t>Bériot</w:t>
            </w:r>
            <w:proofErr w:type="spellEnd"/>
          </w:p>
        </w:tc>
        <w:tc>
          <w:tcPr>
            <w:tcW w:w="708" w:type="dxa"/>
            <w:tcBorders>
              <w:bottom w:val="nil"/>
            </w:tcBorders>
          </w:tcPr>
          <w:p w14:paraId="53076A8E" w14:textId="77777777" w:rsidR="001F49FD" w:rsidRDefault="001F49FD">
            <w:pPr>
              <w:widowControl w:val="0"/>
              <w:spacing w:line="240" w:lineRule="auto"/>
              <w:rPr>
                <w:rFonts w:asciiTheme="majorHAnsi" w:hAnsiTheme="majorHAnsi" w:cstheme="majorHAnsi"/>
                <w:szCs w:val="24"/>
                <w:lang w:eastAsia="en-US"/>
              </w:rPr>
            </w:pPr>
          </w:p>
          <w:p w14:paraId="5E8FA88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1858</w:t>
            </w:r>
          </w:p>
        </w:tc>
        <w:tc>
          <w:tcPr>
            <w:tcW w:w="1844" w:type="dxa"/>
          </w:tcPr>
          <w:p w14:paraId="4840D57A" w14:textId="77777777" w:rsidR="001F49FD" w:rsidRDefault="001F49FD">
            <w:pPr>
              <w:widowControl w:val="0"/>
              <w:spacing w:line="240" w:lineRule="auto"/>
              <w:rPr>
                <w:rFonts w:asciiTheme="majorHAnsi" w:hAnsiTheme="majorHAnsi" w:cstheme="majorHAnsi"/>
                <w:szCs w:val="24"/>
                <w:lang w:eastAsia="en-US"/>
              </w:rPr>
            </w:pPr>
          </w:p>
          <w:p w14:paraId="7A4A7705"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43" w:type="dxa"/>
          </w:tcPr>
          <w:p w14:paraId="15C4E285" w14:textId="77777777" w:rsidR="001F49FD" w:rsidRDefault="001F49FD">
            <w:pPr>
              <w:widowControl w:val="0"/>
              <w:spacing w:line="240" w:lineRule="auto"/>
              <w:rPr>
                <w:rFonts w:asciiTheme="majorHAnsi" w:hAnsiTheme="majorHAnsi" w:cstheme="majorHAnsi"/>
                <w:szCs w:val="24"/>
                <w:lang w:eastAsia="en-US"/>
              </w:rPr>
            </w:pPr>
          </w:p>
          <w:p w14:paraId="3D32CAC7"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u w:val="single"/>
                <w:lang w:eastAsia="en-US"/>
              </w:rPr>
              <w:t xml:space="preserve">A pressão do queixo </w:t>
            </w:r>
            <w:r>
              <w:rPr>
                <w:rFonts w:cstheme="majorHAnsi"/>
                <w:szCs w:val="24"/>
                <w:lang w:eastAsia="en-US"/>
              </w:rPr>
              <w:t xml:space="preserve">deve se dividir entre o estandarte e o tampo, sem excessos, mas </w:t>
            </w:r>
            <w:r>
              <w:rPr>
                <w:rFonts w:cstheme="majorHAnsi"/>
                <w:szCs w:val="24"/>
                <w:u w:val="single"/>
                <w:lang w:eastAsia="en-US"/>
              </w:rPr>
              <w:t>suficientemente forte para que o violino não escape devido aos movimentos da mão esquerda</w:t>
            </w:r>
            <w:r>
              <w:rPr>
                <w:rFonts w:cstheme="majorHAnsi"/>
                <w:szCs w:val="24"/>
                <w:lang w:eastAsia="en-US"/>
              </w:rPr>
              <w:t>.</w:t>
            </w:r>
          </w:p>
          <w:p w14:paraId="609A128D" w14:textId="77777777" w:rsidR="001F49FD" w:rsidRDefault="00611419">
            <w:pPr>
              <w:widowControl w:val="0"/>
              <w:spacing w:line="240" w:lineRule="auto"/>
              <w:rPr>
                <w:rFonts w:asciiTheme="majorHAnsi" w:hAnsiTheme="majorHAnsi" w:cstheme="majorHAnsi"/>
                <w:szCs w:val="24"/>
                <w:lang w:eastAsia="en-US"/>
              </w:rPr>
            </w:pPr>
            <w:r>
              <w:rPr>
                <w:rFonts w:cstheme="majorHAnsi"/>
                <w:szCs w:val="24"/>
                <w:lang w:eastAsia="en-US"/>
              </w:rPr>
              <w:t>.</w:t>
            </w:r>
          </w:p>
        </w:tc>
      </w:tr>
      <w:tr w:rsidR="001F49FD" w14:paraId="7242E024" w14:textId="77777777">
        <w:tc>
          <w:tcPr>
            <w:tcW w:w="1276" w:type="dxa"/>
            <w:tcBorders>
              <w:top w:val="nil"/>
              <w:bottom w:val="nil"/>
            </w:tcBorders>
            <w:vAlign w:val="center"/>
          </w:tcPr>
          <w:p w14:paraId="0AD1271F"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bottom w:val="nil"/>
            </w:tcBorders>
            <w:vAlign w:val="center"/>
          </w:tcPr>
          <w:p w14:paraId="14D68E3B"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061B293B" w14:textId="77777777" w:rsidR="001F49FD" w:rsidRDefault="001F49FD">
            <w:pPr>
              <w:widowControl w:val="0"/>
              <w:spacing w:line="240" w:lineRule="auto"/>
              <w:rPr>
                <w:rFonts w:asciiTheme="majorHAnsi" w:hAnsiTheme="majorHAnsi" w:cstheme="majorHAnsi"/>
                <w:szCs w:val="24"/>
                <w:lang w:eastAsia="en-US"/>
              </w:rPr>
            </w:pPr>
          </w:p>
          <w:p w14:paraId="5B096DF6"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Nível</w:t>
            </w:r>
          </w:p>
          <w:p w14:paraId="13CC52AF" w14:textId="77777777" w:rsidR="001F49FD" w:rsidRDefault="001F49FD">
            <w:pPr>
              <w:widowControl w:val="0"/>
              <w:spacing w:line="240" w:lineRule="auto"/>
              <w:rPr>
                <w:rFonts w:asciiTheme="majorHAnsi" w:hAnsiTheme="majorHAnsi" w:cstheme="majorHAnsi"/>
                <w:szCs w:val="24"/>
                <w:lang w:eastAsia="en-US"/>
              </w:rPr>
            </w:pPr>
          </w:p>
        </w:tc>
        <w:tc>
          <w:tcPr>
            <w:tcW w:w="5243" w:type="dxa"/>
          </w:tcPr>
          <w:p w14:paraId="208CAEA9" w14:textId="77777777" w:rsidR="001F49FD" w:rsidRDefault="001F49FD">
            <w:pPr>
              <w:widowControl w:val="0"/>
              <w:spacing w:line="240" w:lineRule="auto"/>
              <w:rPr>
                <w:rFonts w:asciiTheme="majorHAnsi" w:hAnsiTheme="majorHAnsi" w:cstheme="majorHAnsi"/>
                <w:szCs w:val="24"/>
                <w:lang w:eastAsia="en-US"/>
              </w:rPr>
            </w:pPr>
          </w:p>
          <w:p w14:paraId="50154DE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O violino é colocado horizontalmente e na linha do pé esquerdo.</w:t>
            </w:r>
          </w:p>
          <w:p w14:paraId="5C598B53" w14:textId="77777777" w:rsidR="001F49FD" w:rsidRDefault="001F49FD">
            <w:pPr>
              <w:widowControl w:val="0"/>
              <w:spacing w:line="240" w:lineRule="auto"/>
              <w:rPr>
                <w:rFonts w:asciiTheme="majorHAnsi" w:hAnsiTheme="majorHAnsi" w:cstheme="majorHAnsi"/>
                <w:szCs w:val="24"/>
                <w:lang w:eastAsia="en-US"/>
              </w:rPr>
            </w:pPr>
          </w:p>
        </w:tc>
      </w:tr>
      <w:tr w:rsidR="001F49FD" w14:paraId="792569DE" w14:textId="77777777">
        <w:tc>
          <w:tcPr>
            <w:tcW w:w="1276" w:type="dxa"/>
            <w:tcBorders>
              <w:top w:val="nil"/>
            </w:tcBorders>
            <w:vAlign w:val="center"/>
          </w:tcPr>
          <w:p w14:paraId="0A9DC1FD"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tcBorders>
            <w:vAlign w:val="center"/>
          </w:tcPr>
          <w:p w14:paraId="6127B297"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4AFB4716" w14:textId="77777777" w:rsidR="001F49FD" w:rsidRDefault="001F49FD">
            <w:pPr>
              <w:widowControl w:val="0"/>
              <w:spacing w:line="240" w:lineRule="auto"/>
              <w:rPr>
                <w:rFonts w:asciiTheme="majorHAnsi" w:hAnsiTheme="majorHAnsi" w:cstheme="majorHAnsi"/>
                <w:szCs w:val="24"/>
                <w:lang w:eastAsia="en-US"/>
              </w:rPr>
            </w:pPr>
          </w:p>
          <w:p w14:paraId="24E2F6FA"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3229A272" w14:textId="77777777" w:rsidR="001F49FD" w:rsidRDefault="001F49FD">
            <w:pPr>
              <w:widowControl w:val="0"/>
              <w:spacing w:line="240" w:lineRule="auto"/>
              <w:rPr>
                <w:rFonts w:asciiTheme="majorHAnsi" w:hAnsiTheme="majorHAnsi" w:cstheme="majorHAnsi"/>
                <w:szCs w:val="24"/>
                <w:lang w:eastAsia="en-US"/>
              </w:rPr>
            </w:pPr>
          </w:p>
          <w:p w14:paraId="0249D027" w14:textId="77777777" w:rsidR="001F49FD" w:rsidRDefault="001F49FD">
            <w:pPr>
              <w:widowControl w:val="0"/>
              <w:spacing w:line="240" w:lineRule="auto"/>
              <w:rPr>
                <w:rFonts w:asciiTheme="majorHAnsi" w:hAnsiTheme="majorHAnsi" w:cstheme="majorHAnsi"/>
                <w:szCs w:val="24"/>
                <w:lang w:eastAsia="en-US"/>
              </w:rPr>
            </w:pPr>
          </w:p>
          <w:p w14:paraId="64C30863" w14:textId="77777777" w:rsidR="001F49FD" w:rsidRDefault="001F49FD">
            <w:pPr>
              <w:widowControl w:val="0"/>
              <w:spacing w:line="240" w:lineRule="auto"/>
              <w:rPr>
                <w:rFonts w:asciiTheme="majorHAnsi" w:hAnsiTheme="majorHAnsi" w:cstheme="majorHAnsi"/>
                <w:szCs w:val="24"/>
                <w:lang w:eastAsia="en-US"/>
              </w:rPr>
            </w:pPr>
          </w:p>
          <w:p w14:paraId="29259BD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Direcionamento da cabeça</w:t>
            </w:r>
          </w:p>
          <w:p w14:paraId="22D8DB87"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Pr>
          <w:p w14:paraId="746AA202" w14:textId="77777777" w:rsidR="001F49FD" w:rsidRDefault="001F49FD">
            <w:pPr>
              <w:widowControl w:val="0"/>
              <w:spacing w:line="240" w:lineRule="auto"/>
              <w:rPr>
                <w:rFonts w:asciiTheme="majorHAnsi" w:hAnsiTheme="majorHAnsi" w:cstheme="majorHAnsi"/>
                <w:szCs w:val="24"/>
                <w:lang w:eastAsia="en-US"/>
              </w:rPr>
            </w:pPr>
          </w:p>
          <w:p w14:paraId="39D60A02"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u w:val="single"/>
                <w:lang w:eastAsia="en-US"/>
              </w:rPr>
              <w:t>A pressão do queixo deve se dividir entre o estandarte e o tampo</w:t>
            </w:r>
            <w:r>
              <w:rPr>
                <w:rFonts w:cstheme="majorHAnsi"/>
                <w:szCs w:val="24"/>
                <w:lang w:eastAsia="en-US"/>
              </w:rPr>
              <w:t>, mas sem excessos; suficientemente forte para que o violino não escape devido aos movimentos da mão esquerda.</w:t>
            </w:r>
          </w:p>
          <w:p w14:paraId="634ABC20" w14:textId="77777777" w:rsidR="001F49FD" w:rsidRDefault="001F49FD">
            <w:pPr>
              <w:widowControl w:val="0"/>
              <w:spacing w:line="240" w:lineRule="auto"/>
              <w:rPr>
                <w:rFonts w:asciiTheme="majorHAnsi" w:hAnsiTheme="majorHAnsi" w:cstheme="majorHAnsi"/>
                <w:szCs w:val="24"/>
                <w:lang w:eastAsia="en-US"/>
              </w:rPr>
            </w:pPr>
          </w:p>
          <w:p w14:paraId="452009D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tc>
      </w:tr>
    </w:tbl>
    <w:p w14:paraId="2B5B6CC6" w14:textId="77777777" w:rsidR="001F49FD" w:rsidRDefault="001F49FD"/>
    <w:p w14:paraId="6D68BCF9" w14:textId="77777777" w:rsidR="001F49FD" w:rsidRDefault="001F49FD"/>
    <w:p w14:paraId="66267C83" w14:textId="77777777" w:rsidR="001F49FD" w:rsidRDefault="001F49FD"/>
    <w:p w14:paraId="6D83A8B2" w14:textId="77777777" w:rsidR="001F49FD" w:rsidRDefault="001F49FD"/>
    <w:p w14:paraId="6EEB9F36" w14:textId="77777777" w:rsidR="001F49FD" w:rsidRDefault="001F49FD"/>
    <w:p w14:paraId="6047BFD8" w14:textId="77777777" w:rsidR="001F49FD" w:rsidRDefault="001F49FD"/>
    <w:p w14:paraId="3B97AA98" w14:textId="77777777" w:rsidR="001F49FD" w:rsidRDefault="001F49FD"/>
    <w:p w14:paraId="44785CFD" w14:textId="77777777" w:rsidR="001F49FD" w:rsidRDefault="001F49FD"/>
    <w:p w14:paraId="58943298" w14:textId="77777777" w:rsidR="001F49FD" w:rsidRDefault="001F49FD"/>
    <w:p w14:paraId="4865E582" w14:textId="77777777" w:rsidR="001F49FD" w:rsidRDefault="001F49FD"/>
    <w:tbl>
      <w:tblPr>
        <w:tblStyle w:val="Tabelacomgrade"/>
        <w:tblW w:w="9072" w:type="dxa"/>
        <w:tblInd w:w="108" w:type="dxa"/>
        <w:tblLayout w:type="fixed"/>
        <w:tblLook w:val="04A0" w:firstRow="1" w:lastRow="0" w:firstColumn="1" w:lastColumn="0" w:noHBand="0" w:noVBand="1"/>
      </w:tblPr>
      <w:tblGrid>
        <w:gridCol w:w="1276"/>
        <w:gridCol w:w="708"/>
        <w:gridCol w:w="1844"/>
        <w:gridCol w:w="5244"/>
      </w:tblGrid>
      <w:tr w:rsidR="001F49FD" w14:paraId="465D56D2" w14:textId="77777777">
        <w:tc>
          <w:tcPr>
            <w:tcW w:w="1276" w:type="dxa"/>
            <w:tcBorders>
              <w:bottom w:val="nil"/>
            </w:tcBorders>
            <w:vAlign w:val="center"/>
          </w:tcPr>
          <w:p w14:paraId="08228279"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lastRenderedPageBreak/>
              <w:t>Moser/</w:t>
            </w:r>
          </w:p>
          <w:p w14:paraId="2EF4120E"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Joachim</w:t>
            </w:r>
          </w:p>
        </w:tc>
        <w:tc>
          <w:tcPr>
            <w:tcW w:w="708" w:type="dxa"/>
            <w:tcBorders>
              <w:bottom w:val="nil"/>
            </w:tcBorders>
            <w:vAlign w:val="center"/>
          </w:tcPr>
          <w:p w14:paraId="6465827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1905</w:t>
            </w:r>
          </w:p>
        </w:tc>
        <w:tc>
          <w:tcPr>
            <w:tcW w:w="1844" w:type="dxa"/>
          </w:tcPr>
          <w:p w14:paraId="254B1834" w14:textId="77777777" w:rsidR="001F49FD" w:rsidRDefault="001F49FD">
            <w:pPr>
              <w:widowControl w:val="0"/>
              <w:spacing w:line="240" w:lineRule="auto"/>
              <w:ind w:firstLine="0"/>
              <w:rPr>
                <w:rFonts w:asciiTheme="majorHAnsi" w:hAnsiTheme="majorHAnsi" w:cstheme="majorHAnsi"/>
                <w:szCs w:val="24"/>
                <w:lang w:eastAsia="en-US"/>
              </w:rPr>
            </w:pPr>
          </w:p>
          <w:p w14:paraId="4CEC37DD"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43" w:type="dxa"/>
          </w:tcPr>
          <w:p w14:paraId="1D28033C" w14:textId="77777777" w:rsidR="001F49FD" w:rsidRDefault="001F49FD">
            <w:pPr>
              <w:widowControl w:val="0"/>
              <w:spacing w:line="240" w:lineRule="auto"/>
              <w:ind w:firstLine="0"/>
              <w:rPr>
                <w:rFonts w:asciiTheme="majorHAnsi" w:hAnsiTheme="majorHAnsi" w:cstheme="majorHAnsi"/>
                <w:szCs w:val="24"/>
                <w:lang w:eastAsia="en-US"/>
              </w:rPr>
            </w:pPr>
          </w:p>
          <w:p w14:paraId="2310E87E" w14:textId="77777777" w:rsidR="001F49FD" w:rsidRDefault="00611419">
            <w:pPr>
              <w:widowControl w:val="0"/>
              <w:spacing w:line="240" w:lineRule="auto"/>
              <w:ind w:firstLine="0"/>
              <w:rPr>
                <w:rFonts w:asciiTheme="majorHAnsi" w:hAnsiTheme="majorHAnsi" w:cstheme="majorHAnsi"/>
                <w:szCs w:val="24"/>
                <w:lang w:eastAsia="en-US"/>
              </w:rPr>
            </w:pPr>
            <w:r>
              <w:t xml:space="preserve">O uso da </w:t>
            </w:r>
            <w:proofErr w:type="spellStart"/>
            <w:r>
              <w:t>queixeira</w:t>
            </w:r>
            <w:proofErr w:type="spellEnd"/>
            <w:r>
              <w:t xml:space="preserve">, feita por Becker ou por </w:t>
            </w:r>
            <w:proofErr w:type="spellStart"/>
            <w:r>
              <w:t>Darbey</w:t>
            </w:r>
            <w:proofErr w:type="spellEnd"/>
            <w:r>
              <w:t>, é extremamente recomendável.</w:t>
            </w:r>
          </w:p>
          <w:p w14:paraId="5AB3FF7D"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416ADE4" w14:textId="77777777">
        <w:trPr>
          <w:trHeight w:val="1210"/>
        </w:trPr>
        <w:tc>
          <w:tcPr>
            <w:tcW w:w="1276" w:type="dxa"/>
            <w:tcBorders>
              <w:top w:val="nil"/>
              <w:bottom w:val="nil"/>
            </w:tcBorders>
            <w:vAlign w:val="center"/>
          </w:tcPr>
          <w:p w14:paraId="05D88C29"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bottom w:val="nil"/>
            </w:tcBorders>
            <w:vAlign w:val="center"/>
          </w:tcPr>
          <w:p w14:paraId="5F85BA83"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28512795" w14:textId="77777777" w:rsidR="001F49FD" w:rsidRDefault="001F49FD">
            <w:pPr>
              <w:widowControl w:val="0"/>
              <w:spacing w:line="240" w:lineRule="auto"/>
              <w:ind w:firstLine="0"/>
              <w:rPr>
                <w:rFonts w:asciiTheme="majorHAnsi" w:hAnsiTheme="majorHAnsi" w:cstheme="majorHAnsi"/>
                <w:szCs w:val="24"/>
                <w:lang w:eastAsia="en-US"/>
              </w:rPr>
            </w:pPr>
          </w:p>
          <w:p w14:paraId="4C68397F"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Nível</w:t>
            </w:r>
          </w:p>
          <w:p w14:paraId="5572AA15"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Pr>
          <w:p w14:paraId="2AF3C584" w14:textId="77777777" w:rsidR="001F49FD" w:rsidRDefault="001F49FD">
            <w:pPr>
              <w:widowControl w:val="0"/>
              <w:spacing w:line="240" w:lineRule="auto"/>
              <w:ind w:firstLine="0"/>
              <w:rPr>
                <w:rFonts w:asciiTheme="majorHAnsi" w:hAnsiTheme="majorHAnsi" w:cstheme="majorHAnsi"/>
                <w:szCs w:val="24"/>
                <w:lang w:eastAsia="en-US"/>
              </w:rPr>
            </w:pPr>
          </w:p>
          <w:p w14:paraId="64ED234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Deve-se ter cuidado em manter o violino em uma posição estritamente horizontal, com o braço do violino na direção do pé esquerdo.</w:t>
            </w:r>
          </w:p>
          <w:p w14:paraId="786F622F"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67653AF" w14:textId="77777777">
        <w:trPr>
          <w:trHeight w:val="3021"/>
        </w:trPr>
        <w:tc>
          <w:tcPr>
            <w:tcW w:w="1276" w:type="dxa"/>
            <w:tcBorders>
              <w:top w:val="nil"/>
            </w:tcBorders>
            <w:vAlign w:val="center"/>
          </w:tcPr>
          <w:p w14:paraId="5519F7BE"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tcBorders>
            <w:vAlign w:val="center"/>
          </w:tcPr>
          <w:p w14:paraId="60420DC9"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6117C916" w14:textId="77777777" w:rsidR="001F49FD" w:rsidRDefault="001F49FD">
            <w:pPr>
              <w:widowControl w:val="0"/>
              <w:spacing w:line="240" w:lineRule="auto"/>
              <w:ind w:firstLine="0"/>
              <w:rPr>
                <w:rFonts w:asciiTheme="majorHAnsi" w:hAnsiTheme="majorHAnsi" w:cstheme="majorHAnsi"/>
                <w:szCs w:val="24"/>
                <w:lang w:eastAsia="en-US"/>
              </w:rPr>
            </w:pPr>
          </w:p>
          <w:p w14:paraId="688A2E80"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1826D8B7" w14:textId="77777777" w:rsidR="001F49FD" w:rsidRDefault="001F49FD">
            <w:pPr>
              <w:widowControl w:val="0"/>
              <w:spacing w:line="240" w:lineRule="auto"/>
              <w:ind w:firstLine="0"/>
              <w:rPr>
                <w:rFonts w:asciiTheme="majorHAnsi" w:hAnsiTheme="majorHAnsi" w:cstheme="majorHAnsi"/>
                <w:szCs w:val="24"/>
                <w:lang w:eastAsia="en-US"/>
              </w:rPr>
            </w:pPr>
          </w:p>
          <w:p w14:paraId="2554B3C2" w14:textId="77777777" w:rsidR="001F49FD" w:rsidRDefault="001F49FD">
            <w:pPr>
              <w:widowControl w:val="0"/>
              <w:spacing w:line="240" w:lineRule="auto"/>
              <w:ind w:firstLine="0"/>
              <w:rPr>
                <w:rFonts w:asciiTheme="majorHAnsi" w:hAnsiTheme="majorHAnsi" w:cstheme="majorHAnsi"/>
                <w:szCs w:val="24"/>
                <w:lang w:eastAsia="en-US"/>
              </w:rPr>
            </w:pPr>
          </w:p>
          <w:p w14:paraId="3D80D3B2" w14:textId="77777777" w:rsidR="001F49FD" w:rsidRDefault="001F49FD">
            <w:pPr>
              <w:widowControl w:val="0"/>
              <w:spacing w:line="240" w:lineRule="auto"/>
              <w:ind w:firstLine="0"/>
              <w:rPr>
                <w:rFonts w:asciiTheme="majorHAnsi" w:hAnsiTheme="majorHAnsi" w:cstheme="majorHAnsi"/>
                <w:szCs w:val="24"/>
                <w:lang w:eastAsia="en-US"/>
              </w:rPr>
            </w:pPr>
          </w:p>
          <w:p w14:paraId="124632A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Direcionamento da cabeça</w:t>
            </w:r>
          </w:p>
          <w:p w14:paraId="2A12D69D"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Pr>
          <w:p w14:paraId="2FC00E9E" w14:textId="77777777" w:rsidR="001F49FD" w:rsidRDefault="001F49FD">
            <w:pPr>
              <w:pStyle w:val="PargrafodaLista"/>
              <w:widowControl w:val="0"/>
              <w:spacing w:after="20" w:line="240" w:lineRule="auto"/>
              <w:ind w:left="0" w:firstLine="0"/>
              <w:rPr>
                <w:rFonts w:asciiTheme="majorHAnsi" w:hAnsiTheme="majorHAnsi" w:cstheme="majorHAnsi"/>
                <w:szCs w:val="24"/>
                <w:lang w:eastAsia="en-US"/>
              </w:rPr>
            </w:pPr>
          </w:p>
          <w:p w14:paraId="75FD851C" w14:textId="77777777" w:rsidR="001F49FD" w:rsidRDefault="00611419">
            <w:pPr>
              <w:pStyle w:val="PargrafodaLista"/>
              <w:widowControl w:val="0"/>
              <w:spacing w:after="20" w:line="240" w:lineRule="auto"/>
              <w:ind w:left="0" w:firstLine="0"/>
              <w:rPr>
                <w:rFonts w:asciiTheme="majorHAnsi" w:hAnsiTheme="majorHAnsi" w:cstheme="majorHAnsi"/>
                <w:szCs w:val="24"/>
                <w:lang w:eastAsia="en-US"/>
              </w:rPr>
            </w:pPr>
            <w:r>
              <w:rPr>
                <w:rFonts w:cstheme="majorHAnsi"/>
                <w:szCs w:val="24"/>
                <w:u w:val="single"/>
                <w:lang w:eastAsia="en-US"/>
              </w:rPr>
              <w:t>O lado do violino à esquerda do estandarte deve ser colocado embaixo do queixo,</w:t>
            </w:r>
            <w:r>
              <w:rPr>
                <w:rFonts w:cstheme="majorHAnsi"/>
                <w:szCs w:val="24"/>
                <w:lang w:eastAsia="en-US"/>
              </w:rPr>
              <w:t xml:space="preserve"> a fim de que a cabeça mantenha sua posição reta, possibilitando um olhar irrestrito ao longo do espelho.</w:t>
            </w:r>
          </w:p>
          <w:p w14:paraId="19E8687A" w14:textId="77777777" w:rsidR="001F49FD" w:rsidRDefault="001F49FD">
            <w:pPr>
              <w:pStyle w:val="PargrafodaLista"/>
              <w:widowControl w:val="0"/>
              <w:spacing w:line="240" w:lineRule="auto"/>
              <w:ind w:left="0" w:firstLine="0"/>
              <w:rPr>
                <w:rFonts w:asciiTheme="majorHAnsi" w:hAnsiTheme="majorHAnsi" w:cstheme="majorHAnsi"/>
                <w:szCs w:val="24"/>
                <w:lang w:eastAsia="en-US"/>
              </w:rPr>
            </w:pPr>
          </w:p>
          <w:p w14:paraId="03FCD9FB" w14:textId="77777777" w:rsidR="001F49FD" w:rsidRDefault="00611419">
            <w:pPr>
              <w:pStyle w:val="PargrafodaLista"/>
              <w:widowControl w:val="0"/>
              <w:spacing w:line="240" w:lineRule="auto"/>
              <w:ind w:left="0" w:firstLine="0"/>
              <w:rPr>
                <w:rFonts w:asciiTheme="majorHAnsi" w:hAnsiTheme="majorHAnsi" w:cstheme="majorHAnsi"/>
                <w:szCs w:val="24"/>
                <w:lang w:eastAsia="en-US"/>
              </w:rPr>
            </w:pPr>
            <w:r>
              <w:rPr>
                <w:rFonts w:cstheme="majorHAnsi"/>
                <w:szCs w:val="24"/>
                <w:lang w:eastAsia="en-US"/>
              </w:rPr>
              <w:t xml:space="preserve">O lado do violino à esquerda do estandarte deve ser colocado embaixo do queixo, </w:t>
            </w:r>
            <w:r>
              <w:rPr>
                <w:rFonts w:cstheme="majorHAnsi"/>
                <w:szCs w:val="24"/>
                <w:u w:val="single"/>
                <w:lang w:eastAsia="en-US"/>
              </w:rPr>
              <w:t>a fim de que a cabeça mantenha sua posição reta, possibilitando um olhar irrestrito ao longo do espelho.</w:t>
            </w:r>
          </w:p>
          <w:p w14:paraId="16431481" w14:textId="77777777" w:rsidR="001F49FD" w:rsidRDefault="001F49FD">
            <w:pPr>
              <w:widowControl w:val="0"/>
              <w:spacing w:line="240" w:lineRule="auto"/>
              <w:rPr>
                <w:rFonts w:asciiTheme="majorHAnsi" w:hAnsiTheme="majorHAnsi" w:cstheme="majorHAnsi"/>
                <w:szCs w:val="24"/>
                <w:lang w:eastAsia="en-US"/>
              </w:rPr>
            </w:pPr>
          </w:p>
        </w:tc>
      </w:tr>
      <w:tr w:rsidR="001F49FD" w14:paraId="55A92753" w14:textId="77777777">
        <w:trPr>
          <w:trHeight w:val="1210"/>
        </w:trPr>
        <w:tc>
          <w:tcPr>
            <w:tcW w:w="1276" w:type="dxa"/>
            <w:tcBorders>
              <w:bottom w:val="nil"/>
            </w:tcBorders>
            <w:vAlign w:val="center"/>
          </w:tcPr>
          <w:p w14:paraId="24752A9B"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lang w:eastAsia="en-US"/>
              </w:rPr>
              <w:t>Auer</w:t>
            </w:r>
            <w:proofErr w:type="spellEnd"/>
          </w:p>
        </w:tc>
        <w:tc>
          <w:tcPr>
            <w:tcW w:w="708" w:type="dxa"/>
            <w:tcBorders>
              <w:bottom w:val="nil"/>
            </w:tcBorders>
            <w:vAlign w:val="center"/>
          </w:tcPr>
          <w:p w14:paraId="3DF04178" w14:textId="77777777" w:rsidR="001F49FD" w:rsidRDefault="00611419">
            <w:pPr>
              <w:pStyle w:val="Estilo1"/>
              <w:widowControl w:val="0"/>
            </w:pPr>
            <w:r>
              <w:t>1921</w:t>
            </w:r>
          </w:p>
        </w:tc>
        <w:tc>
          <w:tcPr>
            <w:tcW w:w="1844" w:type="dxa"/>
          </w:tcPr>
          <w:p w14:paraId="450C652C" w14:textId="77777777" w:rsidR="001F49FD" w:rsidRDefault="001F49FD">
            <w:pPr>
              <w:widowControl w:val="0"/>
              <w:spacing w:line="240" w:lineRule="auto"/>
              <w:ind w:firstLine="0"/>
              <w:rPr>
                <w:rFonts w:asciiTheme="majorHAnsi" w:hAnsiTheme="majorHAnsi" w:cstheme="majorHAnsi"/>
                <w:szCs w:val="24"/>
                <w:lang w:eastAsia="en-US"/>
              </w:rPr>
            </w:pPr>
          </w:p>
          <w:p w14:paraId="079214E4"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43" w:type="dxa"/>
          </w:tcPr>
          <w:p w14:paraId="0A382262" w14:textId="77777777" w:rsidR="001F49FD" w:rsidRDefault="001F49FD">
            <w:pPr>
              <w:widowControl w:val="0"/>
              <w:spacing w:line="240" w:lineRule="auto"/>
              <w:ind w:firstLine="0"/>
              <w:rPr>
                <w:rFonts w:asciiTheme="majorHAnsi" w:hAnsiTheme="majorHAnsi" w:cstheme="majorHAnsi"/>
                <w:szCs w:val="24"/>
                <w:lang w:eastAsia="en-US"/>
              </w:rPr>
            </w:pPr>
          </w:p>
          <w:p w14:paraId="268BBBE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O violino nunca deve ser sustentado pela mão esquerda – somente pela clavícula e o maxilar.</w:t>
            </w:r>
          </w:p>
          <w:p w14:paraId="59B37C01" w14:textId="77777777" w:rsidR="001F49FD" w:rsidRDefault="001F49FD">
            <w:pPr>
              <w:pStyle w:val="PargrafodaLista"/>
              <w:widowControl w:val="0"/>
              <w:spacing w:line="240" w:lineRule="auto"/>
              <w:ind w:left="0" w:firstLine="0"/>
              <w:rPr>
                <w:rFonts w:asciiTheme="majorHAnsi" w:hAnsiTheme="majorHAnsi" w:cstheme="majorHAnsi"/>
                <w:szCs w:val="24"/>
                <w:lang w:eastAsia="en-US"/>
              </w:rPr>
            </w:pPr>
          </w:p>
        </w:tc>
      </w:tr>
      <w:tr w:rsidR="001F49FD" w14:paraId="08718F75" w14:textId="77777777">
        <w:trPr>
          <w:trHeight w:val="1210"/>
        </w:trPr>
        <w:tc>
          <w:tcPr>
            <w:tcW w:w="1276" w:type="dxa"/>
            <w:tcBorders>
              <w:top w:val="nil"/>
              <w:bottom w:val="nil"/>
            </w:tcBorders>
            <w:vAlign w:val="center"/>
          </w:tcPr>
          <w:p w14:paraId="555689BF"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bottom w:val="nil"/>
            </w:tcBorders>
            <w:vAlign w:val="center"/>
          </w:tcPr>
          <w:p w14:paraId="73EF421F"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3CC88205" w14:textId="77777777" w:rsidR="001F49FD" w:rsidRDefault="001F49FD">
            <w:pPr>
              <w:widowControl w:val="0"/>
              <w:spacing w:line="240" w:lineRule="auto"/>
              <w:ind w:firstLine="0"/>
              <w:rPr>
                <w:rFonts w:asciiTheme="majorHAnsi" w:hAnsiTheme="majorHAnsi" w:cstheme="majorHAnsi"/>
                <w:szCs w:val="24"/>
                <w:lang w:eastAsia="en-US"/>
              </w:rPr>
            </w:pPr>
          </w:p>
          <w:p w14:paraId="7330BCE0"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Nível</w:t>
            </w:r>
          </w:p>
          <w:p w14:paraId="2FCACD05" w14:textId="77777777" w:rsidR="001F49FD" w:rsidRDefault="001F49FD">
            <w:pPr>
              <w:widowControl w:val="0"/>
              <w:spacing w:line="240" w:lineRule="auto"/>
              <w:ind w:firstLine="0"/>
              <w:rPr>
                <w:rFonts w:asciiTheme="majorHAnsi" w:hAnsiTheme="majorHAnsi" w:cstheme="majorHAnsi"/>
                <w:szCs w:val="24"/>
                <w:lang w:eastAsia="en-US"/>
              </w:rPr>
            </w:pPr>
          </w:p>
        </w:tc>
        <w:tc>
          <w:tcPr>
            <w:tcW w:w="5243" w:type="dxa"/>
          </w:tcPr>
          <w:p w14:paraId="1228052C" w14:textId="77777777" w:rsidR="001F49FD" w:rsidRDefault="001F49FD">
            <w:pPr>
              <w:widowControl w:val="0"/>
              <w:spacing w:line="240" w:lineRule="auto"/>
              <w:ind w:firstLine="0"/>
              <w:rPr>
                <w:rFonts w:asciiTheme="majorHAnsi" w:hAnsiTheme="majorHAnsi" w:cstheme="majorHAnsi"/>
                <w:szCs w:val="24"/>
                <w:lang w:eastAsia="en-US"/>
              </w:rPr>
            </w:pPr>
          </w:p>
          <w:p w14:paraId="245B1FFC"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Sempre tente elevar o seu violino o máximo possível, a fim de garantir que a mão obtenha o máximo de liberdade entre uma e outra posição.</w:t>
            </w:r>
          </w:p>
          <w:p w14:paraId="56E6C676" w14:textId="77777777" w:rsidR="001F49FD" w:rsidRDefault="001F49FD">
            <w:pPr>
              <w:widowControl w:val="0"/>
              <w:spacing w:line="240" w:lineRule="auto"/>
              <w:ind w:firstLine="0"/>
              <w:rPr>
                <w:rFonts w:asciiTheme="majorHAnsi" w:hAnsiTheme="majorHAnsi" w:cstheme="majorHAnsi"/>
                <w:szCs w:val="24"/>
                <w:lang w:eastAsia="en-US"/>
              </w:rPr>
            </w:pPr>
          </w:p>
          <w:p w14:paraId="6E587462" w14:textId="77777777" w:rsidR="001F49FD" w:rsidRDefault="00611419">
            <w:pPr>
              <w:pStyle w:val="Recuodecorpodetexto"/>
              <w:widowControl w:val="0"/>
              <w:spacing w:line="240" w:lineRule="auto"/>
              <w:ind w:left="283" w:firstLine="0"/>
              <w:rPr>
                <w:rFonts w:ascii="Times New Roman" w:hAnsi="Times New Roman" w:cs="Times New Roman"/>
                <w:szCs w:val="24"/>
              </w:rPr>
            </w:pPr>
            <w:r>
              <w:t>Segure o violino em uma posição horizontal e inclinada – o lado direito mais baixo do que o esquerdo.</w:t>
            </w:r>
          </w:p>
          <w:p w14:paraId="5275B36F"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9656E9A" w14:textId="77777777">
        <w:trPr>
          <w:trHeight w:val="1210"/>
        </w:trPr>
        <w:tc>
          <w:tcPr>
            <w:tcW w:w="1276" w:type="dxa"/>
            <w:tcBorders>
              <w:top w:val="nil"/>
            </w:tcBorders>
            <w:vAlign w:val="center"/>
          </w:tcPr>
          <w:p w14:paraId="07991EB9" w14:textId="77777777" w:rsidR="001F49FD" w:rsidRDefault="001F49FD">
            <w:pPr>
              <w:widowControl w:val="0"/>
              <w:spacing w:line="240" w:lineRule="auto"/>
              <w:rPr>
                <w:rFonts w:asciiTheme="majorHAnsi" w:hAnsiTheme="majorHAnsi" w:cstheme="majorHAnsi"/>
                <w:szCs w:val="24"/>
                <w:lang w:eastAsia="en-US"/>
              </w:rPr>
            </w:pPr>
          </w:p>
        </w:tc>
        <w:tc>
          <w:tcPr>
            <w:tcW w:w="708" w:type="dxa"/>
            <w:tcBorders>
              <w:top w:val="nil"/>
            </w:tcBorders>
            <w:vAlign w:val="center"/>
          </w:tcPr>
          <w:p w14:paraId="183C60EC" w14:textId="77777777" w:rsidR="001F49FD" w:rsidRDefault="001F49FD">
            <w:pPr>
              <w:widowControl w:val="0"/>
              <w:spacing w:line="240" w:lineRule="auto"/>
              <w:rPr>
                <w:rFonts w:asciiTheme="majorHAnsi" w:hAnsiTheme="majorHAnsi" w:cstheme="majorHAnsi"/>
                <w:szCs w:val="24"/>
                <w:lang w:eastAsia="en-US"/>
              </w:rPr>
            </w:pPr>
          </w:p>
        </w:tc>
        <w:tc>
          <w:tcPr>
            <w:tcW w:w="1844" w:type="dxa"/>
          </w:tcPr>
          <w:p w14:paraId="5F5EFCAC" w14:textId="77777777" w:rsidR="001F49FD" w:rsidRDefault="001F49FD">
            <w:pPr>
              <w:widowControl w:val="0"/>
              <w:spacing w:line="240" w:lineRule="auto"/>
              <w:ind w:firstLine="0"/>
              <w:rPr>
                <w:rFonts w:asciiTheme="majorHAnsi" w:hAnsiTheme="majorHAnsi" w:cstheme="majorHAnsi"/>
                <w:szCs w:val="24"/>
                <w:lang w:eastAsia="en-US"/>
              </w:rPr>
            </w:pPr>
          </w:p>
          <w:p w14:paraId="5A104280"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3CD4178B" w14:textId="77777777" w:rsidR="001F49FD" w:rsidRDefault="001F49FD">
            <w:pPr>
              <w:widowControl w:val="0"/>
              <w:tabs>
                <w:tab w:val="left" w:pos="1110"/>
              </w:tabs>
              <w:spacing w:line="240" w:lineRule="auto"/>
              <w:ind w:firstLine="0"/>
              <w:rPr>
                <w:rFonts w:asciiTheme="majorHAnsi" w:hAnsiTheme="majorHAnsi" w:cstheme="majorHAnsi"/>
                <w:szCs w:val="24"/>
                <w:lang w:eastAsia="en-US"/>
              </w:rPr>
            </w:pPr>
          </w:p>
          <w:p w14:paraId="2F9810AE" w14:textId="77777777" w:rsidR="001F49FD" w:rsidRDefault="00611419">
            <w:pPr>
              <w:widowControl w:val="0"/>
              <w:tabs>
                <w:tab w:val="left" w:pos="1110"/>
              </w:tabs>
              <w:spacing w:line="240" w:lineRule="auto"/>
              <w:ind w:firstLine="0"/>
              <w:rPr>
                <w:rFonts w:asciiTheme="majorHAnsi" w:hAnsiTheme="majorHAnsi" w:cstheme="majorHAnsi"/>
                <w:szCs w:val="24"/>
                <w:lang w:eastAsia="en-US"/>
              </w:rPr>
            </w:pPr>
            <w:r>
              <w:rPr>
                <w:rFonts w:cstheme="majorHAnsi"/>
                <w:szCs w:val="24"/>
                <w:lang w:eastAsia="en-US"/>
              </w:rPr>
              <w:t>Direcionamento da cabeça</w:t>
            </w:r>
          </w:p>
          <w:p w14:paraId="77C4AD3D" w14:textId="77777777" w:rsidR="001F49FD" w:rsidRDefault="001F49FD">
            <w:pPr>
              <w:widowControl w:val="0"/>
              <w:tabs>
                <w:tab w:val="left" w:pos="1110"/>
              </w:tabs>
              <w:spacing w:line="240" w:lineRule="auto"/>
              <w:rPr>
                <w:rFonts w:asciiTheme="majorHAnsi" w:hAnsiTheme="majorHAnsi" w:cstheme="majorHAnsi"/>
                <w:szCs w:val="24"/>
                <w:lang w:eastAsia="en-US"/>
              </w:rPr>
            </w:pPr>
          </w:p>
        </w:tc>
        <w:tc>
          <w:tcPr>
            <w:tcW w:w="5243" w:type="dxa"/>
          </w:tcPr>
          <w:p w14:paraId="4F36E8AF" w14:textId="77777777" w:rsidR="001F49FD" w:rsidRDefault="001F49FD">
            <w:pPr>
              <w:widowControl w:val="0"/>
              <w:spacing w:line="240" w:lineRule="auto"/>
              <w:ind w:firstLine="0"/>
              <w:rPr>
                <w:rFonts w:asciiTheme="majorHAnsi" w:hAnsiTheme="majorHAnsi" w:cstheme="majorHAnsi"/>
                <w:szCs w:val="24"/>
                <w:lang w:eastAsia="en-US"/>
              </w:rPr>
            </w:pPr>
          </w:p>
          <w:p w14:paraId="08894E3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p w14:paraId="168AD9F2" w14:textId="77777777" w:rsidR="001F49FD" w:rsidRDefault="001F49FD">
            <w:pPr>
              <w:widowControl w:val="0"/>
              <w:spacing w:line="240" w:lineRule="auto"/>
              <w:ind w:firstLine="0"/>
              <w:rPr>
                <w:rFonts w:asciiTheme="majorHAnsi" w:hAnsiTheme="majorHAnsi" w:cstheme="majorHAnsi"/>
                <w:szCs w:val="24"/>
                <w:lang w:eastAsia="en-US"/>
              </w:rPr>
            </w:pPr>
          </w:p>
          <w:p w14:paraId="67D7C857" w14:textId="77777777" w:rsidR="001F49FD" w:rsidRDefault="001F49FD">
            <w:pPr>
              <w:widowControl w:val="0"/>
              <w:spacing w:line="240" w:lineRule="auto"/>
              <w:ind w:firstLine="0"/>
              <w:rPr>
                <w:rFonts w:asciiTheme="majorHAnsi" w:hAnsiTheme="majorHAnsi" w:cstheme="majorHAnsi"/>
                <w:szCs w:val="24"/>
                <w:lang w:eastAsia="en-US"/>
              </w:rPr>
            </w:pPr>
          </w:p>
          <w:p w14:paraId="5C2DB0F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O violino deve ser mantido em uma posição em que os olhos estejam fixos na voluta do instrumento.</w:t>
            </w:r>
          </w:p>
          <w:p w14:paraId="5FEB854B" w14:textId="77777777" w:rsidR="001F49FD" w:rsidRDefault="001F49FD">
            <w:pPr>
              <w:widowControl w:val="0"/>
              <w:spacing w:line="240" w:lineRule="auto"/>
              <w:ind w:firstLine="0"/>
              <w:rPr>
                <w:rFonts w:asciiTheme="majorHAnsi" w:hAnsiTheme="majorHAnsi" w:cstheme="majorHAnsi"/>
                <w:szCs w:val="24"/>
                <w:lang w:eastAsia="en-US"/>
              </w:rPr>
            </w:pPr>
          </w:p>
        </w:tc>
      </w:tr>
    </w:tbl>
    <w:p w14:paraId="7350FA69" w14:textId="77777777" w:rsidR="001F49FD" w:rsidRDefault="001F49FD"/>
    <w:p w14:paraId="04A380A4" w14:textId="77777777" w:rsidR="001F49FD" w:rsidRDefault="001F49FD"/>
    <w:p w14:paraId="0F8AB5AC" w14:textId="77777777" w:rsidR="001F49FD" w:rsidRDefault="001F49FD"/>
    <w:p w14:paraId="576853C3" w14:textId="77777777" w:rsidR="001F49FD" w:rsidRDefault="001F49FD"/>
    <w:p w14:paraId="5862363B" w14:textId="77777777" w:rsidR="001F49FD" w:rsidRDefault="001F49FD"/>
    <w:p w14:paraId="4AC75FD5" w14:textId="77777777" w:rsidR="001F49FD" w:rsidRDefault="001F49FD"/>
    <w:tbl>
      <w:tblPr>
        <w:tblStyle w:val="Tabelacomgrade"/>
        <w:tblW w:w="9214" w:type="dxa"/>
        <w:tblInd w:w="108" w:type="dxa"/>
        <w:tblLayout w:type="fixed"/>
        <w:tblLook w:val="04A0" w:firstRow="1" w:lastRow="0" w:firstColumn="1" w:lastColumn="0" w:noHBand="0" w:noVBand="1"/>
      </w:tblPr>
      <w:tblGrid>
        <w:gridCol w:w="1276"/>
        <w:gridCol w:w="850"/>
        <w:gridCol w:w="1844"/>
        <w:gridCol w:w="5244"/>
      </w:tblGrid>
      <w:tr w:rsidR="001F49FD" w14:paraId="2B8616E8" w14:textId="77777777">
        <w:tc>
          <w:tcPr>
            <w:tcW w:w="1276" w:type="dxa"/>
            <w:tcBorders>
              <w:bottom w:val="nil"/>
            </w:tcBorders>
          </w:tcPr>
          <w:p w14:paraId="5DB44585" w14:textId="77777777" w:rsidR="001F49FD" w:rsidRDefault="001F49FD">
            <w:pPr>
              <w:widowControl w:val="0"/>
              <w:spacing w:line="240" w:lineRule="auto"/>
              <w:ind w:firstLine="0"/>
              <w:rPr>
                <w:rFonts w:asciiTheme="majorHAnsi" w:hAnsiTheme="majorHAnsi" w:cstheme="majorHAnsi"/>
                <w:szCs w:val="24"/>
                <w:lang w:eastAsia="en-US"/>
              </w:rPr>
            </w:pPr>
          </w:p>
          <w:p w14:paraId="67DBE2A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val="fr-FR" w:eastAsia="en-US"/>
              </w:rPr>
              <w:t>Flesch</w:t>
            </w:r>
          </w:p>
        </w:tc>
        <w:tc>
          <w:tcPr>
            <w:tcW w:w="850" w:type="dxa"/>
            <w:tcBorders>
              <w:bottom w:val="nil"/>
            </w:tcBorders>
          </w:tcPr>
          <w:p w14:paraId="7993B4C7" w14:textId="77777777" w:rsidR="001F49FD" w:rsidRDefault="001F49FD">
            <w:pPr>
              <w:widowControl w:val="0"/>
              <w:spacing w:line="240" w:lineRule="auto"/>
              <w:ind w:firstLine="0"/>
              <w:rPr>
                <w:rFonts w:asciiTheme="majorHAnsi" w:hAnsiTheme="majorHAnsi" w:cstheme="majorHAnsi"/>
                <w:szCs w:val="24"/>
                <w:lang w:eastAsia="en-US"/>
              </w:rPr>
            </w:pPr>
          </w:p>
          <w:p w14:paraId="328B1D6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1928</w:t>
            </w:r>
          </w:p>
        </w:tc>
        <w:tc>
          <w:tcPr>
            <w:tcW w:w="1844" w:type="dxa"/>
          </w:tcPr>
          <w:p w14:paraId="1DF38323" w14:textId="77777777" w:rsidR="001F49FD" w:rsidRDefault="001F49FD">
            <w:pPr>
              <w:widowControl w:val="0"/>
              <w:spacing w:line="240" w:lineRule="auto"/>
              <w:rPr>
                <w:rFonts w:asciiTheme="majorHAnsi" w:hAnsiTheme="majorHAnsi" w:cstheme="majorHAnsi"/>
                <w:szCs w:val="24"/>
                <w:lang w:eastAsia="en-US"/>
              </w:rPr>
            </w:pPr>
          </w:p>
          <w:p w14:paraId="21FA8838"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43" w:type="dxa"/>
          </w:tcPr>
          <w:p w14:paraId="23489028" w14:textId="77777777" w:rsidR="001F49FD" w:rsidRDefault="001F49FD">
            <w:pPr>
              <w:widowControl w:val="0"/>
              <w:spacing w:line="240" w:lineRule="auto"/>
              <w:ind w:firstLine="0"/>
              <w:rPr>
                <w:rFonts w:asciiTheme="majorHAnsi" w:hAnsiTheme="majorHAnsi" w:cstheme="majorHAnsi"/>
                <w:szCs w:val="24"/>
                <w:lang w:eastAsia="en-US"/>
              </w:rPr>
            </w:pPr>
          </w:p>
          <w:p w14:paraId="31CF10C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Deve-se colocar o violino sobre a clavícula e mantê-lo preso através do rebaixamento do maxilar esquerdo. A função da mão esquerda, que deve antes de tudo manter sua independência para as mudanças de posição, se limita a </w:t>
            </w:r>
            <w:r>
              <w:rPr>
                <w:rFonts w:cstheme="majorHAnsi"/>
                <w:i/>
                <w:szCs w:val="24"/>
                <w:lang w:eastAsia="en-US"/>
              </w:rPr>
              <w:t>amparar</w:t>
            </w:r>
            <w:r>
              <w:rPr>
                <w:rFonts w:cstheme="majorHAnsi"/>
                <w:szCs w:val="24"/>
                <w:lang w:eastAsia="en-US"/>
              </w:rPr>
              <w:t xml:space="preserve"> o violino.</w:t>
            </w:r>
          </w:p>
          <w:p w14:paraId="6FC31EEB"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12C5EA39" w14:textId="77777777">
        <w:tc>
          <w:tcPr>
            <w:tcW w:w="1276" w:type="dxa"/>
            <w:tcBorders>
              <w:top w:val="nil"/>
              <w:bottom w:val="nil"/>
            </w:tcBorders>
          </w:tcPr>
          <w:p w14:paraId="52298DBC" w14:textId="77777777" w:rsidR="001F49FD" w:rsidRDefault="001F49FD">
            <w:pPr>
              <w:widowControl w:val="0"/>
              <w:spacing w:line="240" w:lineRule="auto"/>
              <w:ind w:firstLine="0"/>
              <w:rPr>
                <w:rFonts w:asciiTheme="majorHAnsi" w:hAnsiTheme="majorHAnsi" w:cstheme="majorHAnsi"/>
                <w:szCs w:val="24"/>
                <w:lang w:eastAsia="en-US"/>
              </w:rPr>
            </w:pPr>
          </w:p>
        </w:tc>
        <w:tc>
          <w:tcPr>
            <w:tcW w:w="850" w:type="dxa"/>
            <w:tcBorders>
              <w:top w:val="nil"/>
              <w:bottom w:val="nil"/>
            </w:tcBorders>
          </w:tcPr>
          <w:p w14:paraId="1F2F3BC4" w14:textId="77777777" w:rsidR="001F49FD" w:rsidRDefault="001F49FD">
            <w:pPr>
              <w:widowControl w:val="0"/>
              <w:spacing w:line="240" w:lineRule="auto"/>
              <w:ind w:firstLine="0"/>
              <w:rPr>
                <w:rFonts w:asciiTheme="majorHAnsi" w:hAnsiTheme="majorHAnsi" w:cstheme="majorHAnsi"/>
                <w:szCs w:val="24"/>
                <w:lang w:eastAsia="en-US"/>
              </w:rPr>
            </w:pPr>
          </w:p>
        </w:tc>
        <w:tc>
          <w:tcPr>
            <w:tcW w:w="1844" w:type="dxa"/>
          </w:tcPr>
          <w:p w14:paraId="72149934" w14:textId="77777777" w:rsidR="001F49FD" w:rsidRDefault="001F49FD">
            <w:pPr>
              <w:widowControl w:val="0"/>
              <w:spacing w:line="240" w:lineRule="auto"/>
              <w:ind w:firstLine="0"/>
              <w:rPr>
                <w:rFonts w:asciiTheme="majorHAnsi" w:hAnsiTheme="majorHAnsi" w:cstheme="majorHAnsi"/>
                <w:szCs w:val="24"/>
                <w:lang w:eastAsia="en-US"/>
              </w:rPr>
            </w:pPr>
          </w:p>
          <w:p w14:paraId="1B465947"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Nível</w:t>
            </w:r>
          </w:p>
          <w:p w14:paraId="74DBB628"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5243" w:type="dxa"/>
          </w:tcPr>
          <w:p w14:paraId="2BE813AB" w14:textId="77777777" w:rsidR="001F49FD" w:rsidRDefault="001F49FD">
            <w:pPr>
              <w:widowControl w:val="0"/>
              <w:spacing w:line="240" w:lineRule="auto"/>
              <w:ind w:firstLine="0"/>
              <w:rPr>
                <w:rFonts w:asciiTheme="majorHAnsi" w:hAnsiTheme="majorHAnsi" w:cstheme="majorHAnsi"/>
                <w:szCs w:val="24"/>
                <w:lang w:eastAsia="en-US"/>
              </w:rPr>
            </w:pPr>
          </w:p>
          <w:p w14:paraId="014759C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A posição do violino para baixo resulta em uma sonoridade fenecida e amorfa.</w:t>
            </w:r>
          </w:p>
          <w:p w14:paraId="294B9B75" w14:textId="77777777" w:rsidR="001F49FD" w:rsidRDefault="001F49FD">
            <w:pPr>
              <w:widowControl w:val="0"/>
              <w:spacing w:line="240" w:lineRule="auto"/>
              <w:rPr>
                <w:rFonts w:asciiTheme="majorHAnsi" w:hAnsiTheme="majorHAnsi" w:cstheme="majorHAnsi"/>
                <w:szCs w:val="24"/>
                <w:lang w:eastAsia="en-US"/>
              </w:rPr>
            </w:pPr>
          </w:p>
          <w:p w14:paraId="5497968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No entanto, a posição inversa (ou seja, demasiadamente para cima), ainda que não seja tão defeituosa, deve ser descartada (...), pois endurece e pode “arranhar”, especialmente nos </w:t>
            </w:r>
            <w:proofErr w:type="spellStart"/>
            <w:r>
              <w:rPr>
                <w:rFonts w:cstheme="majorHAnsi"/>
                <w:i/>
                <w:szCs w:val="24"/>
                <w:lang w:eastAsia="en-US"/>
              </w:rPr>
              <w:t>détachés</w:t>
            </w:r>
            <w:proofErr w:type="spellEnd"/>
            <w:r>
              <w:rPr>
                <w:rFonts w:cstheme="majorHAnsi"/>
                <w:i/>
                <w:szCs w:val="24"/>
                <w:lang w:eastAsia="en-US"/>
              </w:rPr>
              <w:t>.</w:t>
            </w:r>
          </w:p>
          <w:p w14:paraId="56764871" w14:textId="77777777" w:rsidR="001F49FD" w:rsidRDefault="001F49FD">
            <w:pPr>
              <w:widowControl w:val="0"/>
              <w:spacing w:line="240" w:lineRule="auto"/>
              <w:rPr>
                <w:rFonts w:asciiTheme="majorHAnsi" w:hAnsiTheme="majorHAnsi" w:cstheme="majorHAnsi"/>
                <w:szCs w:val="24"/>
                <w:lang w:eastAsia="en-US"/>
              </w:rPr>
            </w:pPr>
          </w:p>
        </w:tc>
      </w:tr>
      <w:tr w:rsidR="001F49FD" w14:paraId="2CBF83E2" w14:textId="77777777">
        <w:trPr>
          <w:trHeight w:val="1979"/>
        </w:trPr>
        <w:tc>
          <w:tcPr>
            <w:tcW w:w="1276" w:type="dxa"/>
            <w:tcBorders>
              <w:top w:val="nil"/>
            </w:tcBorders>
          </w:tcPr>
          <w:p w14:paraId="4DB75802" w14:textId="77777777" w:rsidR="001F49FD" w:rsidRDefault="001F49FD">
            <w:pPr>
              <w:widowControl w:val="0"/>
              <w:spacing w:line="240" w:lineRule="auto"/>
              <w:ind w:firstLine="0"/>
              <w:rPr>
                <w:rFonts w:asciiTheme="majorHAnsi" w:hAnsiTheme="majorHAnsi" w:cstheme="majorHAnsi"/>
                <w:szCs w:val="24"/>
                <w:lang w:eastAsia="en-US"/>
              </w:rPr>
            </w:pPr>
          </w:p>
        </w:tc>
        <w:tc>
          <w:tcPr>
            <w:tcW w:w="850" w:type="dxa"/>
            <w:tcBorders>
              <w:top w:val="nil"/>
            </w:tcBorders>
          </w:tcPr>
          <w:p w14:paraId="0DB833A0" w14:textId="77777777" w:rsidR="001F49FD" w:rsidRDefault="001F49FD">
            <w:pPr>
              <w:widowControl w:val="0"/>
              <w:spacing w:line="240" w:lineRule="auto"/>
              <w:ind w:firstLine="0"/>
              <w:rPr>
                <w:rFonts w:asciiTheme="majorHAnsi" w:hAnsiTheme="majorHAnsi" w:cstheme="majorHAnsi"/>
                <w:szCs w:val="24"/>
                <w:lang w:eastAsia="en-US"/>
              </w:rPr>
            </w:pPr>
          </w:p>
        </w:tc>
        <w:tc>
          <w:tcPr>
            <w:tcW w:w="1844" w:type="dxa"/>
          </w:tcPr>
          <w:p w14:paraId="6EA12E01" w14:textId="77777777" w:rsidR="001F49FD" w:rsidRDefault="001F49FD">
            <w:pPr>
              <w:widowControl w:val="0"/>
              <w:spacing w:line="240" w:lineRule="auto"/>
              <w:ind w:firstLine="0"/>
              <w:jc w:val="left"/>
              <w:rPr>
                <w:rFonts w:asciiTheme="majorHAnsi" w:hAnsiTheme="majorHAnsi" w:cstheme="majorHAnsi"/>
                <w:szCs w:val="24"/>
                <w:lang w:eastAsia="en-US"/>
              </w:rPr>
            </w:pPr>
          </w:p>
          <w:p w14:paraId="386ED500"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0EEE2590" w14:textId="77777777" w:rsidR="001F49FD" w:rsidRDefault="001F49FD">
            <w:pPr>
              <w:widowControl w:val="0"/>
              <w:spacing w:line="240" w:lineRule="auto"/>
              <w:ind w:firstLine="0"/>
              <w:jc w:val="left"/>
              <w:rPr>
                <w:rFonts w:asciiTheme="majorHAnsi" w:hAnsiTheme="majorHAnsi" w:cstheme="majorHAnsi"/>
                <w:szCs w:val="24"/>
                <w:lang w:eastAsia="en-US"/>
              </w:rPr>
            </w:pPr>
          </w:p>
          <w:p w14:paraId="6123C08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Direcionamento da cabeça</w:t>
            </w:r>
          </w:p>
        </w:tc>
        <w:tc>
          <w:tcPr>
            <w:tcW w:w="5243" w:type="dxa"/>
          </w:tcPr>
          <w:p w14:paraId="339D01BC" w14:textId="77777777" w:rsidR="001F49FD" w:rsidRDefault="001F49FD">
            <w:pPr>
              <w:widowControl w:val="0"/>
              <w:spacing w:line="240" w:lineRule="auto"/>
              <w:ind w:firstLine="0"/>
              <w:rPr>
                <w:rFonts w:asciiTheme="majorHAnsi" w:hAnsiTheme="majorHAnsi" w:cstheme="majorHAnsi"/>
                <w:szCs w:val="24"/>
                <w:lang w:eastAsia="en-US"/>
              </w:rPr>
            </w:pPr>
          </w:p>
          <w:p w14:paraId="29586037"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O maxilar deve apoiar-se sobre a </w:t>
            </w:r>
            <w:proofErr w:type="spellStart"/>
            <w:r>
              <w:rPr>
                <w:rFonts w:cstheme="majorHAnsi"/>
                <w:szCs w:val="24"/>
                <w:lang w:eastAsia="en-US"/>
              </w:rPr>
              <w:t>queixeira</w:t>
            </w:r>
            <w:proofErr w:type="spellEnd"/>
            <w:r>
              <w:rPr>
                <w:rFonts w:cstheme="majorHAnsi"/>
                <w:szCs w:val="24"/>
                <w:lang w:eastAsia="en-US"/>
              </w:rPr>
              <w:t>; o queixo deve apenas tocar o estandarte.</w:t>
            </w:r>
          </w:p>
          <w:p w14:paraId="3E6FEC6E" w14:textId="77777777" w:rsidR="001F49FD" w:rsidRDefault="001F49FD">
            <w:pPr>
              <w:widowControl w:val="0"/>
              <w:spacing w:line="240" w:lineRule="auto"/>
              <w:ind w:firstLine="0"/>
              <w:rPr>
                <w:rFonts w:asciiTheme="majorHAnsi" w:hAnsiTheme="majorHAnsi" w:cstheme="majorHAnsi"/>
                <w:szCs w:val="24"/>
                <w:lang w:eastAsia="en-US"/>
              </w:rPr>
            </w:pPr>
          </w:p>
          <w:p w14:paraId="66CE189E"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p w14:paraId="0B934B61"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7D1403B" w14:textId="77777777">
        <w:trPr>
          <w:trHeight w:val="1979"/>
        </w:trPr>
        <w:tc>
          <w:tcPr>
            <w:tcW w:w="1276" w:type="dxa"/>
            <w:tcBorders>
              <w:top w:val="nil"/>
              <w:bottom w:val="nil"/>
            </w:tcBorders>
          </w:tcPr>
          <w:p w14:paraId="4A333F0E" w14:textId="77777777" w:rsidR="001F49FD" w:rsidRDefault="001F49FD">
            <w:pPr>
              <w:widowControl w:val="0"/>
              <w:spacing w:line="240" w:lineRule="auto"/>
              <w:ind w:firstLine="0"/>
              <w:rPr>
                <w:rFonts w:ascii="Times New Roman" w:hAnsi="Times New Roman"/>
              </w:rPr>
            </w:pPr>
          </w:p>
          <w:p w14:paraId="2B06E0A4" w14:textId="77777777" w:rsidR="001F49FD" w:rsidRDefault="00611419">
            <w:pPr>
              <w:widowControl w:val="0"/>
              <w:spacing w:line="240" w:lineRule="auto"/>
              <w:ind w:right="-108" w:firstLine="0"/>
              <w:rPr>
                <w:rFonts w:asciiTheme="majorHAnsi" w:hAnsiTheme="majorHAnsi" w:cstheme="majorHAnsi"/>
                <w:szCs w:val="24"/>
                <w:lang w:eastAsia="en-US"/>
              </w:rPr>
            </w:pPr>
            <w:proofErr w:type="spellStart"/>
            <w:r>
              <w:t>Galamian</w:t>
            </w:r>
            <w:proofErr w:type="spellEnd"/>
          </w:p>
        </w:tc>
        <w:tc>
          <w:tcPr>
            <w:tcW w:w="850" w:type="dxa"/>
            <w:tcBorders>
              <w:top w:val="nil"/>
              <w:bottom w:val="nil"/>
            </w:tcBorders>
          </w:tcPr>
          <w:p w14:paraId="41E4C447" w14:textId="77777777" w:rsidR="001F49FD" w:rsidRDefault="001F49FD">
            <w:pPr>
              <w:widowControl w:val="0"/>
              <w:spacing w:line="240" w:lineRule="auto"/>
              <w:ind w:firstLine="0"/>
              <w:rPr>
                <w:rFonts w:asciiTheme="majorHAnsi" w:hAnsiTheme="majorHAnsi" w:cstheme="majorHAnsi"/>
                <w:szCs w:val="24"/>
                <w:lang w:eastAsia="en-US"/>
              </w:rPr>
            </w:pPr>
          </w:p>
          <w:p w14:paraId="004AA353" w14:textId="77777777" w:rsidR="001F49FD" w:rsidRDefault="00611419">
            <w:pPr>
              <w:widowControl w:val="0"/>
              <w:spacing w:line="240" w:lineRule="auto"/>
              <w:ind w:firstLine="0"/>
              <w:rPr>
                <w:rFonts w:asciiTheme="majorHAnsi" w:hAnsiTheme="majorHAnsi" w:cstheme="majorHAnsi"/>
                <w:szCs w:val="24"/>
                <w:lang w:eastAsia="en-US"/>
              </w:rPr>
            </w:pPr>
            <w:r>
              <w:t>1962</w:t>
            </w:r>
          </w:p>
        </w:tc>
        <w:tc>
          <w:tcPr>
            <w:tcW w:w="1844" w:type="dxa"/>
          </w:tcPr>
          <w:p w14:paraId="4A685E39" w14:textId="77777777" w:rsidR="001F49FD" w:rsidRDefault="001F49FD">
            <w:pPr>
              <w:widowControl w:val="0"/>
              <w:spacing w:line="240" w:lineRule="auto"/>
              <w:ind w:firstLine="0"/>
              <w:jc w:val="left"/>
              <w:rPr>
                <w:rFonts w:asciiTheme="majorHAnsi" w:hAnsiTheme="majorHAnsi" w:cstheme="majorHAnsi"/>
                <w:szCs w:val="24"/>
                <w:lang w:eastAsia="en-US"/>
              </w:rPr>
            </w:pPr>
          </w:p>
          <w:p w14:paraId="20F39DF5" w14:textId="77777777" w:rsidR="001F49FD" w:rsidRDefault="00611419">
            <w:pPr>
              <w:widowControl w:val="0"/>
              <w:spacing w:line="240" w:lineRule="auto"/>
              <w:ind w:firstLine="0"/>
              <w:jc w:val="left"/>
              <w:rPr>
                <w:rFonts w:asciiTheme="majorHAnsi" w:hAnsiTheme="majorHAnsi" w:cstheme="majorHAnsi"/>
                <w:szCs w:val="24"/>
                <w:lang w:eastAsia="en-US"/>
              </w:rPr>
            </w:pPr>
            <w:r>
              <w:t>Suporte</w:t>
            </w:r>
          </w:p>
        </w:tc>
        <w:tc>
          <w:tcPr>
            <w:tcW w:w="5243" w:type="dxa"/>
          </w:tcPr>
          <w:p w14:paraId="3CFF7B6C" w14:textId="77777777" w:rsidR="001F49FD" w:rsidRDefault="001F49FD">
            <w:pPr>
              <w:widowControl w:val="0"/>
              <w:spacing w:line="240" w:lineRule="auto"/>
              <w:ind w:firstLine="0"/>
              <w:rPr>
                <w:rFonts w:asciiTheme="majorHAnsi" w:hAnsiTheme="majorHAnsi" w:cstheme="majorHAnsi"/>
                <w:szCs w:val="24"/>
                <w:lang w:eastAsia="en-US"/>
              </w:rPr>
            </w:pPr>
          </w:p>
          <w:p w14:paraId="302EB9A6"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Não há uma regra exata de como se deve segurar o</w:t>
            </w:r>
          </w:p>
          <w:p w14:paraId="0B94DFD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instrumento. Alguns artistas sustentam o violino inteiramente com o ombro e a cabeça e estão evidentemente confortáveis ao fazê-lo. Outros relegam o suporte do instrumento para a mão esquerda, repousando o violino na clavícula.</w:t>
            </w:r>
          </w:p>
          <w:p w14:paraId="695CCA7E"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100520D6" w14:textId="77777777">
        <w:trPr>
          <w:trHeight w:val="1000"/>
        </w:trPr>
        <w:tc>
          <w:tcPr>
            <w:tcW w:w="1276" w:type="dxa"/>
            <w:tcBorders>
              <w:top w:val="nil"/>
              <w:bottom w:val="nil"/>
            </w:tcBorders>
          </w:tcPr>
          <w:p w14:paraId="2199E5F6" w14:textId="77777777" w:rsidR="001F49FD" w:rsidRDefault="001F49FD">
            <w:pPr>
              <w:widowControl w:val="0"/>
              <w:spacing w:line="240" w:lineRule="auto"/>
              <w:ind w:firstLine="0"/>
              <w:rPr>
                <w:rFonts w:ascii="Times New Roman" w:hAnsi="Times New Roman"/>
              </w:rPr>
            </w:pPr>
          </w:p>
        </w:tc>
        <w:tc>
          <w:tcPr>
            <w:tcW w:w="850" w:type="dxa"/>
            <w:tcBorders>
              <w:top w:val="nil"/>
              <w:bottom w:val="nil"/>
            </w:tcBorders>
          </w:tcPr>
          <w:p w14:paraId="2817CFA2" w14:textId="77777777" w:rsidR="001F49FD" w:rsidRDefault="001F49FD">
            <w:pPr>
              <w:widowControl w:val="0"/>
              <w:spacing w:line="240" w:lineRule="auto"/>
              <w:ind w:firstLine="0"/>
              <w:rPr>
                <w:rFonts w:asciiTheme="majorHAnsi" w:hAnsiTheme="majorHAnsi" w:cstheme="majorHAnsi"/>
                <w:szCs w:val="24"/>
                <w:lang w:eastAsia="en-US"/>
              </w:rPr>
            </w:pPr>
          </w:p>
        </w:tc>
        <w:tc>
          <w:tcPr>
            <w:tcW w:w="1844" w:type="dxa"/>
          </w:tcPr>
          <w:p w14:paraId="34853558" w14:textId="77777777" w:rsidR="001F49FD" w:rsidRDefault="001F49FD">
            <w:pPr>
              <w:widowControl w:val="0"/>
              <w:spacing w:line="240" w:lineRule="auto"/>
              <w:ind w:firstLine="0"/>
              <w:rPr>
                <w:rFonts w:ascii="Times New Roman" w:hAnsi="Times New Roman"/>
              </w:rPr>
            </w:pPr>
          </w:p>
          <w:p w14:paraId="755C5359" w14:textId="77777777" w:rsidR="001F49FD" w:rsidRDefault="00611419">
            <w:pPr>
              <w:widowControl w:val="0"/>
              <w:spacing w:line="240" w:lineRule="auto"/>
              <w:ind w:firstLine="0"/>
              <w:rPr>
                <w:rFonts w:ascii="Times New Roman" w:hAnsi="Times New Roman"/>
              </w:rPr>
            </w:pPr>
            <w:r>
              <w:t>Nível</w:t>
            </w:r>
          </w:p>
        </w:tc>
        <w:tc>
          <w:tcPr>
            <w:tcW w:w="5243" w:type="dxa"/>
          </w:tcPr>
          <w:p w14:paraId="71F66A20" w14:textId="77777777" w:rsidR="001F49FD" w:rsidRDefault="001F49FD">
            <w:pPr>
              <w:widowControl w:val="0"/>
              <w:spacing w:line="240" w:lineRule="auto"/>
              <w:ind w:firstLine="0"/>
              <w:rPr>
                <w:rFonts w:asciiTheme="majorHAnsi" w:hAnsiTheme="majorHAnsi" w:cstheme="majorHAnsi"/>
                <w:szCs w:val="24"/>
                <w:lang w:eastAsia="en-US"/>
              </w:rPr>
            </w:pPr>
          </w:p>
          <w:p w14:paraId="155243F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Sobre a altura da voluta, é melhor tê-la mais alta do                 que mais baixa.</w:t>
            </w:r>
          </w:p>
        </w:tc>
      </w:tr>
      <w:tr w:rsidR="001F49FD" w14:paraId="78EB5DF4" w14:textId="77777777">
        <w:trPr>
          <w:trHeight w:val="1000"/>
        </w:trPr>
        <w:tc>
          <w:tcPr>
            <w:tcW w:w="1276" w:type="dxa"/>
            <w:tcBorders>
              <w:top w:val="nil"/>
            </w:tcBorders>
          </w:tcPr>
          <w:p w14:paraId="2FC972A2" w14:textId="77777777" w:rsidR="001F49FD" w:rsidRDefault="001F49FD">
            <w:pPr>
              <w:widowControl w:val="0"/>
              <w:spacing w:line="240" w:lineRule="auto"/>
              <w:ind w:firstLine="0"/>
              <w:rPr>
                <w:rFonts w:ascii="Times New Roman" w:hAnsi="Times New Roman"/>
              </w:rPr>
            </w:pPr>
          </w:p>
        </w:tc>
        <w:tc>
          <w:tcPr>
            <w:tcW w:w="850" w:type="dxa"/>
            <w:tcBorders>
              <w:top w:val="nil"/>
            </w:tcBorders>
          </w:tcPr>
          <w:p w14:paraId="5E3F6FDD" w14:textId="77777777" w:rsidR="001F49FD" w:rsidRDefault="001F49FD">
            <w:pPr>
              <w:widowControl w:val="0"/>
              <w:spacing w:line="240" w:lineRule="auto"/>
              <w:ind w:firstLine="0"/>
              <w:rPr>
                <w:rFonts w:asciiTheme="majorHAnsi" w:hAnsiTheme="majorHAnsi" w:cstheme="majorHAnsi"/>
                <w:szCs w:val="24"/>
                <w:lang w:eastAsia="en-US"/>
              </w:rPr>
            </w:pPr>
          </w:p>
        </w:tc>
        <w:tc>
          <w:tcPr>
            <w:tcW w:w="1844" w:type="dxa"/>
          </w:tcPr>
          <w:p w14:paraId="42B36845" w14:textId="77777777" w:rsidR="001F49FD" w:rsidRDefault="001F49FD">
            <w:pPr>
              <w:widowControl w:val="0"/>
              <w:spacing w:line="240" w:lineRule="auto"/>
              <w:ind w:firstLine="0"/>
              <w:jc w:val="left"/>
              <w:rPr>
                <w:rFonts w:asciiTheme="majorHAnsi" w:hAnsiTheme="majorHAnsi" w:cstheme="majorHAnsi"/>
                <w:szCs w:val="24"/>
                <w:lang w:eastAsia="en-US"/>
              </w:rPr>
            </w:pPr>
          </w:p>
          <w:p w14:paraId="77B409FC"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50F01077" w14:textId="77777777" w:rsidR="001F49FD" w:rsidRDefault="001F49FD">
            <w:pPr>
              <w:widowControl w:val="0"/>
              <w:spacing w:line="240" w:lineRule="auto"/>
              <w:ind w:firstLine="0"/>
              <w:jc w:val="left"/>
              <w:rPr>
                <w:rFonts w:asciiTheme="majorHAnsi" w:hAnsiTheme="majorHAnsi" w:cstheme="majorHAnsi"/>
                <w:szCs w:val="24"/>
                <w:lang w:eastAsia="en-US"/>
              </w:rPr>
            </w:pPr>
          </w:p>
          <w:p w14:paraId="24B49241"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Direcionamento da cabeça</w:t>
            </w:r>
          </w:p>
          <w:p w14:paraId="3E5B861B" w14:textId="77777777" w:rsidR="001F49FD" w:rsidRDefault="001F49FD">
            <w:pPr>
              <w:widowControl w:val="0"/>
              <w:spacing w:line="240" w:lineRule="auto"/>
              <w:ind w:firstLine="0"/>
              <w:rPr>
                <w:rFonts w:ascii="Times New Roman" w:hAnsi="Times New Roman"/>
              </w:rPr>
            </w:pPr>
          </w:p>
        </w:tc>
        <w:tc>
          <w:tcPr>
            <w:tcW w:w="5243" w:type="dxa"/>
          </w:tcPr>
          <w:p w14:paraId="58348004" w14:textId="77777777" w:rsidR="001F49FD" w:rsidRDefault="001F49FD">
            <w:pPr>
              <w:widowControl w:val="0"/>
              <w:spacing w:line="240" w:lineRule="auto"/>
              <w:ind w:firstLine="0"/>
              <w:rPr>
                <w:rFonts w:asciiTheme="majorHAnsi" w:hAnsiTheme="majorHAnsi" w:cstheme="majorHAnsi"/>
                <w:szCs w:val="24"/>
                <w:lang w:eastAsia="en-US"/>
              </w:rPr>
            </w:pPr>
          </w:p>
          <w:p w14:paraId="711FFAD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O queixo nunca deve encostar-se ao estandarte. É aconselhável o uso de uma </w:t>
            </w:r>
            <w:proofErr w:type="spellStart"/>
            <w:r>
              <w:rPr>
                <w:rFonts w:cstheme="majorHAnsi"/>
                <w:szCs w:val="24"/>
                <w:lang w:eastAsia="en-US"/>
              </w:rPr>
              <w:t>queixeira</w:t>
            </w:r>
            <w:proofErr w:type="spellEnd"/>
            <w:r>
              <w:rPr>
                <w:rFonts w:cstheme="majorHAnsi"/>
                <w:szCs w:val="24"/>
                <w:lang w:eastAsia="en-US"/>
              </w:rPr>
              <w:t xml:space="preserve"> que se localiza sobre o estandarte.</w:t>
            </w:r>
          </w:p>
          <w:p w14:paraId="72E7A8DA" w14:textId="77777777" w:rsidR="001F49FD" w:rsidRDefault="001F49FD">
            <w:pPr>
              <w:widowControl w:val="0"/>
              <w:spacing w:line="240" w:lineRule="auto"/>
              <w:ind w:firstLine="0"/>
              <w:rPr>
                <w:rFonts w:asciiTheme="majorHAnsi" w:hAnsiTheme="majorHAnsi" w:cstheme="majorHAnsi"/>
                <w:szCs w:val="24"/>
                <w:lang w:eastAsia="en-US"/>
              </w:rPr>
            </w:pPr>
          </w:p>
          <w:p w14:paraId="3C45B8C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p w14:paraId="59CF187D" w14:textId="77777777" w:rsidR="001F49FD" w:rsidRDefault="001F49FD">
            <w:pPr>
              <w:widowControl w:val="0"/>
              <w:spacing w:line="240" w:lineRule="auto"/>
              <w:ind w:firstLine="0"/>
              <w:rPr>
                <w:rFonts w:asciiTheme="majorHAnsi" w:hAnsiTheme="majorHAnsi" w:cstheme="majorHAnsi"/>
                <w:szCs w:val="24"/>
                <w:lang w:eastAsia="en-US"/>
              </w:rPr>
            </w:pPr>
          </w:p>
        </w:tc>
      </w:tr>
    </w:tbl>
    <w:tbl>
      <w:tblPr>
        <w:tblStyle w:val="Tabelacomgrade"/>
        <w:tblpPr w:leftFromText="142" w:rightFromText="142" w:vertAnchor="text" w:horzAnchor="margin" w:tblpXSpec="center" w:tblpY="-13"/>
        <w:tblW w:w="9073" w:type="dxa"/>
        <w:jc w:val="center"/>
        <w:tblLayout w:type="fixed"/>
        <w:tblLook w:val="04A0" w:firstRow="1" w:lastRow="0" w:firstColumn="1" w:lastColumn="0" w:noHBand="0" w:noVBand="1"/>
      </w:tblPr>
      <w:tblGrid>
        <w:gridCol w:w="1100"/>
        <w:gridCol w:w="847"/>
        <w:gridCol w:w="1847"/>
        <w:gridCol w:w="5279"/>
      </w:tblGrid>
      <w:tr w:rsidR="001F49FD" w14:paraId="45E22419" w14:textId="77777777">
        <w:trPr>
          <w:trHeight w:val="524"/>
          <w:jc w:val="center"/>
        </w:trPr>
        <w:tc>
          <w:tcPr>
            <w:tcW w:w="1100" w:type="dxa"/>
            <w:tcBorders>
              <w:bottom w:val="nil"/>
            </w:tcBorders>
          </w:tcPr>
          <w:p w14:paraId="78806514" w14:textId="77777777" w:rsidR="001F49FD" w:rsidRDefault="001F49FD">
            <w:pPr>
              <w:widowControl w:val="0"/>
              <w:spacing w:line="240" w:lineRule="auto"/>
              <w:ind w:firstLine="0"/>
              <w:jc w:val="left"/>
              <w:rPr>
                <w:rFonts w:asciiTheme="majorHAnsi" w:hAnsiTheme="majorHAnsi" w:cstheme="majorHAnsi"/>
                <w:szCs w:val="24"/>
                <w:lang w:eastAsia="en-US"/>
              </w:rPr>
            </w:pPr>
          </w:p>
          <w:p w14:paraId="70B2B1D0"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Fischer</w:t>
            </w:r>
          </w:p>
          <w:p w14:paraId="125C7B04"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847" w:type="dxa"/>
            <w:tcBorders>
              <w:bottom w:val="nil"/>
            </w:tcBorders>
          </w:tcPr>
          <w:p w14:paraId="00E80513" w14:textId="77777777" w:rsidR="001F49FD" w:rsidRDefault="001F49FD">
            <w:pPr>
              <w:widowControl w:val="0"/>
              <w:spacing w:line="240" w:lineRule="auto"/>
              <w:ind w:firstLine="0"/>
              <w:jc w:val="left"/>
              <w:rPr>
                <w:rFonts w:asciiTheme="majorHAnsi" w:hAnsiTheme="majorHAnsi" w:cstheme="majorHAnsi"/>
                <w:szCs w:val="24"/>
                <w:lang w:eastAsia="en-US"/>
              </w:rPr>
            </w:pPr>
          </w:p>
          <w:p w14:paraId="60175B5A"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1997</w:t>
            </w:r>
          </w:p>
        </w:tc>
        <w:tc>
          <w:tcPr>
            <w:tcW w:w="1847" w:type="dxa"/>
          </w:tcPr>
          <w:p w14:paraId="7B188766" w14:textId="77777777" w:rsidR="001F49FD" w:rsidRDefault="001F49FD">
            <w:pPr>
              <w:widowControl w:val="0"/>
              <w:spacing w:line="240" w:lineRule="auto"/>
              <w:ind w:firstLine="0"/>
              <w:rPr>
                <w:rFonts w:asciiTheme="majorHAnsi" w:hAnsiTheme="majorHAnsi" w:cstheme="majorHAnsi"/>
                <w:szCs w:val="24"/>
                <w:lang w:eastAsia="en-US"/>
              </w:rPr>
            </w:pPr>
          </w:p>
          <w:p w14:paraId="770F5B72"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imes New Roman"/>
                <w:szCs w:val="24"/>
              </w:rPr>
              <w:t>Suporte</w:t>
            </w:r>
          </w:p>
        </w:tc>
        <w:tc>
          <w:tcPr>
            <w:tcW w:w="5278" w:type="dxa"/>
          </w:tcPr>
          <w:p w14:paraId="23342D4F" w14:textId="77777777" w:rsidR="001F49FD" w:rsidRDefault="001F49FD">
            <w:pPr>
              <w:widowControl w:val="0"/>
              <w:spacing w:line="240" w:lineRule="auto"/>
              <w:ind w:firstLine="0"/>
              <w:rPr>
                <w:rFonts w:asciiTheme="majorHAnsi" w:hAnsiTheme="majorHAnsi" w:cstheme="majorHAnsi"/>
                <w:szCs w:val="24"/>
                <w:lang w:eastAsia="en-US"/>
              </w:rPr>
            </w:pPr>
          </w:p>
          <w:p w14:paraId="23BB042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 xml:space="preserve">Pressionar contínua e fortemente o queixo sobre a </w:t>
            </w:r>
            <w:proofErr w:type="spellStart"/>
            <w:r>
              <w:rPr>
                <w:rFonts w:cstheme="majorHAnsi"/>
                <w:szCs w:val="24"/>
                <w:lang w:eastAsia="en-US"/>
              </w:rPr>
              <w:t>queixeira</w:t>
            </w:r>
            <w:proofErr w:type="spellEnd"/>
            <w:r>
              <w:rPr>
                <w:rFonts w:cstheme="majorHAnsi"/>
                <w:szCs w:val="24"/>
                <w:lang w:eastAsia="en-US"/>
              </w:rPr>
              <w:t xml:space="preserve"> pode levar a severas tensões, que se espalham desde o pescoço e ombros até os braços e costas.</w:t>
            </w:r>
          </w:p>
          <w:p w14:paraId="589ACE1D"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4301B06" w14:textId="77777777">
        <w:trPr>
          <w:trHeight w:val="524"/>
          <w:jc w:val="center"/>
        </w:trPr>
        <w:tc>
          <w:tcPr>
            <w:tcW w:w="1100" w:type="dxa"/>
            <w:tcBorders>
              <w:top w:val="nil"/>
              <w:bottom w:val="nil"/>
            </w:tcBorders>
          </w:tcPr>
          <w:p w14:paraId="0F8FACB3"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847" w:type="dxa"/>
            <w:tcBorders>
              <w:top w:val="nil"/>
              <w:bottom w:val="nil"/>
            </w:tcBorders>
          </w:tcPr>
          <w:p w14:paraId="15E10BCC"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1847" w:type="dxa"/>
          </w:tcPr>
          <w:p w14:paraId="758E507F" w14:textId="77777777" w:rsidR="001F49FD" w:rsidRDefault="001F49FD">
            <w:pPr>
              <w:widowControl w:val="0"/>
              <w:spacing w:line="240" w:lineRule="auto"/>
              <w:ind w:firstLine="0"/>
              <w:rPr>
                <w:rFonts w:asciiTheme="majorHAnsi" w:hAnsiTheme="majorHAnsi" w:cstheme="majorHAnsi"/>
                <w:szCs w:val="24"/>
                <w:lang w:eastAsia="en-US"/>
              </w:rPr>
            </w:pPr>
          </w:p>
          <w:p w14:paraId="6FB30B99"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Nível</w:t>
            </w:r>
          </w:p>
          <w:p w14:paraId="42D0E956" w14:textId="77777777" w:rsidR="001F49FD" w:rsidRDefault="001F49FD">
            <w:pPr>
              <w:widowControl w:val="0"/>
              <w:spacing w:line="240" w:lineRule="auto"/>
              <w:ind w:firstLine="0"/>
              <w:rPr>
                <w:rFonts w:asciiTheme="majorHAnsi" w:hAnsiTheme="majorHAnsi" w:cstheme="majorHAnsi"/>
                <w:szCs w:val="24"/>
                <w:lang w:eastAsia="en-US"/>
              </w:rPr>
            </w:pPr>
          </w:p>
        </w:tc>
        <w:tc>
          <w:tcPr>
            <w:tcW w:w="5278" w:type="dxa"/>
          </w:tcPr>
          <w:p w14:paraId="639472B7" w14:textId="77777777" w:rsidR="001F49FD" w:rsidRDefault="001F49FD">
            <w:pPr>
              <w:widowControl w:val="0"/>
              <w:spacing w:line="240" w:lineRule="auto"/>
              <w:rPr>
                <w:rFonts w:asciiTheme="majorHAnsi" w:hAnsiTheme="majorHAnsi" w:cstheme="majorHAnsi"/>
                <w:szCs w:val="24"/>
                <w:lang w:eastAsia="en-US"/>
              </w:rPr>
            </w:pPr>
          </w:p>
          <w:p w14:paraId="5101B497"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Quando o violino está paralelo ao chão, seu braço desce ao longo do espelho. Portanto, para que as cordas estejam horizontais, a voluta do violino deve ser levemente elevada.</w:t>
            </w:r>
          </w:p>
          <w:p w14:paraId="4979E417"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E5D8E29" w14:textId="77777777">
        <w:trPr>
          <w:trHeight w:val="2318"/>
          <w:jc w:val="center"/>
        </w:trPr>
        <w:tc>
          <w:tcPr>
            <w:tcW w:w="1100" w:type="dxa"/>
            <w:tcBorders>
              <w:top w:val="nil"/>
            </w:tcBorders>
          </w:tcPr>
          <w:p w14:paraId="248998C3"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847" w:type="dxa"/>
            <w:tcBorders>
              <w:top w:val="nil"/>
            </w:tcBorders>
          </w:tcPr>
          <w:p w14:paraId="4DB633AD" w14:textId="77777777" w:rsidR="001F49FD" w:rsidRDefault="001F49FD">
            <w:pPr>
              <w:widowControl w:val="0"/>
              <w:spacing w:line="240" w:lineRule="auto"/>
              <w:ind w:firstLine="0"/>
              <w:jc w:val="left"/>
              <w:rPr>
                <w:rFonts w:asciiTheme="majorHAnsi" w:hAnsiTheme="majorHAnsi" w:cstheme="majorHAnsi"/>
                <w:szCs w:val="24"/>
                <w:lang w:eastAsia="en-US"/>
              </w:rPr>
            </w:pPr>
          </w:p>
        </w:tc>
        <w:tc>
          <w:tcPr>
            <w:tcW w:w="1847" w:type="dxa"/>
          </w:tcPr>
          <w:p w14:paraId="61E94E96" w14:textId="77777777" w:rsidR="001F49FD" w:rsidRDefault="001F49FD">
            <w:pPr>
              <w:widowControl w:val="0"/>
              <w:spacing w:line="240" w:lineRule="auto"/>
              <w:ind w:firstLine="0"/>
              <w:rPr>
                <w:rFonts w:asciiTheme="majorHAnsi" w:hAnsiTheme="majorHAnsi" w:cstheme="majorHAnsi"/>
                <w:szCs w:val="24"/>
                <w:lang w:eastAsia="en-US"/>
              </w:rPr>
            </w:pPr>
          </w:p>
          <w:p w14:paraId="4E78A90F" w14:textId="77777777" w:rsidR="001F49FD" w:rsidRDefault="00611419">
            <w:pPr>
              <w:widowControl w:val="0"/>
              <w:spacing w:line="240" w:lineRule="auto"/>
              <w:ind w:firstLine="0"/>
              <w:jc w:val="left"/>
              <w:rPr>
                <w:rFonts w:asciiTheme="majorHAnsi" w:hAnsiTheme="majorHAnsi" w:cstheme="majorHAnsi"/>
                <w:szCs w:val="24"/>
                <w:lang w:eastAsia="en-US"/>
              </w:rPr>
            </w:pPr>
            <w:r>
              <w:rPr>
                <w:rFonts w:cstheme="majorHAnsi"/>
                <w:szCs w:val="24"/>
                <w:lang w:eastAsia="en-US"/>
              </w:rPr>
              <w:t>Colocação do queixo</w:t>
            </w:r>
          </w:p>
          <w:p w14:paraId="05FA72C1" w14:textId="77777777" w:rsidR="001F49FD" w:rsidRDefault="001F49FD">
            <w:pPr>
              <w:widowControl w:val="0"/>
              <w:spacing w:line="240" w:lineRule="auto"/>
              <w:ind w:firstLine="0"/>
              <w:rPr>
                <w:rFonts w:asciiTheme="majorHAnsi" w:hAnsiTheme="majorHAnsi" w:cstheme="majorHAnsi"/>
                <w:szCs w:val="24"/>
                <w:lang w:eastAsia="en-US"/>
              </w:rPr>
            </w:pPr>
          </w:p>
          <w:p w14:paraId="74110278" w14:textId="77777777" w:rsidR="001F49FD" w:rsidRDefault="001F49FD">
            <w:pPr>
              <w:widowControl w:val="0"/>
              <w:spacing w:line="240" w:lineRule="auto"/>
              <w:ind w:firstLine="0"/>
              <w:rPr>
                <w:rFonts w:asciiTheme="majorHAnsi" w:hAnsiTheme="majorHAnsi" w:cstheme="majorHAnsi"/>
                <w:szCs w:val="24"/>
                <w:lang w:eastAsia="en-US"/>
              </w:rPr>
            </w:pPr>
          </w:p>
          <w:p w14:paraId="4B98A3D0" w14:textId="77777777" w:rsidR="001F49FD" w:rsidRDefault="001F49FD">
            <w:pPr>
              <w:widowControl w:val="0"/>
              <w:spacing w:line="240" w:lineRule="auto"/>
              <w:ind w:firstLine="0"/>
              <w:rPr>
                <w:rFonts w:asciiTheme="majorHAnsi" w:hAnsiTheme="majorHAnsi" w:cstheme="majorHAnsi"/>
                <w:szCs w:val="24"/>
                <w:lang w:eastAsia="en-US"/>
              </w:rPr>
            </w:pPr>
          </w:p>
          <w:p w14:paraId="39D143E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Direcionamento da cabeça</w:t>
            </w:r>
          </w:p>
          <w:p w14:paraId="2C268029" w14:textId="77777777" w:rsidR="001F49FD" w:rsidRDefault="001F49FD">
            <w:pPr>
              <w:widowControl w:val="0"/>
              <w:spacing w:line="240" w:lineRule="auto"/>
              <w:ind w:firstLine="0"/>
              <w:rPr>
                <w:rFonts w:asciiTheme="majorHAnsi" w:hAnsiTheme="majorHAnsi" w:cstheme="majorHAnsi"/>
                <w:szCs w:val="24"/>
                <w:lang w:eastAsia="en-US"/>
              </w:rPr>
            </w:pPr>
          </w:p>
        </w:tc>
        <w:tc>
          <w:tcPr>
            <w:tcW w:w="5278" w:type="dxa"/>
          </w:tcPr>
          <w:p w14:paraId="5C0F61CF" w14:textId="77777777" w:rsidR="001F49FD" w:rsidRDefault="001F49FD">
            <w:pPr>
              <w:widowControl w:val="0"/>
              <w:spacing w:line="240" w:lineRule="auto"/>
              <w:ind w:firstLine="0"/>
              <w:rPr>
                <w:rFonts w:asciiTheme="majorHAnsi" w:hAnsiTheme="majorHAnsi" w:cstheme="majorHAnsi"/>
                <w:szCs w:val="24"/>
                <w:shd w:val="clear" w:color="auto" w:fill="FFFFFF"/>
                <w:lang w:eastAsia="en-US"/>
              </w:rPr>
            </w:pPr>
          </w:p>
          <w:p w14:paraId="552835E3" w14:textId="77777777" w:rsidR="001F49FD" w:rsidRDefault="00611419">
            <w:pPr>
              <w:widowControl w:val="0"/>
              <w:spacing w:line="240" w:lineRule="auto"/>
              <w:ind w:firstLine="0"/>
              <w:rPr>
                <w:rFonts w:asciiTheme="majorHAnsi" w:hAnsiTheme="majorHAnsi" w:cstheme="majorHAnsi"/>
                <w:szCs w:val="24"/>
                <w:shd w:val="clear" w:color="auto" w:fill="FFFFFF"/>
                <w:lang w:eastAsia="en-US"/>
              </w:rPr>
            </w:pPr>
            <w:r>
              <w:rPr>
                <w:rFonts w:cstheme="majorHAnsi"/>
                <w:szCs w:val="24"/>
                <w:shd w:val="clear" w:color="auto" w:fill="FFFFFF"/>
                <w:lang w:eastAsia="en-US"/>
              </w:rPr>
              <w:t>Braços longos: o queixo mais à esquerda do estandarte.</w:t>
            </w:r>
          </w:p>
          <w:p w14:paraId="02A830B1" w14:textId="77777777" w:rsidR="001F49FD" w:rsidRDefault="00611419">
            <w:pPr>
              <w:widowControl w:val="0"/>
              <w:spacing w:line="240" w:lineRule="auto"/>
              <w:ind w:firstLine="0"/>
              <w:rPr>
                <w:rFonts w:asciiTheme="majorHAnsi" w:hAnsiTheme="majorHAnsi" w:cstheme="majorHAnsi"/>
                <w:szCs w:val="24"/>
                <w:shd w:val="clear" w:color="auto" w:fill="FFFFFF"/>
                <w:lang w:eastAsia="en-US"/>
              </w:rPr>
            </w:pPr>
            <w:r>
              <w:rPr>
                <w:rFonts w:cstheme="majorHAnsi"/>
                <w:szCs w:val="24"/>
                <w:shd w:val="clear" w:color="auto" w:fill="FFFFFF"/>
                <w:lang w:eastAsia="en-US"/>
              </w:rPr>
              <w:t>Braços curtos: o queixo mais perto ou acima do estandarte.</w:t>
            </w:r>
          </w:p>
          <w:p w14:paraId="0960A702" w14:textId="77777777" w:rsidR="001F49FD" w:rsidRDefault="001F49FD">
            <w:pPr>
              <w:widowControl w:val="0"/>
              <w:spacing w:line="240" w:lineRule="auto"/>
              <w:ind w:firstLine="0"/>
              <w:rPr>
                <w:rFonts w:asciiTheme="majorHAnsi" w:hAnsiTheme="majorHAnsi" w:cstheme="majorHAnsi"/>
                <w:szCs w:val="24"/>
                <w:shd w:val="clear" w:color="auto" w:fill="FFFFFF"/>
                <w:lang w:eastAsia="en-US"/>
              </w:rPr>
            </w:pPr>
          </w:p>
          <w:p w14:paraId="5BF3ADC0"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lang w:eastAsia="en-US"/>
              </w:rPr>
              <w:t>--------------------------------------------------------------</w:t>
            </w:r>
          </w:p>
        </w:tc>
      </w:tr>
    </w:tbl>
    <w:p w14:paraId="56238945" w14:textId="77777777" w:rsidR="001F49FD" w:rsidRDefault="001F49FD">
      <w:pPr>
        <w:pStyle w:val="Recuodecorpodetexto"/>
        <w:ind w:left="283" w:firstLine="0"/>
      </w:pPr>
    </w:p>
    <w:p w14:paraId="2C55F5C2" w14:textId="5DE09DF7" w:rsidR="001F49FD" w:rsidRDefault="00611419" w:rsidP="00B93F90">
      <w:pPr>
        <w:pStyle w:val="Recuodecorpodetexto"/>
        <w:ind w:firstLine="709"/>
      </w:pPr>
      <w:r>
        <w:t xml:space="preserve">Os autores do século XIX preconizam o suporte através do apoio da cabeça (valendo-se da ideia de “pressão do queixo”), possivelmente estimulados pela recente posição do violino entre a clavícula e o maxilar. Trata-se da consolidação do conceito de estabilização do instrumento, cada vez mais necessário diante da crescente demanda de mudança de posições no repertório, como declarado por Spohr, cuja indicação ao uso da </w:t>
      </w:r>
      <w:proofErr w:type="spellStart"/>
      <w:r>
        <w:t>queixeira</w:t>
      </w:r>
      <w:proofErr w:type="spellEnd"/>
      <w:r>
        <w:t xml:space="preserve"> é reafirmada por Moser/Joachim sete décadas mais tarde, o que revela a utilização progressiva do utensílio. Em seguida</w:t>
      </w:r>
      <w:r w:rsidR="00C840E9">
        <w:t>,</w:t>
      </w:r>
      <w:r>
        <w:t xml:space="preserve"> notamos que a partir do século XX surge a questão do equilíbrio entre esse apoio da cabeça e certa sustentação da mão esquerda. </w:t>
      </w:r>
      <w:proofErr w:type="spellStart"/>
      <w:r>
        <w:t>Auer</w:t>
      </w:r>
      <w:proofErr w:type="spellEnd"/>
      <w:r>
        <w:t xml:space="preserve"> aborda o tema, embora acompanhe os princípios de seus predecessores, enquanto Flesch estabelece o conceito de “amparar”</w:t>
      </w:r>
      <w:r>
        <w:rPr>
          <w:i/>
        </w:rPr>
        <w:t xml:space="preserve"> </w:t>
      </w:r>
      <w:r>
        <w:t xml:space="preserve">o violino. Mais tarde, observamos nos preceitos de </w:t>
      </w:r>
      <w:proofErr w:type="spellStart"/>
      <w:r>
        <w:t>Galamian</w:t>
      </w:r>
      <w:proofErr w:type="spellEnd"/>
      <w:r>
        <w:t xml:space="preserve"> e Fis</w:t>
      </w:r>
      <w:r w:rsidR="00C840E9">
        <w:t>c</w:t>
      </w:r>
      <w:r>
        <w:t xml:space="preserve">her que a mão esquerda passa a desempenhar uma ação mais efetiva no suporte do instrumento. </w:t>
      </w:r>
    </w:p>
    <w:p w14:paraId="78C1D735" w14:textId="77777777" w:rsidR="001F49FD" w:rsidRDefault="00611419" w:rsidP="00B93F90">
      <w:pPr>
        <w:pStyle w:val="Recuodecorpodetexto"/>
        <w:ind w:firstLine="709"/>
      </w:pPr>
      <w:r>
        <w:t xml:space="preserve">Do mesmo modo, o nível do violino – ou seja, a horizontalidade (eixo longitudinal, situando-se paralelo ao solo) ou não do instrumento – deve ser considerada pelo violinista ao colocá-lo sobre a clavícula. Se os autores do século XIX prescrevem a posição horizontal, </w:t>
      </w:r>
      <w:proofErr w:type="spellStart"/>
      <w:r>
        <w:t>Auer</w:t>
      </w:r>
      <w:proofErr w:type="spellEnd"/>
      <w:r>
        <w:t xml:space="preserve"> é impreciso sobre o tema, demonstrando primeiramente certa predileção pela posição da voluta mais elevada, para que os dedos possam convergir com facilidade em direção às posições altas, e mais tarde pela posição horizontal. Em seguida, norteados por conceitos distintos, Flesch e </w:t>
      </w:r>
      <w:proofErr w:type="spellStart"/>
      <w:r>
        <w:t>Galamian</w:t>
      </w:r>
      <w:proofErr w:type="spellEnd"/>
      <w:r>
        <w:t xml:space="preserve"> divergem: o primeiro prioriza a estabilidade do arco e prescreve </w:t>
      </w:r>
      <w:r>
        <w:lastRenderedPageBreak/>
        <w:t xml:space="preserve">a posição horizontal, concluindo que a sustentação através do rebaixamento do maxilar é suficiente para a necessária independência da mão esquerda; o segundo tende a preferir a voluta mais alta, possivelmente imbuído, assim como </w:t>
      </w:r>
      <w:proofErr w:type="spellStart"/>
      <w:r>
        <w:t>Auer</w:t>
      </w:r>
      <w:proofErr w:type="spellEnd"/>
      <w:r>
        <w:t xml:space="preserve">, da ideia de facilitação da ação da mão esquerda nas trocas de posição em direção às posições altas. Por fim, Fischer acompanha o princípio de </w:t>
      </w:r>
      <w:proofErr w:type="spellStart"/>
      <w:r>
        <w:t>Galamian</w:t>
      </w:r>
      <w:proofErr w:type="spellEnd"/>
      <w:r>
        <w:t xml:space="preserve">, sem refutar a ideia de estabilidade descrita por Flesch, pois considera que a voluta deve se elevar apenas ao ponto em que as cordas possam estar paralelas com relação ao solo. O ponto convergente é que nenhum dos violinistas indica a voluta mais baixa do que o plano horizontal. </w:t>
      </w:r>
    </w:p>
    <w:p w14:paraId="3F6A1440" w14:textId="77777777" w:rsidR="001F49FD" w:rsidRDefault="00611419" w:rsidP="00B93F90">
      <w:pPr>
        <w:pStyle w:val="Recuodecorpodetexto"/>
        <w:ind w:firstLine="709"/>
      </w:pPr>
      <w:r>
        <w:t xml:space="preserve">Por fim, colocam-se as questões do local de colocação do queixo e do direcionamento da cabeça. Percebemos através dos registros que esses dois elementos técnicos, apesar de distintos, tendem a se confundir, pois apenas dois autores – Spohr e Moser/Joachim referem-se a eles separadamente. Os demais – à exceção de </w:t>
      </w:r>
      <w:proofErr w:type="spellStart"/>
      <w:r>
        <w:t>Auer</w:t>
      </w:r>
      <w:proofErr w:type="spellEnd"/>
      <w:r>
        <w:t xml:space="preserve">, que trata apenas do direcionamento da cabeça – priorizam a questão do local de posicionamento do queixo. Sobre esse tema, notamos que não há uma coerência temporal linear e que há três formas de posicionamento: 1) Ao centro, induzido por Spohr através do uso da </w:t>
      </w:r>
      <w:proofErr w:type="spellStart"/>
      <w:r>
        <w:t>queixeira</w:t>
      </w:r>
      <w:proofErr w:type="spellEnd"/>
      <w:r>
        <w:t xml:space="preserve"> sobre o estandarte; 2) À esquerda do estandarte, tal como </w:t>
      </w:r>
      <w:proofErr w:type="spellStart"/>
      <w:r>
        <w:t>Baillot</w:t>
      </w:r>
      <w:proofErr w:type="spellEnd"/>
      <w:r>
        <w:t xml:space="preserve"> e Moser/Joachim prescrevem; 3) Entre o estandarte e o lado esquerdo, indicado por </w:t>
      </w:r>
      <w:proofErr w:type="spellStart"/>
      <w:r>
        <w:t>Bériot</w:t>
      </w:r>
      <w:proofErr w:type="spellEnd"/>
      <w:r>
        <w:t xml:space="preserve"> </w:t>
      </w:r>
      <w:proofErr w:type="gramStart"/>
      <w:r>
        <w:t>e também</w:t>
      </w:r>
      <w:proofErr w:type="gramEnd"/>
      <w:r>
        <w:t xml:space="preserve"> adotado por Flesch, o que, por acaso ou por conhecimento, vem a ser uma característica técnica compatível com sua declarada admiração pela Escola Franco-belga. Esse mesmo local de colocação parece ser apreciado por </w:t>
      </w:r>
      <w:proofErr w:type="spellStart"/>
      <w:r>
        <w:t>Galamian</w:t>
      </w:r>
      <w:proofErr w:type="spellEnd"/>
      <w:r>
        <w:t xml:space="preserve"> que, apesar da imprecisão de seu registro, pode também ser interpretado como uma orientação de posicionamento ao centro. Finalmente, Fischer considera as características físicas para o local de posicionamento do queixo. Porém, seu princípio está mais relacionado com o ângulo de abertura de violino – que deve se adequar ao tamanho do braço para possibilitar o paralelismo do arco com o cavalete – do que com o local de colocação do queixo em si.</w:t>
      </w:r>
    </w:p>
    <w:p w14:paraId="6397A8CD" w14:textId="53DBCBBD" w:rsidR="001F49FD" w:rsidRDefault="00611419" w:rsidP="00B93F90">
      <w:pPr>
        <w:pStyle w:val="Recuodecorpodetexto"/>
        <w:ind w:firstLine="709"/>
      </w:pPr>
      <w:r>
        <w:t xml:space="preserve">Como mencionamos, a maior parte dos autores conferiu menos atenção à questão do direcionamento da cabeça. Pelos registros de Spohr, Moser/Joachim e </w:t>
      </w:r>
      <w:proofErr w:type="spellStart"/>
      <w:r>
        <w:t>Auer</w:t>
      </w:r>
      <w:proofErr w:type="spellEnd"/>
      <w:r>
        <w:t>, a cabeça deve estar voltada para o espelho e os dedos da mão esquerda, o que condiz com o conceito de descentralização do corpo para o lado esquerdo, próprio daquele período. No caso de Spohr, o olhar em direção ao espelho não implica no direcionamento da cabeça para a esquerda, uma vez que o ângulo de abertura do violino é mínimo, como constatamos na imagem do método.</w:t>
      </w:r>
      <w:r>
        <w:rPr>
          <w:rStyle w:val="Refdenotaderodap"/>
        </w:rPr>
        <w:footnoteReference w:id="41"/>
      </w:r>
      <w:r>
        <w:t xml:space="preserve"> A partir do fim do século XIX</w:t>
      </w:r>
      <w:r w:rsidR="00C840E9">
        <w:t>,</w:t>
      </w:r>
      <w:r>
        <w:t xml:space="preserve"> esse ângulo do violino com relação ao corpo ampliou-se paulatinamente (BROWN, 2013). Com isso, o olhar na direção do espelho </w:t>
      </w:r>
      <w:r>
        <w:lastRenderedPageBreak/>
        <w:t xml:space="preserve">implicou para Moser/Joachim em um pequeno direcionamento da cabeça para </w:t>
      </w:r>
      <w:r w:rsidR="00C840E9">
        <w:t xml:space="preserve">a </w:t>
      </w:r>
      <w:r>
        <w:t xml:space="preserve">esquerda, que mais tarde se acentuou para </w:t>
      </w:r>
      <w:proofErr w:type="spellStart"/>
      <w:r>
        <w:t>Auer</w:t>
      </w:r>
      <w:proofErr w:type="spellEnd"/>
      <w:r>
        <w:t>, mudanças que podem ser observadas nas imagens dos dois métodos.</w:t>
      </w:r>
      <w:r>
        <w:rPr>
          <w:rStyle w:val="Refdenotaderodap"/>
        </w:rPr>
        <w:footnoteReference w:id="42"/>
      </w:r>
    </w:p>
    <w:p w14:paraId="4C339A3D" w14:textId="117876B3" w:rsidR="001F49FD" w:rsidRDefault="00B93F90">
      <w:pPr>
        <w:pStyle w:val="Ttulo2"/>
      </w:pPr>
      <w:bookmarkStart w:id="108" w:name="_Toc14331040"/>
      <w:bookmarkStart w:id="109" w:name="_Toc219359041"/>
      <w:r>
        <w:t>3</w:t>
      </w:r>
      <w:r w:rsidR="00611419">
        <w:t xml:space="preserve">.2   </w:t>
      </w:r>
      <w:r w:rsidR="00817B85">
        <w:t xml:space="preserve"> </w:t>
      </w:r>
      <w:r w:rsidR="00611419">
        <w:t>Técnica de mão esquerda</w:t>
      </w:r>
      <w:bookmarkEnd w:id="108"/>
      <w:bookmarkEnd w:id="109"/>
    </w:p>
    <w:p w14:paraId="72B0E0DC" w14:textId="1EE7B02F" w:rsidR="001F49FD" w:rsidRDefault="00611419">
      <w:pPr>
        <w:pStyle w:val="Ttulo2"/>
      </w:pPr>
      <w:bookmarkStart w:id="110" w:name="_Toc14331041"/>
      <w:bookmarkStart w:id="111" w:name="_Toc219359042"/>
      <w:r>
        <w:t>Ponto de contato dos dedos polegar e indicador na 1ª posição</w:t>
      </w:r>
      <w:bookmarkEnd w:id="110"/>
      <w:r>
        <w:rPr>
          <w:rStyle w:val="Refdenotaderodap"/>
          <w:b w:val="0"/>
        </w:rPr>
        <w:footnoteReference w:id="43"/>
      </w:r>
      <w:bookmarkEnd w:id="111"/>
    </w:p>
    <w:p w14:paraId="06AF5BCD" w14:textId="77777777" w:rsidR="001F49FD" w:rsidRDefault="00611419">
      <w:pPr>
        <w:pStyle w:val="Corpodetexto"/>
        <w:spacing w:after="0"/>
        <w:ind w:firstLine="0"/>
        <w:jc w:val="center"/>
        <w:rPr>
          <w:sz w:val="20"/>
          <w:szCs w:val="20"/>
        </w:rPr>
      </w:pPr>
      <w:r>
        <w:rPr>
          <w:b/>
          <w:sz w:val="20"/>
          <w:szCs w:val="20"/>
        </w:rPr>
        <w:t xml:space="preserve">Quadro 4: </w:t>
      </w:r>
      <w:r>
        <w:rPr>
          <w:sz w:val="20"/>
          <w:szCs w:val="20"/>
        </w:rPr>
        <w:t>ponto de contato dos dedos polegar e indicador na 1ª posição.</w:t>
      </w:r>
    </w:p>
    <w:tbl>
      <w:tblPr>
        <w:tblStyle w:val="Tabelacomgrade"/>
        <w:tblW w:w="9072" w:type="dxa"/>
        <w:tblInd w:w="108" w:type="dxa"/>
        <w:tblLayout w:type="fixed"/>
        <w:tblLook w:val="04A0" w:firstRow="1" w:lastRow="0" w:firstColumn="1" w:lastColumn="0" w:noHBand="0" w:noVBand="1"/>
      </w:tblPr>
      <w:tblGrid>
        <w:gridCol w:w="1149"/>
        <w:gridCol w:w="835"/>
        <w:gridCol w:w="7088"/>
      </w:tblGrid>
      <w:tr w:rsidR="001F49FD" w14:paraId="7AB959E6" w14:textId="77777777">
        <w:tc>
          <w:tcPr>
            <w:tcW w:w="1149" w:type="dxa"/>
          </w:tcPr>
          <w:p w14:paraId="10616EF7" w14:textId="77777777" w:rsidR="001F49FD" w:rsidRDefault="00611419">
            <w:pPr>
              <w:widowControl w:val="0"/>
              <w:spacing w:before="240" w:after="200" w:line="240" w:lineRule="auto"/>
              <w:ind w:firstLine="0"/>
              <w:rPr>
                <w:rFonts w:ascii="Times New Roman" w:hAnsi="Times New Roman" w:cs="Times New Roman"/>
                <w:b/>
                <w:sz w:val="20"/>
                <w:szCs w:val="20"/>
              </w:rPr>
            </w:pPr>
            <w:r>
              <w:rPr>
                <w:rFonts w:cstheme="majorHAnsi"/>
                <w:szCs w:val="24"/>
              </w:rPr>
              <w:t>Spohr</w:t>
            </w:r>
          </w:p>
        </w:tc>
        <w:tc>
          <w:tcPr>
            <w:tcW w:w="835" w:type="dxa"/>
          </w:tcPr>
          <w:p w14:paraId="04EAA2A5" w14:textId="77777777" w:rsidR="001F49FD" w:rsidRDefault="00611419">
            <w:pPr>
              <w:widowControl w:val="0"/>
              <w:spacing w:before="240" w:after="200" w:line="240" w:lineRule="auto"/>
              <w:ind w:firstLine="0"/>
              <w:rPr>
                <w:rFonts w:ascii="Times New Roman" w:hAnsi="Times New Roman" w:cs="Times New Roman"/>
                <w:b/>
                <w:sz w:val="20"/>
                <w:szCs w:val="20"/>
              </w:rPr>
            </w:pPr>
            <w:r>
              <w:rPr>
                <w:rFonts w:cstheme="majorHAnsi"/>
                <w:szCs w:val="24"/>
              </w:rPr>
              <w:t>1832</w:t>
            </w:r>
          </w:p>
        </w:tc>
        <w:tc>
          <w:tcPr>
            <w:tcW w:w="7088" w:type="dxa"/>
          </w:tcPr>
          <w:p w14:paraId="386E4E29" w14:textId="121E5576" w:rsidR="001F49FD" w:rsidRDefault="00611419">
            <w:pPr>
              <w:widowControl w:val="0"/>
              <w:spacing w:before="240" w:after="200" w:line="240" w:lineRule="auto"/>
              <w:ind w:firstLine="0"/>
              <w:rPr>
                <w:rFonts w:asciiTheme="majorHAnsi" w:hAnsiTheme="majorHAnsi" w:cstheme="majorHAnsi"/>
                <w:szCs w:val="24"/>
              </w:rPr>
            </w:pPr>
            <w:r>
              <w:rPr>
                <w:rFonts w:cstheme="majorHAnsi"/>
                <w:szCs w:val="24"/>
              </w:rPr>
              <w:t>O braço do violino repousa entre o dedo polegar e o dedo indicador, e é mantido levemente acima da primeira articulação do primeiro [</w:t>
            </w:r>
            <w:r w:rsidR="00817B85">
              <w:rPr>
                <w:rFonts w:cstheme="majorHAnsi"/>
                <w:szCs w:val="24"/>
              </w:rPr>
              <w:t>interfalangiana</w:t>
            </w:r>
            <w:r>
              <w:rPr>
                <w:rFonts w:cstheme="majorHAnsi"/>
                <w:szCs w:val="24"/>
              </w:rPr>
              <w:t xml:space="preserve"> proximal] e na terceira articulação [</w:t>
            </w:r>
            <w:r w:rsidR="00817B85">
              <w:rPr>
                <w:rFonts w:cstheme="majorHAnsi"/>
                <w:szCs w:val="24"/>
              </w:rPr>
              <w:t>metacarpo falangeana</w:t>
            </w:r>
            <w:r>
              <w:rPr>
                <w:rFonts w:cstheme="majorHAnsi"/>
                <w:szCs w:val="24"/>
              </w:rPr>
              <w:t>] do último, mas suficientemente firme para evitar que afunde no fundo da cavidade entre o polegar e o dedo.</w:t>
            </w:r>
          </w:p>
        </w:tc>
      </w:tr>
      <w:tr w:rsidR="001F49FD" w14:paraId="41953EBC" w14:textId="77777777">
        <w:tc>
          <w:tcPr>
            <w:tcW w:w="1149" w:type="dxa"/>
          </w:tcPr>
          <w:p w14:paraId="33BAD90C" w14:textId="77777777" w:rsidR="001F49FD" w:rsidRDefault="00611419">
            <w:pPr>
              <w:widowControl w:val="0"/>
              <w:spacing w:before="240" w:after="200" w:line="240" w:lineRule="auto"/>
              <w:ind w:firstLine="0"/>
              <w:rPr>
                <w:rFonts w:asciiTheme="majorHAnsi" w:hAnsiTheme="majorHAnsi" w:cstheme="majorHAnsi"/>
                <w:szCs w:val="24"/>
              </w:rPr>
            </w:pPr>
            <w:proofErr w:type="spellStart"/>
            <w:r>
              <w:rPr>
                <w:rFonts w:cstheme="majorHAnsi"/>
                <w:szCs w:val="24"/>
              </w:rPr>
              <w:t>Baillot</w:t>
            </w:r>
            <w:proofErr w:type="spellEnd"/>
          </w:p>
        </w:tc>
        <w:tc>
          <w:tcPr>
            <w:tcW w:w="835" w:type="dxa"/>
          </w:tcPr>
          <w:p w14:paraId="22256B04" w14:textId="77777777" w:rsidR="001F49FD" w:rsidRDefault="00611419">
            <w:pPr>
              <w:widowControl w:val="0"/>
              <w:spacing w:before="240" w:after="200" w:line="240" w:lineRule="auto"/>
              <w:ind w:firstLine="0"/>
              <w:rPr>
                <w:rFonts w:asciiTheme="majorHAnsi" w:hAnsiTheme="majorHAnsi" w:cstheme="majorHAnsi"/>
                <w:szCs w:val="24"/>
              </w:rPr>
            </w:pPr>
            <w:r>
              <w:rPr>
                <w:rFonts w:cstheme="majorHAnsi"/>
                <w:szCs w:val="24"/>
              </w:rPr>
              <w:t>1835</w:t>
            </w:r>
          </w:p>
        </w:tc>
        <w:tc>
          <w:tcPr>
            <w:tcW w:w="7088" w:type="dxa"/>
          </w:tcPr>
          <w:p w14:paraId="10874123" w14:textId="77777777" w:rsidR="001F49FD" w:rsidRDefault="001F49FD">
            <w:pPr>
              <w:widowControl w:val="0"/>
              <w:spacing w:line="240" w:lineRule="auto"/>
              <w:ind w:firstLine="0"/>
              <w:rPr>
                <w:rFonts w:asciiTheme="majorHAnsi" w:hAnsiTheme="majorHAnsi" w:cstheme="majorHAnsi"/>
                <w:szCs w:val="24"/>
              </w:rPr>
            </w:pPr>
          </w:p>
          <w:p w14:paraId="2FDA9689" w14:textId="0385FE85"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Impedir que o braço do violino </w:t>
            </w:r>
            <w:r w:rsidR="00817B85">
              <w:rPr>
                <w:rFonts w:cstheme="majorHAnsi"/>
                <w:szCs w:val="24"/>
              </w:rPr>
              <w:t>se encoste</w:t>
            </w:r>
            <w:r>
              <w:rPr>
                <w:rFonts w:cstheme="majorHAnsi"/>
                <w:szCs w:val="24"/>
              </w:rPr>
              <w:t xml:space="preserve"> à parte da mão que reúne o dedo polegar ao dedo indicador.</w:t>
            </w:r>
          </w:p>
          <w:p w14:paraId="6FCDCFCC" w14:textId="77777777" w:rsidR="001F49FD" w:rsidRDefault="001F49FD">
            <w:pPr>
              <w:widowControl w:val="0"/>
              <w:spacing w:line="240" w:lineRule="auto"/>
              <w:ind w:firstLine="0"/>
              <w:rPr>
                <w:rFonts w:asciiTheme="majorHAnsi" w:hAnsiTheme="majorHAnsi" w:cstheme="majorHAnsi"/>
                <w:szCs w:val="24"/>
              </w:rPr>
            </w:pPr>
          </w:p>
          <w:p w14:paraId="45A9B0A2"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Sustentar sem apertar o violino, entre a metade da primeira falange [distal] do dedo polegar e a metade da terceira falange [proximal] do dedo indicador.</w:t>
            </w:r>
          </w:p>
          <w:p w14:paraId="19EA0381" w14:textId="77777777" w:rsidR="001F49FD" w:rsidRDefault="001F49FD">
            <w:pPr>
              <w:widowControl w:val="0"/>
              <w:spacing w:line="240" w:lineRule="auto"/>
              <w:ind w:firstLine="0"/>
              <w:rPr>
                <w:rFonts w:asciiTheme="majorHAnsi" w:hAnsiTheme="majorHAnsi" w:cstheme="majorHAnsi"/>
                <w:szCs w:val="24"/>
              </w:rPr>
            </w:pPr>
          </w:p>
        </w:tc>
      </w:tr>
      <w:tr w:rsidR="001F49FD" w14:paraId="5782E6BE" w14:textId="77777777">
        <w:tc>
          <w:tcPr>
            <w:tcW w:w="1149" w:type="dxa"/>
          </w:tcPr>
          <w:p w14:paraId="15948818" w14:textId="77777777" w:rsidR="001F49FD" w:rsidRDefault="001F49FD">
            <w:pPr>
              <w:widowControl w:val="0"/>
              <w:spacing w:line="240" w:lineRule="auto"/>
              <w:ind w:firstLine="0"/>
              <w:rPr>
                <w:rFonts w:asciiTheme="majorHAnsi" w:hAnsiTheme="majorHAnsi" w:cstheme="majorHAnsi"/>
                <w:szCs w:val="24"/>
              </w:rPr>
            </w:pPr>
          </w:p>
          <w:p w14:paraId="7E35B35E"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35" w:type="dxa"/>
          </w:tcPr>
          <w:p w14:paraId="6D2F1542" w14:textId="77777777" w:rsidR="001F49FD" w:rsidRDefault="001F49FD">
            <w:pPr>
              <w:widowControl w:val="0"/>
              <w:spacing w:line="240" w:lineRule="auto"/>
              <w:ind w:firstLine="0"/>
              <w:rPr>
                <w:rFonts w:asciiTheme="majorHAnsi" w:hAnsiTheme="majorHAnsi" w:cstheme="majorHAnsi"/>
                <w:szCs w:val="24"/>
              </w:rPr>
            </w:pPr>
          </w:p>
          <w:p w14:paraId="424F6569"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7088" w:type="dxa"/>
          </w:tcPr>
          <w:p w14:paraId="7AF23E4A" w14:textId="77777777" w:rsidR="001F49FD" w:rsidRDefault="001F49FD">
            <w:pPr>
              <w:widowControl w:val="0"/>
              <w:spacing w:line="240" w:lineRule="auto"/>
              <w:ind w:firstLine="0"/>
              <w:rPr>
                <w:rFonts w:asciiTheme="majorHAnsi" w:hAnsiTheme="majorHAnsi" w:cstheme="majorHAnsi"/>
                <w:szCs w:val="24"/>
              </w:rPr>
            </w:pPr>
          </w:p>
          <w:p w14:paraId="3A4C923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Sustentar o braço do violino sem muito apertá-lo, entre a primeira falange [distal] do dedo polegar e a terceira falange [proximal] do dedo indicador. Manter essa posição para que o braço do violino não caia sobre a parte carnuda do dedo polegar próxima à palma da mão.</w:t>
            </w:r>
          </w:p>
          <w:p w14:paraId="26925991"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E0E9F00" w14:textId="77777777">
        <w:trPr>
          <w:trHeight w:val="70"/>
        </w:trPr>
        <w:tc>
          <w:tcPr>
            <w:tcW w:w="1149" w:type="dxa"/>
          </w:tcPr>
          <w:p w14:paraId="53DAE369" w14:textId="77777777" w:rsidR="001F49FD" w:rsidRDefault="001F49FD">
            <w:pPr>
              <w:widowControl w:val="0"/>
              <w:spacing w:line="240" w:lineRule="auto"/>
              <w:ind w:firstLine="0"/>
              <w:rPr>
                <w:rFonts w:asciiTheme="majorHAnsi" w:hAnsiTheme="majorHAnsi" w:cstheme="majorHAnsi"/>
                <w:szCs w:val="24"/>
              </w:rPr>
            </w:pPr>
          </w:p>
          <w:p w14:paraId="0F530B90"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Moser/</w:t>
            </w:r>
          </w:p>
          <w:p w14:paraId="7FEF53AC"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Joachim</w:t>
            </w:r>
          </w:p>
        </w:tc>
        <w:tc>
          <w:tcPr>
            <w:tcW w:w="835" w:type="dxa"/>
          </w:tcPr>
          <w:p w14:paraId="1B69EED0" w14:textId="77777777" w:rsidR="001F49FD" w:rsidRDefault="001F49FD">
            <w:pPr>
              <w:widowControl w:val="0"/>
              <w:spacing w:line="240" w:lineRule="auto"/>
              <w:ind w:firstLine="0"/>
              <w:rPr>
                <w:rFonts w:asciiTheme="majorHAnsi" w:hAnsiTheme="majorHAnsi" w:cstheme="majorHAnsi"/>
                <w:szCs w:val="24"/>
              </w:rPr>
            </w:pPr>
          </w:p>
          <w:p w14:paraId="49FB68D2"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1905</w:t>
            </w:r>
          </w:p>
        </w:tc>
        <w:tc>
          <w:tcPr>
            <w:tcW w:w="7088" w:type="dxa"/>
          </w:tcPr>
          <w:p w14:paraId="4CF1102A" w14:textId="77777777" w:rsidR="001F49FD" w:rsidRDefault="001F49FD">
            <w:pPr>
              <w:widowControl w:val="0"/>
              <w:spacing w:line="240" w:lineRule="auto"/>
              <w:ind w:firstLine="0"/>
              <w:rPr>
                <w:rFonts w:asciiTheme="majorHAnsi" w:hAnsiTheme="majorHAnsi" w:cstheme="majorHAnsi"/>
                <w:szCs w:val="24"/>
              </w:rPr>
            </w:pPr>
          </w:p>
          <w:p w14:paraId="5705E6DC" w14:textId="77777777" w:rsidR="001F49FD" w:rsidRDefault="00611419">
            <w:pPr>
              <w:widowControl w:val="0"/>
              <w:spacing w:line="240" w:lineRule="auto"/>
              <w:ind w:firstLine="0"/>
              <w:rPr>
                <w:rFonts w:asciiTheme="majorHAnsi" w:hAnsiTheme="majorHAnsi" w:cstheme="majorHAnsi"/>
                <w:szCs w:val="24"/>
                <w:lang w:val="pt-PT"/>
              </w:rPr>
            </w:pPr>
            <w:r>
              <w:rPr>
                <w:rFonts w:cstheme="majorHAnsi"/>
                <w:szCs w:val="24"/>
                <w:lang w:val="pt-PT"/>
              </w:rPr>
              <w:t>O braço do violino deve estar levemente colocado entre o dedo indicador e o dedo polegar da mão esquerda. Porém, não se deve permitir sob nenhuma condição que ele encoste-se à pele que conecta o dedo indicador ao dedo polegar.</w:t>
            </w:r>
          </w:p>
          <w:p w14:paraId="18766A54" w14:textId="77777777" w:rsidR="001F49FD" w:rsidRDefault="001F49FD">
            <w:pPr>
              <w:widowControl w:val="0"/>
              <w:spacing w:line="240" w:lineRule="auto"/>
              <w:ind w:firstLine="0"/>
              <w:rPr>
                <w:rFonts w:asciiTheme="majorHAnsi" w:hAnsiTheme="majorHAnsi" w:cstheme="majorHAnsi"/>
                <w:szCs w:val="24"/>
              </w:rPr>
            </w:pPr>
          </w:p>
          <w:p w14:paraId="11D9DB48" w14:textId="2D6CE41E"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O braço do violino deve </w:t>
            </w:r>
            <w:r>
              <w:t xml:space="preserve">repousar suavemente </w:t>
            </w:r>
            <w:r>
              <w:rPr>
                <w:rFonts w:cstheme="majorHAnsi"/>
                <w:szCs w:val="24"/>
              </w:rPr>
              <w:t xml:space="preserve">na articulação mais elevada </w:t>
            </w:r>
            <w:r>
              <w:t>[</w:t>
            </w:r>
            <w:r w:rsidR="00891A73">
              <w:t>interfalangiana</w:t>
            </w:r>
            <w:r>
              <w:t xml:space="preserve"> proximal] </w:t>
            </w:r>
            <w:r>
              <w:rPr>
                <w:rFonts w:cstheme="majorHAnsi"/>
                <w:szCs w:val="24"/>
              </w:rPr>
              <w:t>do dedo polegar, que deve se manter em frente ao dedo indicador, quando este está posicionado no primeiro tom a partir da corda solta.</w:t>
            </w:r>
          </w:p>
          <w:p w14:paraId="6DBE068F" w14:textId="77777777" w:rsidR="001F49FD" w:rsidRDefault="001F49FD">
            <w:pPr>
              <w:widowControl w:val="0"/>
              <w:spacing w:line="240" w:lineRule="auto"/>
              <w:ind w:right="-108" w:firstLine="0"/>
              <w:rPr>
                <w:rFonts w:asciiTheme="majorHAnsi" w:hAnsiTheme="majorHAnsi" w:cstheme="majorHAnsi"/>
                <w:szCs w:val="24"/>
              </w:rPr>
            </w:pPr>
          </w:p>
        </w:tc>
      </w:tr>
    </w:tbl>
    <w:p w14:paraId="01F69101" w14:textId="77777777" w:rsidR="001F49FD" w:rsidRDefault="001F49FD"/>
    <w:p w14:paraId="00B724C3" w14:textId="77777777" w:rsidR="00B93F90" w:rsidRDefault="00B93F90"/>
    <w:p w14:paraId="5125D2D8" w14:textId="77777777" w:rsidR="00B93F90" w:rsidRDefault="00B93F90"/>
    <w:tbl>
      <w:tblPr>
        <w:tblStyle w:val="Tabelacomgrade"/>
        <w:tblW w:w="9072" w:type="dxa"/>
        <w:tblInd w:w="108" w:type="dxa"/>
        <w:tblLayout w:type="fixed"/>
        <w:tblLook w:val="04A0" w:firstRow="1" w:lastRow="0" w:firstColumn="1" w:lastColumn="0" w:noHBand="0" w:noVBand="1"/>
      </w:tblPr>
      <w:tblGrid>
        <w:gridCol w:w="1149"/>
        <w:gridCol w:w="835"/>
        <w:gridCol w:w="7088"/>
      </w:tblGrid>
      <w:tr w:rsidR="001F49FD" w14:paraId="178437DD" w14:textId="77777777">
        <w:tc>
          <w:tcPr>
            <w:tcW w:w="1149" w:type="dxa"/>
          </w:tcPr>
          <w:p w14:paraId="6B258A35" w14:textId="77777777" w:rsidR="001F49FD" w:rsidRDefault="001F49FD">
            <w:pPr>
              <w:pStyle w:val="Estilo1"/>
              <w:widowControl w:val="0"/>
            </w:pPr>
          </w:p>
          <w:p w14:paraId="1A3411F6"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35" w:type="dxa"/>
          </w:tcPr>
          <w:p w14:paraId="5AA1DAC4" w14:textId="77777777" w:rsidR="001F49FD" w:rsidRDefault="001F49FD">
            <w:pPr>
              <w:widowControl w:val="0"/>
              <w:spacing w:line="240" w:lineRule="auto"/>
              <w:ind w:firstLine="0"/>
              <w:rPr>
                <w:rFonts w:asciiTheme="majorHAnsi" w:hAnsiTheme="majorHAnsi" w:cstheme="majorHAnsi"/>
                <w:szCs w:val="24"/>
              </w:rPr>
            </w:pPr>
          </w:p>
          <w:p w14:paraId="0E526739"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1921</w:t>
            </w:r>
          </w:p>
        </w:tc>
        <w:tc>
          <w:tcPr>
            <w:tcW w:w="7088" w:type="dxa"/>
          </w:tcPr>
          <w:p w14:paraId="0A4EBD44" w14:textId="77777777" w:rsidR="001F49FD" w:rsidRDefault="001F49FD">
            <w:pPr>
              <w:widowControl w:val="0"/>
              <w:spacing w:line="240" w:lineRule="auto"/>
              <w:ind w:left="-108" w:firstLine="0"/>
              <w:rPr>
                <w:rFonts w:asciiTheme="majorHAnsi" w:hAnsiTheme="majorHAnsi" w:cstheme="majorHAnsi"/>
                <w:szCs w:val="24"/>
              </w:rPr>
            </w:pPr>
          </w:p>
          <w:p w14:paraId="09BF9F17" w14:textId="3081D20B"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 xml:space="preserve">Segure o braço do violino entre a primeira articulação do dedo polegar </w:t>
            </w:r>
            <w:r>
              <w:t>[</w:t>
            </w:r>
            <w:r w:rsidR="00817B85">
              <w:t>interfalangiana</w:t>
            </w:r>
            <w:r>
              <w:t xml:space="preserve"> proximal] </w:t>
            </w:r>
            <w:r>
              <w:rPr>
                <w:rFonts w:cstheme="majorHAnsi"/>
                <w:szCs w:val="24"/>
              </w:rPr>
              <w:t xml:space="preserve">e a terceira articulação </w:t>
            </w:r>
            <w:r>
              <w:t>[</w:t>
            </w:r>
            <w:r w:rsidR="00817B85">
              <w:t>metacarpo falangeana</w:t>
            </w:r>
            <w:r>
              <w:t xml:space="preserve">] </w:t>
            </w:r>
            <w:r>
              <w:rPr>
                <w:rFonts w:cstheme="majorHAnsi"/>
                <w:szCs w:val="24"/>
              </w:rPr>
              <w:t>do dedo indicador.</w:t>
            </w:r>
          </w:p>
          <w:p w14:paraId="1746F07A"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73D6DF92" w14:textId="77777777">
        <w:trPr>
          <w:trHeight w:val="2765"/>
        </w:trPr>
        <w:tc>
          <w:tcPr>
            <w:tcW w:w="1149" w:type="dxa"/>
          </w:tcPr>
          <w:p w14:paraId="465FCDF6" w14:textId="77777777" w:rsidR="001F49FD" w:rsidRDefault="001F49FD">
            <w:pPr>
              <w:pStyle w:val="Estilo1"/>
              <w:widowControl w:val="0"/>
            </w:pPr>
          </w:p>
          <w:p w14:paraId="646D247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Flesch</w:t>
            </w:r>
          </w:p>
        </w:tc>
        <w:tc>
          <w:tcPr>
            <w:tcW w:w="835" w:type="dxa"/>
          </w:tcPr>
          <w:p w14:paraId="4A1BE73B" w14:textId="77777777" w:rsidR="001F49FD" w:rsidRDefault="001F49FD">
            <w:pPr>
              <w:widowControl w:val="0"/>
              <w:spacing w:line="240" w:lineRule="auto"/>
              <w:ind w:firstLine="0"/>
              <w:rPr>
                <w:rFonts w:asciiTheme="majorHAnsi" w:hAnsiTheme="majorHAnsi" w:cstheme="majorHAnsi"/>
                <w:szCs w:val="24"/>
              </w:rPr>
            </w:pPr>
          </w:p>
          <w:p w14:paraId="2B8296A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1928</w:t>
            </w:r>
          </w:p>
        </w:tc>
        <w:tc>
          <w:tcPr>
            <w:tcW w:w="7088" w:type="dxa"/>
          </w:tcPr>
          <w:p w14:paraId="4BDA64CD" w14:textId="77777777" w:rsidR="001F49FD" w:rsidRDefault="001F49FD">
            <w:pPr>
              <w:widowControl w:val="0"/>
              <w:spacing w:line="240" w:lineRule="auto"/>
              <w:ind w:firstLine="0"/>
              <w:rPr>
                <w:rFonts w:asciiTheme="majorHAnsi" w:hAnsiTheme="majorHAnsi" w:cstheme="majorHAnsi"/>
                <w:szCs w:val="24"/>
              </w:rPr>
            </w:pPr>
          </w:p>
          <w:p w14:paraId="1459E80A" w14:textId="4BDA7D96"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 xml:space="preserve">É de suma importância que o dedo indicador repouse no braço do instrumento, não pela parte situada acima da terceira falange </w:t>
            </w:r>
            <w:r>
              <w:rPr>
                <w:shd w:val="clear" w:color="auto" w:fill="FFFFFF"/>
              </w:rPr>
              <w:t xml:space="preserve">[articulação </w:t>
            </w:r>
            <w:r w:rsidR="00817B85">
              <w:rPr>
                <w:shd w:val="clear" w:color="auto" w:fill="FFFFFF"/>
              </w:rPr>
              <w:t>interfalangiana</w:t>
            </w:r>
            <w:r>
              <w:rPr>
                <w:shd w:val="clear" w:color="auto" w:fill="FFFFFF"/>
              </w:rPr>
              <w:t xml:space="preserve"> proximal], </w:t>
            </w:r>
            <w:r>
              <w:rPr>
                <w:rFonts w:cstheme="majorHAnsi"/>
                <w:color w:val="222222"/>
                <w:szCs w:val="24"/>
                <w:shd w:val="clear" w:color="auto" w:fill="FFFFFF"/>
              </w:rPr>
              <w:t xml:space="preserve">mas pela parte </w:t>
            </w:r>
            <w:r>
              <w:rPr>
                <w:rFonts w:cstheme="majorHAnsi"/>
                <w:i/>
                <w:color w:val="222222"/>
                <w:szCs w:val="24"/>
                <w:shd w:val="clear" w:color="auto" w:fill="FFFFFF"/>
              </w:rPr>
              <w:t>inferior</w:t>
            </w:r>
            <w:r>
              <w:rPr>
                <w:rFonts w:cstheme="majorHAnsi"/>
                <w:color w:val="222222"/>
                <w:szCs w:val="24"/>
                <w:shd w:val="clear" w:color="auto" w:fill="FFFFFF"/>
              </w:rPr>
              <w:t xml:space="preserve"> da articulação (metacarpo) que liga o dedo à palma da mão </w:t>
            </w:r>
            <w:r>
              <w:rPr>
                <w:shd w:val="clear" w:color="auto" w:fill="FFFFFF"/>
              </w:rPr>
              <w:t xml:space="preserve">[articulação </w:t>
            </w:r>
            <w:r w:rsidR="00817B85">
              <w:rPr>
                <w:shd w:val="clear" w:color="auto" w:fill="FFFFFF"/>
              </w:rPr>
              <w:t>metacarpo falangeana</w:t>
            </w:r>
            <w:r>
              <w:rPr>
                <w:shd w:val="clear" w:color="auto" w:fill="FFFFFF"/>
              </w:rPr>
              <w:t>].</w:t>
            </w:r>
          </w:p>
          <w:p w14:paraId="582779C2"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7D76F52B"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O local do dedo polegar, ao se colocar sob o braço do violino, depende menos do dedo em si do que dos demais dedos e seus respectivos tamanhos.</w:t>
            </w:r>
          </w:p>
          <w:p w14:paraId="57A86FD3" w14:textId="77777777" w:rsidR="001F49FD" w:rsidRDefault="001F49FD">
            <w:pPr>
              <w:widowControl w:val="0"/>
              <w:spacing w:line="240" w:lineRule="auto"/>
              <w:ind w:firstLine="0"/>
              <w:rPr>
                <w:rFonts w:asciiTheme="majorHAnsi" w:hAnsiTheme="majorHAnsi" w:cstheme="majorHAnsi"/>
                <w:szCs w:val="24"/>
              </w:rPr>
            </w:pPr>
          </w:p>
        </w:tc>
      </w:tr>
      <w:tr w:rsidR="001F49FD" w14:paraId="7F5770FE" w14:textId="77777777">
        <w:tc>
          <w:tcPr>
            <w:tcW w:w="1149" w:type="dxa"/>
          </w:tcPr>
          <w:p w14:paraId="154BCFCA" w14:textId="77777777" w:rsidR="001F49FD" w:rsidRDefault="001F49FD">
            <w:pPr>
              <w:pStyle w:val="Estilo1"/>
              <w:widowControl w:val="0"/>
            </w:pPr>
          </w:p>
          <w:p w14:paraId="186F33A7" w14:textId="77777777" w:rsidR="001F49FD" w:rsidRDefault="00611419">
            <w:pPr>
              <w:pStyle w:val="Estilo1"/>
              <w:widowControl w:val="0"/>
            </w:pPr>
            <w:proofErr w:type="spellStart"/>
            <w:r>
              <w:t>Galamian</w:t>
            </w:r>
            <w:proofErr w:type="spellEnd"/>
          </w:p>
        </w:tc>
        <w:tc>
          <w:tcPr>
            <w:tcW w:w="835" w:type="dxa"/>
          </w:tcPr>
          <w:p w14:paraId="7D1D5B24" w14:textId="77777777" w:rsidR="001F49FD" w:rsidRDefault="001F49FD">
            <w:pPr>
              <w:widowControl w:val="0"/>
              <w:spacing w:line="240" w:lineRule="auto"/>
              <w:ind w:firstLine="0"/>
              <w:rPr>
                <w:rFonts w:asciiTheme="majorHAnsi" w:hAnsiTheme="majorHAnsi" w:cstheme="majorHAnsi"/>
                <w:szCs w:val="24"/>
              </w:rPr>
            </w:pPr>
          </w:p>
          <w:p w14:paraId="6A3E6D3C"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1962</w:t>
            </w:r>
          </w:p>
        </w:tc>
        <w:tc>
          <w:tcPr>
            <w:tcW w:w="7088" w:type="dxa"/>
          </w:tcPr>
          <w:p w14:paraId="77F18C0E"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0896FF8F"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quão alto (acima do nível do espelho) ou o quão baixo a mão deve ser ajustada depende novamente do formato da mão e de cada dedo.</w:t>
            </w:r>
          </w:p>
          <w:p w14:paraId="23D6B7D7" w14:textId="77777777" w:rsidR="001F49FD" w:rsidRDefault="001F49FD">
            <w:pPr>
              <w:widowControl w:val="0"/>
              <w:spacing w:line="240" w:lineRule="auto"/>
              <w:ind w:firstLine="0"/>
              <w:rPr>
                <w:rFonts w:asciiTheme="majorHAnsi" w:hAnsiTheme="majorHAnsi" w:cstheme="majorHAnsi"/>
                <w:szCs w:val="24"/>
              </w:rPr>
            </w:pPr>
          </w:p>
        </w:tc>
      </w:tr>
      <w:tr w:rsidR="001F49FD" w14:paraId="0FE37945" w14:textId="77777777">
        <w:tc>
          <w:tcPr>
            <w:tcW w:w="1149" w:type="dxa"/>
          </w:tcPr>
          <w:p w14:paraId="5896C1D3" w14:textId="77777777" w:rsidR="001F49FD" w:rsidRDefault="001F49FD">
            <w:pPr>
              <w:pStyle w:val="Estilo1"/>
              <w:widowControl w:val="0"/>
            </w:pPr>
          </w:p>
          <w:p w14:paraId="2A9697BE" w14:textId="12CD70DC" w:rsidR="001F49FD" w:rsidRDefault="00611419">
            <w:pPr>
              <w:pStyle w:val="Estilo1"/>
              <w:widowControl w:val="0"/>
            </w:pPr>
            <w:r>
              <w:t>Fis</w:t>
            </w:r>
            <w:r w:rsidR="00C840E9">
              <w:t>c</w:t>
            </w:r>
            <w:r>
              <w:t>her</w:t>
            </w:r>
          </w:p>
        </w:tc>
        <w:tc>
          <w:tcPr>
            <w:tcW w:w="835" w:type="dxa"/>
          </w:tcPr>
          <w:p w14:paraId="6E481090" w14:textId="77777777" w:rsidR="001F49FD" w:rsidRDefault="001F49FD">
            <w:pPr>
              <w:widowControl w:val="0"/>
              <w:spacing w:line="240" w:lineRule="auto"/>
              <w:ind w:firstLine="0"/>
              <w:rPr>
                <w:rFonts w:asciiTheme="majorHAnsi" w:hAnsiTheme="majorHAnsi" w:cstheme="majorHAnsi"/>
                <w:szCs w:val="24"/>
              </w:rPr>
            </w:pPr>
          </w:p>
          <w:p w14:paraId="5DB05B86"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2004</w:t>
            </w:r>
          </w:p>
        </w:tc>
        <w:tc>
          <w:tcPr>
            <w:tcW w:w="7088" w:type="dxa"/>
          </w:tcPr>
          <w:p w14:paraId="51B3FD38"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w:t>
            </w:r>
          </w:p>
          <w:p w14:paraId="01062982"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Mãos grandes: posicionamento mais baixo.</w:t>
            </w:r>
          </w:p>
          <w:p w14:paraId="647323BC"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Mãos pequenas: posicionamento mais alto.</w:t>
            </w:r>
          </w:p>
          <w:p w14:paraId="302ED664"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tc>
      </w:tr>
    </w:tbl>
    <w:p w14:paraId="24B015B9" w14:textId="77777777" w:rsidR="001F49FD" w:rsidRDefault="001F49FD">
      <w:pPr>
        <w:pStyle w:val="Recuodecorpodetexto"/>
        <w:ind w:left="283" w:firstLine="1134"/>
      </w:pPr>
    </w:p>
    <w:p w14:paraId="123E22E4" w14:textId="456B8A3D" w:rsidR="001F49FD" w:rsidRDefault="00611419" w:rsidP="00B93F90">
      <w:pPr>
        <w:pStyle w:val="Recuodecorpodetexto"/>
        <w:ind w:firstLine="709"/>
      </w:pPr>
      <w:r>
        <w:t xml:space="preserve">O contato dos dedos polegar e indicador no braço do violino nas quatro primeiras posições é um tema que concerne tanto </w:t>
      </w:r>
      <w:r w:rsidR="00C840E9">
        <w:t>a</w:t>
      </w:r>
      <w:r>
        <w:t xml:space="preserve">o mecanismo de funcionamento dos dedos quanto </w:t>
      </w:r>
      <w:r w:rsidR="00C840E9">
        <w:t>à</w:t>
      </w:r>
      <w:r>
        <w:t xml:space="preserve"> sustentação do instrumento. Para os autores do século XIX, os preceitos ainda estão relacionados com a recente colocação do instrumento sobre a clavícula que, conjuntamente com o apoio do queixo, permite a estabilização do violino. Com efeito, podemos observar as advertências para que o braço do violino não recaia sobre a parte da mão que une os dois dedos – um recurso possivelmente encontrado quando o violino se situava abaixo da clavícula, tornando necessária uma maior ação da mão esquerda para sua sustentação.</w:t>
      </w:r>
    </w:p>
    <w:p w14:paraId="74CD3FA5" w14:textId="49A32F36" w:rsidR="001F49FD" w:rsidRDefault="00611419" w:rsidP="00B93F90">
      <w:pPr>
        <w:pStyle w:val="Recuodecorpodetexto"/>
        <w:ind w:firstLine="709"/>
      </w:pPr>
      <w:r>
        <w:t>Uma vez extinguida essa forma de suporte – o braço do violino recaindo na palma da mão –</w:t>
      </w:r>
      <w:r w:rsidR="00C840E9">
        <w:t>,</w:t>
      </w:r>
      <w:r>
        <w:t xml:space="preserve"> é fácil perceber, desde Spohr até Moser/Joachim, que há uma unidade sobre o local de contato desses dedos no braço do violino, pois as mínimas diferenças residem mais na escolha e na compreensão dos termos – bastante imprecisos de modo geral – do que no princípio básico: o braço do violino deve repousar entre a parte mais elevada [falange distal] do dedo polegar e a menos elevada [falange proximal] – com pequenas variações – do dedo indicador. Portanto, nesse elemento da técnica de mão esquerda, não há divergências entre as Escolas de violino do século XIX. </w:t>
      </w:r>
    </w:p>
    <w:p w14:paraId="3CE65D70" w14:textId="2F78EDD1" w:rsidR="00B93F90" w:rsidRDefault="00611419" w:rsidP="00B93F90">
      <w:pPr>
        <w:pStyle w:val="Recuodecorpodetexto"/>
        <w:ind w:firstLine="709"/>
      </w:pPr>
      <w:r>
        <w:lastRenderedPageBreak/>
        <w:t xml:space="preserve">Os preceitos de </w:t>
      </w:r>
      <w:proofErr w:type="spellStart"/>
      <w:r>
        <w:t>Auer</w:t>
      </w:r>
      <w:proofErr w:type="spellEnd"/>
      <w:r>
        <w:t xml:space="preserve"> e Flesch parecem acompanhar os violinistas do século precedente, preconizando uma posição ainda mais elevada do dedo indicador sobre o espelho. Para </w:t>
      </w:r>
      <w:proofErr w:type="spellStart"/>
      <w:r>
        <w:t>Auer</w:t>
      </w:r>
      <w:proofErr w:type="spellEnd"/>
      <w:r>
        <w:t xml:space="preserve">, essa posição condiz como o conceito de potência dos dedos, enquanto Flesch demonstra atenção às características físicas. Mais tarde, tal concepção, </w:t>
      </w:r>
      <w:r w:rsidR="0035409F">
        <w:t>segundo a qual</w:t>
      </w:r>
      <w:r>
        <w:t xml:space="preserve"> as características anatômicas norteiam esse elemento técnico, é corroborada nas paradigmáticas premissas de </w:t>
      </w:r>
      <w:proofErr w:type="spellStart"/>
      <w:r>
        <w:t>Galamian</w:t>
      </w:r>
      <w:proofErr w:type="spellEnd"/>
      <w:r>
        <w:t xml:space="preserve"> e Fischer.</w:t>
      </w:r>
      <w:bookmarkStart w:id="112" w:name="_Toc14331042"/>
    </w:p>
    <w:p w14:paraId="4CADE167" w14:textId="43520714" w:rsidR="001F49FD" w:rsidRDefault="00611419" w:rsidP="000A6E65">
      <w:pPr>
        <w:pStyle w:val="Ttulo3"/>
      </w:pPr>
      <w:bookmarkStart w:id="113" w:name="_Toc219359043"/>
      <w:r>
        <w:t>Posicionamento do dedo indicador e direcionamento dos dedos</w:t>
      </w:r>
      <w:bookmarkEnd w:id="112"/>
      <w:bookmarkEnd w:id="113"/>
    </w:p>
    <w:p w14:paraId="45ACF8FF" w14:textId="77777777" w:rsidR="001F49FD" w:rsidRDefault="00611419">
      <w:pPr>
        <w:ind w:firstLine="0"/>
        <w:jc w:val="center"/>
        <w:rPr>
          <w:sz w:val="20"/>
          <w:szCs w:val="20"/>
        </w:rPr>
      </w:pPr>
      <w:r>
        <w:rPr>
          <w:b/>
          <w:sz w:val="20"/>
          <w:szCs w:val="20"/>
        </w:rPr>
        <w:t>Quadro 5</w:t>
      </w:r>
      <w:r>
        <w:rPr>
          <w:sz w:val="20"/>
          <w:szCs w:val="20"/>
        </w:rPr>
        <w:t>: posicionamento do dedo indicador e direcionamento dos dedos.</w:t>
      </w:r>
    </w:p>
    <w:tbl>
      <w:tblPr>
        <w:tblStyle w:val="Tabelacomgrade"/>
        <w:tblW w:w="9282" w:type="dxa"/>
        <w:tblInd w:w="108" w:type="dxa"/>
        <w:tblLayout w:type="fixed"/>
        <w:tblLook w:val="04A0" w:firstRow="1" w:lastRow="0" w:firstColumn="1" w:lastColumn="0" w:noHBand="0" w:noVBand="1"/>
      </w:tblPr>
      <w:tblGrid>
        <w:gridCol w:w="1149"/>
        <w:gridCol w:w="836"/>
        <w:gridCol w:w="7297"/>
      </w:tblGrid>
      <w:tr w:rsidR="001F49FD" w14:paraId="64D4C9F9" w14:textId="77777777">
        <w:tc>
          <w:tcPr>
            <w:tcW w:w="1149" w:type="dxa"/>
          </w:tcPr>
          <w:p w14:paraId="17D92602" w14:textId="77777777" w:rsidR="001F49FD" w:rsidRDefault="001F49FD">
            <w:pPr>
              <w:widowControl w:val="0"/>
              <w:spacing w:line="240" w:lineRule="auto"/>
              <w:ind w:firstLine="0"/>
              <w:rPr>
                <w:rFonts w:asciiTheme="majorHAnsi" w:hAnsiTheme="majorHAnsi" w:cstheme="majorHAnsi"/>
                <w:szCs w:val="24"/>
              </w:rPr>
            </w:pPr>
          </w:p>
          <w:p w14:paraId="0093C644"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Spohr</w:t>
            </w:r>
          </w:p>
        </w:tc>
        <w:tc>
          <w:tcPr>
            <w:tcW w:w="836" w:type="dxa"/>
          </w:tcPr>
          <w:p w14:paraId="4029C045" w14:textId="77777777" w:rsidR="001F49FD" w:rsidRDefault="001F49FD">
            <w:pPr>
              <w:widowControl w:val="0"/>
              <w:spacing w:line="240" w:lineRule="auto"/>
              <w:ind w:firstLine="0"/>
              <w:rPr>
                <w:rFonts w:asciiTheme="majorHAnsi" w:hAnsiTheme="majorHAnsi" w:cstheme="majorHAnsi"/>
                <w:szCs w:val="24"/>
              </w:rPr>
            </w:pPr>
          </w:p>
          <w:p w14:paraId="1CC1FF4C"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1832</w:t>
            </w:r>
          </w:p>
        </w:tc>
        <w:tc>
          <w:tcPr>
            <w:tcW w:w="7297" w:type="dxa"/>
          </w:tcPr>
          <w:p w14:paraId="596BB896" w14:textId="77777777" w:rsidR="001F49FD" w:rsidRDefault="001F49FD">
            <w:pPr>
              <w:widowControl w:val="0"/>
              <w:spacing w:line="240" w:lineRule="auto"/>
              <w:ind w:firstLine="0"/>
              <w:rPr>
                <w:rFonts w:asciiTheme="majorHAnsi" w:hAnsiTheme="majorHAnsi" w:cstheme="majorHAnsi"/>
                <w:szCs w:val="24"/>
              </w:rPr>
            </w:pPr>
          </w:p>
          <w:p w14:paraId="14953241" w14:textId="63614EF4" w:rsidR="001F49FD" w:rsidRDefault="00611419">
            <w:pPr>
              <w:widowControl w:val="0"/>
              <w:spacing w:line="240" w:lineRule="auto"/>
              <w:ind w:firstLine="0"/>
              <w:rPr>
                <w:rFonts w:asciiTheme="majorHAnsi" w:hAnsiTheme="majorHAnsi" w:cstheme="majorHAnsi"/>
                <w:szCs w:val="24"/>
              </w:rPr>
            </w:pPr>
            <w:r>
              <w:rPr>
                <w:rFonts w:cstheme="majorHAnsi"/>
                <w:szCs w:val="24"/>
              </w:rPr>
              <w:t>A parte da mão abaixo do dedo mínimo deve ser trazida o mais próximo possível do espelho e</w:t>
            </w:r>
            <w:r w:rsidR="0035409F">
              <w:rPr>
                <w:rFonts w:cstheme="majorHAnsi"/>
                <w:szCs w:val="24"/>
              </w:rPr>
              <w:t>,</w:t>
            </w:r>
            <w:r>
              <w:rPr>
                <w:rFonts w:cstheme="majorHAnsi"/>
                <w:szCs w:val="24"/>
              </w:rPr>
              <w:t xml:space="preserve"> ainda</w:t>
            </w:r>
            <w:r w:rsidR="0035409F">
              <w:rPr>
                <w:rFonts w:cstheme="majorHAnsi"/>
                <w:szCs w:val="24"/>
              </w:rPr>
              <w:t>,</w:t>
            </w:r>
            <w:r>
              <w:rPr>
                <w:rFonts w:cstheme="majorHAnsi"/>
                <w:szCs w:val="24"/>
              </w:rPr>
              <w:t xml:space="preserve"> a palma da mão e o </w:t>
            </w:r>
            <w:r>
              <w:t>punho</w:t>
            </w:r>
            <w:r>
              <w:rPr>
                <w:rFonts w:cstheme="majorHAnsi"/>
                <w:szCs w:val="24"/>
              </w:rPr>
              <w:t xml:space="preserve"> devem manter certa distância do braço do violino.</w:t>
            </w:r>
          </w:p>
          <w:p w14:paraId="3AB5A056"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1537A043" w14:textId="77777777">
        <w:trPr>
          <w:trHeight w:val="1429"/>
        </w:trPr>
        <w:tc>
          <w:tcPr>
            <w:tcW w:w="1149" w:type="dxa"/>
          </w:tcPr>
          <w:p w14:paraId="52554147" w14:textId="77777777" w:rsidR="001F49FD" w:rsidRDefault="001F49FD">
            <w:pPr>
              <w:widowControl w:val="0"/>
              <w:spacing w:line="240" w:lineRule="auto"/>
              <w:ind w:firstLine="0"/>
              <w:rPr>
                <w:rFonts w:asciiTheme="majorHAnsi" w:hAnsiTheme="majorHAnsi" w:cstheme="majorHAnsi"/>
                <w:szCs w:val="24"/>
              </w:rPr>
            </w:pPr>
          </w:p>
          <w:p w14:paraId="2BB6293F"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Baillot</w:t>
            </w:r>
            <w:proofErr w:type="spellEnd"/>
          </w:p>
        </w:tc>
        <w:tc>
          <w:tcPr>
            <w:tcW w:w="836" w:type="dxa"/>
          </w:tcPr>
          <w:p w14:paraId="0659114F" w14:textId="77777777" w:rsidR="001F49FD" w:rsidRDefault="001F49FD">
            <w:pPr>
              <w:widowControl w:val="0"/>
              <w:spacing w:line="240" w:lineRule="auto"/>
              <w:ind w:firstLine="0"/>
              <w:rPr>
                <w:rFonts w:asciiTheme="majorHAnsi" w:hAnsiTheme="majorHAnsi" w:cstheme="majorHAnsi"/>
                <w:szCs w:val="24"/>
              </w:rPr>
            </w:pPr>
          </w:p>
          <w:p w14:paraId="21F9B8C0"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1835</w:t>
            </w:r>
          </w:p>
        </w:tc>
        <w:tc>
          <w:tcPr>
            <w:tcW w:w="7297" w:type="dxa"/>
          </w:tcPr>
          <w:p w14:paraId="0431684F" w14:textId="77777777" w:rsidR="001F49FD" w:rsidRDefault="001F49FD">
            <w:pPr>
              <w:widowControl w:val="0"/>
              <w:spacing w:line="240" w:lineRule="auto"/>
              <w:ind w:firstLine="0"/>
              <w:rPr>
                <w:rFonts w:asciiTheme="majorHAnsi" w:hAnsiTheme="majorHAnsi" w:cstheme="majorHAnsi"/>
                <w:szCs w:val="24"/>
              </w:rPr>
            </w:pPr>
          </w:p>
          <w:p w14:paraId="767B47E8" w14:textId="77777777" w:rsidR="001F49FD" w:rsidRDefault="00611419">
            <w:pPr>
              <w:widowControl w:val="0"/>
              <w:spacing w:line="240" w:lineRule="auto"/>
              <w:ind w:firstLine="0"/>
              <w:rPr>
                <w:rFonts w:asciiTheme="majorHAnsi" w:hAnsiTheme="majorHAnsi" w:cstheme="majorHAnsi"/>
                <w:szCs w:val="24"/>
                <w:u w:val="single"/>
              </w:rPr>
            </w:pPr>
            <w:r>
              <w:rPr>
                <w:rFonts w:cstheme="majorHAnsi"/>
                <w:szCs w:val="24"/>
              </w:rPr>
              <w:t xml:space="preserve">Deixar cair os dedos de uma altura considerável para que eles tenham um pouco de impulso, </w:t>
            </w:r>
            <w:r>
              <w:rPr>
                <w:rFonts w:cstheme="majorHAnsi"/>
                <w:szCs w:val="24"/>
                <w:u w:val="single"/>
              </w:rPr>
              <w:t>a 1ª falange [distal] aprumada sobre a corda, porém sem estabelecer uma relação de perpendicularidade.</w:t>
            </w:r>
          </w:p>
          <w:p w14:paraId="72828BBC"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9837E8A" w14:textId="77777777">
        <w:tc>
          <w:tcPr>
            <w:tcW w:w="1149" w:type="dxa"/>
          </w:tcPr>
          <w:p w14:paraId="120BF2A6" w14:textId="77777777" w:rsidR="001F49FD" w:rsidRDefault="001F49FD">
            <w:pPr>
              <w:widowControl w:val="0"/>
              <w:spacing w:line="240" w:lineRule="auto"/>
              <w:ind w:firstLine="0"/>
              <w:rPr>
                <w:rFonts w:asciiTheme="majorHAnsi" w:hAnsiTheme="majorHAnsi" w:cstheme="majorHAnsi"/>
                <w:szCs w:val="24"/>
              </w:rPr>
            </w:pPr>
          </w:p>
          <w:p w14:paraId="6F6888A4"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36" w:type="dxa"/>
          </w:tcPr>
          <w:p w14:paraId="184F0094" w14:textId="77777777" w:rsidR="001F49FD" w:rsidRDefault="001F49FD">
            <w:pPr>
              <w:widowControl w:val="0"/>
              <w:spacing w:line="240" w:lineRule="auto"/>
              <w:ind w:firstLine="0"/>
              <w:rPr>
                <w:rFonts w:asciiTheme="majorHAnsi" w:hAnsiTheme="majorHAnsi" w:cstheme="majorHAnsi"/>
                <w:szCs w:val="24"/>
              </w:rPr>
            </w:pPr>
          </w:p>
          <w:p w14:paraId="29D5F12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7297" w:type="dxa"/>
          </w:tcPr>
          <w:p w14:paraId="0F903DC8" w14:textId="77777777" w:rsidR="001F49FD" w:rsidRDefault="001F49FD">
            <w:pPr>
              <w:widowControl w:val="0"/>
              <w:spacing w:line="240" w:lineRule="auto"/>
              <w:ind w:firstLine="0"/>
              <w:rPr>
                <w:rFonts w:asciiTheme="majorHAnsi" w:hAnsiTheme="majorHAnsi" w:cstheme="majorHAnsi"/>
                <w:szCs w:val="24"/>
              </w:rPr>
            </w:pPr>
          </w:p>
          <w:p w14:paraId="2B9EDD60" w14:textId="77777777" w:rsidR="001F49FD" w:rsidRDefault="00611419">
            <w:pPr>
              <w:widowControl w:val="0"/>
              <w:spacing w:line="240" w:lineRule="auto"/>
              <w:ind w:firstLine="0"/>
              <w:rPr>
                <w:rFonts w:asciiTheme="majorHAnsi" w:hAnsiTheme="majorHAnsi" w:cstheme="majorHAnsi"/>
                <w:bCs/>
                <w:szCs w:val="24"/>
                <w:shd w:val="clear" w:color="auto" w:fill="FFFFFF"/>
              </w:rPr>
            </w:pPr>
            <w:r>
              <w:rPr>
                <w:rFonts w:cstheme="majorHAnsi"/>
                <w:bCs/>
                <w:szCs w:val="24"/>
                <w:shd w:val="clear" w:color="auto" w:fill="FFFFFF"/>
              </w:rPr>
              <w:t>Quando os dedos estão colocados sobre a corda, eles não devem estar nem retos nem perpendiculares, mas arredondados de forma a não tocar as cordas vizinhas e assim evitar a sua vibração.</w:t>
            </w:r>
          </w:p>
          <w:p w14:paraId="089F7CCD"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0762BC10" w14:textId="77777777">
        <w:trPr>
          <w:trHeight w:val="2291"/>
        </w:trPr>
        <w:tc>
          <w:tcPr>
            <w:tcW w:w="1149" w:type="dxa"/>
          </w:tcPr>
          <w:p w14:paraId="749A6B91" w14:textId="77777777" w:rsidR="001F49FD" w:rsidRDefault="001F49FD">
            <w:pPr>
              <w:widowControl w:val="0"/>
              <w:spacing w:line="240" w:lineRule="auto"/>
              <w:ind w:firstLine="0"/>
              <w:rPr>
                <w:rFonts w:asciiTheme="majorHAnsi" w:hAnsiTheme="majorHAnsi" w:cstheme="majorHAnsi"/>
                <w:szCs w:val="24"/>
              </w:rPr>
            </w:pPr>
          </w:p>
          <w:p w14:paraId="631D880B"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Moser/</w:t>
            </w:r>
          </w:p>
          <w:p w14:paraId="7EF8FD43"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Joachim</w:t>
            </w:r>
          </w:p>
        </w:tc>
        <w:tc>
          <w:tcPr>
            <w:tcW w:w="836" w:type="dxa"/>
          </w:tcPr>
          <w:p w14:paraId="3118E96E" w14:textId="77777777" w:rsidR="001F49FD" w:rsidRDefault="001F49FD">
            <w:pPr>
              <w:widowControl w:val="0"/>
              <w:spacing w:line="240" w:lineRule="auto"/>
              <w:ind w:firstLine="0"/>
              <w:rPr>
                <w:rFonts w:asciiTheme="majorHAnsi" w:hAnsiTheme="majorHAnsi" w:cstheme="majorHAnsi"/>
                <w:szCs w:val="24"/>
              </w:rPr>
            </w:pPr>
          </w:p>
          <w:p w14:paraId="23BFDEA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1905</w:t>
            </w:r>
          </w:p>
        </w:tc>
        <w:tc>
          <w:tcPr>
            <w:tcW w:w="7297" w:type="dxa"/>
          </w:tcPr>
          <w:p w14:paraId="12CC8CC6" w14:textId="77777777" w:rsidR="001F49FD" w:rsidRDefault="001F49FD">
            <w:pPr>
              <w:widowControl w:val="0"/>
              <w:spacing w:line="240" w:lineRule="auto"/>
              <w:ind w:firstLine="0"/>
              <w:rPr>
                <w:rFonts w:asciiTheme="majorHAnsi" w:hAnsiTheme="majorHAnsi" w:cstheme="majorHAnsi"/>
                <w:szCs w:val="24"/>
              </w:rPr>
            </w:pPr>
          </w:p>
          <w:p w14:paraId="4C4149F1" w14:textId="77777777" w:rsidR="001F49FD" w:rsidRDefault="00611419">
            <w:pPr>
              <w:widowControl w:val="0"/>
              <w:spacing w:line="240" w:lineRule="auto"/>
              <w:ind w:firstLine="0"/>
              <w:rPr>
                <w:rFonts w:asciiTheme="majorHAnsi" w:hAnsiTheme="majorHAnsi" w:cstheme="majorHAnsi"/>
                <w:b/>
                <w:szCs w:val="24"/>
              </w:rPr>
            </w:pPr>
            <w:r>
              <w:rPr>
                <w:rFonts w:cstheme="majorHAnsi"/>
                <w:szCs w:val="24"/>
              </w:rPr>
              <w:t>Os dedos devem pousar perpendicularmente sobre as cordas e se elevar na mesma direção.</w:t>
            </w:r>
          </w:p>
          <w:p w14:paraId="7FBE7D5C" w14:textId="77777777" w:rsidR="001F49FD" w:rsidRDefault="001F49FD">
            <w:pPr>
              <w:widowControl w:val="0"/>
              <w:spacing w:line="240" w:lineRule="auto"/>
              <w:ind w:firstLine="0"/>
              <w:rPr>
                <w:rFonts w:asciiTheme="majorHAnsi" w:hAnsiTheme="majorHAnsi" w:cstheme="majorHAnsi"/>
                <w:szCs w:val="24"/>
              </w:rPr>
            </w:pPr>
          </w:p>
          <w:p w14:paraId="49DC3852" w14:textId="271EC341" w:rsidR="001F49FD" w:rsidRDefault="00611419">
            <w:pPr>
              <w:widowControl w:val="0"/>
              <w:spacing w:line="240" w:lineRule="auto"/>
              <w:ind w:firstLine="0"/>
              <w:rPr>
                <w:rFonts w:asciiTheme="majorHAnsi" w:hAnsiTheme="majorHAnsi" w:cstheme="majorHAnsi"/>
                <w:szCs w:val="24"/>
              </w:rPr>
            </w:pPr>
            <w:r>
              <w:rPr>
                <w:rFonts w:cstheme="majorHAnsi"/>
                <w:szCs w:val="24"/>
              </w:rPr>
              <w:t>Como o dedo mínimo é menor do que os demais</w:t>
            </w:r>
            <w:r w:rsidR="0035409F">
              <w:rPr>
                <w:rFonts w:cstheme="majorHAnsi"/>
                <w:szCs w:val="24"/>
              </w:rPr>
              <w:t>,</w:t>
            </w:r>
            <w:r>
              <w:rPr>
                <w:rFonts w:cstheme="majorHAnsi"/>
                <w:szCs w:val="24"/>
              </w:rPr>
              <w:t xml:space="preserve"> é necessário posicionar o cotovelo abaixo do violino, para que a parte mais espessa da palma da mão possa se aproximar do espelho até que a ação perpendicular dos dedos seja alcançada.</w:t>
            </w:r>
          </w:p>
          <w:p w14:paraId="20696C0C" w14:textId="77777777" w:rsidR="001F49FD" w:rsidRDefault="001F49FD">
            <w:pPr>
              <w:widowControl w:val="0"/>
              <w:spacing w:line="240" w:lineRule="auto"/>
              <w:ind w:firstLine="0"/>
              <w:rPr>
                <w:rFonts w:asciiTheme="majorHAnsi" w:hAnsiTheme="majorHAnsi" w:cstheme="majorHAnsi"/>
                <w:szCs w:val="24"/>
              </w:rPr>
            </w:pPr>
          </w:p>
        </w:tc>
      </w:tr>
      <w:tr w:rsidR="001F49FD" w14:paraId="26BE4475" w14:textId="77777777">
        <w:trPr>
          <w:trHeight w:val="1158"/>
        </w:trPr>
        <w:tc>
          <w:tcPr>
            <w:tcW w:w="1149" w:type="dxa"/>
          </w:tcPr>
          <w:p w14:paraId="71D57206" w14:textId="77777777" w:rsidR="001F49FD" w:rsidRDefault="001F49FD">
            <w:pPr>
              <w:widowControl w:val="0"/>
              <w:spacing w:line="240" w:lineRule="auto"/>
              <w:ind w:firstLine="0"/>
              <w:rPr>
                <w:rFonts w:asciiTheme="majorHAnsi" w:hAnsiTheme="majorHAnsi" w:cstheme="majorHAnsi"/>
                <w:szCs w:val="24"/>
              </w:rPr>
            </w:pPr>
          </w:p>
          <w:p w14:paraId="24844392"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36" w:type="dxa"/>
          </w:tcPr>
          <w:p w14:paraId="01210764" w14:textId="77777777" w:rsidR="001F49FD" w:rsidRDefault="001F49FD">
            <w:pPr>
              <w:widowControl w:val="0"/>
              <w:spacing w:line="240" w:lineRule="auto"/>
              <w:ind w:firstLine="0"/>
              <w:rPr>
                <w:rFonts w:asciiTheme="majorHAnsi" w:hAnsiTheme="majorHAnsi" w:cstheme="majorHAnsi"/>
                <w:szCs w:val="24"/>
              </w:rPr>
            </w:pPr>
          </w:p>
          <w:p w14:paraId="6B254883"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1921</w:t>
            </w:r>
          </w:p>
        </w:tc>
        <w:tc>
          <w:tcPr>
            <w:tcW w:w="7297" w:type="dxa"/>
          </w:tcPr>
          <w:p w14:paraId="105BCAD8" w14:textId="77777777" w:rsidR="001F49FD" w:rsidRDefault="001F49FD">
            <w:pPr>
              <w:widowControl w:val="0"/>
              <w:spacing w:line="240" w:lineRule="auto"/>
              <w:ind w:firstLine="0"/>
              <w:rPr>
                <w:rFonts w:asciiTheme="majorHAnsi" w:hAnsiTheme="majorHAnsi" w:cstheme="majorHAnsi"/>
                <w:szCs w:val="24"/>
              </w:rPr>
            </w:pPr>
          </w:p>
          <w:p w14:paraId="2C818C3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braço esquerdo deve ser trazido para frente, embaixo do violino, para que os dedos caiam perpendicularmente sobre as cordas.</w:t>
            </w:r>
          </w:p>
          <w:p w14:paraId="00ED32B0" w14:textId="77777777" w:rsidR="001F49FD" w:rsidRDefault="001F49FD">
            <w:pPr>
              <w:widowControl w:val="0"/>
              <w:spacing w:line="240" w:lineRule="auto"/>
              <w:ind w:firstLine="0"/>
              <w:rPr>
                <w:rFonts w:asciiTheme="majorHAnsi" w:hAnsiTheme="majorHAnsi" w:cstheme="majorHAnsi"/>
                <w:szCs w:val="24"/>
                <w:lang w:eastAsia="en-US"/>
              </w:rPr>
            </w:pPr>
          </w:p>
        </w:tc>
      </w:tr>
    </w:tbl>
    <w:tbl>
      <w:tblPr>
        <w:tblStyle w:val="Tabelacomgrade"/>
        <w:tblpPr w:leftFromText="141" w:rightFromText="141" w:vertAnchor="text" w:horzAnchor="margin" w:tblpX="108" w:tblpY="296"/>
        <w:tblW w:w="9322" w:type="dxa"/>
        <w:tblLayout w:type="fixed"/>
        <w:tblLook w:val="04A0" w:firstRow="1" w:lastRow="0" w:firstColumn="1" w:lastColumn="0" w:noHBand="0" w:noVBand="1"/>
      </w:tblPr>
      <w:tblGrid>
        <w:gridCol w:w="1149"/>
        <w:gridCol w:w="789"/>
        <w:gridCol w:w="7384"/>
      </w:tblGrid>
      <w:tr w:rsidR="001F49FD" w14:paraId="6E82CD10" w14:textId="77777777">
        <w:trPr>
          <w:trHeight w:val="1692"/>
        </w:trPr>
        <w:tc>
          <w:tcPr>
            <w:tcW w:w="1149" w:type="dxa"/>
          </w:tcPr>
          <w:p w14:paraId="6C551106" w14:textId="2F39A0DF" w:rsidR="001F49FD" w:rsidRDefault="001F49FD">
            <w:pPr>
              <w:widowControl w:val="0"/>
              <w:spacing w:line="240" w:lineRule="auto"/>
              <w:ind w:firstLine="0"/>
              <w:rPr>
                <w:rFonts w:ascii="Times New Roman" w:hAnsi="Times New Roman" w:cs="Times New Roman"/>
                <w:szCs w:val="24"/>
              </w:rPr>
            </w:pPr>
          </w:p>
          <w:p w14:paraId="167AF454" w14:textId="77777777" w:rsidR="001F49FD" w:rsidRDefault="00611419">
            <w:pPr>
              <w:widowControl w:val="0"/>
              <w:spacing w:line="240" w:lineRule="auto"/>
              <w:ind w:firstLine="0"/>
              <w:rPr>
                <w:rFonts w:ascii="Times New Roman" w:hAnsi="Times New Roman" w:cs="Times New Roman"/>
                <w:szCs w:val="24"/>
              </w:rPr>
            </w:pPr>
            <w:r>
              <w:rPr>
                <w:rFonts w:cstheme="majorHAnsi"/>
                <w:szCs w:val="24"/>
              </w:rPr>
              <w:t>Flesch</w:t>
            </w:r>
          </w:p>
        </w:tc>
        <w:tc>
          <w:tcPr>
            <w:tcW w:w="789" w:type="dxa"/>
          </w:tcPr>
          <w:p w14:paraId="05FBEDFF" w14:textId="77777777" w:rsidR="001F49FD" w:rsidRDefault="001F49FD">
            <w:pPr>
              <w:widowControl w:val="0"/>
              <w:spacing w:line="240" w:lineRule="auto"/>
              <w:ind w:firstLine="0"/>
              <w:rPr>
                <w:rFonts w:ascii="Times New Roman" w:hAnsi="Times New Roman" w:cs="Times New Roman"/>
                <w:szCs w:val="24"/>
              </w:rPr>
            </w:pPr>
          </w:p>
          <w:p w14:paraId="2CE5FAF2" w14:textId="77777777" w:rsidR="001F49FD" w:rsidRDefault="00611419">
            <w:pPr>
              <w:widowControl w:val="0"/>
              <w:spacing w:line="240" w:lineRule="auto"/>
              <w:ind w:firstLine="0"/>
              <w:rPr>
                <w:rFonts w:ascii="Times New Roman" w:hAnsi="Times New Roman" w:cs="Times New Roman"/>
                <w:szCs w:val="24"/>
              </w:rPr>
            </w:pPr>
            <w:r>
              <w:rPr>
                <w:rFonts w:cstheme="majorHAnsi"/>
                <w:szCs w:val="24"/>
              </w:rPr>
              <w:t>1928</w:t>
            </w:r>
          </w:p>
        </w:tc>
        <w:tc>
          <w:tcPr>
            <w:tcW w:w="7384" w:type="dxa"/>
          </w:tcPr>
          <w:p w14:paraId="0DD8EF4F" w14:textId="77777777" w:rsidR="001F49FD" w:rsidRDefault="001F49FD">
            <w:pPr>
              <w:widowControl w:val="0"/>
              <w:spacing w:line="240" w:lineRule="auto"/>
              <w:ind w:firstLine="0"/>
              <w:rPr>
                <w:rFonts w:ascii="Times New Roman" w:hAnsi="Times New Roman" w:cs="Times New Roman"/>
                <w:szCs w:val="24"/>
              </w:rPr>
            </w:pPr>
          </w:p>
          <w:p w14:paraId="5661518F" w14:textId="61882D59"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color w:val="222222"/>
                <w:szCs w:val="24"/>
                <w:shd w:val="clear" w:color="auto" w:fill="FFFFFF"/>
              </w:rPr>
              <w:t xml:space="preserve">É pela lateral de sua terceira articulação </w:t>
            </w:r>
            <w:r>
              <w:rPr>
                <w:shd w:val="clear" w:color="auto" w:fill="FFFFFF"/>
              </w:rPr>
              <w:t>[metacarpo</w:t>
            </w:r>
            <w:r w:rsidR="00817B85">
              <w:rPr>
                <w:shd w:val="clear" w:color="auto" w:fill="FFFFFF"/>
              </w:rPr>
              <w:t xml:space="preserve"> </w:t>
            </w:r>
            <w:r>
              <w:rPr>
                <w:shd w:val="clear" w:color="auto" w:fill="FFFFFF"/>
              </w:rPr>
              <w:t xml:space="preserve">falangeana] </w:t>
            </w:r>
            <w:r>
              <w:rPr>
                <w:rFonts w:cstheme="majorHAnsi"/>
                <w:color w:val="222222"/>
                <w:szCs w:val="24"/>
                <w:shd w:val="clear" w:color="auto" w:fill="FFFFFF"/>
              </w:rPr>
              <w:t>que o dedo deve encostar-se ao braço do violino e não pela sua parte inferior, pois isso acarretaria para o antebraço uma contorção ainda mais penosa do que aquela à qual já é submetido devido ao formato do instrumento.</w:t>
            </w:r>
          </w:p>
        </w:tc>
      </w:tr>
      <w:tr w:rsidR="001F49FD" w14:paraId="46F771C9" w14:textId="77777777">
        <w:trPr>
          <w:trHeight w:val="2139"/>
        </w:trPr>
        <w:tc>
          <w:tcPr>
            <w:tcW w:w="1149" w:type="dxa"/>
          </w:tcPr>
          <w:p w14:paraId="2B01D128" w14:textId="77777777" w:rsidR="001F49FD" w:rsidRDefault="001F49FD">
            <w:pPr>
              <w:widowControl w:val="0"/>
              <w:spacing w:line="240" w:lineRule="auto"/>
              <w:ind w:firstLine="0"/>
              <w:rPr>
                <w:rFonts w:ascii="Times New Roman" w:hAnsi="Times New Roman" w:cs="Times New Roman"/>
                <w:szCs w:val="24"/>
              </w:rPr>
            </w:pPr>
          </w:p>
          <w:p w14:paraId="7FC1A632" w14:textId="77777777" w:rsidR="001F49FD" w:rsidRDefault="00611419">
            <w:pPr>
              <w:widowControl w:val="0"/>
              <w:spacing w:line="240" w:lineRule="auto"/>
              <w:ind w:firstLine="0"/>
              <w:rPr>
                <w:rFonts w:ascii="Times New Roman" w:hAnsi="Times New Roman" w:cs="Times New Roman"/>
                <w:szCs w:val="24"/>
                <w:lang w:eastAsia="en-US"/>
              </w:rPr>
            </w:pPr>
            <w:proofErr w:type="spellStart"/>
            <w:r>
              <w:rPr>
                <w:rFonts w:cs="Times New Roman"/>
                <w:szCs w:val="24"/>
              </w:rPr>
              <w:t>Galamian</w:t>
            </w:r>
            <w:proofErr w:type="spellEnd"/>
          </w:p>
        </w:tc>
        <w:tc>
          <w:tcPr>
            <w:tcW w:w="789" w:type="dxa"/>
          </w:tcPr>
          <w:p w14:paraId="4311D4FC" w14:textId="77777777" w:rsidR="001F49FD" w:rsidRDefault="001F49FD">
            <w:pPr>
              <w:widowControl w:val="0"/>
              <w:spacing w:line="240" w:lineRule="auto"/>
              <w:ind w:firstLine="0"/>
              <w:rPr>
                <w:rFonts w:ascii="Times New Roman" w:hAnsi="Times New Roman" w:cs="Times New Roman"/>
                <w:szCs w:val="24"/>
              </w:rPr>
            </w:pPr>
          </w:p>
          <w:p w14:paraId="1E24951A"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rPr>
              <w:t>1962</w:t>
            </w:r>
          </w:p>
        </w:tc>
        <w:tc>
          <w:tcPr>
            <w:tcW w:w="7384" w:type="dxa"/>
          </w:tcPr>
          <w:p w14:paraId="7C78B9D8" w14:textId="77777777" w:rsidR="001F49FD" w:rsidRDefault="001F49FD">
            <w:pPr>
              <w:widowControl w:val="0"/>
              <w:spacing w:line="240" w:lineRule="auto"/>
              <w:ind w:firstLine="0"/>
              <w:rPr>
                <w:rFonts w:ascii="Times New Roman" w:hAnsi="Times New Roman" w:cs="Times New Roman"/>
                <w:szCs w:val="24"/>
              </w:rPr>
            </w:pPr>
          </w:p>
          <w:p w14:paraId="3E7E8489" w14:textId="77777777" w:rsidR="001F49FD" w:rsidRDefault="00611419">
            <w:pPr>
              <w:widowControl w:val="0"/>
              <w:spacing w:line="240" w:lineRule="auto"/>
              <w:ind w:firstLine="0"/>
              <w:rPr>
                <w:rFonts w:ascii="Times New Roman" w:hAnsi="Times New Roman"/>
              </w:rPr>
            </w:pPr>
            <w:r>
              <w:t>Há uma corrente que defende que as articulações da base da mão esquerda devem estar paralelas às cordas. Tal posição não é natural e cria uma tensão devido à rotação excessiva da mão e do antebraço.</w:t>
            </w:r>
          </w:p>
          <w:p w14:paraId="16AF595C" w14:textId="77777777" w:rsidR="001F49FD" w:rsidRDefault="001F49FD">
            <w:pPr>
              <w:widowControl w:val="0"/>
              <w:spacing w:line="240" w:lineRule="auto"/>
              <w:ind w:firstLine="0"/>
              <w:rPr>
                <w:rFonts w:ascii="Times New Roman" w:hAnsi="Times New Roman" w:cs="Times New Roman"/>
                <w:szCs w:val="24"/>
              </w:rPr>
            </w:pPr>
          </w:p>
          <w:p w14:paraId="6003CCE0"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As pontas dos dedos descem perpendicularmente tanto na posição quadrada quanto na posição alongada, dependendo da nota tocada.</w:t>
            </w:r>
          </w:p>
          <w:p w14:paraId="0CD79EE5" w14:textId="77777777" w:rsidR="001F49FD" w:rsidRDefault="001F49FD">
            <w:pPr>
              <w:widowControl w:val="0"/>
              <w:spacing w:line="240" w:lineRule="auto"/>
              <w:ind w:firstLine="0"/>
              <w:rPr>
                <w:rFonts w:ascii="Times New Roman" w:hAnsi="Times New Roman" w:cs="Times New Roman"/>
                <w:szCs w:val="24"/>
                <w:lang w:eastAsia="en-US"/>
              </w:rPr>
            </w:pPr>
          </w:p>
        </w:tc>
      </w:tr>
      <w:tr w:rsidR="001F49FD" w14:paraId="5F3ACD72" w14:textId="77777777">
        <w:trPr>
          <w:trHeight w:val="404"/>
        </w:trPr>
        <w:tc>
          <w:tcPr>
            <w:tcW w:w="1149" w:type="dxa"/>
          </w:tcPr>
          <w:p w14:paraId="1DD50782" w14:textId="77777777" w:rsidR="001F49FD" w:rsidRDefault="001F49FD">
            <w:pPr>
              <w:widowControl w:val="0"/>
              <w:spacing w:line="240" w:lineRule="auto"/>
              <w:ind w:firstLine="0"/>
              <w:rPr>
                <w:rFonts w:ascii="Times New Roman" w:hAnsi="Times New Roman" w:cs="Times New Roman"/>
                <w:szCs w:val="24"/>
              </w:rPr>
            </w:pPr>
          </w:p>
          <w:p w14:paraId="108DD7C0"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Fisher</w:t>
            </w:r>
          </w:p>
        </w:tc>
        <w:tc>
          <w:tcPr>
            <w:tcW w:w="789" w:type="dxa"/>
          </w:tcPr>
          <w:p w14:paraId="2C9AAC34" w14:textId="77777777" w:rsidR="001F49FD" w:rsidRDefault="001F49FD">
            <w:pPr>
              <w:widowControl w:val="0"/>
              <w:spacing w:line="240" w:lineRule="auto"/>
              <w:ind w:firstLine="0"/>
              <w:rPr>
                <w:rFonts w:ascii="Times New Roman" w:hAnsi="Times New Roman" w:cs="Times New Roman"/>
                <w:szCs w:val="24"/>
              </w:rPr>
            </w:pPr>
          </w:p>
          <w:p w14:paraId="44CD1D5C"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2004</w:t>
            </w:r>
          </w:p>
        </w:tc>
        <w:tc>
          <w:tcPr>
            <w:tcW w:w="7384" w:type="dxa"/>
          </w:tcPr>
          <w:p w14:paraId="0BEC1D6E" w14:textId="77777777" w:rsidR="001F49FD" w:rsidRDefault="001F49FD">
            <w:pPr>
              <w:widowControl w:val="0"/>
              <w:spacing w:line="240" w:lineRule="auto"/>
              <w:ind w:firstLine="0"/>
              <w:rPr>
                <w:rFonts w:ascii="Times New Roman" w:hAnsi="Times New Roman" w:cs="Times New Roman"/>
                <w:szCs w:val="24"/>
              </w:rPr>
            </w:pPr>
          </w:p>
          <w:p w14:paraId="7C31B19D" w14:textId="77777777" w:rsidR="001F49FD" w:rsidRDefault="00611419">
            <w:pPr>
              <w:widowControl w:val="0"/>
              <w:spacing w:line="240" w:lineRule="auto"/>
              <w:ind w:firstLine="0"/>
              <w:rPr>
                <w:rFonts w:ascii="Times New Roman" w:hAnsi="Times New Roman"/>
              </w:rPr>
            </w:pPr>
            <w:r>
              <w:t>Nas posições baixas, a lateral do dedo indicador deve encostar-se contínua e levemente ao braço do violino.</w:t>
            </w:r>
          </w:p>
          <w:p w14:paraId="1977DE21" w14:textId="77777777" w:rsidR="001F49FD" w:rsidRDefault="001F49FD">
            <w:pPr>
              <w:widowControl w:val="0"/>
              <w:spacing w:line="240" w:lineRule="auto"/>
              <w:ind w:firstLine="0"/>
              <w:rPr>
                <w:rFonts w:ascii="Times New Roman" w:hAnsi="Times New Roman"/>
              </w:rPr>
            </w:pPr>
          </w:p>
          <w:p w14:paraId="269168D6" w14:textId="77777777" w:rsidR="001F49FD" w:rsidRDefault="00611419">
            <w:pPr>
              <w:widowControl w:val="0"/>
              <w:spacing w:line="240" w:lineRule="auto"/>
              <w:ind w:firstLine="0"/>
            </w:pPr>
            <w:r>
              <w:rPr>
                <w:rFonts w:cstheme="majorHAnsi"/>
                <w:szCs w:val="24"/>
              </w:rPr>
              <w:t>[...] pousar os dedos muito à direita do centro de suas pontas, a fim de manter as articulações paralelas ao braço do violino, pode causar tensão. O ângulo mais natural das articulações de base varia para cada violinista.</w:t>
            </w:r>
          </w:p>
          <w:p w14:paraId="336FB335" w14:textId="77777777" w:rsidR="001F49FD" w:rsidRDefault="001F49FD">
            <w:pPr>
              <w:widowControl w:val="0"/>
              <w:spacing w:line="240" w:lineRule="auto"/>
              <w:ind w:firstLine="0"/>
              <w:rPr>
                <w:rFonts w:ascii="Times New Roman" w:hAnsi="Times New Roman" w:cs="Times New Roman"/>
                <w:szCs w:val="24"/>
              </w:rPr>
            </w:pPr>
          </w:p>
        </w:tc>
      </w:tr>
    </w:tbl>
    <w:p w14:paraId="6DE87C68" w14:textId="77777777" w:rsidR="001F49FD" w:rsidRDefault="001F49FD">
      <w:pPr>
        <w:ind w:firstLine="0"/>
        <w:rPr>
          <w:rFonts w:ascii="Times New Roman" w:hAnsi="Times New Roman" w:cs="Times New Roman"/>
          <w:b/>
          <w:szCs w:val="24"/>
        </w:rPr>
      </w:pPr>
    </w:p>
    <w:p w14:paraId="0AF99480" w14:textId="481E89F9" w:rsidR="001F49FD" w:rsidRDefault="00611419" w:rsidP="00B93F90">
      <w:pPr>
        <w:pStyle w:val="PargrafodaLista"/>
        <w:ind w:left="0" w:firstLine="709"/>
        <w:rPr>
          <w:rFonts w:ascii="Times New Roman" w:hAnsi="Times New Roman" w:cs="Times New Roman"/>
          <w:szCs w:val="24"/>
        </w:rPr>
      </w:pPr>
      <w:r>
        <w:rPr>
          <w:rFonts w:cs="Times New Roman"/>
          <w:szCs w:val="24"/>
        </w:rPr>
        <w:t>Denominamos como Posicionamento do dedo indicador,</w:t>
      </w:r>
      <w:r>
        <w:rPr>
          <w:rFonts w:cs="Times New Roman"/>
          <w:i/>
          <w:szCs w:val="24"/>
        </w:rPr>
        <w:t xml:space="preserve"> </w:t>
      </w:r>
      <w:r>
        <w:rPr>
          <w:rFonts w:cs="Times New Roman"/>
          <w:szCs w:val="24"/>
        </w:rPr>
        <w:t xml:space="preserve">o elemento técnico que concerne </w:t>
      </w:r>
      <w:r w:rsidR="0035409F">
        <w:rPr>
          <w:rFonts w:cs="Times New Roman"/>
          <w:szCs w:val="24"/>
        </w:rPr>
        <w:t>a</w:t>
      </w:r>
      <w:r>
        <w:rPr>
          <w:rFonts w:cs="Times New Roman"/>
          <w:szCs w:val="24"/>
        </w:rPr>
        <w:t>o seu contato permanente ou</w:t>
      </w:r>
      <w:r w:rsidR="0035409F">
        <w:rPr>
          <w:rFonts w:cs="Times New Roman"/>
          <w:szCs w:val="24"/>
        </w:rPr>
        <w:t xml:space="preserve"> à</w:t>
      </w:r>
      <w:r>
        <w:rPr>
          <w:rFonts w:cs="Times New Roman"/>
          <w:szCs w:val="24"/>
        </w:rPr>
        <w:t xml:space="preserve"> sua eventual distância do braço do violino nas quatro primeiras posições. Poder-se-ia considerar que esse aspecto já está implícito no </w:t>
      </w:r>
      <w:r w:rsidR="0035409F">
        <w:rPr>
          <w:rFonts w:cs="Times New Roman"/>
          <w:szCs w:val="24"/>
        </w:rPr>
        <w:t>q</w:t>
      </w:r>
      <w:r>
        <w:rPr>
          <w:rFonts w:cs="Times New Roman"/>
          <w:szCs w:val="24"/>
        </w:rPr>
        <w:t xml:space="preserve">uadro precedente, uma vez que, se há um ponto de contato, ele está forçosamente encostado ao braço do violino. No entanto, observamos que essa lógica não procede, e os dois temas devem ser abordados separadamente. Spohr e </w:t>
      </w:r>
      <w:proofErr w:type="spellStart"/>
      <w:r>
        <w:rPr>
          <w:rFonts w:cs="Times New Roman"/>
          <w:szCs w:val="24"/>
        </w:rPr>
        <w:t>Baillot</w:t>
      </w:r>
      <w:proofErr w:type="spellEnd"/>
      <w:r>
        <w:rPr>
          <w:rFonts w:cs="Times New Roman"/>
          <w:szCs w:val="24"/>
        </w:rPr>
        <w:t xml:space="preserve"> não abordam claramente a questão, mas podemos supor que o primeiro determina certa distância, ao passo que </w:t>
      </w:r>
      <w:proofErr w:type="spellStart"/>
      <w:r>
        <w:rPr>
          <w:rFonts w:cs="Times New Roman"/>
          <w:szCs w:val="24"/>
        </w:rPr>
        <w:t>Baillot</w:t>
      </w:r>
      <w:proofErr w:type="spellEnd"/>
      <w:r>
        <w:rPr>
          <w:rFonts w:cs="Times New Roman"/>
          <w:szCs w:val="24"/>
        </w:rPr>
        <w:t xml:space="preserve"> preconiza o contato do dedo no braço do violino. No século XX, Flesch e Fischer estabelecem claramente que a lateral do dedo indicador deve estar encostada ao braço do violino, embora não esclareçam os conceitos que regem essa premissa. </w:t>
      </w:r>
    </w:p>
    <w:p w14:paraId="23C2A993" w14:textId="77777777" w:rsidR="001F49FD" w:rsidRDefault="00611419" w:rsidP="00B93F90">
      <w:pPr>
        <w:pStyle w:val="PargrafodaLista"/>
        <w:ind w:left="0" w:firstLine="709"/>
        <w:rPr>
          <w:rFonts w:ascii="Times New Roman" w:hAnsi="Times New Roman" w:cs="Times New Roman"/>
          <w:szCs w:val="24"/>
        </w:rPr>
      </w:pPr>
      <w:r>
        <w:rPr>
          <w:rFonts w:cs="Times New Roman"/>
          <w:szCs w:val="24"/>
        </w:rPr>
        <w:t xml:space="preserve">Dentre os elementos da técnica de mão esquerda examinados, o ângulo da mão com relação ao braço do violino é o tema mais complexo, apresentando grandes divergências nos registros. Para verificarmos esses preceitos é preciso considerar cuidadosamente a utilização dos termos </w:t>
      </w:r>
      <w:r>
        <w:rPr>
          <w:rFonts w:cs="Times New Roman"/>
          <w:i/>
          <w:szCs w:val="24"/>
        </w:rPr>
        <w:t>perpendicularidade</w:t>
      </w:r>
      <w:r>
        <w:rPr>
          <w:rFonts w:cs="Times New Roman"/>
          <w:szCs w:val="24"/>
        </w:rPr>
        <w:t xml:space="preserve"> e </w:t>
      </w:r>
      <w:r>
        <w:rPr>
          <w:rFonts w:cs="Times New Roman"/>
          <w:i/>
          <w:szCs w:val="24"/>
        </w:rPr>
        <w:t>paralelismo</w:t>
      </w:r>
      <w:r>
        <w:rPr>
          <w:rFonts w:cs="Times New Roman"/>
          <w:szCs w:val="24"/>
        </w:rPr>
        <w:t xml:space="preserve"> tanto para a mão como para os dedos ou mesmo a ponta dos dedos. Por exemplo: quando os dedos têm uma relação de perpendicularidade com as cordas, a mão (ou a base dos dedos) encontra-se paralela ao braço do violino.</w:t>
      </w:r>
    </w:p>
    <w:p w14:paraId="7DF03348" w14:textId="77777777" w:rsidR="001F49FD" w:rsidRDefault="001F49FD">
      <w:pPr>
        <w:pStyle w:val="Recuodecorpodetexto"/>
        <w:ind w:left="283" w:firstLine="1134"/>
      </w:pPr>
    </w:p>
    <w:p w14:paraId="02EC4AEB" w14:textId="77777777" w:rsidR="001F49FD" w:rsidRDefault="00611419">
      <w:pPr>
        <w:pStyle w:val="Recuodecorpodetexto"/>
        <w:ind w:left="283" w:firstLine="0"/>
        <w:jc w:val="center"/>
      </w:pPr>
      <w:r>
        <w:rPr>
          <w:noProof/>
        </w:rPr>
        <w:lastRenderedPageBreak/>
        <w:drawing>
          <wp:inline distT="0" distB="0" distL="0" distR="0" wp14:anchorId="50BFB119" wp14:editId="64F9E013">
            <wp:extent cx="2571750" cy="2037715"/>
            <wp:effectExtent l="0" t="0" r="0" b="0"/>
            <wp:docPr id="12" name="Imagem 13" descr="Resultado de imagem para violin left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3" descr="Resultado de imagem para violin left hand"/>
                    <pic:cNvPicPr>
                      <a:picLocks noChangeAspect="1" noChangeArrowheads="1"/>
                    </pic:cNvPicPr>
                  </pic:nvPicPr>
                  <pic:blipFill>
                    <a:blip r:embed="rId24"/>
                    <a:stretch>
                      <a:fillRect/>
                    </a:stretch>
                  </pic:blipFill>
                  <pic:spPr bwMode="auto">
                    <a:xfrm>
                      <a:off x="0" y="0"/>
                      <a:ext cx="2571750" cy="2037715"/>
                    </a:xfrm>
                    <a:prstGeom prst="rect">
                      <a:avLst/>
                    </a:prstGeom>
                  </pic:spPr>
                </pic:pic>
              </a:graphicData>
            </a:graphic>
          </wp:inline>
        </w:drawing>
      </w:r>
    </w:p>
    <w:p w14:paraId="3E02D34B" w14:textId="68C75CE4" w:rsidR="001F49FD" w:rsidRDefault="00611419">
      <w:pPr>
        <w:pStyle w:val="Recuodecorpodetexto"/>
        <w:spacing w:line="240" w:lineRule="auto"/>
        <w:ind w:left="283" w:firstLine="0"/>
        <w:jc w:val="center"/>
        <w:rPr>
          <w:sz w:val="20"/>
          <w:szCs w:val="20"/>
        </w:rPr>
      </w:pPr>
      <w:r>
        <w:rPr>
          <w:b/>
          <w:sz w:val="20"/>
          <w:szCs w:val="20"/>
        </w:rPr>
        <w:t>Figura 12</w:t>
      </w:r>
      <w:r>
        <w:rPr>
          <w:sz w:val="20"/>
          <w:szCs w:val="20"/>
        </w:rPr>
        <w:t xml:space="preserve">: posição extremada para </w:t>
      </w:r>
      <w:r w:rsidR="00393CC4">
        <w:rPr>
          <w:sz w:val="20"/>
          <w:szCs w:val="20"/>
        </w:rPr>
        <w:t>exemplificar</w:t>
      </w:r>
      <w:r>
        <w:rPr>
          <w:sz w:val="20"/>
          <w:szCs w:val="20"/>
        </w:rPr>
        <w:t xml:space="preserve"> a perpendicularidade dos dedos com relação às cordas e o paralelismo da base da mão com relação ao braço do violino. </w:t>
      </w:r>
    </w:p>
    <w:p w14:paraId="0D70A763" w14:textId="77777777" w:rsidR="001F49FD" w:rsidRDefault="001F49FD">
      <w:pPr>
        <w:pStyle w:val="Recuodecorpodetexto"/>
        <w:ind w:left="283" w:firstLine="0"/>
        <w:rPr>
          <w:rFonts w:ascii="Times New Roman" w:hAnsi="Times New Roman" w:cs="Times New Roman"/>
          <w:szCs w:val="24"/>
        </w:rPr>
      </w:pPr>
    </w:p>
    <w:p w14:paraId="35D241DB" w14:textId="77777777" w:rsidR="001F49FD" w:rsidRPr="00817B85" w:rsidRDefault="00611419" w:rsidP="00B93F90">
      <w:pPr>
        <w:pStyle w:val="Recuodecorpodetexto"/>
        <w:ind w:firstLine="709"/>
        <w:rPr>
          <w:rFonts w:cs="Times New Roman"/>
          <w:szCs w:val="24"/>
        </w:rPr>
      </w:pPr>
      <w:r w:rsidRPr="00817B85">
        <w:rPr>
          <w:rFonts w:cs="Times New Roman"/>
          <w:szCs w:val="24"/>
        </w:rPr>
        <w:t xml:space="preserve">Assim, os preceitos de cada autor devem ser analisados cautelosamente, para </w:t>
      </w:r>
      <w:r>
        <w:rPr>
          <w:rFonts w:cs="Times New Roman"/>
          <w:szCs w:val="24"/>
        </w:rPr>
        <w:t>que possamos compreender seus efeitos:</w:t>
      </w:r>
    </w:p>
    <w:p w14:paraId="5E352D92" w14:textId="269BCB7A" w:rsidR="001F49FD" w:rsidRPr="00817B85" w:rsidRDefault="00611419" w:rsidP="00B93F90">
      <w:pPr>
        <w:pStyle w:val="Recuodecorpodetexto"/>
        <w:ind w:firstLine="709"/>
        <w:rPr>
          <w:rFonts w:cs="Times New Roman"/>
          <w:szCs w:val="24"/>
        </w:rPr>
      </w:pPr>
      <w:r w:rsidRPr="00817B85">
        <w:rPr>
          <w:rFonts w:cs="Times New Roman"/>
          <w:szCs w:val="24"/>
        </w:rPr>
        <w:t xml:space="preserve">A orientação de Spohr de posicionar “a parte da mão abaixo do dedo mínimo o mais próximo possível do espelho” sugere a relação de perpendicularidade dos dedos, contrapondo-se ao preceito de </w:t>
      </w:r>
      <w:proofErr w:type="spellStart"/>
      <w:r w:rsidRPr="00817B85">
        <w:rPr>
          <w:rFonts w:cs="Times New Roman"/>
          <w:szCs w:val="24"/>
        </w:rPr>
        <w:t>Baillot</w:t>
      </w:r>
      <w:proofErr w:type="spellEnd"/>
      <w:r w:rsidRPr="00817B85">
        <w:rPr>
          <w:rFonts w:cs="Times New Roman"/>
          <w:szCs w:val="24"/>
        </w:rPr>
        <w:t>, pois</w:t>
      </w:r>
      <w:r w:rsidR="0035409F" w:rsidRPr="00817B85">
        <w:rPr>
          <w:rFonts w:cs="Times New Roman"/>
          <w:szCs w:val="24"/>
        </w:rPr>
        <w:t>,</w:t>
      </w:r>
      <w:r w:rsidRPr="00817B85">
        <w:rPr>
          <w:rFonts w:cs="Times New Roman"/>
          <w:szCs w:val="24"/>
        </w:rPr>
        <w:t xml:space="preserve"> para o violinista francês os dedos devem ser acionados na direção da corda, uma vez que preconiza “a falange distal aprumada sobre a corda sem estabelecer uma relação de perpendicularidade”. Em seguida, ao passo que </w:t>
      </w:r>
      <w:proofErr w:type="spellStart"/>
      <w:r w:rsidRPr="00817B85">
        <w:rPr>
          <w:rFonts w:cs="Times New Roman"/>
          <w:szCs w:val="24"/>
        </w:rPr>
        <w:t>Bériot</w:t>
      </w:r>
      <w:proofErr w:type="spellEnd"/>
      <w:r w:rsidRPr="00817B85">
        <w:rPr>
          <w:rFonts w:cs="Times New Roman"/>
          <w:szCs w:val="24"/>
        </w:rPr>
        <w:t xml:space="preserve"> é impreciso ao abordar o tema – procura apenas indicar o grau ideal de curvatura dos dedos –</w:t>
      </w:r>
      <w:r w:rsidR="00817B85">
        <w:rPr>
          <w:rFonts w:cs="Times New Roman"/>
          <w:szCs w:val="24"/>
        </w:rPr>
        <w:t>,</w:t>
      </w:r>
      <w:r w:rsidRPr="00817B85">
        <w:rPr>
          <w:rFonts w:cs="Times New Roman"/>
          <w:szCs w:val="24"/>
        </w:rPr>
        <w:t xml:space="preserve"> Moser/Joachim preconizam com clareza a perpendicularidade dos dedos sobre as cordas que, somada à menção de aproximação da parte mais espessa da palma da mão do espelho, assemelha-se ao preceito de Spohr, demonstrando uma perenidade da tradição germânica nesse aspecto. Concluímos então que, no conjunto de autores do século XIX estudados, trata-se do primeiro elemento técnico – incluindo os itens previamente analisados referentes à postura corporal – significativamente divergente entre as correntes germânica e francesa.</w:t>
      </w:r>
    </w:p>
    <w:p w14:paraId="39223107" w14:textId="77777777" w:rsidR="001F49FD" w:rsidRDefault="00611419" w:rsidP="00B93F90">
      <w:pPr>
        <w:pStyle w:val="PargrafodaLista"/>
        <w:ind w:left="0" w:firstLine="709"/>
        <w:rPr>
          <w:rFonts w:ascii="Times New Roman" w:hAnsi="Times New Roman" w:cs="Times New Roman"/>
          <w:szCs w:val="24"/>
        </w:rPr>
      </w:pPr>
      <w:r>
        <w:rPr>
          <w:rFonts w:cs="Times New Roman"/>
          <w:szCs w:val="24"/>
        </w:rPr>
        <w:t xml:space="preserve">O preceito de </w:t>
      </w:r>
      <w:proofErr w:type="spellStart"/>
      <w:r>
        <w:rPr>
          <w:rFonts w:cs="Times New Roman"/>
          <w:szCs w:val="24"/>
        </w:rPr>
        <w:t>Auer</w:t>
      </w:r>
      <w:proofErr w:type="spellEnd"/>
      <w:r>
        <w:rPr>
          <w:rFonts w:cs="Times New Roman"/>
          <w:szCs w:val="24"/>
        </w:rPr>
        <w:t xml:space="preserve"> não deixa dúvidas sobre sua identificação com o posicionamento dos autores germânicos. Inversamente, Flesch repudia a contorção [supinação] do antebraço, necessária para a posição perpendicular dos dedos – e preconiza que “é o lado lateral do dedo indicador que deve encostar-se ao braço do violino”, aproximando-se, portanto, do conceito de </w:t>
      </w:r>
      <w:proofErr w:type="spellStart"/>
      <w:r>
        <w:rPr>
          <w:rFonts w:cs="Times New Roman"/>
          <w:szCs w:val="24"/>
        </w:rPr>
        <w:t>Baillot</w:t>
      </w:r>
      <w:proofErr w:type="spellEnd"/>
      <w:r>
        <w:rPr>
          <w:rFonts w:cs="Times New Roman"/>
          <w:szCs w:val="24"/>
        </w:rPr>
        <w:t xml:space="preserve">. Coincidentemente ou não, ambos os autores estabelecem princípios coerentes com sua formação, pois, como vimos, </w:t>
      </w:r>
      <w:proofErr w:type="spellStart"/>
      <w:r>
        <w:rPr>
          <w:rFonts w:cs="Times New Roman"/>
          <w:szCs w:val="24"/>
        </w:rPr>
        <w:t>Auer</w:t>
      </w:r>
      <w:proofErr w:type="spellEnd"/>
      <w:r>
        <w:rPr>
          <w:rFonts w:cs="Times New Roman"/>
          <w:szCs w:val="24"/>
        </w:rPr>
        <w:t xml:space="preserve"> foi aluno de Joachim e Flesch estudou no Conservatório de Paris. </w:t>
      </w:r>
    </w:p>
    <w:p w14:paraId="1C75AD7C" w14:textId="7BF56E09" w:rsidR="00B93F90" w:rsidRPr="000A6E65" w:rsidRDefault="00611419" w:rsidP="000A6E65">
      <w:pPr>
        <w:pStyle w:val="PargrafodaLista"/>
        <w:tabs>
          <w:tab w:val="left" w:pos="1985"/>
        </w:tabs>
        <w:ind w:left="0" w:firstLine="709"/>
        <w:rPr>
          <w:rFonts w:cs="Times New Roman"/>
          <w:szCs w:val="24"/>
        </w:rPr>
      </w:pPr>
      <w:r>
        <w:rPr>
          <w:rFonts w:cs="Times New Roman"/>
          <w:szCs w:val="24"/>
        </w:rPr>
        <w:t xml:space="preserve">À primeira vista, as duas orientações de </w:t>
      </w:r>
      <w:proofErr w:type="spellStart"/>
      <w:r>
        <w:rPr>
          <w:rFonts w:cs="Times New Roman"/>
          <w:szCs w:val="24"/>
        </w:rPr>
        <w:t>Galamian</w:t>
      </w:r>
      <w:proofErr w:type="spellEnd"/>
      <w:r>
        <w:rPr>
          <w:rFonts w:cs="Times New Roman"/>
          <w:szCs w:val="24"/>
        </w:rPr>
        <w:t xml:space="preserve"> podem parecer ambíguas, entretanto são complementares: a primeira refuta a base das falanges da mão em posição paralela às </w:t>
      </w:r>
      <w:r>
        <w:rPr>
          <w:rFonts w:cs="Times New Roman"/>
          <w:szCs w:val="24"/>
        </w:rPr>
        <w:lastRenderedPageBreak/>
        <w:t xml:space="preserve">cordas – que, como aclarado anteriormente, implicaria na ação perpendicular dos dedos (e sua justificativa para tal é a mesma de Flesch: evitar uma excessiva contorção do antebraço). Na segunda, o termo </w:t>
      </w:r>
      <w:r>
        <w:rPr>
          <w:rFonts w:cs="Times New Roman"/>
          <w:i/>
          <w:szCs w:val="24"/>
        </w:rPr>
        <w:t>perpendicular</w:t>
      </w:r>
      <w:r>
        <w:rPr>
          <w:rFonts w:cs="Times New Roman"/>
          <w:szCs w:val="24"/>
        </w:rPr>
        <w:t xml:space="preserve"> não significa a anulação da primeira, porque dificilmente </w:t>
      </w:r>
      <w:proofErr w:type="spellStart"/>
      <w:r>
        <w:rPr>
          <w:rFonts w:cs="Times New Roman"/>
          <w:szCs w:val="24"/>
        </w:rPr>
        <w:t>Galamian</w:t>
      </w:r>
      <w:proofErr w:type="spellEnd"/>
      <w:r>
        <w:rPr>
          <w:rFonts w:cs="Times New Roman"/>
          <w:szCs w:val="24"/>
        </w:rPr>
        <w:t xml:space="preserve"> negligenciaria essa questão fundamental da técnica de mão esquerda. Desse modo, é provável que </w:t>
      </w:r>
      <w:proofErr w:type="spellStart"/>
      <w:r>
        <w:rPr>
          <w:rFonts w:cs="Times New Roman"/>
          <w:szCs w:val="24"/>
        </w:rPr>
        <w:t>Galamian</w:t>
      </w:r>
      <w:proofErr w:type="spellEnd"/>
      <w:r>
        <w:rPr>
          <w:rFonts w:cs="Times New Roman"/>
          <w:szCs w:val="24"/>
        </w:rPr>
        <w:t xml:space="preserve"> esteja referindo-se à perpendicularidade da ponta do dedo com relação à corda, alcançada quando o lado lateral da </w:t>
      </w:r>
      <w:r>
        <w:t xml:space="preserve">falange está encostado ao braço do violino e os dedos agem na direção do espelho, assim como indicado por </w:t>
      </w:r>
      <w:proofErr w:type="spellStart"/>
      <w:r>
        <w:t>Baillot</w:t>
      </w:r>
      <w:proofErr w:type="spellEnd"/>
      <w:r>
        <w:t xml:space="preserve"> e Flesch. Fis</w:t>
      </w:r>
      <w:r w:rsidR="00817B85">
        <w:t>c</w:t>
      </w:r>
      <w:r>
        <w:t xml:space="preserve">her não aborda diretamente a questão, mas o preceito que preconiza que a lateral do dedo indicador deve encostar-se ao braço do violino – associado ao alerta sobre a tensão quando as articulações estão paralelas a esse – indica sua preferência pela posição dos dedos na direção das </w:t>
      </w:r>
      <w:r>
        <w:rPr>
          <w:rFonts w:cs="Times New Roman"/>
          <w:szCs w:val="24"/>
        </w:rPr>
        <w:t>cordas.</w:t>
      </w:r>
    </w:p>
    <w:p w14:paraId="25212D01" w14:textId="72589DBF" w:rsidR="001F49FD" w:rsidRDefault="00611419" w:rsidP="000A6E65">
      <w:pPr>
        <w:pStyle w:val="Ttulo3"/>
      </w:pPr>
      <w:bookmarkStart w:id="114" w:name="_Toc14331043"/>
      <w:bookmarkStart w:id="115" w:name="_Toc219359044"/>
      <w:r>
        <w:t>Grau de elevação dos dedos</w:t>
      </w:r>
      <w:bookmarkEnd w:id="114"/>
      <w:bookmarkEnd w:id="115"/>
    </w:p>
    <w:p w14:paraId="04C84606" w14:textId="77777777" w:rsidR="001F49FD" w:rsidRDefault="00611419">
      <w:pPr>
        <w:tabs>
          <w:tab w:val="left" w:pos="1985"/>
        </w:tabs>
        <w:ind w:firstLine="0"/>
        <w:jc w:val="center"/>
        <w:rPr>
          <w:sz w:val="20"/>
          <w:szCs w:val="20"/>
        </w:rPr>
      </w:pPr>
      <w:r>
        <w:rPr>
          <w:b/>
          <w:sz w:val="20"/>
          <w:szCs w:val="20"/>
        </w:rPr>
        <w:t xml:space="preserve">Quadro 6: </w:t>
      </w:r>
      <w:r>
        <w:rPr>
          <w:sz w:val="20"/>
          <w:szCs w:val="20"/>
        </w:rPr>
        <w:t>grau de elevação dos dedos.</w:t>
      </w:r>
    </w:p>
    <w:tbl>
      <w:tblPr>
        <w:tblStyle w:val="Tabelacomgrade"/>
        <w:tblW w:w="9027" w:type="dxa"/>
        <w:jc w:val="center"/>
        <w:tblLayout w:type="fixed"/>
        <w:tblLook w:val="04A0" w:firstRow="1" w:lastRow="0" w:firstColumn="1" w:lastColumn="0" w:noHBand="0" w:noVBand="1"/>
      </w:tblPr>
      <w:tblGrid>
        <w:gridCol w:w="1260"/>
        <w:gridCol w:w="706"/>
        <w:gridCol w:w="7061"/>
      </w:tblGrid>
      <w:tr w:rsidR="001F49FD" w14:paraId="6D7CF1E1" w14:textId="77777777">
        <w:trPr>
          <w:trHeight w:val="1238"/>
          <w:jc w:val="center"/>
        </w:trPr>
        <w:tc>
          <w:tcPr>
            <w:tcW w:w="1260" w:type="dxa"/>
          </w:tcPr>
          <w:p w14:paraId="123312AC" w14:textId="77777777" w:rsidR="001F49FD" w:rsidRDefault="001F49FD">
            <w:pPr>
              <w:widowControl w:val="0"/>
              <w:spacing w:line="240" w:lineRule="auto"/>
              <w:ind w:firstLine="0"/>
              <w:rPr>
                <w:rFonts w:ascii="Times New Roman" w:hAnsi="Times New Roman" w:cs="Times New Roman"/>
                <w:szCs w:val="24"/>
              </w:rPr>
            </w:pPr>
          </w:p>
          <w:p w14:paraId="4C6016B1" w14:textId="77777777" w:rsidR="001F49FD" w:rsidRDefault="00611419">
            <w:pPr>
              <w:widowControl w:val="0"/>
              <w:spacing w:line="240" w:lineRule="auto"/>
              <w:ind w:firstLine="0"/>
              <w:rPr>
                <w:rFonts w:ascii="Times New Roman" w:hAnsi="Times New Roman" w:cs="Times New Roman"/>
                <w:szCs w:val="24"/>
              </w:rPr>
            </w:pPr>
            <w:proofErr w:type="spellStart"/>
            <w:r>
              <w:rPr>
                <w:rFonts w:cs="Times New Roman"/>
                <w:szCs w:val="24"/>
              </w:rPr>
              <w:t>Baillot</w:t>
            </w:r>
            <w:proofErr w:type="spellEnd"/>
          </w:p>
        </w:tc>
        <w:tc>
          <w:tcPr>
            <w:tcW w:w="706" w:type="dxa"/>
          </w:tcPr>
          <w:p w14:paraId="1D5365B6" w14:textId="77777777" w:rsidR="001F49FD" w:rsidRDefault="001F49FD">
            <w:pPr>
              <w:widowControl w:val="0"/>
              <w:tabs>
                <w:tab w:val="left" w:pos="1985"/>
              </w:tabs>
              <w:spacing w:line="240" w:lineRule="auto"/>
              <w:ind w:firstLine="0"/>
              <w:rPr>
                <w:sz w:val="20"/>
                <w:szCs w:val="20"/>
              </w:rPr>
            </w:pPr>
          </w:p>
          <w:p w14:paraId="2371AFB1" w14:textId="77777777" w:rsidR="001F49FD" w:rsidRDefault="00611419">
            <w:pPr>
              <w:widowControl w:val="0"/>
              <w:tabs>
                <w:tab w:val="left" w:pos="1985"/>
              </w:tabs>
              <w:spacing w:line="240" w:lineRule="auto"/>
              <w:ind w:firstLine="0"/>
              <w:rPr>
                <w:szCs w:val="24"/>
              </w:rPr>
            </w:pPr>
            <w:r>
              <w:rPr>
                <w:szCs w:val="24"/>
              </w:rPr>
              <w:t>1835</w:t>
            </w:r>
          </w:p>
        </w:tc>
        <w:tc>
          <w:tcPr>
            <w:tcW w:w="7061" w:type="dxa"/>
          </w:tcPr>
          <w:p w14:paraId="5B6DD218" w14:textId="77777777" w:rsidR="001F49FD" w:rsidRDefault="001F49FD">
            <w:pPr>
              <w:widowControl w:val="0"/>
              <w:spacing w:line="240" w:lineRule="auto"/>
              <w:ind w:firstLine="0"/>
              <w:rPr>
                <w:rFonts w:ascii="Times New Roman" w:hAnsi="Times New Roman" w:cs="Times New Roman"/>
                <w:szCs w:val="24"/>
                <w:u w:val="single"/>
              </w:rPr>
            </w:pPr>
          </w:p>
          <w:p w14:paraId="1F21D6C9" w14:textId="77777777" w:rsidR="001F49FD" w:rsidRDefault="00611419">
            <w:pPr>
              <w:widowControl w:val="0"/>
              <w:spacing w:line="240" w:lineRule="auto"/>
              <w:ind w:firstLine="0"/>
              <w:rPr>
                <w:rFonts w:ascii="Times New Roman" w:hAnsi="Times New Roman" w:cs="Times New Roman"/>
                <w:szCs w:val="24"/>
              </w:rPr>
            </w:pPr>
            <w:r>
              <w:rPr>
                <w:rFonts w:cs="Times New Roman"/>
                <w:szCs w:val="24"/>
                <w:u w:val="single"/>
              </w:rPr>
              <w:t>Deixar cair os dedos de uma altura considerável para que eles tenham um pouco de impulso,</w:t>
            </w:r>
            <w:r>
              <w:rPr>
                <w:rFonts w:cs="Times New Roman"/>
                <w:szCs w:val="24"/>
              </w:rPr>
              <w:t xml:space="preserve"> a 1ª falange </w:t>
            </w:r>
            <w:r>
              <w:t xml:space="preserve">[distal] </w:t>
            </w:r>
            <w:r>
              <w:rPr>
                <w:rFonts w:cs="Times New Roman"/>
                <w:szCs w:val="24"/>
              </w:rPr>
              <w:t>aprumada sobre a corda, porém sem estabelecer uma relação de perpendicularidade.</w:t>
            </w:r>
          </w:p>
          <w:p w14:paraId="70399E5B" w14:textId="77777777" w:rsidR="001F49FD" w:rsidRDefault="001F49FD">
            <w:pPr>
              <w:widowControl w:val="0"/>
              <w:spacing w:line="240" w:lineRule="auto"/>
              <w:ind w:firstLine="0"/>
              <w:rPr>
                <w:rFonts w:ascii="Times New Roman" w:hAnsi="Times New Roman" w:cs="Times New Roman"/>
                <w:szCs w:val="24"/>
                <w:u w:val="single"/>
              </w:rPr>
            </w:pPr>
          </w:p>
        </w:tc>
      </w:tr>
      <w:tr w:rsidR="001F49FD" w14:paraId="17D303D9" w14:textId="77777777">
        <w:trPr>
          <w:trHeight w:val="1238"/>
          <w:jc w:val="center"/>
        </w:trPr>
        <w:tc>
          <w:tcPr>
            <w:tcW w:w="1260" w:type="dxa"/>
          </w:tcPr>
          <w:p w14:paraId="6D58496F" w14:textId="77777777" w:rsidR="001F49FD" w:rsidRDefault="001F49FD">
            <w:pPr>
              <w:widowControl w:val="0"/>
              <w:spacing w:line="240" w:lineRule="auto"/>
              <w:ind w:firstLine="0"/>
              <w:rPr>
                <w:rFonts w:ascii="Times New Roman" w:hAnsi="Times New Roman" w:cs="Times New Roman"/>
                <w:szCs w:val="24"/>
              </w:rPr>
            </w:pPr>
          </w:p>
          <w:p w14:paraId="6F061B89"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Moser/</w:t>
            </w:r>
          </w:p>
          <w:p w14:paraId="585B4C7B"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rPr>
              <w:t>Joachim</w:t>
            </w:r>
          </w:p>
        </w:tc>
        <w:tc>
          <w:tcPr>
            <w:tcW w:w="706" w:type="dxa"/>
          </w:tcPr>
          <w:p w14:paraId="4191F24F" w14:textId="77777777" w:rsidR="001F49FD" w:rsidRDefault="001F49FD">
            <w:pPr>
              <w:widowControl w:val="0"/>
              <w:tabs>
                <w:tab w:val="left" w:pos="1985"/>
              </w:tabs>
              <w:spacing w:line="240" w:lineRule="auto"/>
              <w:ind w:firstLine="0"/>
              <w:rPr>
                <w:sz w:val="20"/>
                <w:szCs w:val="20"/>
              </w:rPr>
            </w:pPr>
          </w:p>
          <w:p w14:paraId="1709A28F" w14:textId="77777777" w:rsidR="001F49FD" w:rsidRDefault="00611419">
            <w:pPr>
              <w:widowControl w:val="0"/>
              <w:tabs>
                <w:tab w:val="left" w:pos="1985"/>
              </w:tabs>
              <w:ind w:firstLine="0"/>
              <w:rPr>
                <w:szCs w:val="24"/>
              </w:rPr>
            </w:pPr>
            <w:r>
              <w:rPr>
                <w:szCs w:val="24"/>
              </w:rPr>
              <w:t>1905</w:t>
            </w:r>
          </w:p>
        </w:tc>
        <w:tc>
          <w:tcPr>
            <w:tcW w:w="7061" w:type="dxa"/>
          </w:tcPr>
          <w:p w14:paraId="67AE03F7" w14:textId="77777777" w:rsidR="001F49FD" w:rsidRDefault="001F49FD">
            <w:pPr>
              <w:widowControl w:val="0"/>
              <w:spacing w:line="240" w:lineRule="auto"/>
              <w:ind w:firstLine="0"/>
              <w:rPr>
                <w:rFonts w:ascii="Times New Roman" w:hAnsi="Times New Roman" w:cs="Times New Roman"/>
                <w:szCs w:val="24"/>
                <w:u w:val="single"/>
              </w:rPr>
            </w:pPr>
          </w:p>
          <w:p w14:paraId="19DB0787" w14:textId="41D9BBB2" w:rsidR="001F49FD" w:rsidRDefault="00611419">
            <w:pPr>
              <w:widowControl w:val="0"/>
              <w:spacing w:line="240" w:lineRule="auto"/>
              <w:ind w:firstLine="0"/>
              <w:rPr>
                <w:rFonts w:ascii="Times New Roman" w:hAnsi="Times New Roman" w:cs="Times New Roman"/>
                <w:b/>
                <w:szCs w:val="24"/>
              </w:rPr>
            </w:pPr>
            <w:r>
              <w:rPr>
                <w:rFonts w:cs="Times New Roman"/>
                <w:szCs w:val="24"/>
              </w:rPr>
              <w:t>O dedo indicador não deve se elevar a uma altura desnecessária acima do espelho. Se esse dedo estiver em uma posição adequada ao se tocar o primeiro intervalo de tom, ao levantar-se novamente sua parte posterior</w:t>
            </w:r>
            <w:r w:rsidR="00817B85">
              <w:rPr>
                <w:rFonts w:cs="Times New Roman"/>
                <w:szCs w:val="24"/>
              </w:rPr>
              <w:t>,</w:t>
            </w:r>
            <w:r>
              <w:rPr>
                <w:rFonts w:cs="Times New Roman"/>
                <w:szCs w:val="24"/>
              </w:rPr>
              <w:t xml:space="preserve"> não deve ir além da pestana.</w:t>
            </w:r>
          </w:p>
          <w:p w14:paraId="02BC95FF" w14:textId="77777777" w:rsidR="001F49FD" w:rsidRDefault="001F49FD">
            <w:pPr>
              <w:widowControl w:val="0"/>
              <w:tabs>
                <w:tab w:val="left" w:pos="1985"/>
              </w:tabs>
              <w:spacing w:line="240" w:lineRule="auto"/>
              <w:ind w:firstLine="0"/>
              <w:rPr>
                <w:sz w:val="20"/>
                <w:szCs w:val="20"/>
              </w:rPr>
            </w:pPr>
          </w:p>
        </w:tc>
      </w:tr>
      <w:tr w:rsidR="001F49FD" w14:paraId="4A7795A2" w14:textId="77777777">
        <w:trPr>
          <w:trHeight w:val="1238"/>
          <w:jc w:val="center"/>
        </w:trPr>
        <w:tc>
          <w:tcPr>
            <w:tcW w:w="1260" w:type="dxa"/>
          </w:tcPr>
          <w:p w14:paraId="154755C2" w14:textId="77777777" w:rsidR="001F49FD" w:rsidRDefault="001F49FD">
            <w:pPr>
              <w:widowControl w:val="0"/>
              <w:spacing w:line="240" w:lineRule="auto"/>
              <w:ind w:firstLine="0"/>
              <w:rPr>
                <w:rFonts w:ascii="Times New Roman" w:hAnsi="Times New Roman" w:cs="Times New Roman"/>
                <w:szCs w:val="24"/>
              </w:rPr>
            </w:pPr>
          </w:p>
          <w:p w14:paraId="6CB1A740"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Flesch</w:t>
            </w:r>
          </w:p>
        </w:tc>
        <w:tc>
          <w:tcPr>
            <w:tcW w:w="706" w:type="dxa"/>
          </w:tcPr>
          <w:p w14:paraId="766A2FCB" w14:textId="77777777" w:rsidR="001F49FD" w:rsidRDefault="001F49FD">
            <w:pPr>
              <w:widowControl w:val="0"/>
              <w:tabs>
                <w:tab w:val="left" w:pos="1985"/>
              </w:tabs>
              <w:spacing w:line="240" w:lineRule="auto"/>
              <w:ind w:firstLine="0"/>
              <w:rPr>
                <w:sz w:val="20"/>
                <w:szCs w:val="20"/>
              </w:rPr>
            </w:pPr>
          </w:p>
          <w:p w14:paraId="62B86E2A" w14:textId="77777777" w:rsidR="001F49FD" w:rsidRDefault="00611419">
            <w:pPr>
              <w:widowControl w:val="0"/>
              <w:tabs>
                <w:tab w:val="left" w:pos="1985"/>
              </w:tabs>
              <w:spacing w:line="240" w:lineRule="auto"/>
              <w:ind w:firstLine="0"/>
              <w:rPr>
                <w:szCs w:val="24"/>
              </w:rPr>
            </w:pPr>
            <w:r>
              <w:rPr>
                <w:szCs w:val="24"/>
              </w:rPr>
              <w:t>1928</w:t>
            </w:r>
          </w:p>
        </w:tc>
        <w:tc>
          <w:tcPr>
            <w:tcW w:w="7061" w:type="dxa"/>
          </w:tcPr>
          <w:p w14:paraId="58671EFE" w14:textId="77777777" w:rsidR="001F49FD" w:rsidRDefault="001F49FD">
            <w:pPr>
              <w:widowControl w:val="0"/>
              <w:spacing w:line="240" w:lineRule="auto"/>
              <w:ind w:firstLine="0"/>
              <w:rPr>
                <w:rFonts w:ascii="Times New Roman" w:hAnsi="Times New Roman" w:cs="Times New Roman"/>
                <w:szCs w:val="24"/>
                <w:u w:val="single"/>
              </w:rPr>
            </w:pPr>
          </w:p>
          <w:p w14:paraId="071CD908" w14:textId="5902743A" w:rsidR="001F49FD" w:rsidRDefault="00611419">
            <w:pPr>
              <w:widowControl w:val="0"/>
              <w:spacing w:line="240" w:lineRule="auto"/>
              <w:ind w:firstLine="0"/>
              <w:rPr>
                <w:rFonts w:ascii="Times New Roman" w:hAnsi="Times New Roman" w:cs="Times New Roman"/>
                <w:color w:val="222222"/>
                <w:szCs w:val="24"/>
                <w:shd w:val="clear" w:color="auto" w:fill="FFFFFF"/>
              </w:rPr>
            </w:pPr>
            <w:r>
              <w:rPr>
                <w:rFonts w:cs="Times New Roman"/>
                <w:color w:val="222222"/>
                <w:szCs w:val="24"/>
                <w:shd w:val="clear" w:color="auto" w:fill="FFFFFF"/>
              </w:rPr>
              <w:t>Eu penso que elevar exageradamente os dedos e projetá-los violentamente sobre as cordas é um desperdício de força</w:t>
            </w:r>
            <w:r w:rsidR="00817B85">
              <w:rPr>
                <w:rFonts w:cs="Times New Roman"/>
                <w:color w:val="222222"/>
                <w:szCs w:val="24"/>
                <w:shd w:val="clear" w:color="auto" w:fill="FFFFFF"/>
              </w:rPr>
              <w:t>,</w:t>
            </w:r>
            <w:r>
              <w:rPr>
                <w:rFonts w:cs="Times New Roman"/>
                <w:color w:val="222222"/>
                <w:szCs w:val="24"/>
                <w:shd w:val="clear" w:color="auto" w:fill="FFFFFF"/>
              </w:rPr>
              <w:t xml:space="preserve"> inútil e mesmo prejudicial.</w:t>
            </w:r>
          </w:p>
          <w:p w14:paraId="78BECAD0" w14:textId="77777777" w:rsidR="001F49FD" w:rsidRDefault="001F49FD">
            <w:pPr>
              <w:widowControl w:val="0"/>
              <w:spacing w:line="240" w:lineRule="auto"/>
              <w:ind w:firstLine="0"/>
              <w:rPr>
                <w:rFonts w:ascii="Times New Roman" w:hAnsi="Times New Roman" w:cs="Times New Roman"/>
                <w:szCs w:val="24"/>
                <w:u w:val="single"/>
              </w:rPr>
            </w:pPr>
          </w:p>
        </w:tc>
      </w:tr>
      <w:tr w:rsidR="001F49FD" w14:paraId="261C4D35" w14:textId="77777777">
        <w:trPr>
          <w:trHeight w:val="1238"/>
          <w:jc w:val="center"/>
        </w:trPr>
        <w:tc>
          <w:tcPr>
            <w:tcW w:w="1260" w:type="dxa"/>
          </w:tcPr>
          <w:p w14:paraId="68B43C4B" w14:textId="77777777" w:rsidR="001F49FD" w:rsidRDefault="001F49FD">
            <w:pPr>
              <w:widowControl w:val="0"/>
              <w:spacing w:line="240" w:lineRule="auto"/>
              <w:ind w:firstLine="0"/>
              <w:rPr>
                <w:rFonts w:ascii="Times New Roman" w:hAnsi="Times New Roman" w:cs="Times New Roman"/>
                <w:szCs w:val="24"/>
              </w:rPr>
            </w:pPr>
          </w:p>
          <w:p w14:paraId="6579FE48" w14:textId="77777777" w:rsidR="001F49FD" w:rsidRDefault="00611419">
            <w:pPr>
              <w:widowControl w:val="0"/>
              <w:spacing w:line="240" w:lineRule="auto"/>
              <w:ind w:firstLine="0"/>
              <w:rPr>
                <w:rFonts w:ascii="Times New Roman" w:hAnsi="Times New Roman" w:cs="Times New Roman"/>
                <w:szCs w:val="24"/>
                <w:lang w:eastAsia="en-US"/>
              </w:rPr>
            </w:pPr>
            <w:proofErr w:type="spellStart"/>
            <w:r>
              <w:rPr>
                <w:rFonts w:cs="Times New Roman"/>
                <w:szCs w:val="24"/>
              </w:rPr>
              <w:t>Galamian</w:t>
            </w:r>
            <w:proofErr w:type="spellEnd"/>
          </w:p>
        </w:tc>
        <w:tc>
          <w:tcPr>
            <w:tcW w:w="706" w:type="dxa"/>
          </w:tcPr>
          <w:p w14:paraId="141D05B9" w14:textId="77777777" w:rsidR="001F49FD" w:rsidRDefault="001F49FD">
            <w:pPr>
              <w:widowControl w:val="0"/>
              <w:spacing w:line="240" w:lineRule="auto"/>
              <w:ind w:firstLine="0"/>
              <w:rPr>
                <w:rFonts w:ascii="Times New Roman" w:hAnsi="Times New Roman" w:cs="Times New Roman"/>
                <w:szCs w:val="24"/>
              </w:rPr>
            </w:pPr>
          </w:p>
          <w:p w14:paraId="38713D75" w14:textId="77777777" w:rsidR="001F49FD" w:rsidRDefault="00611419">
            <w:pPr>
              <w:widowControl w:val="0"/>
              <w:spacing w:line="240" w:lineRule="auto"/>
              <w:ind w:firstLine="0"/>
              <w:rPr>
                <w:rFonts w:ascii="Times New Roman" w:hAnsi="Times New Roman" w:cs="Times New Roman"/>
                <w:szCs w:val="24"/>
                <w:lang w:eastAsia="en-US"/>
              </w:rPr>
            </w:pPr>
            <w:r>
              <w:rPr>
                <w:rFonts w:cs="Times New Roman"/>
                <w:szCs w:val="24"/>
              </w:rPr>
              <w:t>1962</w:t>
            </w:r>
          </w:p>
        </w:tc>
        <w:tc>
          <w:tcPr>
            <w:tcW w:w="7061" w:type="dxa"/>
          </w:tcPr>
          <w:p w14:paraId="6B4F94A2" w14:textId="77777777" w:rsidR="001F49FD" w:rsidRDefault="001F49FD">
            <w:pPr>
              <w:widowControl w:val="0"/>
              <w:spacing w:line="240" w:lineRule="auto"/>
              <w:ind w:firstLine="0"/>
              <w:rPr>
                <w:rFonts w:ascii="Times New Roman" w:hAnsi="Times New Roman" w:cs="Times New Roman"/>
                <w:szCs w:val="24"/>
              </w:rPr>
            </w:pPr>
          </w:p>
          <w:p w14:paraId="6705F09A" w14:textId="77777777" w:rsidR="001F49FD" w:rsidRDefault="00611419">
            <w:pPr>
              <w:widowControl w:val="0"/>
              <w:spacing w:line="240" w:lineRule="auto"/>
              <w:ind w:firstLine="0"/>
              <w:rPr>
                <w:szCs w:val="24"/>
              </w:rPr>
            </w:pPr>
            <w:r>
              <w:rPr>
                <w:rFonts w:eastAsia="Times New Roman" w:cs="Times New Roman"/>
                <w:szCs w:val="24"/>
              </w:rPr>
              <w:t>A elevação demasiada [dos dedos] retarda a ação, pois aumenta a distância a ser coberta. E as batidas e pressões tendem a criar perigosas tensões</w:t>
            </w:r>
            <w:r>
              <w:rPr>
                <w:rFonts w:eastAsia="Times New Roman" w:cs="Times New Roman"/>
                <w:color w:val="222222"/>
                <w:szCs w:val="24"/>
                <w:shd w:val="clear" w:color="auto" w:fill="FFFFFF"/>
              </w:rPr>
              <w:t>.</w:t>
            </w:r>
          </w:p>
          <w:p w14:paraId="69EC378F" w14:textId="77777777" w:rsidR="001F49FD" w:rsidRDefault="001F49FD">
            <w:pPr>
              <w:widowControl w:val="0"/>
              <w:spacing w:line="240" w:lineRule="auto"/>
              <w:ind w:firstLine="0"/>
              <w:rPr>
                <w:rFonts w:ascii="Times New Roman" w:hAnsi="Times New Roman" w:cs="Times New Roman"/>
                <w:szCs w:val="24"/>
                <w:lang w:eastAsia="en-US"/>
              </w:rPr>
            </w:pPr>
          </w:p>
        </w:tc>
      </w:tr>
    </w:tbl>
    <w:p w14:paraId="26CA9F15" w14:textId="77777777" w:rsidR="001F49FD" w:rsidRDefault="001F49FD">
      <w:pPr>
        <w:tabs>
          <w:tab w:val="left" w:pos="1985"/>
        </w:tabs>
        <w:spacing w:line="240" w:lineRule="auto"/>
        <w:ind w:firstLine="0"/>
        <w:rPr>
          <w:sz w:val="20"/>
          <w:szCs w:val="20"/>
        </w:rPr>
      </w:pPr>
    </w:p>
    <w:p w14:paraId="46459E47" w14:textId="77777777" w:rsidR="001F49FD" w:rsidRDefault="001F49FD">
      <w:pPr>
        <w:tabs>
          <w:tab w:val="left" w:pos="1985"/>
        </w:tabs>
        <w:spacing w:line="240" w:lineRule="auto"/>
        <w:ind w:firstLine="0"/>
        <w:rPr>
          <w:sz w:val="20"/>
          <w:szCs w:val="20"/>
        </w:rPr>
      </w:pPr>
    </w:p>
    <w:p w14:paraId="77D5E5BA" w14:textId="77777777" w:rsidR="001F49FD" w:rsidRDefault="001F49FD">
      <w:pPr>
        <w:tabs>
          <w:tab w:val="left" w:pos="1985"/>
        </w:tabs>
        <w:spacing w:line="240" w:lineRule="auto"/>
        <w:ind w:firstLine="0"/>
        <w:rPr>
          <w:sz w:val="20"/>
          <w:szCs w:val="20"/>
        </w:rPr>
      </w:pPr>
    </w:p>
    <w:p w14:paraId="63DB0BE7" w14:textId="77777777" w:rsidR="001F49FD" w:rsidRDefault="001F49FD">
      <w:pPr>
        <w:tabs>
          <w:tab w:val="left" w:pos="1985"/>
        </w:tabs>
        <w:spacing w:line="240" w:lineRule="auto"/>
        <w:ind w:firstLine="0"/>
        <w:rPr>
          <w:sz w:val="20"/>
          <w:szCs w:val="20"/>
        </w:rPr>
      </w:pPr>
    </w:p>
    <w:p w14:paraId="65647628" w14:textId="77777777" w:rsidR="001F49FD" w:rsidRDefault="001F49FD">
      <w:pPr>
        <w:tabs>
          <w:tab w:val="left" w:pos="1985"/>
        </w:tabs>
        <w:spacing w:line="240" w:lineRule="auto"/>
        <w:ind w:firstLine="0"/>
        <w:rPr>
          <w:sz w:val="20"/>
          <w:szCs w:val="20"/>
        </w:rPr>
      </w:pPr>
    </w:p>
    <w:p w14:paraId="5A15C32F" w14:textId="77777777" w:rsidR="001F49FD" w:rsidRDefault="001F49FD">
      <w:pPr>
        <w:tabs>
          <w:tab w:val="left" w:pos="1985"/>
        </w:tabs>
        <w:spacing w:line="240" w:lineRule="auto"/>
        <w:ind w:firstLine="0"/>
        <w:rPr>
          <w:sz w:val="20"/>
          <w:szCs w:val="20"/>
        </w:rPr>
      </w:pPr>
    </w:p>
    <w:tbl>
      <w:tblPr>
        <w:tblStyle w:val="Tabelacomgrade"/>
        <w:tblpPr w:leftFromText="141" w:rightFromText="141" w:vertAnchor="page" w:horzAnchor="margin" w:tblpX="108" w:tblpY="1306"/>
        <w:tblW w:w="9039" w:type="dxa"/>
        <w:tblLayout w:type="fixed"/>
        <w:tblLook w:val="04A0" w:firstRow="1" w:lastRow="0" w:firstColumn="1" w:lastColumn="0" w:noHBand="0" w:noVBand="1"/>
      </w:tblPr>
      <w:tblGrid>
        <w:gridCol w:w="1194"/>
        <w:gridCol w:w="753"/>
        <w:gridCol w:w="7092"/>
      </w:tblGrid>
      <w:tr w:rsidR="001F49FD" w14:paraId="15A71D9A" w14:textId="77777777">
        <w:trPr>
          <w:trHeight w:val="1390"/>
        </w:trPr>
        <w:tc>
          <w:tcPr>
            <w:tcW w:w="1194" w:type="dxa"/>
          </w:tcPr>
          <w:p w14:paraId="0FEDB612" w14:textId="77777777" w:rsidR="001F49FD" w:rsidRDefault="001F49FD">
            <w:pPr>
              <w:widowControl w:val="0"/>
              <w:spacing w:line="240" w:lineRule="auto"/>
              <w:ind w:firstLine="0"/>
              <w:rPr>
                <w:rFonts w:ascii="Times New Roman" w:hAnsi="Times New Roman" w:cs="Times New Roman"/>
                <w:szCs w:val="24"/>
              </w:rPr>
            </w:pPr>
          </w:p>
          <w:p w14:paraId="2D6E9BC5"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Fischer</w:t>
            </w:r>
          </w:p>
        </w:tc>
        <w:tc>
          <w:tcPr>
            <w:tcW w:w="753" w:type="dxa"/>
          </w:tcPr>
          <w:p w14:paraId="075A9622" w14:textId="77777777" w:rsidR="001F49FD" w:rsidRDefault="001F49FD">
            <w:pPr>
              <w:widowControl w:val="0"/>
              <w:spacing w:line="240" w:lineRule="auto"/>
              <w:ind w:firstLine="0"/>
              <w:rPr>
                <w:rFonts w:ascii="Times New Roman" w:hAnsi="Times New Roman" w:cs="Times New Roman"/>
                <w:szCs w:val="24"/>
              </w:rPr>
            </w:pPr>
          </w:p>
          <w:p w14:paraId="393E475B"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2004</w:t>
            </w:r>
          </w:p>
        </w:tc>
        <w:tc>
          <w:tcPr>
            <w:tcW w:w="7092" w:type="dxa"/>
          </w:tcPr>
          <w:p w14:paraId="25443FF5" w14:textId="77777777" w:rsidR="001F49FD" w:rsidRDefault="001F49FD">
            <w:pPr>
              <w:widowControl w:val="0"/>
              <w:spacing w:line="240" w:lineRule="auto"/>
              <w:ind w:firstLine="0"/>
              <w:rPr>
                <w:rFonts w:ascii="Times New Roman" w:hAnsi="Times New Roman" w:cs="Times New Roman"/>
                <w:szCs w:val="24"/>
              </w:rPr>
            </w:pPr>
          </w:p>
          <w:p w14:paraId="465661EF"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 xml:space="preserve">Manter os dedos próximos à corda é apropriado, não somente para passagens rápidas, mas como uma regra geral ao tocar. A ação mais fácil do dedo se dá quando os dedos ‘flutuam’ sobre as cordas, prontos para cair diretamente sobre as suas notas. </w:t>
            </w:r>
            <w:r>
              <w:t>Elevar</w:t>
            </w:r>
            <w:r>
              <w:rPr>
                <w:rFonts w:cs="Times New Roman"/>
                <w:szCs w:val="24"/>
              </w:rPr>
              <w:t xml:space="preserve"> e soltar o dedo consome muito menos energia do que quando ele se movimenta vários centímetros acima e /ou longe da corda.</w:t>
            </w:r>
          </w:p>
          <w:p w14:paraId="7AF7F60C" w14:textId="77777777" w:rsidR="001F49FD" w:rsidRDefault="001F49FD">
            <w:pPr>
              <w:widowControl w:val="0"/>
              <w:spacing w:line="240" w:lineRule="auto"/>
              <w:ind w:firstLine="0"/>
              <w:rPr>
                <w:rFonts w:ascii="Times New Roman" w:hAnsi="Times New Roman" w:cs="Times New Roman"/>
                <w:szCs w:val="24"/>
              </w:rPr>
            </w:pPr>
          </w:p>
        </w:tc>
      </w:tr>
    </w:tbl>
    <w:p w14:paraId="47275E82" w14:textId="77777777" w:rsidR="001F49FD" w:rsidRDefault="001F49FD">
      <w:pPr>
        <w:tabs>
          <w:tab w:val="left" w:pos="1985"/>
        </w:tabs>
        <w:spacing w:line="240" w:lineRule="auto"/>
        <w:ind w:firstLine="0"/>
        <w:rPr>
          <w:sz w:val="20"/>
          <w:szCs w:val="20"/>
        </w:rPr>
      </w:pPr>
    </w:p>
    <w:p w14:paraId="4C617898" w14:textId="67150404" w:rsidR="001F49FD" w:rsidRDefault="00611419" w:rsidP="007C5D20">
      <w:pPr>
        <w:tabs>
          <w:tab w:val="left" w:pos="1985"/>
        </w:tabs>
        <w:ind w:firstLine="709"/>
        <w:rPr>
          <w:sz w:val="20"/>
          <w:szCs w:val="20"/>
        </w:rPr>
      </w:pPr>
      <w:r>
        <w:rPr>
          <w:rFonts w:cs="Times New Roman"/>
          <w:szCs w:val="24"/>
        </w:rPr>
        <w:t>A escassez de registros sobre o grau de elevação dos dedos</w:t>
      </w:r>
      <w:r>
        <w:rPr>
          <w:rFonts w:cs="Times New Roman"/>
          <w:b/>
          <w:szCs w:val="24"/>
        </w:rPr>
        <w:t xml:space="preserve"> </w:t>
      </w:r>
      <w:r>
        <w:t xml:space="preserve">demonstra que o tema não foi profundamente considerado ao longo do século XIX, tendo sido abordado, dentre os métodos selecionados, apenas por </w:t>
      </w:r>
      <w:proofErr w:type="spellStart"/>
      <w:r>
        <w:t>Baillot</w:t>
      </w:r>
      <w:proofErr w:type="spellEnd"/>
      <w:r>
        <w:t xml:space="preserve"> e Moser/Joachim. Primeiramente, pode-se supor que </w:t>
      </w:r>
      <w:proofErr w:type="spellStart"/>
      <w:r>
        <w:t>Baillot</w:t>
      </w:r>
      <w:proofErr w:type="spellEnd"/>
      <w:r>
        <w:t xml:space="preserve"> – devido à expressão “altura considerável” – propõe uma elevação maior dos dedos do que a preconizada por Moser/Joachim, que refutam uma “altura desnecessária” dos dedos. Todavia, a imprecisão dos termos empregados dificulta qualquer afirmação sobre uma divergência efetiva. No século seguinte, Flesch e </w:t>
      </w:r>
      <w:proofErr w:type="spellStart"/>
      <w:r>
        <w:t>Galamian</w:t>
      </w:r>
      <w:proofErr w:type="spellEnd"/>
      <w:r>
        <w:t>, comprometidos com a problemática do desgaste físico durante a performance, adotam o princípio de uma elevação moderada. E, norteado pelo mesmo conceito de economia de energia, Fischer estabelece seu preceito, indicando que</w:t>
      </w:r>
      <w:r w:rsidR="00817B85">
        <w:t>,</w:t>
      </w:r>
      <w:r>
        <w:t xml:space="preserve"> ao fim do século XX</w:t>
      </w:r>
      <w:r w:rsidR="00817B85">
        <w:t>,</w:t>
      </w:r>
      <w:r>
        <w:t xml:space="preserve"> há uma rejeição à elevação exagerada dos dedos.</w:t>
      </w:r>
    </w:p>
    <w:p w14:paraId="06E802D9" w14:textId="77777777" w:rsidR="00B93F90" w:rsidRDefault="00B93F90" w:rsidP="00B93F90">
      <w:pPr>
        <w:pStyle w:val="Ttulo2"/>
      </w:pPr>
      <w:bookmarkStart w:id="116" w:name="_Toc522439246"/>
      <w:bookmarkStart w:id="117" w:name="_Toc14331044"/>
      <w:bookmarkStart w:id="118" w:name="_Toc219359045"/>
      <w:r>
        <w:t>3</w:t>
      </w:r>
      <w:r w:rsidR="00611419">
        <w:t>.3    Técnica de arc</w:t>
      </w:r>
      <w:bookmarkEnd w:id="116"/>
      <w:r w:rsidR="00611419">
        <w:t>o</w:t>
      </w:r>
      <w:bookmarkStart w:id="119" w:name="_Toc14331045"/>
      <w:bookmarkEnd w:id="117"/>
      <w:bookmarkEnd w:id="118"/>
    </w:p>
    <w:p w14:paraId="35D513D5" w14:textId="3F56FB00" w:rsidR="001F49FD" w:rsidRPr="00B93F90" w:rsidRDefault="00611419" w:rsidP="00B93F90">
      <w:pPr>
        <w:pStyle w:val="Ttulo2"/>
        <w:rPr>
          <w:rFonts w:ascii="Times New Roman" w:hAnsi="Times New Roman" w:cs="Times New Roman"/>
          <w:szCs w:val="24"/>
        </w:rPr>
      </w:pPr>
      <w:bookmarkStart w:id="120" w:name="_Toc219359046"/>
      <w:r>
        <w:t>Nível do braço em relação às cordas</w:t>
      </w:r>
      <w:bookmarkEnd w:id="119"/>
      <w:bookmarkEnd w:id="120"/>
    </w:p>
    <w:tbl>
      <w:tblPr>
        <w:tblStyle w:val="Tabelacomgrade"/>
        <w:tblpPr w:leftFromText="141" w:rightFromText="141" w:vertAnchor="page" w:horzAnchor="margin" w:tblpY="9925"/>
        <w:tblW w:w="9039" w:type="dxa"/>
        <w:tblLayout w:type="fixed"/>
        <w:tblLook w:val="04A0" w:firstRow="1" w:lastRow="0" w:firstColumn="1" w:lastColumn="0" w:noHBand="0" w:noVBand="1"/>
      </w:tblPr>
      <w:tblGrid>
        <w:gridCol w:w="1100"/>
        <w:gridCol w:w="743"/>
        <w:gridCol w:w="7196"/>
      </w:tblGrid>
      <w:tr w:rsidR="00C8155D" w14:paraId="52851DA8" w14:textId="77777777" w:rsidTr="00C8155D">
        <w:tc>
          <w:tcPr>
            <w:tcW w:w="1100" w:type="dxa"/>
          </w:tcPr>
          <w:p w14:paraId="199AE7BE" w14:textId="77777777" w:rsidR="00C8155D" w:rsidRDefault="00C8155D" w:rsidP="00C8155D">
            <w:pPr>
              <w:widowControl w:val="0"/>
              <w:spacing w:line="240" w:lineRule="auto"/>
              <w:ind w:firstLine="0"/>
              <w:rPr>
                <w:szCs w:val="24"/>
              </w:rPr>
            </w:pPr>
          </w:p>
          <w:p w14:paraId="66B9206A" w14:textId="77777777" w:rsidR="00C8155D" w:rsidRDefault="00C8155D" w:rsidP="00C8155D">
            <w:pPr>
              <w:widowControl w:val="0"/>
              <w:spacing w:line="240" w:lineRule="auto"/>
              <w:ind w:firstLine="0"/>
              <w:rPr>
                <w:szCs w:val="24"/>
              </w:rPr>
            </w:pPr>
            <w:r>
              <w:rPr>
                <w:szCs w:val="24"/>
              </w:rPr>
              <w:t>Spohr</w:t>
            </w:r>
          </w:p>
          <w:p w14:paraId="671D6BC8" w14:textId="77777777" w:rsidR="00C8155D" w:rsidRDefault="00C8155D" w:rsidP="00C8155D">
            <w:pPr>
              <w:widowControl w:val="0"/>
              <w:spacing w:line="240" w:lineRule="auto"/>
              <w:ind w:firstLine="0"/>
              <w:rPr>
                <w:szCs w:val="24"/>
                <w:lang w:eastAsia="en-US"/>
              </w:rPr>
            </w:pPr>
          </w:p>
        </w:tc>
        <w:tc>
          <w:tcPr>
            <w:tcW w:w="743" w:type="dxa"/>
          </w:tcPr>
          <w:p w14:paraId="6EBCB95C" w14:textId="77777777" w:rsidR="00C8155D" w:rsidRDefault="00C8155D" w:rsidP="00C8155D">
            <w:pPr>
              <w:widowControl w:val="0"/>
              <w:spacing w:line="240" w:lineRule="auto"/>
              <w:ind w:firstLine="0"/>
              <w:rPr>
                <w:szCs w:val="24"/>
              </w:rPr>
            </w:pPr>
          </w:p>
          <w:p w14:paraId="591FF93A" w14:textId="77777777" w:rsidR="00C8155D" w:rsidRDefault="00C8155D" w:rsidP="00C8155D">
            <w:pPr>
              <w:widowControl w:val="0"/>
              <w:spacing w:line="240" w:lineRule="auto"/>
              <w:ind w:firstLine="0"/>
              <w:rPr>
                <w:szCs w:val="24"/>
                <w:lang w:eastAsia="en-US"/>
              </w:rPr>
            </w:pPr>
            <w:r>
              <w:rPr>
                <w:szCs w:val="24"/>
              </w:rPr>
              <w:t>1832</w:t>
            </w:r>
          </w:p>
        </w:tc>
        <w:tc>
          <w:tcPr>
            <w:tcW w:w="7196" w:type="dxa"/>
          </w:tcPr>
          <w:p w14:paraId="3AA91B2F" w14:textId="77777777" w:rsidR="00C8155D" w:rsidRDefault="00C8155D" w:rsidP="00C8155D">
            <w:pPr>
              <w:widowControl w:val="0"/>
              <w:spacing w:line="240" w:lineRule="auto"/>
              <w:ind w:firstLine="0"/>
              <w:rPr>
                <w:rFonts w:ascii="Times New Roman" w:hAnsi="Times New Roman" w:cs="Times New Roman"/>
                <w:szCs w:val="24"/>
              </w:rPr>
            </w:pPr>
          </w:p>
          <w:p w14:paraId="0484B03F" w14:textId="77777777" w:rsidR="00C8155D" w:rsidRDefault="00C8155D" w:rsidP="00C8155D">
            <w:pPr>
              <w:widowControl w:val="0"/>
              <w:spacing w:line="240" w:lineRule="auto"/>
              <w:ind w:firstLine="0"/>
              <w:rPr>
                <w:rFonts w:ascii="Times New Roman" w:hAnsi="Times New Roman" w:cs="Times New Roman"/>
                <w:szCs w:val="24"/>
              </w:rPr>
            </w:pPr>
            <w:r>
              <w:rPr>
                <w:rFonts w:cs="Times New Roman"/>
                <w:szCs w:val="24"/>
              </w:rPr>
              <w:t>O punho deve se manter elevado, porém o cotovelo deve estar abaixado, o mais próximo possível do corpo.</w:t>
            </w:r>
          </w:p>
          <w:p w14:paraId="716A1004" w14:textId="77777777" w:rsidR="00C8155D" w:rsidRDefault="00C8155D" w:rsidP="00C8155D">
            <w:pPr>
              <w:widowControl w:val="0"/>
              <w:spacing w:line="240" w:lineRule="auto"/>
              <w:ind w:firstLine="0"/>
              <w:rPr>
                <w:szCs w:val="24"/>
              </w:rPr>
            </w:pPr>
          </w:p>
          <w:p w14:paraId="0CF54CF6" w14:textId="77777777" w:rsidR="00C8155D" w:rsidRDefault="00C8155D" w:rsidP="00C8155D">
            <w:pPr>
              <w:widowControl w:val="0"/>
              <w:spacing w:line="240" w:lineRule="auto"/>
              <w:ind w:firstLine="0"/>
              <w:rPr>
                <w:rFonts w:ascii="Times New Roman" w:hAnsi="Times New Roman" w:cs="Times New Roman"/>
                <w:szCs w:val="24"/>
              </w:rPr>
            </w:pPr>
            <w:r>
              <w:rPr>
                <w:rFonts w:cs="Times New Roman"/>
                <w:szCs w:val="24"/>
              </w:rPr>
              <w:t>Em pequenos golpes de arco, o braço deve permanecer imóvel e apenas o antebraço se move, em um vai e vem na mesma direção do cavalete.</w:t>
            </w:r>
          </w:p>
          <w:p w14:paraId="3996353C" w14:textId="77777777" w:rsidR="00C8155D" w:rsidRDefault="00C8155D" w:rsidP="00C8155D">
            <w:pPr>
              <w:widowControl w:val="0"/>
              <w:spacing w:line="240" w:lineRule="auto"/>
              <w:ind w:firstLine="0"/>
              <w:rPr>
                <w:rFonts w:ascii="Times New Roman" w:hAnsi="Times New Roman" w:cs="Times New Roman"/>
                <w:szCs w:val="24"/>
                <w:lang w:eastAsia="en-US"/>
              </w:rPr>
            </w:pPr>
          </w:p>
        </w:tc>
      </w:tr>
      <w:tr w:rsidR="00C8155D" w14:paraId="3CCA5948" w14:textId="77777777" w:rsidTr="00C8155D">
        <w:tc>
          <w:tcPr>
            <w:tcW w:w="1100" w:type="dxa"/>
          </w:tcPr>
          <w:p w14:paraId="57CF8E39" w14:textId="77777777" w:rsidR="00C8155D" w:rsidRDefault="00C8155D" w:rsidP="00C8155D">
            <w:pPr>
              <w:widowControl w:val="0"/>
              <w:spacing w:line="240" w:lineRule="auto"/>
              <w:ind w:firstLine="0"/>
              <w:rPr>
                <w:szCs w:val="24"/>
              </w:rPr>
            </w:pPr>
          </w:p>
          <w:p w14:paraId="508FF287" w14:textId="77777777" w:rsidR="00C8155D" w:rsidRDefault="00C8155D" w:rsidP="00C8155D">
            <w:pPr>
              <w:widowControl w:val="0"/>
              <w:spacing w:line="240" w:lineRule="auto"/>
              <w:ind w:firstLine="0"/>
              <w:rPr>
                <w:szCs w:val="24"/>
                <w:lang w:eastAsia="en-US"/>
              </w:rPr>
            </w:pPr>
            <w:proofErr w:type="spellStart"/>
            <w:r>
              <w:rPr>
                <w:szCs w:val="24"/>
              </w:rPr>
              <w:t>Baillot</w:t>
            </w:r>
            <w:proofErr w:type="spellEnd"/>
          </w:p>
        </w:tc>
        <w:tc>
          <w:tcPr>
            <w:tcW w:w="743" w:type="dxa"/>
          </w:tcPr>
          <w:p w14:paraId="3D580C5F" w14:textId="77777777" w:rsidR="00C8155D" w:rsidRDefault="00C8155D" w:rsidP="00C8155D">
            <w:pPr>
              <w:widowControl w:val="0"/>
              <w:spacing w:line="240" w:lineRule="auto"/>
              <w:ind w:firstLine="0"/>
              <w:rPr>
                <w:rFonts w:ascii="Times New Roman" w:hAnsi="Times New Roman" w:cs="Times New Roman"/>
                <w:szCs w:val="24"/>
              </w:rPr>
            </w:pPr>
          </w:p>
          <w:p w14:paraId="75DF5E7E" w14:textId="77777777" w:rsidR="00C8155D" w:rsidRDefault="00C8155D" w:rsidP="00C8155D">
            <w:pPr>
              <w:widowControl w:val="0"/>
              <w:spacing w:line="240" w:lineRule="auto"/>
              <w:ind w:firstLine="0"/>
              <w:rPr>
                <w:rFonts w:ascii="Times New Roman" w:hAnsi="Times New Roman" w:cs="Times New Roman"/>
                <w:szCs w:val="24"/>
                <w:lang w:eastAsia="en-US"/>
              </w:rPr>
            </w:pPr>
            <w:r>
              <w:rPr>
                <w:rFonts w:cs="Times New Roman"/>
                <w:szCs w:val="24"/>
              </w:rPr>
              <w:t>1835</w:t>
            </w:r>
          </w:p>
        </w:tc>
        <w:tc>
          <w:tcPr>
            <w:tcW w:w="7196" w:type="dxa"/>
          </w:tcPr>
          <w:p w14:paraId="1538FAA4" w14:textId="77777777" w:rsidR="00C8155D" w:rsidRDefault="00C8155D" w:rsidP="00C8155D">
            <w:pPr>
              <w:widowControl w:val="0"/>
              <w:spacing w:line="240" w:lineRule="auto"/>
              <w:ind w:firstLine="0"/>
              <w:rPr>
                <w:rFonts w:ascii="Times New Roman" w:hAnsi="Times New Roman" w:cs="Times New Roman"/>
                <w:szCs w:val="24"/>
              </w:rPr>
            </w:pPr>
          </w:p>
          <w:p w14:paraId="45F42A96" w14:textId="77777777" w:rsidR="00C8155D" w:rsidRDefault="00C8155D" w:rsidP="00C8155D">
            <w:pPr>
              <w:widowControl w:val="0"/>
              <w:spacing w:line="240" w:lineRule="auto"/>
              <w:ind w:firstLine="0"/>
              <w:rPr>
                <w:rFonts w:ascii="Times New Roman" w:hAnsi="Times New Roman" w:cs="Times New Roman"/>
                <w:szCs w:val="24"/>
              </w:rPr>
            </w:pPr>
            <w:r>
              <w:rPr>
                <w:rFonts w:cs="Times New Roman"/>
                <w:szCs w:val="24"/>
              </w:rPr>
              <w:t>O braço e o cotovelo jamais participarão diretamente dos movimentos do antebraço. Assim, o cotovelo se deixará cair sem nenhuma força, em um estado de completa nulidade.</w:t>
            </w:r>
          </w:p>
          <w:p w14:paraId="4312A17F" w14:textId="77777777" w:rsidR="00C8155D" w:rsidRDefault="00C8155D" w:rsidP="00C8155D">
            <w:pPr>
              <w:widowControl w:val="0"/>
              <w:spacing w:line="240" w:lineRule="auto"/>
              <w:ind w:firstLine="0"/>
              <w:rPr>
                <w:szCs w:val="24"/>
                <w:lang w:eastAsia="en-US"/>
              </w:rPr>
            </w:pPr>
          </w:p>
        </w:tc>
      </w:tr>
      <w:tr w:rsidR="00C8155D" w14:paraId="18C16D0D" w14:textId="77777777" w:rsidTr="00C8155D">
        <w:tc>
          <w:tcPr>
            <w:tcW w:w="1100" w:type="dxa"/>
          </w:tcPr>
          <w:p w14:paraId="39CFF852" w14:textId="77777777" w:rsidR="00C8155D" w:rsidRDefault="00C8155D" w:rsidP="00C8155D">
            <w:pPr>
              <w:widowControl w:val="0"/>
              <w:spacing w:line="240" w:lineRule="auto"/>
              <w:ind w:firstLine="0"/>
              <w:rPr>
                <w:szCs w:val="24"/>
              </w:rPr>
            </w:pPr>
          </w:p>
          <w:p w14:paraId="7A764178" w14:textId="77777777" w:rsidR="00C8155D" w:rsidRDefault="00C8155D" w:rsidP="00C8155D">
            <w:pPr>
              <w:widowControl w:val="0"/>
              <w:spacing w:line="240" w:lineRule="auto"/>
              <w:ind w:firstLine="0"/>
              <w:rPr>
                <w:szCs w:val="24"/>
              </w:rPr>
            </w:pPr>
            <w:proofErr w:type="spellStart"/>
            <w:r>
              <w:rPr>
                <w:szCs w:val="24"/>
              </w:rPr>
              <w:t>Bériot</w:t>
            </w:r>
            <w:proofErr w:type="spellEnd"/>
          </w:p>
          <w:p w14:paraId="25BA9713" w14:textId="77777777" w:rsidR="00C8155D" w:rsidRDefault="00C8155D" w:rsidP="00C8155D">
            <w:pPr>
              <w:widowControl w:val="0"/>
              <w:spacing w:line="240" w:lineRule="auto"/>
              <w:ind w:firstLine="0"/>
              <w:rPr>
                <w:szCs w:val="24"/>
                <w:lang w:eastAsia="en-US"/>
              </w:rPr>
            </w:pPr>
          </w:p>
        </w:tc>
        <w:tc>
          <w:tcPr>
            <w:tcW w:w="743" w:type="dxa"/>
          </w:tcPr>
          <w:p w14:paraId="02427EC3" w14:textId="77777777" w:rsidR="00C8155D" w:rsidRDefault="00C8155D" w:rsidP="00C8155D">
            <w:pPr>
              <w:widowControl w:val="0"/>
              <w:spacing w:line="240" w:lineRule="auto"/>
              <w:ind w:firstLine="0"/>
              <w:rPr>
                <w:rFonts w:ascii="Times New Roman" w:hAnsi="Times New Roman" w:cs="Times New Roman"/>
                <w:szCs w:val="24"/>
              </w:rPr>
            </w:pPr>
          </w:p>
          <w:p w14:paraId="4C059D8F" w14:textId="77777777" w:rsidR="00C8155D" w:rsidRDefault="00C8155D" w:rsidP="00C8155D">
            <w:pPr>
              <w:widowControl w:val="0"/>
              <w:spacing w:line="240" w:lineRule="auto"/>
              <w:ind w:firstLine="0"/>
              <w:rPr>
                <w:rFonts w:ascii="Times New Roman" w:hAnsi="Times New Roman" w:cs="Times New Roman"/>
                <w:szCs w:val="24"/>
                <w:lang w:eastAsia="en-US"/>
              </w:rPr>
            </w:pPr>
            <w:r>
              <w:rPr>
                <w:rFonts w:cs="Times New Roman"/>
                <w:szCs w:val="24"/>
              </w:rPr>
              <w:t>1858</w:t>
            </w:r>
          </w:p>
        </w:tc>
        <w:tc>
          <w:tcPr>
            <w:tcW w:w="7196" w:type="dxa"/>
          </w:tcPr>
          <w:p w14:paraId="0E7A62ED" w14:textId="77777777" w:rsidR="00C8155D" w:rsidRDefault="00C8155D" w:rsidP="00C8155D">
            <w:pPr>
              <w:widowControl w:val="0"/>
              <w:spacing w:line="240" w:lineRule="auto"/>
              <w:ind w:firstLine="0"/>
              <w:rPr>
                <w:rFonts w:ascii="Times New Roman" w:hAnsi="Times New Roman" w:cs="Times New Roman"/>
                <w:szCs w:val="24"/>
              </w:rPr>
            </w:pPr>
          </w:p>
          <w:p w14:paraId="0831DEC4" w14:textId="77777777" w:rsidR="00C8155D" w:rsidRDefault="00C8155D" w:rsidP="00C8155D">
            <w:pPr>
              <w:widowControl w:val="0"/>
              <w:spacing w:line="240" w:lineRule="auto"/>
              <w:ind w:firstLine="0"/>
              <w:rPr>
                <w:rFonts w:ascii="Times New Roman" w:hAnsi="Times New Roman" w:cs="Times New Roman"/>
                <w:szCs w:val="24"/>
              </w:rPr>
            </w:pPr>
            <w:r>
              <w:rPr>
                <w:rFonts w:cs="Times New Roman"/>
                <w:szCs w:val="24"/>
              </w:rPr>
              <w:t xml:space="preserve">Para manter sua flexibilidade, o </w:t>
            </w:r>
            <w:r>
              <w:t>punho</w:t>
            </w:r>
            <w:r>
              <w:rPr>
                <w:rFonts w:cs="Times New Roman"/>
                <w:szCs w:val="24"/>
              </w:rPr>
              <w:t xml:space="preserve"> deve estar em linha reta com o antebraço, de forma a controlar continuamente a vareta.</w:t>
            </w:r>
          </w:p>
          <w:p w14:paraId="7C3BAF4F" w14:textId="77777777" w:rsidR="00C8155D" w:rsidRDefault="00C8155D" w:rsidP="00C8155D">
            <w:pPr>
              <w:widowControl w:val="0"/>
              <w:spacing w:line="240" w:lineRule="auto"/>
              <w:ind w:firstLine="0"/>
              <w:rPr>
                <w:szCs w:val="24"/>
                <w:lang w:eastAsia="en-US"/>
              </w:rPr>
            </w:pPr>
          </w:p>
        </w:tc>
      </w:tr>
    </w:tbl>
    <w:p w14:paraId="4C55AB41" w14:textId="77777777" w:rsidR="001F49FD" w:rsidRPr="00C8155D" w:rsidRDefault="00611419" w:rsidP="00C8155D">
      <w:pPr>
        <w:spacing w:line="240" w:lineRule="auto"/>
        <w:ind w:firstLine="0"/>
        <w:jc w:val="center"/>
        <w:rPr>
          <w:sz w:val="20"/>
          <w:szCs w:val="20"/>
        </w:rPr>
      </w:pPr>
      <w:r w:rsidRPr="00C8155D">
        <w:rPr>
          <w:b/>
          <w:sz w:val="20"/>
          <w:szCs w:val="20"/>
        </w:rPr>
        <w:t xml:space="preserve">Quadro 7: </w:t>
      </w:r>
      <w:r w:rsidRPr="00C8155D">
        <w:rPr>
          <w:sz w:val="20"/>
          <w:szCs w:val="20"/>
        </w:rPr>
        <w:t>nível do braço em relação às cordas.</w:t>
      </w:r>
    </w:p>
    <w:p w14:paraId="0D97C1B2" w14:textId="77777777" w:rsidR="001F49FD" w:rsidRDefault="001F49FD">
      <w:pPr>
        <w:ind w:firstLine="0"/>
        <w:jc w:val="center"/>
        <w:rPr>
          <w:b/>
          <w:sz w:val="20"/>
          <w:szCs w:val="20"/>
        </w:rPr>
      </w:pPr>
    </w:p>
    <w:p w14:paraId="11EE7E6B" w14:textId="77777777" w:rsidR="001F49FD" w:rsidRDefault="001F49FD">
      <w:pPr>
        <w:pStyle w:val="Recuodecorpodetexto"/>
        <w:ind w:left="283" w:firstLine="0"/>
      </w:pPr>
    </w:p>
    <w:p w14:paraId="05747D8E" w14:textId="77777777" w:rsidR="001F49FD" w:rsidRDefault="001F49FD">
      <w:pPr>
        <w:pStyle w:val="Recuodecorpodetexto"/>
        <w:tabs>
          <w:tab w:val="left" w:pos="1843"/>
          <w:tab w:val="left" w:pos="1985"/>
        </w:tabs>
        <w:ind w:left="283" w:firstLine="0"/>
      </w:pPr>
    </w:p>
    <w:tbl>
      <w:tblPr>
        <w:tblStyle w:val="Tabelacomgrade"/>
        <w:tblpPr w:leftFromText="141" w:rightFromText="141" w:vertAnchor="page" w:horzAnchor="margin" w:tblpXSpec="center" w:tblpY="2296"/>
        <w:tblW w:w="9039" w:type="dxa"/>
        <w:jc w:val="center"/>
        <w:tblLayout w:type="fixed"/>
        <w:tblLook w:val="04A0" w:firstRow="1" w:lastRow="0" w:firstColumn="1" w:lastColumn="0" w:noHBand="0" w:noVBand="1"/>
      </w:tblPr>
      <w:tblGrid>
        <w:gridCol w:w="1100"/>
        <w:gridCol w:w="743"/>
        <w:gridCol w:w="7196"/>
      </w:tblGrid>
      <w:tr w:rsidR="001F49FD" w14:paraId="3C06B3B5" w14:textId="77777777">
        <w:trPr>
          <w:jc w:val="center"/>
        </w:trPr>
        <w:tc>
          <w:tcPr>
            <w:tcW w:w="1100" w:type="dxa"/>
          </w:tcPr>
          <w:p w14:paraId="61016A47" w14:textId="77777777" w:rsidR="001F49FD" w:rsidRDefault="001F49FD">
            <w:pPr>
              <w:widowControl w:val="0"/>
              <w:spacing w:line="240" w:lineRule="auto"/>
              <w:ind w:firstLine="0"/>
              <w:rPr>
                <w:szCs w:val="24"/>
              </w:rPr>
            </w:pPr>
          </w:p>
          <w:p w14:paraId="0E5720C1" w14:textId="77777777" w:rsidR="001F49FD" w:rsidRDefault="00611419">
            <w:pPr>
              <w:widowControl w:val="0"/>
              <w:spacing w:line="240" w:lineRule="auto"/>
              <w:ind w:firstLine="0"/>
              <w:rPr>
                <w:szCs w:val="24"/>
              </w:rPr>
            </w:pPr>
            <w:r>
              <w:rPr>
                <w:szCs w:val="24"/>
              </w:rPr>
              <w:t>Moser/</w:t>
            </w:r>
          </w:p>
          <w:p w14:paraId="3F90425D" w14:textId="77777777" w:rsidR="001F49FD" w:rsidRDefault="00611419">
            <w:pPr>
              <w:widowControl w:val="0"/>
              <w:spacing w:line="240" w:lineRule="auto"/>
              <w:ind w:firstLine="0"/>
              <w:rPr>
                <w:szCs w:val="24"/>
              </w:rPr>
            </w:pPr>
            <w:r>
              <w:rPr>
                <w:szCs w:val="24"/>
              </w:rPr>
              <w:t>Joachim</w:t>
            </w:r>
          </w:p>
        </w:tc>
        <w:tc>
          <w:tcPr>
            <w:tcW w:w="743" w:type="dxa"/>
          </w:tcPr>
          <w:p w14:paraId="1C4EB0BF" w14:textId="77777777" w:rsidR="001F49FD" w:rsidRDefault="001F49FD">
            <w:pPr>
              <w:widowControl w:val="0"/>
              <w:spacing w:line="240" w:lineRule="auto"/>
              <w:ind w:firstLine="0"/>
              <w:rPr>
                <w:rFonts w:ascii="Times New Roman" w:hAnsi="Times New Roman" w:cs="Times New Roman"/>
                <w:szCs w:val="24"/>
              </w:rPr>
            </w:pPr>
          </w:p>
          <w:p w14:paraId="11DF4364"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1905</w:t>
            </w:r>
          </w:p>
        </w:tc>
        <w:tc>
          <w:tcPr>
            <w:tcW w:w="7196" w:type="dxa"/>
          </w:tcPr>
          <w:p w14:paraId="3D29090D" w14:textId="77777777" w:rsidR="001F49FD" w:rsidRDefault="001F49FD">
            <w:pPr>
              <w:widowControl w:val="0"/>
              <w:spacing w:line="240" w:lineRule="auto"/>
              <w:ind w:firstLine="0"/>
              <w:rPr>
                <w:rFonts w:ascii="Times New Roman" w:hAnsi="Times New Roman" w:cs="Times New Roman"/>
                <w:szCs w:val="24"/>
              </w:rPr>
            </w:pPr>
          </w:p>
          <w:p w14:paraId="6A4D1AA0" w14:textId="2F1794DA" w:rsidR="001F49FD" w:rsidRDefault="00611419">
            <w:pPr>
              <w:widowControl w:val="0"/>
              <w:spacing w:line="240" w:lineRule="auto"/>
              <w:ind w:firstLine="0"/>
              <w:rPr>
                <w:rFonts w:ascii="Times New Roman" w:hAnsi="Times New Roman" w:cs="Times New Roman"/>
                <w:szCs w:val="24"/>
              </w:rPr>
            </w:pPr>
            <w:r>
              <w:rPr>
                <w:rFonts w:cs="Times New Roman"/>
                <w:szCs w:val="24"/>
              </w:rPr>
              <w:t>Uma correta empunhadura do violino na corda Mi, deve resultar em um leve contato do braço com o corpo; uma elevação do mesmo a um ângulo de 45</w:t>
            </w:r>
            <w:r w:rsidR="00C8155D">
              <w:rPr>
                <w:rFonts w:cs="Times New Roman"/>
                <w:szCs w:val="24"/>
              </w:rPr>
              <w:t xml:space="preserve"> graus</w:t>
            </w:r>
            <w:r>
              <w:rPr>
                <w:rFonts w:cs="Times New Roman"/>
                <w:szCs w:val="24"/>
              </w:rPr>
              <w:t xml:space="preserve"> é necessária na corda Sol.</w:t>
            </w:r>
          </w:p>
          <w:p w14:paraId="2B036356" w14:textId="77777777" w:rsidR="001F49FD" w:rsidRDefault="001F49FD">
            <w:pPr>
              <w:widowControl w:val="0"/>
              <w:spacing w:line="240" w:lineRule="auto"/>
              <w:ind w:firstLine="0"/>
              <w:rPr>
                <w:rFonts w:ascii="Times New Roman" w:hAnsi="Times New Roman" w:cs="Times New Roman"/>
                <w:szCs w:val="24"/>
              </w:rPr>
            </w:pPr>
          </w:p>
        </w:tc>
      </w:tr>
      <w:tr w:rsidR="001F49FD" w14:paraId="02B040A5" w14:textId="77777777">
        <w:trPr>
          <w:jc w:val="center"/>
        </w:trPr>
        <w:tc>
          <w:tcPr>
            <w:tcW w:w="1100" w:type="dxa"/>
          </w:tcPr>
          <w:p w14:paraId="6828FBF2" w14:textId="77777777" w:rsidR="001F49FD" w:rsidRDefault="001F49FD">
            <w:pPr>
              <w:widowControl w:val="0"/>
              <w:spacing w:line="240" w:lineRule="auto"/>
              <w:ind w:firstLine="0"/>
              <w:rPr>
                <w:szCs w:val="24"/>
              </w:rPr>
            </w:pPr>
          </w:p>
          <w:p w14:paraId="075660EA" w14:textId="77777777" w:rsidR="001F49FD" w:rsidRDefault="00611419">
            <w:pPr>
              <w:widowControl w:val="0"/>
              <w:spacing w:line="240" w:lineRule="auto"/>
              <w:ind w:firstLine="0"/>
              <w:rPr>
                <w:szCs w:val="24"/>
              </w:rPr>
            </w:pPr>
            <w:proofErr w:type="spellStart"/>
            <w:r>
              <w:rPr>
                <w:szCs w:val="24"/>
              </w:rPr>
              <w:t>Auer</w:t>
            </w:r>
            <w:proofErr w:type="spellEnd"/>
          </w:p>
        </w:tc>
        <w:tc>
          <w:tcPr>
            <w:tcW w:w="743" w:type="dxa"/>
          </w:tcPr>
          <w:p w14:paraId="17D09700" w14:textId="77777777" w:rsidR="001F49FD" w:rsidRDefault="001F49FD">
            <w:pPr>
              <w:widowControl w:val="0"/>
              <w:spacing w:line="240" w:lineRule="auto"/>
              <w:ind w:firstLine="0"/>
              <w:rPr>
                <w:rFonts w:ascii="Times New Roman" w:hAnsi="Times New Roman" w:cs="Times New Roman"/>
                <w:szCs w:val="24"/>
              </w:rPr>
            </w:pPr>
          </w:p>
          <w:p w14:paraId="383D9200"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1921</w:t>
            </w:r>
          </w:p>
        </w:tc>
        <w:tc>
          <w:tcPr>
            <w:tcW w:w="7196" w:type="dxa"/>
          </w:tcPr>
          <w:p w14:paraId="2D16C9EA" w14:textId="77777777" w:rsidR="001F49FD" w:rsidRDefault="001F49FD">
            <w:pPr>
              <w:widowControl w:val="0"/>
              <w:spacing w:line="240" w:lineRule="auto"/>
              <w:ind w:firstLine="0"/>
              <w:rPr>
                <w:rFonts w:ascii="Times New Roman" w:hAnsi="Times New Roman" w:cs="Times New Roman"/>
                <w:szCs w:val="24"/>
              </w:rPr>
            </w:pPr>
          </w:p>
          <w:p w14:paraId="5E4CED86" w14:textId="40175784" w:rsidR="001F49FD" w:rsidRDefault="00611419">
            <w:pPr>
              <w:widowControl w:val="0"/>
              <w:spacing w:line="240" w:lineRule="auto"/>
              <w:ind w:firstLine="0"/>
              <w:rPr>
                <w:rFonts w:ascii="Times New Roman" w:hAnsi="Times New Roman" w:cs="Times New Roman"/>
                <w:szCs w:val="24"/>
              </w:rPr>
            </w:pPr>
            <w:r>
              <w:rPr>
                <w:rFonts w:cs="Times New Roman"/>
                <w:szCs w:val="24"/>
              </w:rPr>
              <w:t xml:space="preserve">O antebraço e o </w:t>
            </w:r>
            <w:r>
              <w:t>punho</w:t>
            </w:r>
            <w:r>
              <w:rPr>
                <w:rFonts w:cs="Times New Roman"/>
                <w:szCs w:val="24"/>
              </w:rPr>
              <w:t xml:space="preserve"> devem ser sempre movidos para frente e para trás com </w:t>
            </w:r>
            <w:proofErr w:type="gramStart"/>
            <w:r>
              <w:rPr>
                <w:rFonts w:cs="Times New Roman"/>
                <w:szCs w:val="24"/>
              </w:rPr>
              <w:t>uma natural</w:t>
            </w:r>
            <w:proofErr w:type="gramEnd"/>
            <w:r>
              <w:rPr>
                <w:rFonts w:cs="Times New Roman"/>
                <w:szCs w:val="24"/>
              </w:rPr>
              <w:t xml:space="preserve"> liberdade e em ação simultânea. Não mantenha o cotovelo perto do corpo e fique também atento em não </w:t>
            </w:r>
            <w:r w:rsidR="007507C1">
              <w:rPr>
                <w:rFonts w:cs="Times New Roman"/>
                <w:szCs w:val="24"/>
              </w:rPr>
              <w:t>o manter</w:t>
            </w:r>
            <w:r>
              <w:rPr>
                <w:rFonts w:cs="Times New Roman"/>
                <w:szCs w:val="24"/>
              </w:rPr>
              <w:t xml:space="preserve"> demasiadamente elevado.</w:t>
            </w:r>
          </w:p>
          <w:p w14:paraId="48410D83" w14:textId="77777777" w:rsidR="001F49FD" w:rsidRDefault="001F49FD">
            <w:pPr>
              <w:widowControl w:val="0"/>
              <w:spacing w:line="240" w:lineRule="auto"/>
              <w:ind w:firstLine="0"/>
              <w:rPr>
                <w:rFonts w:ascii="Times New Roman" w:hAnsi="Times New Roman" w:cs="Times New Roman"/>
                <w:szCs w:val="24"/>
              </w:rPr>
            </w:pPr>
          </w:p>
        </w:tc>
      </w:tr>
    </w:tbl>
    <w:p w14:paraId="03CA596D" w14:textId="77777777" w:rsidR="001F49FD" w:rsidRDefault="001F49FD" w:rsidP="007C5D20">
      <w:pPr>
        <w:pStyle w:val="Recuodecorpodetexto"/>
        <w:ind w:firstLine="0"/>
      </w:pPr>
    </w:p>
    <w:p w14:paraId="39D5D6D8" w14:textId="77777777" w:rsidR="007C5D20" w:rsidRDefault="007C5D20" w:rsidP="00C8155D">
      <w:pPr>
        <w:pStyle w:val="Recuodecorpodetexto"/>
        <w:ind w:firstLine="1134"/>
      </w:pPr>
    </w:p>
    <w:p w14:paraId="04D559CE" w14:textId="3692D3D8" w:rsidR="001F49FD" w:rsidRDefault="00611419" w:rsidP="007C5D20">
      <w:pPr>
        <w:pStyle w:val="Recuodecorpodetexto"/>
        <w:ind w:firstLine="709"/>
      </w:pPr>
      <w:r>
        <w:t xml:space="preserve">Tal como no tópico </w:t>
      </w:r>
      <w:r>
        <w:rPr>
          <w:b/>
        </w:rPr>
        <w:t>4.1 Postura corporal e sustentação do violino</w:t>
      </w:r>
      <w:r>
        <w:t xml:space="preserve">, esse primeiro </w:t>
      </w:r>
      <w:r w:rsidR="00C8155D">
        <w:t>q</w:t>
      </w:r>
      <w:r>
        <w:t>uadro sobre a Técnica de arco trata de um elemento técnico primordial cuja modificação, ocorrida ao fim do século XIX, trouxe novas alternativas a serem estudadas em seguida: o Nível do braço em relação às cordas.</w:t>
      </w:r>
    </w:p>
    <w:p w14:paraId="07E2F7F3" w14:textId="4FC85B6C" w:rsidR="001F49FD" w:rsidRDefault="00611419" w:rsidP="007C5D20">
      <w:pPr>
        <w:pStyle w:val="Recuodecorpodetexto"/>
        <w:ind w:firstLine="709"/>
      </w:pPr>
      <w:proofErr w:type="spellStart"/>
      <w:r>
        <w:t>Baillot</w:t>
      </w:r>
      <w:proofErr w:type="spellEnd"/>
      <w:r>
        <w:t xml:space="preserve"> e Spohr preconizam o rebaixamento do cotovelo e o posicionamento do braço próximo ao corpo, uma postura que balizou a técnica de arco do século XIX. O primeiro estabelece preceitos mais rigorosos, atribuindo somente ao antebraço e ao</w:t>
      </w:r>
      <w:r>
        <w:rPr>
          <w:b/>
        </w:rPr>
        <w:t xml:space="preserve"> </w:t>
      </w:r>
      <w:r>
        <w:t>punho a movimentação do arco, com o cotovelo “em um estado de completa nulidade”</w:t>
      </w:r>
      <w:r w:rsidR="00C8155D">
        <w:t>,</w:t>
      </w:r>
      <w:r>
        <w:t xml:space="preserve"> ao passo que Spohr parece reconhecer a necessidade de movimentação do braço em golpes de arco extensos. </w:t>
      </w:r>
    </w:p>
    <w:p w14:paraId="294EDD07" w14:textId="77777777" w:rsidR="001F49FD" w:rsidRDefault="00611419" w:rsidP="007C5D20">
      <w:pPr>
        <w:pStyle w:val="Recuodecorpodetexto"/>
        <w:ind w:firstLine="709"/>
      </w:pPr>
      <w:r>
        <w:t xml:space="preserve">O preceito de </w:t>
      </w:r>
      <w:proofErr w:type="spellStart"/>
      <w:r>
        <w:t>Bériot</w:t>
      </w:r>
      <w:proofErr w:type="spellEnd"/>
      <w:r>
        <w:t xml:space="preserve">, que indica que o “punho deve estar em linha reta com o antebraço”, sugere uma ideia diferenciada das normas de Spohr e </w:t>
      </w:r>
      <w:proofErr w:type="spellStart"/>
      <w:r>
        <w:t>Baillot</w:t>
      </w:r>
      <w:proofErr w:type="spellEnd"/>
      <w:r>
        <w:t>. No entanto, essa divergência não se confirma nas imagens do método,</w:t>
      </w:r>
      <w:r>
        <w:rPr>
          <w:rStyle w:val="Refdenotaderodap"/>
        </w:rPr>
        <w:footnoteReference w:id="44"/>
      </w:r>
      <w:r>
        <w:t xml:space="preserve"> como demonstrado no subcapítulo 2.3.1, referente aos principais conceitos técnicos de seu </w:t>
      </w:r>
      <w:proofErr w:type="spellStart"/>
      <w:r>
        <w:rPr>
          <w:i/>
        </w:rPr>
        <w:t>Méthode</w:t>
      </w:r>
      <w:proofErr w:type="spellEnd"/>
      <w:r>
        <w:rPr>
          <w:i/>
        </w:rPr>
        <w:t xml:space="preserve"> de </w:t>
      </w:r>
      <w:proofErr w:type="spellStart"/>
      <w:r>
        <w:rPr>
          <w:i/>
        </w:rPr>
        <w:t>Violon</w:t>
      </w:r>
      <w:proofErr w:type="spellEnd"/>
      <w:r>
        <w:t xml:space="preserve">. A transformação na qual o braço atua em diferentes alturas em função das cordas que estão sendo tocadas se confirma somente no preceito de Moser/Joachim. Enfim, o preceito de </w:t>
      </w:r>
      <w:proofErr w:type="spellStart"/>
      <w:r>
        <w:t>Auer</w:t>
      </w:r>
      <w:proofErr w:type="spellEnd"/>
      <w:r>
        <w:t xml:space="preserve"> corrobora que o princípio postural do braço afastado do corpo passou a ser empregado nas primeiras décadas do século XX. </w:t>
      </w:r>
    </w:p>
    <w:p w14:paraId="51820E6A" w14:textId="77777777" w:rsidR="001F49FD" w:rsidRDefault="001F49FD">
      <w:pPr>
        <w:pStyle w:val="Recuodecorpodetexto"/>
        <w:ind w:left="283" w:firstLine="1134"/>
      </w:pPr>
    </w:p>
    <w:p w14:paraId="056FCD2E" w14:textId="77777777" w:rsidR="001F49FD" w:rsidRDefault="001F49FD">
      <w:pPr>
        <w:pStyle w:val="Recuodecorpodetexto"/>
        <w:ind w:left="283" w:firstLine="1134"/>
      </w:pPr>
    </w:p>
    <w:p w14:paraId="2D1F1AEE" w14:textId="13C2166A" w:rsidR="001F49FD" w:rsidRDefault="00611419">
      <w:pPr>
        <w:pStyle w:val="Ttulo2"/>
      </w:pPr>
      <w:bookmarkStart w:id="121" w:name="_Toc14331046"/>
      <w:bookmarkStart w:id="122" w:name="_Toc219359047"/>
      <w:r>
        <w:lastRenderedPageBreak/>
        <w:t>Distribuição do espaço entre os dedos e ponto de contato do dedo indicador</w:t>
      </w:r>
      <w:bookmarkEnd w:id="121"/>
      <w:bookmarkEnd w:id="122"/>
    </w:p>
    <w:p w14:paraId="1D58DF4D" w14:textId="77777777" w:rsidR="001F49FD" w:rsidRDefault="00611419">
      <w:pPr>
        <w:pStyle w:val="Corpodetexto"/>
        <w:spacing w:after="0"/>
        <w:rPr>
          <w:sz w:val="20"/>
          <w:szCs w:val="20"/>
        </w:rPr>
      </w:pPr>
      <w:r>
        <w:rPr>
          <w:b/>
          <w:sz w:val="20"/>
          <w:szCs w:val="20"/>
        </w:rPr>
        <w:t xml:space="preserve">Quadro 8: </w:t>
      </w:r>
      <w:r>
        <w:rPr>
          <w:sz w:val="20"/>
          <w:szCs w:val="20"/>
        </w:rPr>
        <w:t>distribuição do espaço entre os dedos e ponto de contato do dedo indicador.</w:t>
      </w:r>
    </w:p>
    <w:tbl>
      <w:tblPr>
        <w:tblStyle w:val="Tabelacomgrade"/>
        <w:tblW w:w="9072" w:type="dxa"/>
        <w:tblInd w:w="108" w:type="dxa"/>
        <w:tblLayout w:type="fixed"/>
        <w:tblLook w:val="04A0" w:firstRow="1" w:lastRow="0" w:firstColumn="1" w:lastColumn="0" w:noHBand="0" w:noVBand="1"/>
      </w:tblPr>
      <w:tblGrid>
        <w:gridCol w:w="1134"/>
        <w:gridCol w:w="850"/>
        <w:gridCol w:w="7088"/>
      </w:tblGrid>
      <w:tr w:rsidR="001F49FD" w14:paraId="3FF894BB" w14:textId="77777777">
        <w:tc>
          <w:tcPr>
            <w:tcW w:w="1134" w:type="dxa"/>
          </w:tcPr>
          <w:p w14:paraId="757B4158" w14:textId="77777777" w:rsidR="001F49FD" w:rsidRDefault="001F49FD">
            <w:pPr>
              <w:widowControl w:val="0"/>
              <w:spacing w:line="240" w:lineRule="auto"/>
              <w:ind w:firstLine="0"/>
              <w:rPr>
                <w:rFonts w:asciiTheme="majorHAnsi" w:hAnsiTheme="majorHAnsi" w:cstheme="majorHAnsi"/>
                <w:szCs w:val="24"/>
              </w:rPr>
            </w:pPr>
          </w:p>
          <w:p w14:paraId="1486CBE6"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Spohr</w:t>
            </w:r>
          </w:p>
        </w:tc>
        <w:tc>
          <w:tcPr>
            <w:tcW w:w="850" w:type="dxa"/>
          </w:tcPr>
          <w:p w14:paraId="12490502" w14:textId="77777777" w:rsidR="001F49FD" w:rsidRDefault="001F49FD">
            <w:pPr>
              <w:widowControl w:val="0"/>
              <w:spacing w:line="240" w:lineRule="auto"/>
              <w:ind w:firstLine="0"/>
              <w:rPr>
                <w:rFonts w:asciiTheme="majorHAnsi" w:hAnsiTheme="majorHAnsi" w:cstheme="majorHAnsi"/>
                <w:szCs w:val="24"/>
              </w:rPr>
            </w:pPr>
          </w:p>
          <w:p w14:paraId="1651D806"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1832</w:t>
            </w:r>
          </w:p>
        </w:tc>
        <w:tc>
          <w:tcPr>
            <w:tcW w:w="7088" w:type="dxa"/>
          </w:tcPr>
          <w:p w14:paraId="5CD91DCB" w14:textId="77777777" w:rsidR="001F49FD" w:rsidRDefault="001F49FD">
            <w:pPr>
              <w:widowControl w:val="0"/>
              <w:spacing w:line="240" w:lineRule="auto"/>
              <w:ind w:firstLine="0"/>
              <w:rPr>
                <w:rFonts w:asciiTheme="majorHAnsi" w:hAnsiTheme="majorHAnsi" w:cstheme="majorHAnsi"/>
                <w:szCs w:val="24"/>
              </w:rPr>
            </w:pPr>
          </w:p>
          <w:p w14:paraId="1058D6C1" w14:textId="3BC33C4B" w:rsidR="001F49FD" w:rsidRDefault="00611419">
            <w:pPr>
              <w:widowControl w:val="0"/>
              <w:spacing w:line="240" w:lineRule="auto"/>
              <w:ind w:firstLine="0"/>
              <w:rPr>
                <w:rFonts w:asciiTheme="majorHAnsi" w:hAnsiTheme="majorHAnsi" w:cstheme="majorHAnsi"/>
                <w:szCs w:val="24"/>
                <w:u w:val="single"/>
              </w:rPr>
            </w:pPr>
            <w:r>
              <w:rPr>
                <w:rFonts w:cstheme="majorHAnsi"/>
                <w:szCs w:val="24"/>
              </w:rPr>
              <w:t xml:space="preserve">O dedo polegar deve estar flexionado com a sua ponta sob a vareta, próximo ao talão e em </w:t>
            </w:r>
            <w:r>
              <w:rPr>
                <w:rFonts w:cstheme="majorHAnsi"/>
                <w:szCs w:val="24"/>
                <w:u w:val="single"/>
              </w:rPr>
              <w:t xml:space="preserve">oposição ao dedo médio, o qual, juntamente com o dedo indicador, envolve a vareta de forma que esta fique na articulação da primeira falange </w:t>
            </w:r>
            <w:r>
              <w:rPr>
                <w:u w:val="single"/>
              </w:rPr>
              <w:t>[</w:t>
            </w:r>
            <w:r w:rsidR="00C8155D">
              <w:rPr>
                <w:u w:val="single"/>
              </w:rPr>
              <w:t>interfalangiana</w:t>
            </w:r>
            <w:r>
              <w:rPr>
                <w:u w:val="single"/>
              </w:rPr>
              <w:t xml:space="preserve"> distal] </w:t>
            </w:r>
            <w:r>
              <w:rPr>
                <w:rFonts w:cstheme="majorHAnsi"/>
                <w:szCs w:val="24"/>
                <w:u w:val="single"/>
              </w:rPr>
              <w:t>de cada dedo.</w:t>
            </w:r>
          </w:p>
          <w:p w14:paraId="3B337411"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26EAD466" w14:textId="77777777">
        <w:trPr>
          <w:trHeight w:val="1293"/>
        </w:trPr>
        <w:tc>
          <w:tcPr>
            <w:tcW w:w="1134" w:type="dxa"/>
          </w:tcPr>
          <w:p w14:paraId="3E6E9AA2" w14:textId="77777777" w:rsidR="001F49FD" w:rsidRDefault="001F49FD">
            <w:pPr>
              <w:widowControl w:val="0"/>
              <w:spacing w:line="240" w:lineRule="auto"/>
              <w:ind w:firstLine="0"/>
              <w:rPr>
                <w:rFonts w:asciiTheme="majorHAnsi" w:hAnsiTheme="majorHAnsi" w:cstheme="majorHAnsi"/>
                <w:szCs w:val="24"/>
              </w:rPr>
            </w:pPr>
          </w:p>
          <w:p w14:paraId="342F0461"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Baillot</w:t>
            </w:r>
            <w:proofErr w:type="spellEnd"/>
          </w:p>
        </w:tc>
        <w:tc>
          <w:tcPr>
            <w:tcW w:w="850" w:type="dxa"/>
          </w:tcPr>
          <w:p w14:paraId="0AC7DAAD" w14:textId="77777777" w:rsidR="001F49FD" w:rsidRDefault="001F49FD">
            <w:pPr>
              <w:widowControl w:val="0"/>
              <w:spacing w:line="240" w:lineRule="auto"/>
              <w:ind w:firstLine="0"/>
              <w:rPr>
                <w:rFonts w:asciiTheme="majorHAnsi" w:hAnsiTheme="majorHAnsi" w:cstheme="majorHAnsi"/>
                <w:szCs w:val="24"/>
              </w:rPr>
            </w:pPr>
          </w:p>
          <w:p w14:paraId="301CE5B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1835</w:t>
            </w:r>
          </w:p>
        </w:tc>
        <w:tc>
          <w:tcPr>
            <w:tcW w:w="7088" w:type="dxa"/>
          </w:tcPr>
          <w:p w14:paraId="5FA60A54" w14:textId="77777777" w:rsidR="001F49FD" w:rsidRDefault="001F49FD">
            <w:pPr>
              <w:widowControl w:val="0"/>
              <w:spacing w:line="240" w:lineRule="auto"/>
              <w:ind w:firstLine="0"/>
              <w:rPr>
                <w:rFonts w:asciiTheme="majorHAnsi" w:hAnsiTheme="majorHAnsi" w:cstheme="majorHAnsi"/>
                <w:szCs w:val="24"/>
              </w:rPr>
            </w:pPr>
          </w:p>
          <w:p w14:paraId="7FE718B8"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Evitar separar o dedo indicador dos demais.</w:t>
            </w:r>
          </w:p>
          <w:p w14:paraId="5FAC53BC" w14:textId="77777777" w:rsidR="001F49FD" w:rsidRDefault="001F49FD">
            <w:pPr>
              <w:widowControl w:val="0"/>
              <w:spacing w:line="240" w:lineRule="auto"/>
              <w:ind w:firstLine="0"/>
              <w:rPr>
                <w:rFonts w:asciiTheme="majorHAnsi" w:hAnsiTheme="majorHAnsi" w:cstheme="majorHAnsi"/>
                <w:szCs w:val="24"/>
              </w:rPr>
            </w:pPr>
          </w:p>
          <w:p w14:paraId="71154E1A"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Posicionar a vareta no centro da 2ª falange [média] do dedo indicador.</w:t>
            </w:r>
          </w:p>
          <w:p w14:paraId="5962307B"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3AEDCD7E" w14:textId="77777777">
        <w:tc>
          <w:tcPr>
            <w:tcW w:w="1134" w:type="dxa"/>
          </w:tcPr>
          <w:p w14:paraId="19E30E3F" w14:textId="77777777" w:rsidR="001F49FD" w:rsidRDefault="001F49FD">
            <w:pPr>
              <w:widowControl w:val="0"/>
              <w:spacing w:line="240" w:lineRule="auto"/>
              <w:ind w:firstLine="0"/>
              <w:rPr>
                <w:rFonts w:asciiTheme="majorHAnsi" w:hAnsiTheme="majorHAnsi" w:cstheme="majorHAnsi"/>
                <w:szCs w:val="24"/>
              </w:rPr>
            </w:pPr>
          </w:p>
          <w:p w14:paraId="36A63B6A"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50" w:type="dxa"/>
          </w:tcPr>
          <w:p w14:paraId="224211A6" w14:textId="77777777" w:rsidR="001F49FD" w:rsidRDefault="001F49FD">
            <w:pPr>
              <w:widowControl w:val="0"/>
              <w:spacing w:line="240" w:lineRule="auto"/>
              <w:ind w:firstLine="0"/>
              <w:rPr>
                <w:rFonts w:asciiTheme="majorHAnsi" w:hAnsiTheme="majorHAnsi" w:cstheme="majorHAnsi"/>
                <w:szCs w:val="24"/>
              </w:rPr>
            </w:pPr>
          </w:p>
          <w:p w14:paraId="5BABD35C"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7088" w:type="dxa"/>
          </w:tcPr>
          <w:p w14:paraId="69D86A41" w14:textId="77777777" w:rsidR="001F49FD" w:rsidRDefault="001F49FD">
            <w:pPr>
              <w:widowControl w:val="0"/>
              <w:spacing w:line="240" w:lineRule="auto"/>
              <w:ind w:firstLine="0"/>
              <w:rPr>
                <w:rFonts w:asciiTheme="majorHAnsi" w:hAnsiTheme="majorHAnsi" w:cstheme="majorHAnsi"/>
                <w:szCs w:val="24"/>
              </w:rPr>
            </w:pPr>
          </w:p>
          <w:p w14:paraId="2E7126CA" w14:textId="7509B90B" w:rsidR="001F49FD" w:rsidRDefault="00611419">
            <w:pPr>
              <w:widowControl w:val="0"/>
              <w:spacing w:line="240" w:lineRule="auto"/>
              <w:ind w:firstLine="0"/>
              <w:rPr>
                <w:rFonts w:asciiTheme="majorHAnsi" w:hAnsiTheme="majorHAnsi" w:cstheme="majorHAnsi"/>
                <w:szCs w:val="24"/>
              </w:rPr>
            </w:pPr>
            <w:r>
              <w:rPr>
                <w:rFonts w:cstheme="majorHAnsi"/>
                <w:szCs w:val="24"/>
                <w:u w:val="single"/>
              </w:rPr>
              <w:t>A vareta é sustentada</w:t>
            </w:r>
            <w:r>
              <w:rPr>
                <w:rFonts w:cstheme="majorHAnsi"/>
                <w:szCs w:val="24"/>
              </w:rPr>
              <w:t xml:space="preserve"> transversalmente </w:t>
            </w:r>
            <w:r>
              <w:rPr>
                <w:rFonts w:cstheme="majorHAnsi"/>
                <w:szCs w:val="24"/>
                <w:u w:val="single"/>
              </w:rPr>
              <w:t xml:space="preserve">desde a junção entre a primeira e a segunda falange </w:t>
            </w:r>
            <w:r>
              <w:rPr>
                <w:u w:val="single"/>
              </w:rPr>
              <w:t>[</w:t>
            </w:r>
            <w:r w:rsidR="00393CC4">
              <w:rPr>
                <w:u w:val="single"/>
              </w:rPr>
              <w:t>interfalangiana</w:t>
            </w:r>
            <w:r>
              <w:rPr>
                <w:u w:val="single"/>
              </w:rPr>
              <w:t xml:space="preserve"> distal] </w:t>
            </w:r>
            <w:r>
              <w:rPr>
                <w:rFonts w:cstheme="majorHAnsi"/>
                <w:szCs w:val="24"/>
                <w:u w:val="single"/>
              </w:rPr>
              <w:t>do dedo indicador até a extremidade do dedo mínimo.</w:t>
            </w:r>
          </w:p>
          <w:p w14:paraId="45E9F1CB"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7A5B15FC" w14:textId="77777777">
        <w:tc>
          <w:tcPr>
            <w:tcW w:w="1134" w:type="dxa"/>
          </w:tcPr>
          <w:p w14:paraId="4FF11EF5" w14:textId="77777777" w:rsidR="001F49FD" w:rsidRDefault="001F49FD">
            <w:pPr>
              <w:widowControl w:val="0"/>
              <w:spacing w:line="240" w:lineRule="auto"/>
              <w:ind w:firstLine="0"/>
              <w:rPr>
                <w:rFonts w:asciiTheme="majorHAnsi" w:hAnsiTheme="majorHAnsi" w:cstheme="majorHAnsi"/>
                <w:szCs w:val="24"/>
              </w:rPr>
            </w:pPr>
          </w:p>
          <w:p w14:paraId="703D8214"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Moser/</w:t>
            </w:r>
          </w:p>
          <w:p w14:paraId="02B43ABF"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Joachim</w:t>
            </w:r>
          </w:p>
        </w:tc>
        <w:tc>
          <w:tcPr>
            <w:tcW w:w="850" w:type="dxa"/>
          </w:tcPr>
          <w:p w14:paraId="573E6011" w14:textId="77777777" w:rsidR="001F49FD" w:rsidRDefault="001F49FD">
            <w:pPr>
              <w:widowControl w:val="0"/>
              <w:spacing w:line="240" w:lineRule="auto"/>
              <w:ind w:firstLine="0"/>
              <w:rPr>
                <w:rFonts w:asciiTheme="majorHAnsi" w:hAnsiTheme="majorHAnsi" w:cstheme="majorHAnsi"/>
                <w:szCs w:val="24"/>
              </w:rPr>
            </w:pPr>
          </w:p>
          <w:p w14:paraId="0EF84C3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1905</w:t>
            </w:r>
          </w:p>
        </w:tc>
        <w:tc>
          <w:tcPr>
            <w:tcW w:w="7088" w:type="dxa"/>
          </w:tcPr>
          <w:p w14:paraId="66918564" w14:textId="77777777" w:rsidR="001F49FD" w:rsidRDefault="001F49FD">
            <w:pPr>
              <w:widowControl w:val="0"/>
              <w:spacing w:line="240" w:lineRule="auto"/>
              <w:ind w:firstLine="0"/>
              <w:rPr>
                <w:rFonts w:asciiTheme="majorHAnsi" w:hAnsiTheme="majorHAnsi" w:cstheme="majorHAnsi"/>
                <w:szCs w:val="24"/>
              </w:rPr>
            </w:pPr>
          </w:p>
          <w:p w14:paraId="77B7473C"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Todos os dedos – levemente flexionados – devem adotar uma posição retangular em relação ao arco, não agrupados desajeitadamente, mas em uma relação livre e natural entre si.</w:t>
            </w:r>
          </w:p>
          <w:p w14:paraId="4D34B6F1"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7CD746D5" w14:textId="77777777">
        <w:trPr>
          <w:trHeight w:val="70"/>
        </w:trPr>
        <w:tc>
          <w:tcPr>
            <w:tcW w:w="1134" w:type="dxa"/>
          </w:tcPr>
          <w:p w14:paraId="13676DF8" w14:textId="77777777" w:rsidR="001F49FD" w:rsidRDefault="001F49FD">
            <w:pPr>
              <w:widowControl w:val="0"/>
              <w:spacing w:line="240" w:lineRule="auto"/>
              <w:ind w:firstLine="0"/>
              <w:rPr>
                <w:rFonts w:asciiTheme="majorHAnsi" w:hAnsiTheme="majorHAnsi" w:cstheme="majorHAnsi"/>
                <w:szCs w:val="24"/>
              </w:rPr>
            </w:pPr>
          </w:p>
          <w:p w14:paraId="01F27BAB"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50" w:type="dxa"/>
          </w:tcPr>
          <w:p w14:paraId="4E7F07EB" w14:textId="77777777" w:rsidR="001F49FD" w:rsidRDefault="001F49FD">
            <w:pPr>
              <w:widowControl w:val="0"/>
              <w:spacing w:line="240" w:lineRule="auto"/>
              <w:ind w:firstLine="0"/>
              <w:rPr>
                <w:rFonts w:asciiTheme="majorHAnsi" w:hAnsiTheme="majorHAnsi" w:cstheme="majorHAnsi"/>
                <w:szCs w:val="24"/>
              </w:rPr>
            </w:pPr>
          </w:p>
          <w:p w14:paraId="7A5F9012"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1921</w:t>
            </w:r>
          </w:p>
        </w:tc>
        <w:tc>
          <w:tcPr>
            <w:tcW w:w="7088" w:type="dxa"/>
          </w:tcPr>
          <w:p w14:paraId="3F27013E" w14:textId="77777777" w:rsidR="001F49FD" w:rsidRDefault="001F49FD">
            <w:pPr>
              <w:widowControl w:val="0"/>
              <w:spacing w:line="240" w:lineRule="auto"/>
              <w:ind w:firstLine="0"/>
              <w:rPr>
                <w:rFonts w:asciiTheme="majorHAnsi" w:hAnsiTheme="majorHAnsi" w:cstheme="majorHAnsi"/>
                <w:szCs w:val="24"/>
                <w:u w:val="single"/>
              </w:rPr>
            </w:pPr>
          </w:p>
          <w:p w14:paraId="5667875B" w14:textId="77777777" w:rsidR="001F49FD" w:rsidRDefault="00611419">
            <w:pPr>
              <w:widowControl w:val="0"/>
              <w:spacing w:line="240" w:lineRule="auto"/>
              <w:ind w:firstLine="0"/>
              <w:rPr>
                <w:rFonts w:ascii="Times New Roman" w:hAnsi="Times New Roman" w:cs="Times New Roman"/>
                <w:sz w:val="22"/>
                <w:szCs w:val="24"/>
              </w:rPr>
            </w:pPr>
            <w:r>
              <w:rPr>
                <w:rFonts w:cs="Times New Roman"/>
                <w:szCs w:val="24"/>
              </w:rPr>
              <w:t>Há pouco espaço entre o dedo indicador e o dedo médio.</w:t>
            </w:r>
          </w:p>
          <w:p w14:paraId="5CC0941C" w14:textId="77777777" w:rsidR="001F49FD" w:rsidRDefault="001F49FD">
            <w:pPr>
              <w:widowControl w:val="0"/>
              <w:spacing w:line="240" w:lineRule="auto"/>
              <w:ind w:firstLine="0"/>
              <w:rPr>
                <w:rFonts w:ascii="Times New Roman" w:hAnsi="Times New Roman" w:cs="Times New Roman"/>
                <w:sz w:val="22"/>
                <w:szCs w:val="24"/>
              </w:rPr>
            </w:pPr>
          </w:p>
          <w:p w14:paraId="62FEDF25"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dedo indicador apoia-se lateralmente sobre a vareta na extremidade da terceira falange [proximal], ao mesmo tempo em que a envolve com a primeira [distal] e a segunda falange [média].</w:t>
            </w:r>
          </w:p>
          <w:p w14:paraId="66C37AA3" w14:textId="77777777" w:rsidR="001F49FD" w:rsidRDefault="001F49FD">
            <w:pPr>
              <w:widowControl w:val="0"/>
              <w:spacing w:line="240" w:lineRule="auto"/>
              <w:ind w:firstLine="0"/>
              <w:rPr>
                <w:rFonts w:asciiTheme="majorHAnsi" w:hAnsiTheme="majorHAnsi" w:cstheme="majorHAnsi"/>
                <w:szCs w:val="24"/>
              </w:rPr>
            </w:pPr>
          </w:p>
          <w:p w14:paraId="7444A424" w14:textId="598F8EE6"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O arco deve repousar em uma posição natural entre a primeira e a segunda articulação </w:t>
            </w:r>
            <w:r>
              <w:t>[</w:t>
            </w:r>
            <w:r w:rsidR="00C8155D">
              <w:t>interfalangiana</w:t>
            </w:r>
            <w:r>
              <w:t xml:space="preserve"> proximal] </w:t>
            </w:r>
            <w:r>
              <w:rPr>
                <w:rFonts w:cstheme="majorHAnsi"/>
                <w:szCs w:val="24"/>
              </w:rPr>
              <w:t>do dedo indicador e entre a extremidade e a primeira articulação [</w:t>
            </w:r>
            <w:r w:rsidR="00C8155D">
              <w:rPr>
                <w:rFonts w:cstheme="majorHAnsi"/>
                <w:szCs w:val="24"/>
              </w:rPr>
              <w:t>interfalangiana</w:t>
            </w:r>
            <w:r>
              <w:rPr>
                <w:rFonts w:cstheme="majorHAnsi"/>
                <w:szCs w:val="24"/>
              </w:rPr>
              <w:t xml:space="preserve"> distal] do dedo mínimo.</w:t>
            </w:r>
          </w:p>
          <w:p w14:paraId="0859EC9F"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5E359AA9" w14:textId="77777777">
        <w:tc>
          <w:tcPr>
            <w:tcW w:w="1134" w:type="dxa"/>
          </w:tcPr>
          <w:p w14:paraId="69C5469F" w14:textId="77777777" w:rsidR="001F49FD" w:rsidRDefault="001F49FD">
            <w:pPr>
              <w:widowControl w:val="0"/>
              <w:spacing w:line="240" w:lineRule="auto"/>
              <w:ind w:firstLine="0"/>
              <w:rPr>
                <w:rFonts w:asciiTheme="majorHAnsi" w:hAnsiTheme="majorHAnsi" w:cstheme="majorHAnsi"/>
                <w:szCs w:val="24"/>
              </w:rPr>
            </w:pPr>
          </w:p>
          <w:p w14:paraId="50333BAB" w14:textId="77777777" w:rsidR="001F49FD" w:rsidRDefault="00611419">
            <w:pPr>
              <w:widowControl w:val="0"/>
              <w:spacing w:line="240" w:lineRule="auto"/>
              <w:ind w:firstLine="0"/>
              <w:rPr>
                <w:rFonts w:asciiTheme="majorHAnsi" w:hAnsiTheme="majorHAnsi" w:cstheme="majorHAnsi"/>
                <w:szCs w:val="24"/>
                <w:lang w:val="fr-FR" w:eastAsia="en-US"/>
              </w:rPr>
            </w:pPr>
            <w:r>
              <w:rPr>
                <w:rFonts w:cstheme="majorHAnsi"/>
                <w:szCs w:val="24"/>
                <w:lang w:val="fr-FR"/>
              </w:rPr>
              <w:t>Flesch</w:t>
            </w:r>
          </w:p>
        </w:tc>
        <w:tc>
          <w:tcPr>
            <w:tcW w:w="850" w:type="dxa"/>
          </w:tcPr>
          <w:p w14:paraId="5884FD44" w14:textId="77777777" w:rsidR="001F49FD" w:rsidRDefault="001F49FD">
            <w:pPr>
              <w:widowControl w:val="0"/>
              <w:spacing w:line="240" w:lineRule="auto"/>
              <w:ind w:firstLine="0"/>
              <w:rPr>
                <w:rFonts w:asciiTheme="majorHAnsi" w:hAnsiTheme="majorHAnsi" w:cstheme="majorHAnsi"/>
                <w:szCs w:val="24"/>
                <w:lang w:val="fr-FR"/>
              </w:rPr>
            </w:pPr>
          </w:p>
          <w:p w14:paraId="00F4F3FF" w14:textId="77777777" w:rsidR="001F49FD" w:rsidRDefault="00611419">
            <w:pPr>
              <w:widowControl w:val="0"/>
              <w:spacing w:line="240" w:lineRule="auto"/>
              <w:ind w:firstLine="0"/>
              <w:rPr>
                <w:rFonts w:asciiTheme="majorHAnsi" w:hAnsiTheme="majorHAnsi" w:cstheme="majorHAnsi"/>
                <w:szCs w:val="24"/>
                <w:lang w:val="fr-FR" w:eastAsia="en-US"/>
              </w:rPr>
            </w:pPr>
            <w:r>
              <w:rPr>
                <w:rFonts w:cstheme="majorHAnsi"/>
                <w:szCs w:val="24"/>
                <w:lang w:val="fr-FR"/>
              </w:rPr>
              <w:t>1928</w:t>
            </w:r>
          </w:p>
        </w:tc>
        <w:tc>
          <w:tcPr>
            <w:tcW w:w="7088" w:type="dxa"/>
          </w:tcPr>
          <w:p w14:paraId="50412C64"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6F50DF5A" w14:textId="77777777" w:rsidR="001F49FD" w:rsidRDefault="00611419">
            <w:pPr>
              <w:widowControl w:val="0"/>
              <w:spacing w:line="240" w:lineRule="auto"/>
              <w:ind w:firstLine="0"/>
              <w:rPr>
                <w:rFonts w:ascii="Times New Roman" w:hAnsi="Times New Roman" w:cs="Times New Roman"/>
                <w:color w:val="222222"/>
                <w:szCs w:val="24"/>
                <w:shd w:val="clear" w:color="auto" w:fill="FFFFFF"/>
              </w:rPr>
            </w:pPr>
            <w:r>
              <w:rPr>
                <w:rFonts w:cs="Times New Roman"/>
                <w:color w:val="222222"/>
                <w:szCs w:val="24"/>
                <w:shd w:val="clear" w:color="auto" w:fill="FFFFFF"/>
              </w:rPr>
              <w:t>É preciso ter cuidado para não esticar o dedo indicador muito para frente.</w:t>
            </w:r>
          </w:p>
          <w:p w14:paraId="0C958200" w14:textId="77777777" w:rsidR="001F49FD" w:rsidRDefault="001F49FD">
            <w:pPr>
              <w:widowControl w:val="0"/>
              <w:spacing w:line="240" w:lineRule="auto"/>
              <w:ind w:firstLine="0"/>
              <w:rPr>
                <w:rFonts w:ascii="Times New Roman" w:hAnsi="Times New Roman" w:cs="Times New Roman"/>
                <w:color w:val="222222"/>
                <w:szCs w:val="24"/>
                <w:shd w:val="clear" w:color="auto" w:fill="FFFFFF"/>
              </w:rPr>
            </w:pPr>
          </w:p>
          <w:p w14:paraId="5EA8E8AE" w14:textId="77777777" w:rsidR="001F49FD" w:rsidRDefault="00611419">
            <w:pPr>
              <w:widowControl w:val="0"/>
              <w:spacing w:line="240" w:lineRule="auto"/>
              <w:ind w:firstLine="0"/>
              <w:rPr>
                <w:rFonts w:ascii="Times New Roman" w:hAnsi="Times New Roman" w:cs="Times New Roman"/>
                <w:color w:val="222222"/>
                <w:szCs w:val="24"/>
                <w:shd w:val="clear" w:color="auto" w:fill="FFFFFF"/>
              </w:rPr>
            </w:pPr>
            <w:r>
              <w:rPr>
                <w:rFonts w:cs="Times New Roman"/>
                <w:color w:val="222222"/>
                <w:szCs w:val="24"/>
                <w:shd w:val="clear" w:color="auto" w:fill="FFFFFF"/>
              </w:rPr>
              <w:t>A empunhadura do arco é alterada, certificando-se de que o contato entre o dedo indicador e a vareta seja feito através de sua falange média, e que sua ponta envolva a vareta.</w:t>
            </w:r>
          </w:p>
          <w:p w14:paraId="10F33B46" w14:textId="77777777" w:rsidR="001F49FD" w:rsidRDefault="001F49FD">
            <w:pPr>
              <w:widowControl w:val="0"/>
              <w:spacing w:line="240" w:lineRule="auto"/>
              <w:ind w:firstLine="0"/>
              <w:rPr>
                <w:rFonts w:asciiTheme="majorHAnsi" w:hAnsiTheme="majorHAnsi" w:cstheme="majorHAnsi"/>
                <w:b/>
                <w:szCs w:val="24"/>
                <w:lang w:eastAsia="en-US"/>
              </w:rPr>
            </w:pPr>
          </w:p>
        </w:tc>
      </w:tr>
    </w:tbl>
    <w:p w14:paraId="497B2201" w14:textId="77777777" w:rsidR="001F49FD" w:rsidRDefault="001F49FD"/>
    <w:p w14:paraId="13D46DB0" w14:textId="77777777" w:rsidR="001F49FD" w:rsidRDefault="001F49FD"/>
    <w:p w14:paraId="5780ACF0" w14:textId="77777777" w:rsidR="001F49FD" w:rsidRDefault="001F49FD"/>
    <w:p w14:paraId="7E774F45" w14:textId="77777777" w:rsidR="001F49FD" w:rsidRDefault="001F49FD"/>
    <w:tbl>
      <w:tblPr>
        <w:tblStyle w:val="Tabelacomgrade"/>
        <w:tblW w:w="9072" w:type="dxa"/>
        <w:tblInd w:w="108" w:type="dxa"/>
        <w:tblLayout w:type="fixed"/>
        <w:tblLook w:val="04A0" w:firstRow="1" w:lastRow="0" w:firstColumn="1" w:lastColumn="0" w:noHBand="0" w:noVBand="1"/>
      </w:tblPr>
      <w:tblGrid>
        <w:gridCol w:w="1134"/>
        <w:gridCol w:w="850"/>
        <w:gridCol w:w="7088"/>
      </w:tblGrid>
      <w:tr w:rsidR="001F49FD" w14:paraId="21C9CCA8" w14:textId="77777777">
        <w:tc>
          <w:tcPr>
            <w:tcW w:w="1134" w:type="dxa"/>
          </w:tcPr>
          <w:p w14:paraId="42291356" w14:textId="77777777" w:rsidR="001F49FD" w:rsidRDefault="001F49FD">
            <w:pPr>
              <w:pStyle w:val="SemEspaamento"/>
              <w:widowControl w:val="0"/>
              <w:ind w:firstLine="0"/>
              <w:rPr>
                <w:rFonts w:ascii="Times New Roman" w:hAnsi="Times New Roman"/>
              </w:rPr>
            </w:pPr>
          </w:p>
          <w:p w14:paraId="3CD79B17" w14:textId="77777777" w:rsidR="001F49FD" w:rsidRDefault="00611419">
            <w:pPr>
              <w:pStyle w:val="SemEspaamento"/>
              <w:widowControl w:val="0"/>
              <w:ind w:firstLine="0"/>
              <w:rPr>
                <w:lang w:val="fr-FR" w:eastAsia="en-US"/>
              </w:rPr>
            </w:pPr>
            <w:proofErr w:type="spellStart"/>
            <w:r>
              <w:t>Galamian</w:t>
            </w:r>
            <w:proofErr w:type="spellEnd"/>
          </w:p>
        </w:tc>
        <w:tc>
          <w:tcPr>
            <w:tcW w:w="850" w:type="dxa"/>
          </w:tcPr>
          <w:p w14:paraId="36659AD2" w14:textId="77777777" w:rsidR="001F49FD" w:rsidRDefault="001F49FD">
            <w:pPr>
              <w:widowControl w:val="0"/>
              <w:spacing w:line="240" w:lineRule="auto"/>
              <w:ind w:firstLine="0"/>
              <w:rPr>
                <w:rFonts w:asciiTheme="majorHAnsi" w:hAnsiTheme="majorHAnsi" w:cstheme="majorHAnsi"/>
                <w:szCs w:val="24"/>
                <w:lang w:val="fr-FR"/>
              </w:rPr>
            </w:pPr>
          </w:p>
          <w:p w14:paraId="72F13F7B" w14:textId="77777777" w:rsidR="001F49FD" w:rsidRDefault="00611419">
            <w:pPr>
              <w:widowControl w:val="0"/>
              <w:spacing w:line="240" w:lineRule="auto"/>
              <w:ind w:firstLine="0"/>
              <w:rPr>
                <w:rFonts w:asciiTheme="majorHAnsi" w:hAnsiTheme="majorHAnsi" w:cstheme="majorHAnsi"/>
                <w:szCs w:val="24"/>
                <w:lang w:val="fr-FR" w:eastAsia="en-US"/>
              </w:rPr>
            </w:pPr>
            <w:r>
              <w:rPr>
                <w:rFonts w:cstheme="majorHAnsi"/>
                <w:szCs w:val="24"/>
                <w:lang w:val="fr-FR"/>
              </w:rPr>
              <w:t>1962</w:t>
            </w:r>
          </w:p>
        </w:tc>
        <w:tc>
          <w:tcPr>
            <w:tcW w:w="7088" w:type="dxa"/>
          </w:tcPr>
          <w:p w14:paraId="2C1D3FAE" w14:textId="77777777" w:rsidR="001F49FD" w:rsidRDefault="001F49FD">
            <w:pPr>
              <w:widowControl w:val="0"/>
              <w:spacing w:line="240" w:lineRule="auto"/>
              <w:ind w:firstLine="0"/>
              <w:rPr>
                <w:rFonts w:asciiTheme="majorHAnsi" w:hAnsiTheme="majorHAnsi" w:cstheme="majorHAnsi"/>
                <w:szCs w:val="24"/>
              </w:rPr>
            </w:pPr>
          </w:p>
          <w:p w14:paraId="7920C28F"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dedo indicador é posicionado a uma pequena distância do dedo médio e contata a vareta quase pelo lado externo da falange média.</w:t>
            </w:r>
          </w:p>
          <w:p w14:paraId="78D4EBAC" w14:textId="77777777" w:rsidR="001F49FD" w:rsidRDefault="001F49FD">
            <w:pPr>
              <w:widowControl w:val="0"/>
              <w:spacing w:line="240" w:lineRule="auto"/>
              <w:ind w:firstLine="0"/>
              <w:rPr>
                <w:rFonts w:ascii="Times New Roman" w:hAnsi="Times New Roman" w:cs="Times New Roman"/>
                <w:sz w:val="22"/>
                <w:szCs w:val="24"/>
              </w:rPr>
            </w:pPr>
          </w:p>
          <w:p w14:paraId="1B620BEA"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Os quatro dedos devem repousar acima da vareta com uma ligeira distância entre si, com a mesma naturalidade de quando a mão está pendente, suspensa pelo</w:t>
            </w:r>
            <w:r>
              <w:t xml:space="preserve"> punho</w:t>
            </w:r>
            <w:r>
              <w:rPr>
                <w:rFonts w:cs="Times New Roman"/>
                <w:szCs w:val="24"/>
              </w:rPr>
              <w:t>, e completamente relaxada.</w:t>
            </w:r>
          </w:p>
          <w:p w14:paraId="1B6FCF2D" w14:textId="77777777" w:rsidR="001F49FD" w:rsidRDefault="001F49FD">
            <w:pPr>
              <w:widowControl w:val="0"/>
              <w:spacing w:line="240" w:lineRule="auto"/>
              <w:ind w:firstLine="0"/>
              <w:rPr>
                <w:rFonts w:ascii="Times New Roman" w:hAnsi="Times New Roman" w:cs="Times New Roman"/>
                <w:szCs w:val="24"/>
              </w:rPr>
            </w:pPr>
          </w:p>
          <w:p w14:paraId="2B6BA98C" w14:textId="3627FAEE" w:rsidR="001F49FD" w:rsidRDefault="00611419">
            <w:pPr>
              <w:widowControl w:val="0"/>
              <w:spacing w:line="240" w:lineRule="auto"/>
              <w:ind w:firstLine="0"/>
              <w:rPr>
                <w:rFonts w:ascii="Times New Roman" w:hAnsi="Times New Roman" w:cs="Times New Roman"/>
                <w:szCs w:val="24"/>
              </w:rPr>
            </w:pPr>
            <w:r>
              <w:rPr>
                <w:rFonts w:cs="Times New Roman"/>
                <w:szCs w:val="24"/>
              </w:rPr>
              <w:t>Quando o contato com o arco não se faz no ponto correto do dedo (entre a falange média e a articulação mais próxima à unha [</w:t>
            </w:r>
            <w:r w:rsidR="00393CC4">
              <w:rPr>
                <w:rFonts w:cs="Times New Roman"/>
                <w:szCs w:val="24"/>
              </w:rPr>
              <w:t>interfalangiana</w:t>
            </w:r>
            <w:r>
              <w:rPr>
                <w:rFonts w:cs="Times New Roman"/>
                <w:szCs w:val="24"/>
              </w:rPr>
              <w:t xml:space="preserve"> distal]), o aluno pode corrigi-lo ao liberar a ponta do dedo indicador de seu contato com a vareta, afastando-se assim ligeiramente do dedo médio.</w:t>
            </w:r>
          </w:p>
          <w:p w14:paraId="5C541C2D"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5E697396" w14:textId="77777777">
        <w:tc>
          <w:tcPr>
            <w:tcW w:w="1134" w:type="dxa"/>
          </w:tcPr>
          <w:p w14:paraId="55BD087F" w14:textId="77777777" w:rsidR="001F49FD" w:rsidRDefault="001F49FD">
            <w:pPr>
              <w:widowControl w:val="0"/>
              <w:spacing w:line="240" w:lineRule="auto"/>
              <w:ind w:firstLine="0"/>
              <w:rPr>
                <w:rFonts w:asciiTheme="majorHAnsi" w:hAnsiTheme="majorHAnsi" w:cstheme="majorHAnsi"/>
                <w:szCs w:val="24"/>
              </w:rPr>
            </w:pPr>
          </w:p>
          <w:p w14:paraId="4FFBC435"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Fisher</w:t>
            </w:r>
          </w:p>
        </w:tc>
        <w:tc>
          <w:tcPr>
            <w:tcW w:w="850" w:type="dxa"/>
          </w:tcPr>
          <w:p w14:paraId="08A2F774" w14:textId="77777777" w:rsidR="001F49FD" w:rsidRDefault="001F49FD">
            <w:pPr>
              <w:widowControl w:val="0"/>
              <w:spacing w:line="240" w:lineRule="auto"/>
              <w:ind w:firstLine="0"/>
              <w:rPr>
                <w:rFonts w:asciiTheme="majorHAnsi" w:hAnsiTheme="majorHAnsi" w:cstheme="majorHAnsi"/>
                <w:szCs w:val="24"/>
                <w:lang w:val="en-GB"/>
              </w:rPr>
            </w:pPr>
          </w:p>
          <w:p w14:paraId="6EFBDA94"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1997</w:t>
            </w:r>
          </w:p>
        </w:tc>
        <w:tc>
          <w:tcPr>
            <w:tcW w:w="7088" w:type="dxa"/>
          </w:tcPr>
          <w:p w14:paraId="4EFD5DDF" w14:textId="77777777" w:rsidR="001F49FD" w:rsidRDefault="001F49FD">
            <w:pPr>
              <w:widowControl w:val="0"/>
              <w:spacing w:line="240" w:lineRule="auto"/>
              <w:ind w:firstLine="0"/>
              <w:rPr>
                <w:rFonts w:asciiTheme="majorHAnsi" w:hAnsiTheme="majorHAnsi" w:cstheme="majorHAnsi"/>
                <w:szCs w:val="24"/>
              </w:rPr>
            </w:pPr>
          </w:p>
          <w:p w14:paraId="69070276"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A parte do primeiro dedo acima da vareta auxilia a produção do som.</w:t>
            </w:r>
          </w:p>
          <w:p w14:paraId="4CF64986" w14:textId="77777777" w:rsidR="001F49FD" w:rsidRDefault="001F49FD">
            <w:pPr>
              <w:widowControl w:val="0"/>
              <w:spacing w:line="240" w:lineRule="auto"/>
              <w:ind w:firstLine="0"/>
              <w:rPr>
                <w:rFonts w:asciiTheme="majorHAnsi" w:hAnsiTheme="majorHAnsi" w:cstheme="majorHAnsi"/>
                <w:szCs w:val="24"/>
              </w:rPr>
            </w:pPr>
          </w:p>
          <w:p w14:paraId="1F6F7FA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A posição padrão não é nem muito próxima do segundo dedo (levando à perda de alavancagem), nem muito afastada.</w:t>
            </w:r>
          </w:p>
          <w:p w14:paraId="1381320A" w14:textId="77777777" w:rsidR="001F49FD" w:rsidRDefault="001F49FD">
            <w:pPr>
              <w:widowControl w:val="0"/>
              <w:spacing w:line="240" w:lineRule="auto"/>
              <w:ind w:firstLine="0"/>
              <w:rPr>
                <w:rFonts w:asciiTheme="majorHAnsi" w:hAnsiTheme="majorHAnsi" w:cstheme="majorHAnsi"/>
                <w:szCs w:val="24"/>
              </w:rPr>
            </w:pPr>
          </w:p>
        </w:tc>
      </w:tr>
    </w:tbl>
    <w:p w14:paraId="0E84260D" w14:textId="77777777" w:rsidR="001F49FD" w:rsidRDefault="001F49FD">
      <w:pPr>
        <w:pStyle w:val="Recuodecorpodetexto"/>
        <w:ind w:left="283" w:firstLine="0"/>
      </w:pPr>
    </w:p>
    <w:p w14:paraId="7EB46B0E" w14:textId="77777777" w:rsidR="001F49FD" w:rsidRDefault="00611419" w:rsidP="007C5D20">
      <w:pPr>
        <w:pStyle w:val="Recuodecorpodetexto"/>
        <w:ind w:firstLine="709"/>
      </w:pPr>
      <w:r>
        <w:t>A distribuição dos dedos e o ponto de contato do dedo indicador na vareta são elementos essenciais da técnica de arco, pois influenciam no grau de pressão, no direcionamento e no controle dos diversos golpes de arco. O primeiro elemento técnico oferece dois parâmetros básicos: a) uma separação equidistante de todos os dedos; b) o dedo indicador um pouco mais distante do dedo médio.</w:t>
      </w:r>
      <w:r>
        <w:rPr>
          <w:rStyle w:val="Refdenotaderodap"/>
        </w:rPr>
        <w:footnoteReference w:id="45"/>
      </w:r>
      <w:r>
        <w:t xml:space="preserve"> Apesar de ser um tema pouco aprofundado pelos autores, a análise revela uma tendência a um posicionamento uniforme no século XIX, resumido por Moser/ Joachim “numa relação livre e natural entre si” </w:t>
      </w:r>
      <w:proofErr w:type="gramStart"/>
      <w:r>
        <w:t>e também</w:t>
      </w:r>
      <w:proofErr w:type="gramEnd"/>
      <w:r>
        <w:t xml:space="preserve"> corroborada por Flesch no século seguinte. </w:t>
      </w:r>
      <w:proofErr w:type="spellStart"/>
      <w:r>
        <w:t>Galamian</w:t>
      </w:r>
      <w:proofErr w:type="spellEnd"/>
      <w:r>
        <w:t xml:space="preserve"> aborda o tema em três preceitos que, apesar de certas contradições, indicam uma intenção de distanciar o dedo indicador do dedo médio, ainda que sem especificar o conceito que rege tal escolha. Fischer confere importância ao dedo indicador na produção do som, mas parece manter uma posição equidistante dos dedos.</w:t>
      </w:r>
    </w:p>
    <w:p w14:paraId="6A7BE9FA" w14:textId="5E4E3A70" w:rsidR="001F49FD" w:rsidRDefault="00611419" w:rsidP="007C5D20">
      <w:pPr>
        <w:pStyle w:val="Recuodecorpodetexto"/>
        <w:ind w:firstLine="709"/>
      </w:pPr>
      <w:r>
        <w:t xml:space="preserve">A segunda e determinante questão é o ponto de contato do dedo indicador, que pode tocar a vareta em três locais diferentes. Como visto nos escritos de Flesch – e seguidamente na tradição oral da técnica violinística – é o ponto de contato do dedo indicador que mais justifica a proveniência de um violinista a uma determinada Escola, correta ou equivocadamente. Enquanto </w:t>
      </w:r>
      <w:proofErr w:type="spellStart"/>
      <w:r>
        <w:t>Baillot</w:t>
      </w:r>
      <w:proofErr w:type="spellEnd"/>
      <w:r>
        <w:t xml:space="preserve"> indica o ponto de contato na falange média, Spohr preconiza o contato na articulação </w:t>
      </w:r>
      <w:r w:rsidR="00033790">
        <w:t>interfalangiana</w:t>
      </w:r>
      <w:r>
        <w:t xml:space="preserve"> distal, uma posição que foi efetivamente </w:t>
      </w:r>
      <w:r>
        <w:lastRenderedPageBreak/>
        <w:t>atribuída à Escola Germânica ao longo da História – principalmente após o registro de Flesch sobre as diferentes Escolas de violino.</w:t>
      </w:r>
      <w:r>
        <w:rPr>
          <w:rStyle w:val="Refdenotaderodap"/>
        </w:rPr>
        <w:footnoteReference w:id="46"/>
      </w:r>
      <w:r>
        <w:t xml:space="preserve"> </w:t>
      </w:r>
      <w:proofErr w:type="spellStart"/>
      <w:r>
        <w:t>Bériot</w:t>
      </w:r>
      <w:proofErr w:type="spellEnd"/>
      <w:r>
        <w:t xml:space="preserve"> acompanha o ponto de contato de Spohr, embora – segundo as descrições de Flesch – o posicionamento difira, pois o direcionamento dos dedos é inclinado com relação à vareta</w:t>
      </w:r>
      <w:r>
        <w:rPr>
          <w:rStyle w:val="Refdenotaderodap"/>
        </w:rPr>
        <w:footnoteReference w:id="47"/>
      </w:r>
      <w:r>
        <w:t xml:space="preserve"> e não perpendicular</w:t>
      </w:r>
      <w:r w:rsidR="00033790">
        <w:t>,</w:t>
      </w:r>
      <w:r>
        <w:t xml:space="preserve"> tal como na corrente germânica. </w:t>
      </w:r>
      <w:proofErr w:type="spellStart"/>
      <w:r>
        <w:t>Auer</w:t>
      </w:r>
      <w:proofErr w:type="spellEnd"/>
      <w:r>
        <w:t xml:space="preserve"> e Flesch, por sua vez, acrescentam mais uma função ao dedo indicador: o de envolver a vareta. No entanto, o ponto de contato preconizado pelo primeiro – “na extremidade da falange proximal” – indica que essa ação se dá de forma mais efetiva – uma característica identificável em registros audiovisuais de violinistas oriundos da Escola Russa e, tradicionalmente</w:t>
      </w:r>
      <w:r w:rsidR="00033790">
        <w:t>,</w:t>
      </w:r>
      <w:r>
        <w:t xml:space="preserve"> considerada responsável pela potente emissão sonora. Os preceitos de </w:t>
      </w:r>
      <w:proofErr w:type="spellStart"/>
      <w:r>
        <w:t>Galamian</w:t>
      </w:r>
      <w:proofErr w:type="spellEnd"/>
      <w:r>
        <w:t xml:space="preserve"> e Fischer revelam uma tendência ao contato através da “articulação próxima à unha” (</w:t>
      </w:r>
      <w:r w:rsidR="00033790">
        <w:t>interfalangiana</w:t>
      </w:r>
      <w:r>
        <w:t xml:space="preserve"> distal), semelhante aos preceitos de Spohr e </w:t>
      </w:r>
      <w:proofErr w:type="spellStart"/>
      <w:r>
        <w:t>Bériot</w:t>
      </w:r>
      <w:proofErr w:type="spellEnd"/>
      <w:r>
        <w:t xml:space="preserve">. Enfim, notamos um maior interesse sobre o tema no século XX, devido ao maior detalhamento e exatidão dos preceitos dos autores desse período. </w:t>
      </w:r>
    </w:p>
    <w:p w14:paraId="2ECBF942" w14:textId="61E1382D" w:rsidR="001F49FD" w:rsidRDefault="00611419">
      <w:pPr>
        <w:pStyle w:val="Ttulo2"/>
      </w:pPr>
      <w:bookmarkStart w:id="123" w:name="_Toc14331047"/>
      <w:bookmarkStart w:id="124" w:name="_Toc219359048"/>
      <w:r>
        <w:t>Mobilidade do dedo indicador e direcionamento dos dedos sobre a vareta</w:t>
      </w:r>
      <w:bookmarkEnd w:id="123"/>
      <w:bookmarkEnd w:id="124"/>
    </w:p>
    <w:p w14:paraId="62261FDB" w14:textId="7A24CDC6" w:rsidR="001F49FD" w:rsidRDefault="00611419">
      <w:pPr>
        <w:pStyle w:val="Corpodetexto"/>
        <w:spacing w:after="0"/>
        <w:ind w:firstLine="0"/>
        <w:jc w:val="center"/>
        <w:rPr>
          <w:sz w:val="20"/>
          <w:szCs w:val="20"/>
        </w:rPr>
      </w:pPr>
      <w:r>
        <w:rPr>
          <w:b/>
          <w:sz w:val="20"/>
          <w:szCs w:val="20"/>
        </w:rPr>
        <w:t xml:space="preserve">Quadro 9: </w:t>
      </w:r>
      <w:r>
        <w:rPr>
          <w:sz w:val="20"/>
          <w:szCs w:val="20"/>
        </w:rPr>
        <w:t>mobilidade do dedo indicador e direcionamento dos dedos sobre a vareta</w:t>
      </w:r>
      <w:r w:rsidR="00033790">
        <w:rPr>
          <w:sz w:val="20"/>
          <w:szCs w:val="20"/>
        </w:rPr>
        <w:t>.</w:t>
      </w:r>
    </w:p>
    <w:tbl>
      <w:tblPr>
        <w:tblStyle w:val="Tabelacomgrade"/>
        <w:tblW w:w="9214" w:type="dxa"/>
        <w:tblInd w:w="108" w:type="dxa"/>
        <w:tblLayout w:type="fixed"/>
        <w:tblLook w:val="04A0" w:firstRow="1" w:lastRow="0" w:firstColumn="1" w:lastColumn="0" w:noHBand="0" w:noVBand="1"/>
      </w:tblPr>
      <w:tblGrid>
        <w:gridCol w:w="1134"/>
        <w:gridCol w:w="847"/>
        <w:gridCol w:w="7233"/>
      </w:tblGrid>
      <w:tr w:rsidR="001F49FD" w14:paraId="63C5D1E0" w14:textId="77777777">
        <w:tc>
          <w:tcPr>
            <w:tcW w:w="1134" w:type="dxa"/>
            <w:tcBorders>
              <w:bottom w:val="nil"/>
            </w:tcBorders>
          </w:tcPr>
          <w:p w14:paraId="6BA10E51" w14:textId="77777777" w:rsidR="001F49FD" w:rsidRDefault="001F49FD">
            <w:pPr>
              <w:widowControl w:val="0"/>
              <w:spacing w:line="240" w:lineRule="auto"/>
              <w:ind w:firstLine="0"/>
              <w:rPr>
                <w:rFonts w:asciiTheme="majorHAnsi" w:hAnsiTheme="majorHAnsi" w:cstheme="majorHAnsi"/>
                <w:szCs w:val="24"/>
              </w:rPr>
            </w:pPr>
          </w:p>
          <w:p w14:paraId="1CAF19A3"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Spohr</w:t>
            </w:r>
          </w:p>
        </w:tc>
        <w:tc>
          <w:tcPr>
            <w:tcW w:w="847" w:type="dxa"/>
            <w:tcBorders>
              <w:bottom w:val="nil"/>
            </w:tcBorders>
          </w:tcPr>
          <w:p w14:paraId="04773E63" w14:textId="77777777" w:rsidR="001F49FD" w:rsidRDefault="001F49FD">
            <w:pPr>
              <w:widowControl w:val="0"/>
              <w:spacing w:line="240" w:lineRule="auto"/>
              <w:ind w:firstLine="0"/>
              <w:rPr>
                <w:rFonts w:asciiTheme="majorHAnsi" w:hAnsiTheme="majorHAnsi" w:cstheme="majorHAnsi"/>
                <w:szCs w:val="24"/>
              </w:rPr>
            </w:pPr>
          </w:p>
          <w:p w14:paraId="6DA109F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1832</w:t>
            </w:r>
          </w:p>
        </w:tc>
        <w:tc>
          <w:tcPr>
            <w:tcW w:w="7233" w:type="dxa"/>
            <w:tcBorders>
              <w:bottom w:val="nil"/>
            </w:tcBorders>
          </w:tcPr>
          <w:p w14:paraId="56085D2A" w14:textId="77777777" w:rsidR="001F49FD" w:rsidRDefault="001F49FD">
            <w:pPr>
              <w:widowControl w:val="0"/>
              <w:spacing w:line="240" w:lineRule="auto"/>
              <w:ind w:firstLine="0"/>
              <w:rPr>
                <w:rFonts w:asciiTheme="majorHAnsi" w:hAnsiTheme="majorHAnsi" w:cstheme="majorHAnsi"/>
                <w:szCs w:val="24"/>
              </w:rPr>
            </w:pPr>
          </w:p>
          <w:p w14:paraId="19EAE7A8" w14:textId="54585B19"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No movimento para cima, a vareta recai gradativamente na cavidade da primeira articulação </w:t>
            </w:r>
            <w:r>
              <w:t>[</w:t>
            </w:r>
            <w:r w:rsidR="00033790">
              <w:t>interfalangiana</w:t>
            </w:r>
            <w:r>
              <w:t xml:space="preserve"> distal] </w:t>
            </w:r>
            <w:r>
              <w:rPr>
                <w:rFonts w:cstheme="majorHAnsi"/>
                <w:szCs w:val="24"/>
              </w:rPr>
              <w:t>do dedo indicador e o dedo mínimo retoma sua posição original, com sua ponta acima da parte externa da vareta.</w:t>
            </w:r>
          </w:p>
        </w:tc>
      </w:tr>
      <w:tr w:rsidR="001F49FD" w14:paraId="4FEB5512" w14:textId="77777777">
        <w:trPr>
          <w:trHeight w:val="1270"/>
        </w:trPr>
        <w:tc>
          <w:tcPr>
            <w:tcW w:w="1134" w:type="dxa"/>
            <w:tcBorders>
              <w:top w:val="nil"/>
            </w:tcBorders>
          </w:tcPr>
          <w:p w14:paraId="371160E8" w14:textId="77777777" w:rsidR="001F49FD" w:rsidRDefault="001F49FD">
            <w:pPr>
              <w:widowControl w:val="0"/>
              <w:spacing w:line="240" w:lineRule="auto"/>
              <w:ind w:firstLine="0"/>
              <w:rPr>
                <w:rFonts w:asciiTheme="majorHAnsi" w:hAnsiTheme="majorHAnsi" w:cstheme="majorHAnsi"/>
                <w:szCs w:val="24"/>
              </w:rPr>
            </w:pPr>
          </w:p>
        </w:tc>
        <w:tc>
          <w:tcPr>
            <w:tcW w:w="847" w:type="dxa"/>
            <w:tcBorders>
              <w:top w:val="nil"/>
            </w:tcBorders>
          </w:tcPr>
          <w:p w14:paraId="30BF78A7" w14:textId="77777777" w:rsidR="001F49FD" w:rsidRDefault="001F49FD">
            <w:pPr>
              <w:widowControl w:val="0"/>
              <w:spacing w:line="240" w:lineRule="auto"/>
              <w:ind w:firstLine="0"/>
              <w:rPr>
                <w:rFonts w:asciiTheme="majorHAnsi" w:hAnsiTheme="majorHAnsi" w:cstheme="majorHAnsi"/>
                <w:szCs w:val="24"/>
              </w:rPr>
            </w:pPr>
          </w:p>
        </w:tc>
        <w:tc>
          <w:tcPr>
            <w:tcW w:w="7233" w:type="dxa"/>
            <w:tcBorders>
              <w:top w:val="nil"/>
            </w:tcBorders>
          </w:tcPr>
          <w:p w14:paraId="3C846660" w14:textId="77777777" w:rsidR="001F49FD" w:rsidRDefault="001F49FD">
            <w:pPr>
              <w:widowControl w:val="0"/>
              <w:spacing w:line="240" w:lineRule="auto"/>
              <w:ind w:firstLine="0"/>
              <w:rPr>
                <w:rFonts w:asciiTheme="majorHAnsi" w:hAnsiTheme="majorHAnsi" w:cstheme="majorHAnsi"/>
                <w:szCs w:val="24"/>
              </w:rPr>
            </w:pPr>
          </w:p>
          <w:p w14:paraId="3E584432" w14:textId="5CABAE83" w:rsidR="001F49FD" w:rsidRDefault="00611419">
            <w:pPr>
              <w:widowControl w:val="0"/>
              <w:spacing w:line="240" w:lineRule="auto"/>
              <w:ind w:firstLine="0"/>
              <w:rPr>
                <w:rFonts w:asciiTheme="majorHAnsi" w:hAnsiTheme="majorHAnsi" w:cstheme="majorHAnsi"/>
                <w:szCs w:val="24"/>
              </w:rPr>
            </w:pPr>
            <w:r>
              <w:rPr>
                <w:rFonts w:cstheme="majorHAnsi"/>
                <w:szCs w:val="24"/>
              </w:rPr>
              <w:t>Todavia, no movimento para baixo</w:t>
            </w:r>
            <w:r w:rsidR="00033790">
              <w:rPr>
                <w:rFonts w:cstheme="majorHAnsi"/>
                <w:szCs w:val="24"/>
              </w:rPr>
              <w:t>,</w:t>
            </w:r>
            <w:r>
              <w:rPr>
                <w:rFonts w:cstheme="majorHAnsi"/>
                <w:szCs w:val="24"/>
              </w:rPr>
              <w:t xml:space="preserve"> a vareta se aproxima gradativamente da articulação mediana do dedo indicador, enquanto o dedo mínimo se retira.</w:t>
            </w:r>
          </w:p>
          <w:p w14:paraId="5B3D0B67" w14:textId="77777777" w:rsidR="001F49FD" w:rsidRDefault="001F49FD">
            <w:pPr>
              <w:widowControl w:val="0"/>
              <w:spacing w:line="240" w:lineRule="auto"/>
              <w:ind w:firstLine="0"/>
              <w:rPr>
                <w:rFonts w:asciiTheme="majorHAnsi" w:hAnsiTheme="majorHAnsi" w:cstheme="majorHAnsi"/>
                <w:szCs w:val="24"/>
              </w:rPr>
            </w:pPr>
          </w:p>
        </w:tc>
      </w:tr>
      <w:tr w:rsidR="001F49FD" w14:paraId="18FA6570" w14:textId="77777777">
        <w:trPr>
          <w:trHeight w:val="70"/>
        </w:trPr>
        <w:tc>
          <w:tcPr>
            <w:tcW w:w="1134" w:type="dxa"/>
          </w:tcPr>
          <w:p w14:paraId="122B6789" w14:textId="77777777" w:rsidR="001F49FD" w:rsidRDefault="001F49FD">
            <w:pPr>
              <w:widowControl w:val="0"/>
              <w:spacing w:line="240" w:lineRule="auto"/>
              <w:ind w:firstLine="0"/>
              <w:rPr>
                <w:rFonts w:asciiTheme="majorHAnsi" w:hAnsiTheme="majorHAnsi" w:cstheme="majorHAnsi"/>
                <w:szCs w:val="24"/>
              </w:rPr>
            </w:pPr>
          </w:p>
          <w:p w14:paraId="262FBE00"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Baillot</w:t>
            </w:r>
            <w:proofErr w:type="spellEnd"/>
          </w:p>
        </w:tc>
        <w:tc>
          <w:tcPr>
            <w:tcW w:w="847" w:type="dxa"/>
          </w:tcPr>
          <w:p w14:paraId="1098C791" w14:textId="77777777" w:rsidR="001F49FD" w:rsidRDefault="001F49FD">
            <w:pPr>
              <w:widowControl w:val="0"/>
              <w:spacing w:line="240" w:lineRule="auto"/>
              <w:ind w:firstLine="0"/>
              <w:rPr>
                <w:rFonts w:asciiTheme="majorHAnsi" w:hAnsiTheme="majorHAnsi" w:cstheme="majorHAnsi"/>
                <w:szCs w:val="24"/>
              </w:rPr>
            </w:pPr>
          </w:p>
          <w:p w14:paraId="502CB6AE"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1835</w:t>
            </w:r>
          </w:p>
        </w:tc>
        <w:tc>
          <w:tcPr>
            <w:tcW w:w="7233" w:type="dxa"/>
          </w:tcPr>
          <w:p w14:paraId="5E69031B" w14:textId="77777777" w:rsidR="001F49FD" w:rsidRDefault="001F49FD">
            <w:pPr>
              <w:widowControl w:val="0"/>
              <w:spacing w:line="240" w:lineRule="auto"/>
              <w:ind w:firstLine="0"/>
              <w:rPr>
                <w:rFonts w:asciiTheme="majorHAnsi" w:hAnsiTheme="majorHAnsi" w:cstheme="majorHAnsi"/>
                <w:szCs w:val="24"/>
              </w:rPr>
            </w:pPr>
          </w:p>
          <w:p w14:paraId="7DA91119"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No movimento do arco para baixo, a mão, ao virar </w:t>
            </w:r>
            <w:r>
              <w:t xml:space="preserve">[pronar] </w:t>
            </w:r>
            <w:r>
              <w:rPr>
                <w:rFonts w:cstheme="majorHAnsi"/>
                <w:szCs w:val="24"/>
              </w:rPr>
              <w:t>sobre o dedo polegar, se inclina levemente para a esquerda quando chegamos à ponta. No movimento do arco para cima, devido a esse movimento sobre o dedo polegar, o dedo indicador se encontra em ângulo reto com relação à vareta.</w:t>
            </w:r>
          </w:p>
          <w:p w14:paraId="5A01FAAB"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61734D65" w14:textId="77777777">
        <w:trPr>
          <w:trHeight w:val="70"/>
        </w:trPr>
        <w:tc>
          <w:tcPr>
            <w:tcW w:w="1134" w:type="dxa"/>
          </w:tcPr>
          <w:p w14:paraId="59124211" w14:textId="77777777" w:rsidR="001F49FD" w:rsidRDefault="001F49FD">
            <w:pPr>
              <w:widowControl w:val="0"/>
              <w:spacing w:line="240" w:lineRule="auto"/>
              <w:ind w:firstLine="0"/>
              <w:rPr>
                <w:rFonts w:asciiTheme="majorHAnsi" w:hAnsiTheme="majorHAnsi" w:cstheme="majorHAnsi"/>
                <w:szCs w:val="24"/>
              </w:rPr>
            </w:pPr>
          </w:p>
          <w:p w14:paraId="2C7D71D9"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47" w:type="dxa"/>
          </w:tcPr>
          <w:p w14:paraId="63856C58" w14:textId="77777777" w:rsidR="001F49FD" w:rsidRDefault="001F49FD">
            <w:pPr>
              <w:widowControl w:val="0"/>
              <w:spacing w:line="240" w:lineRule="auto"/>
              <w:ind w:firstLine="0"/>
              <w:rPr>
                <w:rFonts w:asciiTheme="majorHAnsi" w:hAnsiTheme="majorHAnsi" w:cstheme="majorHAnsi"/>
                <w:szCs w:val="24"/>
              </w:rPr>
            </w:pPr>
          </w:p>
          <w:p w14:paraId="109A55FF"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7233" w:type="dxa"/>
          </w:tcPr>
          <w:p w14:paraId="0BE1CBF1" w14:textId="77777777" w:rsidR="001F49FD" w:rsidRDefault="001F49FD">
            <w:pPr>
              <w:widowControl w:val="0"/>
              <w:spacing w:line="240" w:lineRule="auto"/>
              <w:ind w:firstLine="0"/>
              <w:rPr>
                <w:rFonts w:asciiTheme="majorHAnsi" w:hAnsiTheme="majorHAnsi" w:cstheme="majorHAnsi"/>
                <w:szCs w:val="24"/>
                <w:u w:val="single"/>
              </w:rPr>
            </w:pPr>
          </w:p>
          <w:p w14:paraId="705987C8" w14:textId="77777777" w:rsidR="001F49FD" w:rsidRDefault="00611419">
            <w:pPr>
              <w:widowControl w:val="0"/>
              <w:spacing w:line="240" w:lineRule="auto"/>
              <w:ind w:firstLine="0"/>
              <w:rPr>
                <w:rFonts w:asciiTheme="majorHAnsi" w:hAnsiTheme="majorHAnsi" w:cstheme="majorHAnsi"/>
                <w:szCs w:val="24"/>
              </w:rPr>
            </w:pPr>
            <w:r>
              <w:rPr>
                <w:rFonts w:cstheme="majorHAnsi"/>
                <w:szCs w:val="24"/>
                <w:u w:val="single"/>
              </w:rPr>
              <w:t>A vareta é sustentada transversalmente</w:t>
            </w:r>
            <w:r>
              <w:rPr>
                <w:rFonts w:cstheme="majorHAnsi"/>
                <w:szCs w:val="24"/>
              </w:rPr>
              <w:t xml:space="preserve"> desde a junção entre a primeira e a segunda falange do dedo indicador até a extremidade do dedo mínimo.</w:t>
            </w:r>
          </w:p>
          <w:p w14:paraId="35BAFC71" w14:textId="77777777" w:rsidR="001F49FD" w:rsidRDefault="001F49FD">
            <w:pPr>
              <w:widowControl w:val="0"/>
              <w:spacing w:line="240" w:lineRule="auto"/>
              <w:ind w:firstLine="0"/>
              <w:rPr>
                <w:rFonts w:asciiTheme="majorHAnsi" w:hAnsiTheme="majorHAnsi" w:cstheme="majorHAnsi"/>
                <w:szCs w:val="24"/>
                <w:lang w:eastAsia="en-US"/>
              </w:rPr>
            </w:pPr>
          </w:p>
        </w:tc>
      </w:tr>
    </w:tbl>
    <w:p w14:paraId="1F6D0D6F" w14:textId="77777777" w:rsidR="001F49FD" w:rsidRDefault="001F49FD"/>
    <w:p w14:paraId="35A92AD3" w14:textId="77777777" w:rsidR="001F49FD" w:rsidRDefault="001F49FD"/>
    <w:p w14:paraId="35DCAFC7" w14:textId="77777777" w:rsidR="001F49FD" w:rsidRDefault="001F49FD"/>
    <w:tbl>
      <w:tblPr>
        <w:tblStyle w:val="Tabelacomgrade"/>
        <w:tblW w:w="9214" w:type="dxa"/>
        <w:tblInd w:w="108" w:type="dxa"/>
        <w:tblLayout w:type="fixed"/>
        <w:tblLook w:val="04A0" w:firstRow="1" w:lastRow="0" w:firstColumn="1" w:lastColumn="0" w:noHBand="0" w:noVBand="1"/>
      </w:tblPr>
      <w:tblGrid>
        <w:gridCol w:w="1134"/>
        <w:gridCol w:w="847"/>
        <w:gridCol w:w="7233"/>
      </w:tblGrid>
      <w:tr w:rsidR="001F49FD" w14:paraId="7677C439" w14:textId="77777777">
        <w:tc>
          <w:tcPr>
            <w:tcW w:w="1134" w:type="dxa"/>
          </w:tcPr>
          <w:p w14:paraId="6E5037F0" w14:textId="77777777" w:rsidR="001F49FD" w:rsidRDefault="001F49FD">
            <w:pPr>
              <w:widowControl w:val="0"/>
              <w:spacing w:line="240" w:lineRule="auto"/>
              <w:ind w:firstLine="0"/>
              <w:rPr>
                <w:rFonts w:asciiTheme="majorHAnsi" w:hAnsiTheme="majorHAnsi" w:cstheme="majorHAnsi"/>
                <w:szCs w:val="24"/>
              </w:rPr>
            </w:pPr>
          </w:p>
          <w:p w14:paraId="167ED971" w14:textId="4152CF0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Fis</w:t>
            </w:r>
            <w:r w:rsidR="00033790">
              <w:rPr>
                <w:rFonts w:cstheme="majorHAnsi"/>
                <w:szCs w:val="24"/>
              </w:rPr>
              <w:t>c</w:t>
            </w:r>
            <w:r>
              <w:rPr>
                <w:rFonts w:cstheme="majorHAnsi"/>
                <w:szCs w:val="24"/>
              </w:rPr>
              <w:t>her</w:t>
            </w:r>
          </w:p>
        </w:tc>
        <w:tc>
          <w:tcPr>
            <w:tcW w:w="847" w:type="dxa"/>
          </w:tcPr>
          <w:p w14:paraId="1B688338" w14:textId="77777777" w:rsidR="001F49FD" w:rsidRDefault="001F49FD">
            <w:pPr>
              <w:widowControl w:val="0"/>
              <w:spacing w:line="240" w:lineRule="auto"/>
              <w:ind w:firstLine="0"/>
              <w:rPr>
                <w:rFonts w:asciiTheme="majorHAnsi" w:hAnsiTheme="majorHAnsi" w:cstheme="majorHAnsi"/>
                <w:szCs w:val="24"/>
              </w:rPr>
            </w:pPr>
          </w:p>
          <w:p w14:paraId="137EB38B"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1997</w:t>
            </w:r>
          </w:p>
        </w:tc>
        <w:tc>
          <w:tcPr>
            <w:tcW w:w="7233" w:type="dxa"/>
          </w:tcPr>
          <w:p w14:paraId="7EBA97CF" w14:textId="77777777" w:rsidR="001F49FD" w:rsidRDefault="001F49FD">
            <w:pPr>
              <w:widowControl w:val="0"/>
              <w:spacing w:line="240" w:lineRule="auto"/>
              <w:ind w:firstLine="0"/>
              <w:rPr>
                <w:rFonts w:asciiTheme="majorHAnsi" w:hAnsiTheme="majorHAnsi" w:cstheme="majorHAnsi"/>
                <w:szCs w:val="24"/>
              </w:rPr>
            </w:pPr>
          </w:p>
          <w:p w14:paraId="575EE8DE" w14:textId="5A77750D" w:rsidR="001F49FD" w:rsidRDefault="00611419">
            <w:pPr>
              <w:widowControl w:val="0"/>
              <w:spacing w:line="240" w:lineRule="auto"/>
              <w:ind w:firstLine="0"/>
              <w:rPr>
                <w:rFonts w:asciiTheme="majorHAnsi" w:hAnsiTheme="majorHAnsi" w:cstheme="majorHAnsi"/>
                <w:szCs w:val="24"/>
              </w:rPr>
            </w:pPr>
            <w:r>
              <w:rPr>
                <w:rFonts w:cstheme="majorHAnsi"/>
                <w:szCs w:val="24"/>
              </w:rPr>
              <w:t>Na ponta, o dedo indicador contata o arco mais perto da articulação do meio [</w:t>
            </w:r>
            <w:r w:rsidR="00033790">
              <w:rPr>
                <w:rFonts w:cstheme="majorHAnsi"/>
                <w:szCs w:val="24"/>
              </w:rPr>
              <w:t>interfalangiana</w:t>
            </w:r>
            <w:r>
              <w:rPr>
                <w:rFonts w:cstheme="majorHAnsi"/>
                <w:szCs w:val="24"/>
              </w:rPr>
              <w:t xml:space="preserve"> proximal], o que torna a mão ligeiramente inclinada, ou seja, saindo do dedo mínimo e indo em direção ao dedo indicador.</w:t>
            </w:r>
          </w:p>
          <w:p w14:paraId="6F187279" w14:textId="77777777" w:rsidR="001F49FD" w:rsidRDefault="001F49FD">
            <w:pPr>
              <w:widowControl w:val="0"/>
              <w:spacing w:line="240" w:lineRule="auto"/>
              <w:ind w:firstLine="0"/>
              <w:rPr>
                <w:rFonts w:asciiTheme="majorHAnsi" w:hAnsiTheme="majorHAnsi" w:cstheme="majorHAnsi"/>
                <w:szCs w:val="24"/>
              </w:rPr>
            </w:pPr>
          </w:p>
          <w:p w14:paraId="17EC8665" w14:textId="2926BA42" w:rsidR="001F49FD" w:rsidRDefault="00611419">
            <w:pPr>
              <w:widowControl w:val="0"/>
              <w:spacing w:line="240" w:lineRule="auto"/>
              <w:ind w:firstLine="0"/>
              <w:rPr>
                <w:rFonts w:asciiTheme="majorHAnsi" w:hAnsiTheme="majorHAnsi" w:cstheme="majorHAnsi"/>
                <w:b/>
                <w:szCs w:val="24"/>
              </w:rPr>
            </w:pPr>
            <w:r>
              <w:rPr>
                <w:rFonts w:cstheme="majorHAnsi"/>
                <w:szCs w:val="24"/>
              </w:rPr>
              <w:t>No talão, o dedo indicador contata o arco pela sua articulação próxima à unha [</w:t>
            </w:r>
            <w:r w:rsidR="00033790">
              <w:rPr>
                <w:rFonts w:cstheme="majorHAnsi"/>
                <w:szCs w:val="24"/>
              </w:rPr>
              <w:t>interfalangiana</w:t>
            </w:r>
            <w:r>
              <w:rPr>
                <w:rFonts w:cstheme="majorHAnsi"/>
                <w:szCs w:val="24"/>
              </w:rPr>
              <w:t xml:space="preserve"> distal], o que torna a mão um pouco mais vertical sobre o arco.</w:t>
            </w:r>
          </w:p>
          <w:p w14:paraId="67EC7CAC" w14:textId="77777777" w:rsidR="001F49FD" w:rsidRDefault="001F49FD">
            <w:pPr>
              <w:widowControl w:val="0"/>
              <w:spacing w:line="240" w:lineRule="auto"/>
              <w:ind w:firstLine="0"/>
              <w:rPr>
                <w:rFonts w:asciiTheme="majorHAnsi" w:hAnsiTheme="majorHAnsi" w:cstheme="majorHAnsi"/>
                <w:szCs w:val="24"/>
                <w:lang w:eastAsia="en-US"/>
              </w:rPr>
            </w:pPr>
          </w:p>
        </w:tc>
      </w:tr>
    </w:tbl>
    <w:p w14:paraId="6BAFB491" w14:textId="77777777" w:rsidR="001F49FD" w:rsidRDefault="001F49FD">
      <w:pPr>
        <w:pStyle w:val="Recuodecorpodetexto"/>
        <w:ind w:left="283" w:firstLine="1134"/>
      </w:pPr>
    </w:p>
    <w:p w14:paraId="4EAF143D" w14:textId="77777777" w:rsidR="001F49FD" w:rsidRDefault="00611419" w:rsidP="007C5D20">
      <w:pPr>
        <w:pStyle w:val="Recuodecorpodetexto"/>
        <w:ind w:firstLine="709"/>
      </w:pPr>
      <w:r>
        <w:t xml:space="preserve">Apenas quatro dentre os autores estudados abordam a questão da mobilidade do dedo indicador. Notamos através dos preceitos de </w:t>
      </w:r>
      <w:proofErr w:type="spellStart"/>
      <w:r>
        <w:t>Baillot</w:t>
      </w:r>
      <w:proofErr w:type="spellEnd"/>
      <w:r>
        <w:t xml:space="preserve"> e Fischer que essa ideia de mobilidade está relacionada com a mudança de direcionamento dos dedos durante a movimentação do arco: o deslocamento do dedo indicador ocorre porque a mão está posicionada perpendicularmente no talão e transversalmente na ponta. O fato de encontrarmos preceitos apenas nas três obras mais remotas e na mais recente transparece a falta de atenção a respeito do tema entre a segunda metade do século XIX e o fim do século XX, talvez por ter havido uma tendência a uma mobilidade mínima ou nula do dedo indicador nesse período. </w:t>
      </w:r>
    </w:p>
    <w:p w14:paraId="2DA841DA" w14:textId="42D09C8F" w:rsidR="001F49FD" w:rsidRDefault="00611419" w:rsidP="007C5D20">
      <w:pPr>
        <w:pStyle w:val="Recuodecorpodetexto"/>
        <w:ind w:firstLine="709"/>
      </w:pPr>
      <w:r>
        <w:t>Observamos</w:t>
      </w:r>
      <w:r w:rsidR="007507C1">
        <w:t>,</w:t>
      </w:r>
      <w:r>
        <w:t xml:space="preserve"> ainda</w:t>
      </w:r>
      <w:r w:rsidR="007507C1">
        <w:t>,</w:t>
      </w:r>
      <w:r>
        <w:t xml:space="preserve"> que o descolamento do ponto de contato do dedo indicador é bem mais amplo para Spohr e </w:t>
      </w:r>
      <w:proofErr w:type="spellStart"/>
      <w:r>
        <w:t>Baillot</w:t>
      </w:r>
      <w:proofErr w:type="spellEnd"/>
      <w:r>
        <w:t xml:space="preserve"> – possivelmente devido a pouca mobilidade do braço – do que para Fischer, que parece apenas constatar a consequência dos movimentos do arco, e não estabelecer uma regra.</w:t>
      </w:r>
    </w:p>
    <w:p w14:paraId="4BFE81F6" w14:textId="348D1E96" w:rsidR="001F49FD" w:rsidRDefault="00611419" w:rsidP="000A6E65">
      <w:pPr>
        <w:pStyle w:val="Recuodecorpodetexto"/>
        <w:ind w:firstLine="709"/>
      </w:pPr>
      <w:r>
        <w:t xml:space="preserve">Como vimos, para </w:t>
      </w:r>
      <w:proofErr w:type="spellStart"/>
      <w:r>
        <w:t>Baillot</w:t>
      </w:r>
      <w:proofErr w:type="spellEnd"/>
      <w:r>
        <w:t xml:space="preserve"> e Fis</w:t>
      </w:r>
      <w:r w:rsidR="00033790">
        <w:t>c</w:t>
      </w:r>
      <w:r>
        <w:t xml:space="preserve">her o direcionamento dos dedos é variável em função do movimento do arco. Sobressai-se, portanto, o preceito de </w:t>
      </w:r>
      <w:proofErr w:type="spellStart"/>
      <w:r>
        <w:t>Bériot</w:t>
      </w:r>
      <w:proofErr w:type="spellEnd"/>
      <w:r>
        <w:t xml:space="preserve"> que prega nitidamente a transversalidade dos dedos, corroborando a descrição de Flesch sobre o posicionamento da mão no arco da Escola Franco-belga.</w:t>
      </w:r>
      <w:r>
        <w:rPr>
          <w:rStyle w:val="Refdenotaderodap"/>
        </w:rPr>
        <w:footnoteReference w:id="48"/>
      </w:r>
      <w:bookmarkStart w:id="125" w:name="_Toc14331048"/>
    </w:p>
    <w:p w14:paraId="7DCC8930" w14:textId="26712F6E" w:rsidR="001F49FD" w:rsidRDefault="00611419" w:rsidP="000A6E65">
      <w:pPr>
        <w:pStyle w:val="Ttulo3"/>
      </w:pPr>
      <w:bookmarkStart w:id="126" w:name="_Toc219359049"/>
      <w:r>
        <w:t>Grau de elevação do punho ao se aproximar do talão</w:t>
      </w:r>
      <w:bookmarkEnd w:id="125"/>
      <w:bookmarkEnd w:id="126"/>
    </w:p>
    <w:p w14:paraId="2AB7F9F0" w14:textId="77777777" w:rsidR="001F49FD" w:rsidRDefault="00611419">
      <w:pPr>
        <w:pStyle w:val="Corpodetexto"/>
        <w:spacing w:after="0"/>
        <w:ind w:firstLine="0"/>
        <w:jc w:val="center"/>
        <w:rPr>
          <w:sz w:val="20"/>
          <w:szCs w:val="20"/>
        </w:rPr>
      </w:pPr>
      <w:r>
        <w:rPr>
          <w:b/>
          <w:sz w:val="20"/>
          <w:szCs w:val="20"/>
        </w:rPr>
        <w:t xml:space="preserve">Quadro 10: </w:t>
      </w:r>
      <w:r>
        <w:rPr>
          <w:sz w:val="20"/>
          <w:szCs w:val="20"/>
        </w:rPr>
        <w:t xml:space="preserve">grau de elevação do </w:t>
      </w:r>
      <w:r w:rsidRPr="00B810D0">
        <w:rPr>
          <w:sz w:val="20"/>
          <w:szCs w:val="20"/>
        </w:rPr>
        <w:t>punho</w:t>
      </w:r>
      <w:r>
        <w:rPr>
          <w:sz w:val="20"/>
          <w:szCs w:val="20"/>
        </w:rPr>
        <w:t xml:space="preserve"> ao se aproximar do talão.</w:t>
      </w:r>
    </w:p>
    <w:tbl>
      <w:tblPr>
        <w:tblStyle w:val="Tabelacomgrade"/>
        <w:tblpPr w:leftFromText="141" w:rightFromText="141" w:vertAnchor="text" w:horzAnchor="margin" w:tblpX="108" w:tblpY="32"/>
        <w:tblW w:w="8931" w:type="dxa"/>
        <w:tblLayout w:type="fixed"/>
        <w:tblLook w:val="04A0" w:firstRow="1" w:lastRow="0" w:firstColumn="1" w:lastColumn="0" w:noHBand="0" w:noVBand="1"/>
      </w:tblPr>
      <w:tblGrid>
        <w:gridCol w:w="1149"/>
        <w:gridCol w:w="830"/>
        <w:gridCol w:w="6952"/>
      </w:tblGrid>
      <w:tr w:rsidR="001F49FD" w14:paraId="2AAEF368" w14:textId="77777777">
        <w:trPr>
          <w:trHeight w:val="1125"/>
        </w:trPr>
        <w:tc>
          <w:tcPr>
            <w:tcW w:w="1149" w:type="dxa"/>
          </w:tcPr>
          <w:p w14:paraId="6EFC3DA2" w14:textId="77777777" w:rsidR="001F49FD" w:rsidRDefault="001F49FD">
            <w:pPr>
              <w:widowControl w:val="0"/>
              <w:spacing w:line="240" w:lineRule="auto"/>
              <w:ind w:firstLine="0"/>
              <w:rPr>
                <w:rFonts w:asciiTheme="majorHAnsi" w:hAnsiTheme="majorHAnsi" w:cstheme="majorHAnsi"/>
                <w:szCs w:val="24"/>
              </w:rPr>
            </w:pPr>
          </w:p>
          <w:p w14:paraId="5DD55AB3"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30" w:type="dxa"/>
          </w:tcPr>
          <w:p w14:paraId="5D055FC4" w14:textId="77777777" w:rsidR="001F49FD" w:rsidRDefault="001F49FD">
            <w:pPr>
              <w:widowControl w:val="0"/>
              <w:spacing w:line="240" w:lineRule="auto"/>
              <w:ind w:firstLine="0"/>
              <w:rPr>
                <w:rFonts w:asciiTheme="majorHAnsi" w:hAnsiTheme="majorHAnsi" w:cstheme="majorHAnsi"/>
                <w:szCs w:val="24"/>
              </w:rPr>
            </w:pPr>
          </w:p>
          <w:p w14:paraId="3237BAC5"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1858</w:t>
            </w:r>
          </w:p>
        </w:tc>
        <w:tc>
          <w:tcPr>
            <w:tcW w:w="6952" w:type="dxa"/>
          </w:tcPr>
          <w:p w14:paraId="1F04E5DE" w14:textId="77777777" w:rsidR="001F49FD" w:rsidRDefault="001F49FD">
            <w:pPr>
              <w:widowControl w:val="0"/>
              <w:spacing w:line="240" w:lineRule="auto"/>
              <w:ind w:firstLine="0"/>
              <w:rPr>
                <w:rFonts w:asciiTheme="majorHAnsi" w:hAnsiTheme="majorHAnsi" w:cstheme="majorHAnsi"/>
                <w:szCs w:val="24"/>
              </w:rPr>
            </w:pPr>
          </w:p>
          <w:p w14:paraId="19F3485F" w14:textId="3D1DD3A7" w:rsidR="001F49FD" w:rsidRDefault="00611419">
            <w:pPr>
              <w:widowControl w:val="0"/>
              <w:spacing w:line="240" w:lineRule="auto"/>
              <w:ind w:firstLine="0"/>
              <w:rPr>
                <w:rFonts w:asciiTheme="majorHAnsi" w:hAnsiTheme="majorHAnsi" w:cstheme="majorHAnsi"/>
                <w:szCs w:val="24"/>
              </w:rPr>
            </w:pPr>
            <w:r>
              <w:rPr>
                <w:rFonts w:cstheme="majorHAnsi"/>
                <w:szCs w:val="24"/>
              </w:rPr>
              <w:t>Ao mover o arco para cima em direção ao talão, deve-se girar gradualmente o punho até este chegar à altura da boca.</w:t>
            </w:r>
          </w:p>
          <w:p w14:paraId="252C2C5F"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088E273F" w14:textId="77777777">
        <w:trPr>
          <w:trHeight w:val="1678"/>
        </w:trPr>
        <w:tc>
          <w:tcPr>
            <w:tcW w:w="1149" w:type="dxa"/>
          </w:tcPr>
          <w:p w14:paraId="14BCADC8" w14:textId="77777777" w:rsidR="001F49FD" w:rsidRDefault="001F49FD">
            <w:pPr>
              <w:widowControl w:val="0"/>
              <w:spacing w:line="240" w:lineRule="auto"/>
              <w:ind w:firstLine="0"/>
              <w:rPr>
                <w:rFonts w:asciiTheme="majorHAnsi" w:hAnsiTheme="majorHAnsi" w:cstheme="majorHAnsi"/>
                <w:szCs w:val="24"/>
              </w:rPr>
            </w:pPr>
          </w:p>
          <w:p w14:paraId="256392B2"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Moser/</w:t>
            </w:r>
          </w:p>
          <w:p w14:paraId="77FF839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Joachim</w:t>
            </w:r>
          </w:p>
        </w:tc>
        <w:tc>
          <w:tcPr>
            <w:tcW w:w="830" w:type="dxa"/>
          </w:tcPr>
          <w:p w14:paraId="20690CC8" w14:textId="77777777" w:rsidR="001F49FD" w:rsidRDefault="001F49FD">
            <w:pPr>
              <w:widowControl w:val="0"/>
              <w:spacing w:line="240" w:lineRule="auto"/>
              <w:ind w:firstLine="0"/>
              <w:rPr>
                <w:rFonts w:asciiTheme="majorHAnsi" w:hAnsiTheme="majorHAnsi" w:cstheme="majorHAnsi"/>
                <w:szCs w:val="24"/>
              </w:rPr>
            </w:pPr>
          </w:p>
          <w:p w14:paraId="791C1A1D"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1905</w:t>
            </w:r>
          </w:p>
        </w:tc>
        <w:tc>
          <w:tcPr>
            <w:tcW w:w="6952" w:type="dxa"/>
          </w:tcPr>
          <w:p w14:paraId="4622B2FC" w14:textId="77777777" w:rsidR="001F49FD" w:rsidRDefault="001F49FD">
            <w:pPr>
              <w:widowControl w:val="0"/>
              <w:spacing w:line="240" w:lineRule="auto"/>
              <w:ind w:firstLine="0"/>
              <w:rPr>
                <w:rFonts w:asciiTheme="majorHAnsi" w:hAnsiTheme="majorHAnsi" w:cstheme="majorHAnsi"/>
                <w:szCs w:val="24"/>
              </w:rPr>
            </w:pPr>
          </w:p>
          <w:p w14:paraId="3C394F7B" w14:textId="77777777" w:rsidR="001F49FD" w:rsidRDefault="00611419">
            <w:pPr>
              <w:widowControl w:val="0"/>
              <w:spacing w:line="240" w:lineRule="auto"/>
              <w:ind w:firstLine="0"/>
              <w:rPr>
                <w:rFonts w:asciiTheme="majorHAnsi" w:hAnsiTheme="majorHAnsi" w:cstheme="majorHAnsi"/>
                <w:b/>
                <w:szCs w:val="24"/>
              </w:rPr>
            </w:pPr>
            <w:r>
              <w:rPr>
                <w:rFonts w:cstheme="majorHAnsi"/>
                <w:szCs w:val="24"/>
              </w:rPr>
              <w:t>O movimento da mão deve manter-se ao longo da linha do antebraço.</w:t>
            </w:r>
          </w:p>
          <w:p w14:paraId="7DAAE4AB" w14:textId="77777777" w:rsidR="001F49FD" w:rsidRDefault="001F49FD">
            <w:pPr>
              <w:widowControl w:val="0"/>
              <w:spacing w:line="240" w:lineRule="auto"/>
              <w:ind w:firstLine="0"/>
              <w:rPr>
                <w:rFonts w:asciiTheme="majorHAnsi" w:hAnsiTheme="majorHAnsi" w:cstheme="majorHAnsi"/>
                <w:szCs w:val="24"/>
              </w:rPr>
            </w:pPr>
          </w:p>
          <w:p w14:paraId="20135CCC"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Enquanto o arco estiver tocando somente em uma corda, o </w:t>
            </w:r>
            <w:r>
              <w:t>punho</w:t>
            </w:r>
            <w:r>
              <w:rPr>
                <w:rFonts w:cstheme="majorHAnsi"/>
                <w:szCs w:val="24"/>
              </w:rPr>
              <w:t>, consequentemente, não deve flexionar-se para baixo ou para cima.</w:t>
            </w:r>
          </w:p>
          <w:p w14:paraId="21DBCE82" w14:textId="77777777" w:rsidR="001F49FD" w:rsidRDefault="001F49FD">
            <w:pPr>
              <w:widowControl w:val="0"/>
              <w:spacing w:line="240" w:lineRule="auto"/>
              <w:ind w:firstLine="0"/>
              <w:rPr>
                <w:rFonts w:asciiTheme="majorHAnsi" w:hAnsiTheme="majorHAnsi" w:cstheme="majorHAnsi"/>
                <w:szCs w:val="24"/>
              </w:rPr>
            </w:pPr>
          </w:p>
        </w:tc>
      </w:tr>
      <w:tr w:rsidR="001F49FD" w14:paraId="07929F94" w14:textId="77777777">
        <w:trPr>
          <w:trHeight w:val="2242"/>
        </w:trPr>
        <w:tc>
          <w:tcPr>
            <w:tcW w:w="1149" w:type="dxa"/>
          </w:tcPr>
          <w:p w14:paraId="50846371" w14:textId="77777777" w:rsidR="001F49FD" w:rsidRDefault="001F49FD">
            <w:pPr>
              <w:widowControl w:val="0"/>
              <w:spacing w:line="240" w:lineRule="auto"/>
              <w:ind w:firstLine="0"/>
              <w:rPr>
                <w:rFonts w:asciiTheme="majorHAnsi" w:hAnsiTheme="majorHAnsi" w:cstheme="majorHAnsi"/>
                <w:szCs w:val="24"/>
              </w:rPr>
            </w:pPr>
          </w:p>
          <w:p w14:paraId="01E7D1CD"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30" w:type="dxa"/>
          </w:tcPr>
          <w:p w14:paraId="35686098" w14:textId="77777777" w:rsidR="001F49FD" w:rsidRDefault="001F49FD">
            <w:pPr>
              <w:widowControl w:val="0"/>
              <w:spacing w:line="240" w:lineRule="auto"/>
              <w:ind w:firstLine="0"/>
              <w:rPr>
                <w:rFonts w:asciiTheme="majorHAnsi" w:hAnsiTheme="majorHAnsi" w:cstheme="majorHAnsi"/>
                <w:szCs w:val="24"/>
              </w:rPr>
            </w:pPr>
          </w:p>
          <w:p w14:paraId="004E66C4"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1921</w:t>
            </w:r>
          </w:p>
        </w:tc>
        <w:tc>
          <w:tcPr>
            <w:tcW w:w="6952" w:type="dxa"/>
          </w:tcPr>
          <w:p w14:paraId="5AC91284" w14:textId="77777777" w:rsidR="001F49FD" w:rsidRDefault="001F49FD">
            <w:pPr>
              <w:widowControl w:val="0"/>
              <w:spacing w:line="240" w:lineRule="auto"/>
              <w:ind w:firstLine="0"/>
              <w:rPr>
                <w:rFonts w:asciiTheme="majorHAnsi" w:hAnsiTheme="majorHAnsi" w:cstheme="majorHAnsi"/>
                <w:szCs w:val="24"/>
              </w:rPr>
            </w:pPr>
          </w:p>
          <w:p w14:paraId="6ED83D53" w14:textId="77777777" w:rsidR="001F49FD" w:rsidRDefault="00611419">
            <w:pPr>
              <w:widowControl w:val="0"/>
              <w:spacing w:line="240" w:lineRule="auto"/>
              <w:ind w:firstLine="0"/>
              <w:rPr>
                <w:rFonts w:asciiTheme="majorHAnsi" w:hAnsiTheme="majorHAnsi" w:cstheme="majorHAnsi"/>
                <w:b/>
                <w:szCs w:val="24"/>
              </w:rPr>
            </w:pPr>
            <w:r>
              <w:rPr>
                <w:rFonts w:cstheme="majorHAnsi"/>
                <w:szCs w:val="24"/>
              </w:rPr>
              <w:t xml:space="preserve">Tocar com um </w:t>
            </w:r>
            <w:r>
              <w:t>punho</w:t>
            </w:r>
            <w:r>
              <w:rPr>
                <w:rFonts w:cstheme="majorHAnsi"/>
                <w:szCs w:val="24"/>
              </w:rPr>
              <w:t xml:space="preserve"> rígido ou contraído não trará resultados satisfatórios, uma vez que um</w:t>
            </w:r>
            <w:r>
              <w:t xml:space="preserve"> punho</w:t>
            </w:r>
            <w:r>
              <w:rPr>
                <w:rFonts w:cstheme="majorHAnsi"/>
                <w:szCs w:val="24"/>
              </w:rPr>
              <w:t xml:space="preserve"> livre e flexível é um dos elementos essenciais de um correto e artístico manuseio do arco.</w:t>
            </w:r>
          </w:p>
          <w:p w14:paraId="78B58C8A" w14:textId="77777777" w:rsidR="001F49FD" w:rsidRDefault="001F49FD">
            <w:pPr>
              <w:widowControl w:val="0"/>
              <w:spacing w:line="240" w:lineRule="auto"/>
              <w:ind w:firstLine="0"/>
              <w:rPr>
                <w:rFonts w:asciiTheme="majorHAnsi" w:hAnsiTheme="majorHAnsi" w:cstheme="majorHAnsi"/>
                <w:b/>
                <w:szCs w:val="24"/>
              </w:rPr>
            </w:pPr>
          </w:p>
          <w:p w14:paraId="67DD7FD8"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Na verdade, o arco não pode estar reto ao atravessar a corda sem que o punho se eleve no talão e se abaixe na ponta.</w:t>
            </w:r>
          </w:p>
          <w:p w14:paraId="377E6918" w14:textId="77777777" w:rsidR="001F49FD" w:rsidRDefault="001F49FD">
            <w:pPr>
              <w:widowControl w:val="0"/>
              <w:spacing w:line="240" w:lineRule="auto"/>
              <w:ind w:firstLine="0"/>
              <w:rPr>
                <w:rFonts w:asciiTheme="majorHAnsi" w:hAnsiTheme="majorHAnsi" w:cstheme="majorHAnsi"/>
                <w:b/>
                <w:szCs w:val="24"/>
                <w:lang w:eastAsia="en-US"/>
              </w:rPr>
            </w:pPr>
          </w:p>
        </w:tc>
      </w:tr>
      <w:tr w:rsidR="001F49FD" w14:paraId="56B99D87" w14:textId="77777777">
        <w:trPr>
          <w:trHeight w:val="75"/>
        </w:trPr>
        <w:tc>
          <w:tcPr>
            <w:tcW w:w="1149" w:type="dxa"/>
          </w:tcPr>
          <w:p w14:paraId="1F00ACC9" w14:textId="77777777" w:rsidR="001F49FD" w:rsidRDefault="001F49FD">
            <w:pPr>
              <w:widowControl w:val="0"/>
              <w:spacing w:line="240" w:lineRule="auto"/>
              <w:ind w:firstLine="0"/>
              <w:rPr>
                <w:rFonts w:asciiTheme="majorHAnsi" w:hAnsiTheme="majorHAnsi" w:cstheme="majorHAnsi"/>
                <w:szCs w:val="24"/>
              </w:rPr>
            </w:pPr>
          </w:p>
          <w:p w14:paraId="77F16173"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Galamian</w:t>
            </w:r>
            <w:proofErr w:type="spellEnd"/>
          </w:p>
        </w:tc>
        <w:tc>
          <w:tcPr>
            <w:tcW w:w="830" w:type="dxa"/>
          </w:tcPr>
          <w:p w14:paraId="02346F18" w14:textId="77777777" w:rsidR="001F49FD" w:rsidRDefault="001F49FD">
            <w:pPr>
              <w:widowControl w:val="0"/>
              <w:spacing w:line="240" w:lineRule="auto"/>
              <w:ind w:firstLine="0"/>
              <w:rPr>
                <w:rFonts w:asciiTheme="majorHAnsi" w:hAnsiTheme="majorHAnsi" w:cstheme="majorHAnsi"/>
                <w:szCs w:val="24"/>
              </w:rPr>
            </w:pPr>
          </w:p>
          <w:p w14:paraId="30969801"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1962</w:t>
            </w:r>
          </w:p>
        </w:tc>
        <w:tc>
          <w:tcPr>
            <w:tcW w:w="6952" w:type="dxa"/>
          </w:tcPr>
          <w:p w14:paraId="1C521F42" w14:textId="77777777" w:rsidR="001F49FD" w:rsidRDefault="001F49FD">
            <w:pPr>
              <w:widowControl w:val="0"/>
              <w:spacing w:line="240" w:lineRule="auto"/>
              <w:ind w:firstLine="0"/>
              <w:rPr>
                <w:rFonts w:asciiTheme="majorHAnsi" w:hAnsiTheme="majorHAnsi" w:cstheme="majorHAnsi"/>
                <w:szCs w:val="24"/>
              </w:rPr>
            </w:pPr>
          </w:p>
          <w:p w14:paraId="1585D6A2"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Ao aproximar-se do talão, uma elevação excessiva do </w:t>
            </w:r>
            <w:r>
              <w:t>punho</w:t>
            </w:r>
            <w:r>
              <w:rPr>
                <w:rFonts w:cstheme="majorHAnsi"/>
                <w:szCs w:val="24"/>
              </w:rPr>
              <w:t xml:space="preserve"> e, consequentemente, o abaixamento excessivo da mão, farão com que o punho forme um ângulo reto. Isso é absolutamente indesejável e evidencia um exagero.</w:t>
            </w:r>
          </w:p>
          <w:p w14:paraId="4A87CC68" w14:textId="77777777" w:rsidR="001F49FD" w:rsidRDefault="001F49FD">
            <w:pPr>
              <w:widowControl w:val="0"/>
              <w:spacing w:line="240" w:lineRule="auto"/>
              <w:ind w:firstLine="0"/>
              <w:rPr>
                <w:rFonts w:asciiTheme="majorHAnsi" w:hAnsiTheme="majorHAnsi" w:cstheme="majorHAnsi"/>
                <w:b/>
                <w:szCs w:val="24"/>
                <w:lang w:eastAsia="en-US"/>
              </w:rPr>
            </w:pPr>
          </w:p>
        </w:tc>
      </w:tr>
      <w:tr w:rsidR="001F49FD" w14:paraId="7ED1AEFD" w14:textId="77777777">
        <w:trPr>
          <w:trHeight w:val="75"/>
        </w:trPr>
        <w:tc>
          <w:tcPr>
            <w:tcW w:w="1149" w:type="dxa"/>
          </w:tcPr>
          <w:p w14:paraId="29DD2587" w14:textId="77777777" w:rsidR="001F49FD" w:rsidRDefault="001F49FD">
            <w:pPr>
              <w:widowControl w:val="0"/>
              <w:spacing w:line="240" w:lineRule="auto"/>
              <w:ind w:firstLine="0"/>
              <w:rPr>
                <w:rFonts w:asciiTheme="majorHAnsi" w:hAnsiTheme="majorHAnsi" w:cstheme="majorHAnsi"/>
                <w:szCs w:val="24"/>
              </w:rPr>
            </w:pPr>
          </w:p>
          <w:p w14:paraId="23F56B96" w14:textId="3C4D89E8" w:rsidR="001F49FD" w:rsidRDefault="00611419">
            <w:pPr>
              <w:widowControl w:val="0"/>
              <w:spacing w:line="240" w:lineRule="auto"/>
              <w:ind w:firstLine="0"/>
              <w:rPr>
                <w:rFonts w:asciiTheme="majorHAnsi" w:hAnsiTheme="majorHAnsi" w:cstheme="majorHAnsi"/>
                <w:szCs w:val="24"/>
              </w:rPr>
            </w:pPr>
            <w:r>
              <w:rPr>
                <w:rFonts w:cstheme="majorHAnsi"/>
                <w:szCs w:val="24"/>
              </w:rPr>
              <w:t>Fis</w:t>
            </w:r>
            <w:r w:rsidR="00B810D0">
              <w:rPr>
                <w:rFonts w:cstheme="majorHAnsi"/>
                <w:szCs w:val="24"/>
              </w:rPr>
              <w:t>c</w:t>
            </w:r>
            <w:r>
              <w:rPr>
                <w:rFonts w:cstheme="majorHAnsi"/>
                <w:szCs w:val="24"/>
              </w:rPr>
              <w:t>her</w:t>
            </w:r>
          </w:p>
        </w:tc>
        <w:tc>
          <w:tcPr>
            <w:tcW w:w="830" w:type="dxa"/>
          </w:tcPr>
          <w:p w14:paraId="192D0E2B" w14:textId="77777777" w:rsidR="001F49FD" w:rsidRDefault="001F49FD">
            <w:pPr>
              <w:widowControl w:val="0"/>
              <w:spacing w:line="240" w:lineRule="auto"/>
              <w:ind w:firstLine="0"/>
              <w:rPr>
                <w:rFonts w:asciiTheme="majorHAnsi" w:hAnsiTheme="majorHAnsi" w:cstheme="majorHAnsi"/>
                <w:szCs w:val="24"/>
              </w:rPr>
            </w:pPr>
          </w:p>
          <w:p w14:paraId="708555B2"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2004</w:t>
            </w:r>
          </w:p>
        </w:tc>
        <w:tc>
          <w:tcPr>
            <w:tcW w:w="6952" w:type="dxa"/>
          </w:tcPr>
          <w:p w14:paraId="463571D8" w14:textId="77777777" w:rsidR="001F49FD" w:rsidRDefault="001F49FD">
            <w:pPr>
              <w:widowControl w:val="0"/>
              <w:spacing w:line="240" w:lineRule="auto"/>
              <w:ind w:firstLine="0"/>
              <w:rPr>
                <w:rFonts w:asciiTheme="majorHAnsi" w:hAnsiTheme="majorHAnsi" w:cstheme="majorHAnsi"/>
                <w:szCs w:val="24"/>
              </w:rPr>
            </w:pPr>
          </w:p>
          <w:p w14:paraId="0B5D3FC4"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Tanto uma mão rígida quanto uma muito flexível são ‘vícios’; a naturalidade da mão é a virtude que está entre os dois.</w:t>
            </w:r>
          </w:p>
          <w:p w14:paraId="136402F2" w14:textId="77777777" w:rsidR="001F49FD" w:rsidRDefault="001F49FD">
            <w:pPr>
              <w:widowControl w:val="0"/>
              <w:spacing w:line="240" w:lineRule="auto"/>
              <w:ind w:firstLine="0"/>
              <w:rPr>
                <w:rFonts w:asciiTheme="majorHAnsi" w:hAnsiTheme="majorHAnsi" w:cstheme="majorHAnsi"/>
                <w:szCs w:val="24"/>
              </w:rPr>
            </w:pPr>
          </w:p>
        </w:tc>
      </w:tr>
    </w:tbl>
    <w:p w14:paraId="4D331F23" w14:textId="77777777" w:rsidR="001F49FD" w:rsidRDefault="001F49FD">
      <w:pPr>
        <w:pStyle w:val="Recuodecorpodetexto"/>
        <w:ind w:left="283" w:firstLine="0"/>
        <w:rPr>
          <w:sz w:val="20"/>
          <w:szCs w:val="20"/>
        </w:rPr>
      </w:pPr>
    </w:p>
    <w:p w14:paraId="3D62BA4E" w14:textId="0F921882" w:rsidR="00FB773D" w:rsidRDefault="00611419" w:rsidP="00FB773D">
      <w:pPr>
        <w:pStyle w:val="Corpodetexto"/>
        <w:ind w:firstLine="709"/>
      </w:pPr>
      <w:r>
        <w:t xml:space="preserve">Como verificado no </w:t>
      </w:r>
      <w:r w:rsidR="00B810D0">
        <w:t>q</w:t>
      </w:r>
      <w:r>
        <w:t xml:space="preserve">uadro 7, a principal transformação na técnica </w:t>
      </w:r>
      <w:r w:rsidR="00B810D0">
        <w:t xml:space="preserve">de </w:t>
      </w:r>
      <w:r>
        <w:t>arco, ocorrida ao fim do século XIX, foi a elevação do braço, que se afastou do corpo e passou a agir em diferentes níveis, relativos à altura de cada corda. Nesse novo posicionamento, a mão e o antebraço passam a formar um eixo comum que pode se alterar ao longo do movimento do arco através da mobilidade do punho. Essa flexibilidade pode se realizar em vários graus, principalmente quando o arco se aproxima do talão. Os registros dos autores revelam a gama de possibilidades desse elemento técnico ao longo dos dois últimos séculos, que</w:t>
      </w:r>
      <w:r w:rsidR="00B810D0">
        <w:t>,</w:t>
      </w:r>
      <w:r>
        <w:t xml:space="preserve"> assim como o ponto de contato do dedo indicador</w:t>
      </w:r>
      <w:r w:rsidR="00B810D0">
        <w:t>,</w:t>
      </w:r>
      <w:r>
        <w:t xml:space="preserve"> é considerado um fator que caracteriza – ou caracterizou – determinadas Escolas de violino. </w:t>
      </w:r>
      <w:proofErr w:type="spellStart"/>
      <w:r>
        <w:t>Bériot</w:t>
      </w:r>
      <w:proofErr w:type="spellEnd"/>
      <w:r>
        <w:t xml:space="preserve"> preconiza uma acentuada elevação: “até chegar à altura da boca”. Moser/Joachim lhe conferem uma maior rigidez, que por sua vez é fortemente contestada por </w:t>
      </w:r>
      <w:proofErr w:type="spellStart"/>
      <w:r>
        <w:t>Auer</w:t>
      </w:r>
      <w:proofErr w:type="spellEnd"/>
      <w:r>
        <w:t xml:space="preserve">, revelando a indefinição desse elemento técnico na passagem entre os dois séculos. Décadas mais tarde, a advertência conclamada por </w:t>
      </w:r>
      <w:proofErr w:type="spellStart"/>
      <w:r>
        <w:t>Galamian</w:t>
      </w:r>
      <w:proofErr w:type="spellEnd"/>
      <w:r>
        <w:t xml:space="preserve"> sobre a exagerada elevação no talão e o preceito de Fischer indicam que</w:t>
      </w:r>
      <w:r w:rsidR="00B810D0">
        <w:t>,</w:t>
      </w:r>
      <w:r>
        <w:t xml:space="preserve"> a partir da segunda metade do século XX</w:t>
      </w:r>
      <w:r w:rsidR="00B810D0">
        <w:t>,</w:t>
      </w:r>
      <w:r>
        <w:t xml:space="preserve"> houve uma tendência a uma elevação moderada do punho.</w:t>
      </w:r>
      <w:bookmarkStart w:id="127" w:name="_Toc14331049"/>
    </w:p>
    <w:p w14:paraId="3972A090" w14:textId="77777777" w:rsidR="00FB773D" w:rsidRDefault="00FB773D" w:rsidP="00FB773D">
      <w:pPr>
        <w:pStyle w:val="Corpodetexto"/>
        <w:ind w:firstLine="709"/>
      </w:pPr>
    </w:p>
    <w:p w14:paraId="1EC38BCF" w14:textId="1A6204E6" w:rsidR="001F49FD" w:rsidRDefault="00611419" w:rsidP="000A6E65">
      <w:pPr>
        <w:pStyle w:val="Ttulo3"/>
      </w:pPr>
      <w:bookmarkStart w:id="128" w:name="_Toc219359050"/>
      <w:r>
        <w:lastRenderedPageBreak/>
        <w:t>Inclinação do arco</w:t>
      </w:r>
      <w:bookmarkEnd w:id="127"/>
      <w:bookmarkEnd w:id="128"/>
    </w:p>
    <w:p w14:paraId="4ED74550" w14:textId="77777777" w:rsidR="001F49FD" w:rsidRDefault="00611419">
      <w:pPr>
        <w:pStyle w:val="Corpodetexto"/>
        <w:spacing w:after="0"/>
        <w:ind w:firstLine="0"/>
        <w:jc w:val="center"/>
        <w:rPr>
          <w:b/>
          <w:sz w:val="20"/>
          <w:szCs w:val="20"/>
        </w:rPr>
      </w:pPr>
      <w:r>
        <w:rPr>
          <w:b/>
          <w:sz w:val="20"/>
          <w:szCs w:val="20"/>
        </w:rPr>
        <w:t xml:space="preserve">Quadro 11: </w:t>
      </w:r>
      <w:r>
        <w:rPr>
          <w:sz w:val="20"/>
          <w:szCs w:val="20"/>
        </w:rPr>
        <w:t>inclinação do arco.</w:t>
      </w:r>
    </w:p>
    <w:tbl>
      <w:tblPr>
        <w:tblStyle w:val="Tabelacomgrade"/>
        <w:tblW w:w="9214" w:type="dxa"/>
        <w:tblInd w:w="108" w:type="dxa"/>
        <w:tblLayout w:type="fixed"/>
        <w:tblLook w:val="04A0" w:firstRow="1" w:lastRow="0" w:firstColumn="1" w:lastColumn="0" w:noHBand="0" w:noVBand="1"/>
      </w:tblPr>
      <w:tblGrid>
        <w:gridCol w:w="1134"/>
        <w:gridCol w:w="847"/>
        <w:gridCol w:w="7233"/>
      </w:tblGrid>
      <w:tr w:rsidR="001F49FD" w14:paraId="47D0CE2B" w14:textId="77777777">
        <w:tc>
          <w:tcPr>
            <w:tcW w:w="1134" w:type="dxa"/>
          </w:tcPr>
          <w:p w14:paraId="338AE1FC" w14:textId="77777777" w:rsidR="001F49FD" w:rsidRDefault="001F49FD">
            <w:pPr>
              <w:widowControl w:val="0"/>
              <w:spacing w:line="240" w:lineRule="auto"/>
              <w:ind w:firstLine="0"/>
              <w:rPr>
                <w:rFonts w:asciiTheme="majorHAnsi" w:hAnsiTheme="majorHAnsi" w:cstheme="majorHAnsi"/>
                <w:szCs w:val="24"/>
              </w:rPr>
            </w:pPr>
          </w:p>
          <w:p w14:paraId="720C44CE"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Spohr</w:t>
            </w:r>
          </w:p>
        </w:tc>
        <w:tc>
          <w:tcPr>
            <w:tcW w:w="847" w:type="dxa"/>
          </w:tcPr>
          <w:p w14:paraId="5BB87EE2" w14:textId="77777777" w:rsidR="001F49FD" w:rsidRDefault="001F49FD">
            <w:pPr>
              <w:widowControl w:val="0"/>
              <w:spacing w:line="240" w:lineRule="auto"/>
              <w:ind w:firstLine="0"/>
              <w:rPr>
                <w:rFonts w:asciiTheme="majorHAnsi" w:hAnsiTheme="majorHAnsi" w:cstheme="majorHAnsi"/>
                <w:szCs w:val="24"/>
                <w:lang w:val="en-GB"/>
              </w:rPr>
            </w:pPr>
          </w:p>
          <w:p w14:paraId="4FE87B3E"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1832</w:t>
            </w:r>
          </w:p>
        </w:tc>
        <w:tc>
          <w:tcPr>
            <w:tcW w:w="7233" w:type="dxa"/>
          </w:tcPr>
          <w:p w14:paraId="24CCDCE1" w14:textId="77777777" w:rsidR="001F49FD" w:rsidRDefault="001F49FD">
            <w:pPr>
              <w:widowControl w:val="0"/>
              <w:spacing w:line="240" w:lineRule="auto"/>
              <w:ind w:firstLine="0"/>
              <w:rPr>
                <w:rFonts w:asciiTheme="majorHAnsi" w:hAnsiTheme="majorHAnsi" w:cstheme="majorHAnsi"/>
                <w:szCs w:val="24"/>
              </w:rPr>
            </w:pPr>
          </w:p>
          <w:p w14:paraId="62427808" w14:textId="77777777" w:rsidR="001F49FD" w:rsidRDefault="00611419">
            <w:pPr>
              <w:widowControl w:val="0"/>
              <w:spacing w:line="240" w:lineRule="auto"/>
              <w:ind w:firstLine="0"/>
              <w:rPr>
                <w:rFonts w:ascii="Times New Roman" w:hAnsi="Times New Roman" w:cs="Times New Roman"/>
                <w:szCs w:val="24"/>
              </w:rPr>
            </w:pPr>
            <w:r>
              <w:rPr>
                <w:rFonts w:cs="Times New Roman"/>
                <w:szCs w:val="24"/>
              </w:rPr>
              <w:t>A crina da parte superior do arco está agora sobre as cordas, a uma distância de uma polegada do cavalete, com a vareta inclinada levemente em direção ao espelho.</w:t>
            </w:r>
          </w:p>
          <w:p w14:paraId="2B03B202"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4E248E16" w14:textId="77777777">
        <w:tc>
          <w:tcPr>
            <w:tcW w:w="1134" w:type="dxa"/>
          </w:tcPr>
          <w:p w14:paraId="3082207D" w14:textId="77777777" w:rsidR="001F49FD" w:rsidRDefault="001F49FD">
            <w:pPr>
              <w:widowControl w:val="0"/>
              <w:spacing w:line="240" w:lineRule="auto"/>
              <w:ind w:firstLine="0"/>
              <w:rPr>
                <w:rFonts w:asciiTheme="majorHAnsi" w:hAnsiTheme="majorHAnsi" w:cstheme="majorHAnsi"/>
                <w:szCs w:val="24"/>
              </w:rPr>
            </w:pPr>
          </w:p>
          <w:p w14:paraId="0B251F39"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Baillot</w:t>
            </w:r>
            <w:proofErr w:type="spellEnd"/>
          </w:p>
        </w:tc>
        <w:tc>
          <w:tcPr>
            <w:tcW w:w="847" w:type="dxa"/>
          </w:tcPr>
          <w:p w14:paraId="2A2B8FF2" w14:textId="77777777" w:rsidR="001F49FD" w:rsidRDefault="001F49FD">
            <w:pPr>
              <w:widowControl w:val="0"/>
              <w:spacing w:line="240" w:lineRule="auto"/>
              <w:ind w:firstLine="0"/>
              <w:rPr>
                <w:rFonts w:asciiTheme="majorHAnsi" w:hAnsiTheme="majorHAnsi" w:cstheme="majorHAnsi"/>
                <w:szCs w:val="24"/>
                <w:lang w:val="en-GB"/>
              </w:rPr>
            </w:pPr>
          </w:p>
          <w:p w14:paraId="643E0044"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1834</w:t>
            </w:r>
          </w:p>
        </w:tc>
        <w:tc>
          <w:tcPr>
            <w:tcW w:w="7233" w:type="dxa"/>
          </w:tcPr>
          <w:p w14:paraId="399D2A3D" w14:textId="77777777" w:rsidR="001F49FD" w:rsidRDefault="001F49FD">
            <w:pPr>
              <w:widowControl w:val="0"/>
              <w:spacing w:line="240" w:lineRule="auto"/>
              <w:ind w:firstLine="0"/>
              <w:rPr>
                <w:rFonts w:asciiTheme="majorHAnsi" w:hAnsiTheme="majorHAnsi" w:cstheme="majorHAnsi"/>
                <w:szCs w:val="24"/>
              </w:rPr>
            </w:pPr>
          </w:p>
          <w:p w14:paraId="5D6A3176"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 xml:space="preserve">Deve-se manter a vareta um pouco inclinada em direção ao espelho; porém, nos trechos em </w:t>
            </w:r>
            <w:proofErr w:type="spellStart"/>
            <w:r>
              <w:rPr>
                <w:rFonts w:cstheme="majorHAnsi"/>
                <w:i/>
                <w:szCs w:val="24"/>
              </w:rPr>
              <w:t>détaché</w:t>
            </w:r>
            <w:proofErr w:type="spellEnd"/>
            <w:r>
              <w:rPr>
                <w:rFonts w:cstheme="majorHAnsi"/>
                <w:szCs w:val="24"/>
              </w:rPr>
              <w:t xml:space="preserve"> no meio do arco, nós a manteremos perpendicularmente, a fim de favorecer, por sua maior ou menor elasticidade, a ação da vareta ou os saltos do arco.</w:t>
            </w:r>
          </w:p>
          <w:p w14:paraId="4DF86AC3"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59E556FC" w14:textId="77777777">
        <w:tc>
          <w:tcPr>
            <w:tcW w:w="1134" w:type="dxa"/>
          </w:tcPr>
          <w:p w14:paraId="6B6BB443" w14:textId="77777777" w:rsidR="001F49FD" w:rsidRDefault="001F49FD">
            <w:pPr>
              <w:widowControl w:val="0"/>
              <w:spacing w:line="240" w:lineRule="auto"/>
              <w:ind w:firstLine="0"/>
              <w:rPr>
                <w:rFonts w:asciiTheme="majorHAnsi" w:hAnsiTheme="majorHAnsi" w:cstheme="majorHAnsi"/>
                <w:szCs w:val="24"/>
              </w:rPr>
            </w:pPr>
          </w:p>
          <w:p w14:paraId="1DEF591D"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Bériot</w:t>
            </w:r>
            <w:proofErr w:type="spellEnd"/>
          </w:p>
        </w:tc>
        <w:tc>
          <w:tcPr>
            <w:tcW w:w="847" w:type="dxa"/>
          </w:tcPr>
          <w:p w14:paraId="023A813C" w14:textId="77777777" w:rsidR="001F49FD" w:rsidRDefault="001F49FD">
            <w:pPr>
              <w:widowControl w:val="0"/>
              <w:spacing w:line="240" w:lineRule="auto"/>
              <w:ind w:firstLine="0"/>
              <w:rPr>
                <w:rFonts w:asciiTheme="majorHAnsi" w:hAnsiTheme="majorHAnsi" w:cstheme="majorHAnsi"/>
                <w:szCs w:val="24"/>
                <w:lang w:val="en-GB"/>
              </w:rPr>
            </w:pPr>
          </w:p>
          <w:p w14:paraId="197C8A27"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1858</w:t>
            </w:r>
          </w:p>
        </w:tc>
        <w:tc>
          <w:tcPr>
            <w:tcW w:w="7233" w:type="dxa"/>
          </w:tcPr>
          <w:p w14:paraId="59CCCC37" w14:textId="77777777" w:rsidR="001F49FD" w:rsidRDefault="001F49FD">
            <w:pPr>
              <w:widowControl w:val="0"/>
              <w:spacing w:line="240" w:lineRule="auto"/>
              <w:ind w:firstLine="0"/>
              <w:rPr>
                <w:rFonts w:asciiTheme="majorHAnsi" w:hAnsiTheme="majorHAnsi" w:cstheme="majorHAnsi"/>
                <w:szCs w:val="24"/>
              </w:rPr>
            </w:pPr>
          </w:p>
          <w:p w14:paraId="20C346DA"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O arco se manterá sobre uma pequena parte de sua crina e com uma perfeita igualdade de pressão e de movimento, levemente inclinado em direção ao espelho.</w:t>
            </w:r>
          </w:p>
          <w:p w14:paraId="7E81F01C"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5E78B7C0" w14:textId="77777777">
        <w:tc>
          <w:tcPr>
            <w:tcW w:w="1134" w:type="dxa"/>
          </w:tcPr>
          <w:p w14:paraId="4E46E247" w14:textId="77777777" w:rsidR="001F49FD" w:rsidRDefault="001F49FD">
            <w:pPr>
              <w:widowControl w:val="0"/>
              <w:spacing w:line="240" w:lineRule="auto"/>
              <w:ind w:firstLine="0"/>
              <w:rPr>
                <w:rFonts w:asciiTheme="majorHAnsi" w:hAnsiTheme="majorHAnsi" w:cstheme="majorHAnsi"/>
                <w:szCs w:val="24"/>
              </w:rPr>
            </w:pPr>
          </w:p>
          <w:p w14:paraId="1063AABE" w14:textId="77777777" w:rsidR="001F49FD" w:rsidRDefault="00611419">
            <w:pPr>
              <w:widowControl w:val="0"/>
              <w:spacing w:line="240" w:lineRule="auto"/>
              <w:ind w:firstLine="0"/>
              <w:rPr>
                <w:rFonts w:asciiTheme="majorHAnsi" w:hAnsiTheme="majorHAnsi" w:cstheme="majorHAnsi"/>
                <w:szCs w:val="24"/>
                <w:lang w:eastAsia="en-US"/>
              </w:rPr>
            </w:pPr>
            <w:proofErr w:type="spellStart"/>
            <w:r>
              <w:rPr>
                <w:rFonts w:cstheme="majorHAnsi"/>
                <w:szCs w:val="24"/>
              </w:rPr>
              <w:t>Auer</w:t>
            </w:r>
            <w:proofErr w:type="spellEnd"/>
          </w:p>
        </w:tc>
        <w:tc>
          <w:tcPr>
            <w:tcW w:w="847" w:type="dxa"/>
          </w:tcPr>
          <w:p w14:paraId="5A99F28B" w14:textId="77777777" w:rsidR="001F49FD" w:rsidRDefault="001F49FD">
            <w:pPr>
              <w:widowControl w:val="0"/>
              <w:spacing w:line="240" w:lineRule="auto"/>
              <w:ind w:firstLine="0"/>
              <w:rPr>
                <w:rFonts w:asciiTheme="majorHAnsi" w:hAnsiTheme="majorHAnsi" w:cstheme="majorHAnsi"/>
                <w:szCs w:val="24"/>
                <w:lang w:val="en-GB"/>
              </w:rPr>
            </w:pPr>
          </w:p>
          <w:p w14:paraId="5EFAAF30" w14:textId="77777777" w:rsidR="001F49FD" w:rsidRDefault="00611419">
            <w:pPr>
              <w:widowControl w:val="0"/>
              <w:spacing w:line="240" w:lineRule="auto"/>
              <w:ind w:firstLine="0"/>
              <w:rPr>
                <w:rFonts w:asciiTheme="majorHAnsi" w:hAnsiTheme="majorHAnsi" w:cstheme="majorHAnsi"/>
                <w:szCs w:val="24"/>
                <w:lang w:val="en-GB" w:eastAsia="en-US"/>
              </w:rPr>
            </w:pPr>
            <w:r>
              <w:rPr>
                <w:rFonts w:cstheme="majorHAnsi"/>
                <w:szCs w:val="24"/>
                <w:lang w:val="en-GB"/>
              </w:rPr>
              <w:t>1921</w:t>
            </w:r>
          </w:p>
        </w:tc>
        <w:tc>
          <w:tcPr>
            <w:tcW w:w="7233" w:type="dxa"/>
          </w:tcPr>
          <w:p w14:paraId="521FA578" w14:textId="77777777" w:rsidR="001F49FD" w:rsidRDefault="001F49FD">
            <w:pPr>
              <w:widowControl w:val="0"/>
              <w:spacing w:line="240" w:lineRule="auto"/>
              <w:ind w:firstLine="0"/>
              <w:rPr>
                <w:rFonts w:asciiTheme="majorHAnsi" w:hAnsiTheme="majorHAnsi" w:cstheme="majorHAnsi"/>
                <w:szCs w:val="24"/>
              </w:rPr>
            </w:pPr>
          </w:p>
          <w:p w14:paraId="231BCF0D" w14:textId="77777777" w:rsidR="001F49FD" w:rsidRDefault="00611419">
            <w:pPr>
              <w:widowControl w:val="0"/>
              <w:spacing w:line="240" w:lineRule="auto"/>
              <w:ind w:firstLine="0"/>
              <w:rPr>
                <w:rFonts w:asciiTheme="majorHAnsi" w:hAnsiTheme="majorHAnsi" w:cstheme="majorHAnsi"/>
                <w:b/>
                <w:szCs w:val="24"/>
              </w:rPr>
            </w:pPr>
            <w:r>
              <w:rPr>
                <w:rFonts w:cstheme="majorHAnsi"/>
                <w:szCs w:val="24"/>
              </w:rPr>
              <w:t>Nem sempre utilizamos toda a crina do arco; movendo-o do talão à ponta, começamos com a crina inclinada: para isso é necessário deixar cair o punho. Puxando o arco dessa forma, nós o reerguemos progressivamente até que toda a crina repouse sobre as cordas.</w:t>
            </w:r>
          </w:p>
          <w:p w14:paraId="7CE2F31F" w14:textId="77777777" w:rsidR="001F49FD" w:rsidRDefault="001F49FD">
            <w:pPr>
              <w:widowControl w:val="0"/>
              <w:spacing w:line="240" w:lineRule="auto"/>
              <w:ind w:firstLine="0"/>
              <w:rPr>
                <w:rFonts w:asciiTheme="majorHAnsi" w:hAnsiTheme="majorHAnsi" w:cstheme="majorHAnsi"/>
                <w:szCs w:val="24"/>
              </w:rPr>
            </w:pPr>
          </w:p>
          <w:p w14:paraId="2995DE74"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Para mover o arco no outro sentido, o mesmo movimento do punho e a mesma rotação se produzem na ordem inversa.</w:t>
            </w:r>
          </w:p>
          <w:p w14:paraId="7583DB15" w14:textId="77777777" w:rsidR="001F49FD" w:rsidRDefault="001F49FD">
            <w:pPr>
              <w:widowControl w:val="0"/>
              <w:spacing w:line="240" w:lineRule="auto"/>
              <w:ind w:firstLine="0"/>
              <w:rPr>
                <w:rFonts w:asciiTheme="majorHAnsi" w:hAnsiTheme="majorHAnsi" w:cstheme="majorHAnsi"/>
                <w:szCs w:val="24"/>
                <w:lang w:eastAsia="en-US"/>
              </w:rPr>
            </w:pPr>
          </w:p>
        </w:tc>
      </w:tr>
      <w:tr w:rsidR="001F49FD" w14:paraId="33789DDC" w14:textId="77777777">
        <w:tc>
          <w:tcPr>
            <w:tcW w:w="1134" w:type="dxa"/>
          </w:tcPr>
          <w:p w14:paraId="582E3C28" w14:textId="77777777" w:rsidR="001F49FD" w:rsidRDefault="001F49FD">
            <w:pPr>
              <w:widowControl w:val="0"/>
              <w:spacing w:line="240" w:lineRule="auto"/>
              <w:ind w:firstLine="0"/>
              <w:rPr>
                <w:rFonts w:asciiTheme="majorHAnsi" w:hAnsiTheme="majorHAnsi" w:cstheme="majorHAnsi"/>
                <w:szCs w:val="24"/>
              </w:rPr>
            </w:pPr>
          </w:p>
          <w:p w14:paraId="00C6AA98"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Flesch</w:t>
            </w:r>
          </w:p>
        </w:tc>
        <w:tc>
          <w:tcPr>
            <w:tcW w:w="847" w:type="dxa"/>
          </w:tcPr>
          <w:p w14:paraId="608B3773" w14:textId="77777777" w:rsidR="001F49FD" w:rsidRDefault="001F49FD">
            <w:pPr>
              <w:widowControl w:val="0"/>
              <w:spacing w:line="240" w:lineRule="auto"/>
              <w:ind w:firstLine="0"/>
              <w:rPr>
                <w:rFonts w:asciiTheme="majorHAnsi" w:hAnsiTheme="majorHAnsi" w:cstheme="majorHAnsi"/>
                <w:szCs w:val="24"/>
              </w:rPr>
            </w:pPr>
          </w:p>
          <w:p w14:paraId="57DB1364" w14:textId="77777777" w:rsidR="001F49FD" w:rsidRDefault="00611419">
            <w:pPr>
              <w:widowControl w:val="0"/>
              <w:spacing w:line="240" w:lineRule="auto"/>
              <w:ind w:firstLine="0"/>
              <w:rPr>
                <w:rFonts w:asciiTheme="majorHAnsi" w:hAnsiTheme="majorHAnsi" w:cstheme="majorHAnsi"/>
                <w:szCs w:val="24"/>
                <w:lang w:eastAsia="en-US"/>
              </w:rPr>
            </w:pPr>
            <w:r>
              <w:rPr>
                <w:rFonts w:cstheme="majorHAnsi"/>
                <w:szCs w:val="24"/>
              </w:rPr>
              <w:t>1928</w:t>
            </w:r>
          </w:p>
        </w:tc>
        <w:tc>
          <w:tcPr>
            <w:tcW w:w="7233" w:type="dxa"/>
          </w:tcPr>
          <w:p w14:paraId="0A83B5C1"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79E05918" w14:textId="77777777" w:rsidR="001F49FD" w:rsidRDefault="00611419">
            <w:pPr>
              <w:widowControl w:val="0"/>
              <w:spacing w:line="240" w:lineRule="auto"/>
              <w:ind w:firstLine="0"/>
              <w:rPr>
                <w:rFonts w:ascii="Times New Roman" w:hAnsi="Times New Roman" w:cs="Times New Roman"/>
                <w:b/>
                <w:color w:val="222222"/>
                <w:sz w:val="22"/>
                <w:szCs w:val="24"/>
                <w:shd w:val="clear" w:color="auto" w:fill="FFFFFF"/>
              </w:rPr>
            </w:pPr>
            <w:r>
              <w:rPr>
                <w:rFonts w:cs="Times New Roman"/>
                <w:color w:val="222222"/>
                <w:szCs w:val="24"/>
                <w:shd w:val="clear" w:color="auto" w:fill="FFFFFF"/>
              </w:rPr>
              <w:t>O arco não deve estar inclinado, mas sim plano (com a vareta acima da crina).</w:t>
            </w:r>
          </w:p>
          <w:p w14:paraId="2EC6DF76" w14:textId="77777777" w:rsidR="001F49FD" w:rsidRDefault="001F49FD">
            <w:pPr>
              <w:pStyle w:val="PargrafodaLista"/>
              <w:widowControl w:val="0"/>
              <w:spacing w:line="240" w:lineRule="auto"/>
              <w:ind w:left="0" w:firstLine="0"/>
              <w:rPr>
                <w:rFonts w:ascii="Times New Roman" w:hAnsi="Times New Roman" w:cs="Times New Roman"/>
                <w:color w:val="222222"/>
                <w:szCs w:val="24"/>
                <w:shd w:val="clear" w:color="auto" w:fill="FFFFFF"/>
                <w:lang w:eastAsia="en-US"/>
              </w:rPr>
            </w:pPr>
          </w:p>
          <w:p w14:paraId="1E778185" w14:textId="77777777" w:rsidR="001F49FD" w:rsidRDefault="00611419">
            <w:pPr>
              <w:pStyle w:val="PargrafodaLista"/>
              <w:widowControl w:val="0"/>
              <w:spacing w:line="240" w:lineRule="auto"/>
              <w:ind w:left="0" w:firstLine="0"/>
              <w:rPr>
                <w:rFonts w:ascii="Times New Roman" w:hAnsi="Times New Roman" w:cs="Times New Roman"/>
                <w:color w:val="222222"/>
                <w:szCs w:val="24"/>
                <w:shd w:val="clear" w:color="auto" w:fill="FFFFFF"/>
                <w:lang w:eastAsia="en-US"/>
              </w:rPr>
            </w:pPr>
            <w:r>
              <w:rPr>
                <w:rFonts w:cs="Times New Roman"/>
                <w:color w:val="222222"/>
                <w:szCs w:val="24"/>
                <w:shd w:val="clear" w:color="auto" w:fill="FFFFFF"/>
                <w:lang w:eastAsia="en-US"/>
              </w:rPr>
              <w:t>Eu permito uma forte tensão da crina, mas com a única condição de que arco esteja inclinado. Portanto, pouca tensão significa arco plano, forte tensão significa arco inclinado.</w:t>
            </w:r>
          </w:p>
          <w:p w14:paraId="69B08203" w14:textId="77777777" w:rsidR="001F49FD" w:rsidRDefault="001F49FD">
            <w:pPr>
              <w:pStyle w:val="PargrafodaLista"/>
              <w:widowControl w:val="0"/>
              <w:spacing w:line="240" w:lineRule="auto"/>
              <w:ind w:left="0" w:firstLine="0"/>
              <w:rPr>
                <w:rFonts w:ascii="Times New Roman" w:hAnsi="Times New Roman" w:cs="Times New Roman"/>
                <w:b/>
                <w:color w:val="222222"/>
                <w:szCs w:val="24"/>
                <w:shd w:val="clear" w:color="auto" w:fill="FFFFFF"/>
                <w:lang w:eastAsia="en-US"/>
              </w:rPr>
            </w:pPr>
          </w:p>
        </w:tc>
      </w:tr>
      <w:tr w:rsidR="001F49FD" w14:paraId="58791E3D" w14:textId="77777777">
        <w:tc>
          <w:tcPr>
            <w:tcW w:w="1134" w:type="dxa"/>
          </w:tcPr>
          <w:p w14:paraId="354CC28F" w14:textId="77777777" w:rsidR="001F49FD" w:rsidRDefault="001F49FD">
            <w:pPr>
              <w:widowControl w:val="0"/>
              <w:spacing w:line="240" w:lineRule="auto"/>
              <w:ind w:firstLine="0"/>
              <w:rPr>
                <w:rFonts w:asciiTheme="majorHAnsi" w:hAnsiTheme="majorHAnsi" w:cstheme="majorHAnsi"/>
                <w:szCs w:val="24"/>
              </w:rPr>
            </w:pPr>
          </w:p>
          <w:p w14:paraId="5CD0C648" w14:textId="79AB655A" w:rsidR="001F49FD" w:rsidRDefault="00611419">
            <w:pPr>
              <w:widowControl w:val="0"/>
              <w:spacing w:line="240" w:lineRule="auto"/>
              <w:ind w:firstLine="0"/>
              <w:rPr>
                <w:rFonts w:asciiTheme="majorHAnsi" w:hAnsiTheme="majorHAnsi" w:cstheme="majorHAnsi"/>
                <w:szCs w:val="24"/>
              </w:rPr>
            </w:pPr>
            <w:r>
              <w:rPr>
                <w:rFonts w:cstheme="majorHAnsi"/>
                <w:szCs w:val="24"/>
              </w:rPr>
              <w:t>Fis</w:t>
            </w:r>
            <w:r w:rsidR="00B810D0">
              <w:rPr>
                <w:rFonts w:cstheme="majorHAnsi"/>
                <w:szCs w:val="24"/>
              </w:rPr>
              <w:t>c</w:t>
            </w:r>
            <w:r>
              <w:rPr>
                <w:rFonts w:cstheme="majorHAnsi"/>
                <w:szCs w:val="24"/>
              </w:rPr>
              <w:t>her</w:t>
            </w:r>
          </w:p>
        </w:tc>
        <w:tc>
          <w:tcPr>
            <w:tcW w:w="847" w:type="dxa"/>
          </w:tcPr>
          <w:p w14:paraId="5053AC4B" w14:textId="77777777" w:rsidR="001F49FD" w:rsidRDefault="001F49FD">
            <w:pPr>
              <w:widowControl w:val="0"/>
              <w:spacing w:line="240" w:lineRule="auto"/>
              <w:ind w:firstLine="0"/>
              <w:rPr>
                <w:rFonts w:asciiTheme="majorHAnsi" w:hAnsiTheme="majorHAnsi" w:cstheme="majorHAnsi"/>
                <w:szCs w:val="24"/>
              </w:rPr>
            </w:pPr>
          </w:p>
          <w:p w14:paraId="3505A7EB" w14:textId="77777777" w:rsidR="001F49FD" w:rsidRDefault="00611419">
            <w:pPr>
              <w:widowControl w:val="0"/>
              <w:spacing w:line="240" w:lineRule="auto"/>
              <w:ind w:firstLine="0"/>
              <w:rPr>
                <w:rFonts w:asciiTheme="majorHAnsi" w:hAnsiTheme="majorHAnsi" w:cstheme="majorHAnsi"/>
                <w:szCs w:val="24"/>
              </w:rPr>
            </w:pPr>
            <w:r>
              <w:rPr>
                <w:rFonts w:cstheme="majorHAnsi"/>
                <w:szCs w:val="24"/>
              </w:rPr>
              <w:t>2004</w:t>
            </w:r>
          </w:p>
        </w:tc>
        <w:tc>
          <w:tcPr>
            <w:tcW w:w="7233" w:type="dxa"/>
          </w:tcPr>
          <w:p w14:paraId="3507A0B6"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p w14:paraId="00AD44C1" w14:textId="77777777" w:rsidR="001F49FD" w:rsidRDefault="00611419">
            <w:pPr>
              <w:widowControl w:val="0"/>
              <w:spacing w:line="240" w:lineRule="auto"/>
              <w:ind w:firstLine="0"/>
              <w:rPr>
                <w:rFonts w:asciiTheme="majorHAnsi" w:hAnsiTheme="majorHAnsi" w:cstheme="majorHAnsi"/>
                <w:color w:val="222222"/>
                <w:szCs w:val="24"/>
                <w:shd w:val="clear" w:color="auto" w:fill="FFFFFF"/>
              </w:rPr>
            </w:pPr>
            <w:r>
              <w:rPr>
                <w:rFonts w:cstheme="majorHAnsi"/>
                <w:szCs w:val="24"/>
              </w:rPr>
              <w:t xml:space="preserve"> Toda a crina do arco ou três quartos, inclinando-a quando necessário.</w:t>
            </w:r>
          </w:p>
          <w:p w14:paraId="12336367" w14:textId="77777777" w:rsidR="001F49FD" w:rsidRDefault="001F49FD">
            <w:pPr>
              <w:widowControl w:val="0"/>
              <w:spacing w:line="240" w:lineRule="auto"/>
              <w:ind w:firstLine="0"/>
              <w:rPr>
                <w:rFonts w:asciiTheme="majorHAnsi" w:hAnsiTheme="majorHAnsi" w:cstheme="majorHAnsi"/>
                <w:color w:val="222222"/>
                <w:szCs w:val="24"/>
                <w:shd w:val="clear" w:color="auto" w:fill="FFFFFF"/>
              </w:rPr>
            </w:pPr>
          </w:p>
        </w:tc>
      </w:tr>
    </w:tbl>
    <w:p w14:paraId="3989FBDD" w14:textId="77777777" w:rsidR="001F49FD" w:rsidRDefault="001F49FD">
      <w:pPr>
        <w:pStyle w:val="Recuodecorpodetexto"/>
        <w:ind w:left="283" w:firstLine="0"/>
      </w:pPr>
    </w:p>
    <w:p w14:paraId="7D902C71" w14:textId="77777777" w:rsidR="001F49FD" w:rsidRDefault="00611419" w:rsidP="00FB773D">
      <w:pPr>
        <w:pStyle w:val="Recuodecorpodetexto"/>
        <w:ind w:firstLine="426"/>
      </w:pPr>
      <w:r>
        <w:t xml:space="preserve">O grau de inclinação do arco sobre a corda – apesar de não ser um elemento técnico propriamente postural – tem uma relação estreita com o posicionamento da mão, complementando em nossa pesquisa os componentes fundamentais da Técnica de arco. </w:t>
      </w:r>
      <w:r>
        <w:rPr>
          <w:rFonts w:cs="Times New Roman"/>
        </w:rPr>
        <w:t xml:space="preserve">A inclinação da crina do arco em direção ao espelho foi unânime entre os autores que abordaram o tema naquele período – </w:t>
      </w:r>
      <w:proofErr w:type="spellStart"/>
      <w:r>
        <w:rPr>
          <w:rFonts w:cs="Times New Roman"/>
        </w:rPr>
        <w:t>Baillot</w:t>
      </w:r>
      <w:proofErr w:type="spellEnd"/>
      <w:r>
        <w:rPr>
          <w:rFonts w:cs="Times New Roman"/>
        </w:rPr>
        <w:t xml:space="preserve">, Spohr e </w:t>
      </w:r>
      <w:proofErr w:type="spellStart"/>
      <w:r>
        <w:rPr>
          <w:rFonts w:cs="Times New Roman"/>
        </w:rPr>
        <w:t>Bériot</w:t>
      </w:r>
      <w:proofErr w:type="spellEnd"/>
      <w:r>
        <w:rPr>
          <w:rFonts w:cs="Times New Roman"/>
        </w:rPr>
        <w:t xml:space="preserve"> –</w:t>
      </w:r>
      <w:r>
        <w:t xml:space="preserve"> por ser </w:t>
      </w:r>
      <w:r>
        <w:rPr>
          <w:rFonts w:cs="Times New Roman"/>
        </w:rPr>
        <w:t xml:space="preserve">uma decorrência das posições do </w:t>
      </w:r>
      <w:r>
        <w:rPr>
          <w:rFonts w:cs="Times New Roman"/>
        </w:rPr>
        <w:lastRenderedPageBreak/>
        <w:t xml:space="preserve">braço e da mão características do século XIX, ainda que o primeiro evoque a ideia de arco plano para certos golpes de arco. </w:t>
      </w:r>
    </w:p>
    <w:p w14:paraId="1F05DF1E" w14:textId="3F5C194B" w:rsidR="001F49FD" w:rsidRDefault="00611419" w:rsidP="00FB773D">
      <w:pPr>
        <w:pStyle w:val="Recuodecorpodetexto"/>
        <w:ind w:firstLine="709"/>
      </w:pPr>
      <w:r>
        <w:t xml:space="preserve">No século seguinte não encontramos normas que indiquem um parâmetro consolidado. Para </w:t>
      </w:r>
      <w:proofErr w:type="spellStart"/>
      <w:r>
        <w:t>Auer</w:t>
      </w:r>
      <w:proofErr w:type="spellEnd"/>
      <w:r w:rsidR="00B810D0">
        <w:t>,</w:t>
      </w:r>
      <w:r>
        <w:t xml:space="preserve"> há a necessidade de inclinação do arco no talão, o que induz seu preceito: “deixar cair o punho” nessa região do arco.  Por sua vez, Flesch preconiza a crina plana sem estabelecer uma conexão direta com o grau de elevação do punho, embora reconheça a possiblidade de execução com o arco inclinado. Por fim, notamos que Fischer tende a seguir o conceito de Flesch de priorizar a crina plana, e orienta a inclinação do arco apenas quando indicado, ou seja, condicionando esses dois parâmetros às demandas do texto musical.   </w:t>
      </w:r>
      <w:bookmarkStart w:id="129" w:name="_Toc522439248"/>
    </w:p>
    <w:p w14:paraId="3F4D4350" w14:textId="77777777" w:rsidR="001F49FD" w:rsidRDefault="001F49FD">
      <w:pPr>
        <w:pStyle w:val="Recuodecorpodetexto"/>
        <w:ind w:left="283" w:firstLine="1134"/>
      </w:pPr>
    </w:p>
    <w:p w14:paraId="121C1D7F" w14:textId="77777777" w:rsidR="001F49FD" w:rsidRDefault="001F49FD">
      <w:pPr>
        <w:pStyle w:val="Recuodecorpodetexto"/>
        <w:ind w:left="283" w:firstLine="1134"/>
      </w:pPr>
    </w:p>
    <w:p w14:paraId="5BA444E9" w14:textId="77777777" w:rsidR="001F49FD" w:rsidRDefault="001F49FD">
      <w:pPr>
        <w:pStyle w:val="Recuodecorpodetexto"/>
        <w:ind w:left="283" w:firstLine="1134"/>
      </w:pPr>
    </w:p>
    <w:p w14:paraId="47F48C31" w14:textId="77777777" w:rsidR="001F49FD" w:rsidRDefault="001F49FD">
      <w:pPr>
        <w:pStyle w:val="Recuodecorpodetexto"/>
        <w:ind w:left="283" w:firstLine="1134"/>
      </w:pPr>
    </w:p>
    <w:p w14:paraId="0BB2FCB6" w14:textId="77777777" w:rsidR="001F49FD" w:rsidRDefault="001F49FD">
      <w:pPr>
        <w:pStyle w:val="Recuodecorpodetexto"/>
        <w:ind w:left="283" w:firstLine="1134"/>
      </w:pPr>
    </w:p>
    <w:p w14:paraId="6C957B7A" w14:textId="77777777" w:rsidR="001F49FD" w:rsidRDefault="001F49FD">
      <w:pPr>
        <w:pStyle w:val="Recuodecorpodetexto"/>
        <w:ind w:left="283" w:firstLine="1134"/>
      </w:pPr>
    </w:p>
    <w:p w14:paraId="3DAEDB5A" w14:textId="77777777" w:rsidR="001F49FD" w:rsidRDefault="001F49FD">
      <w:pPr>
        <w:pStyle w:val="Recuodecorpodetexto"/>
        <w:ind w:left="283" w:firstLine="1134"/>
      </w:pPr>
    </w:p>
    <w:p w14:paraId="7821D20D" w14:textId="77777777" w:rsidR="001F49FD" w:rsidRDefault="001F49FD">
      <w:pPr>
        <w:pStyle w:val="Recuodecorpodetexto"/>
        <w:ind w:left="283" w:firstLine="1134"/>
      </w:pPr>
    </w:p>
    <w:p w14:paraId="44842C11" w14:textId="77777777" w:rsidR="001F49FD" w:rsidRDefault="001F49FD">
      <w:pPr>
        <w:pStyle w:val="Recuodecorpodetexto"/>
        <w:ind w:left="283" w:firstLine="1134"/>
      </w:pPr>
    </w:p>
    <w:p w14:paraId="1D9B5F05" w14:textId="77777777" w:rsidR="001F49FD" w:rsidRDefault="001F49FD">
      <w:pPr>
        <w:pStyle w:val="Recuodecorpodetexto"/>
        <w:ind w:left="283" w:firstLine="1134"/>
      </w:pPr>
    </w:p>
    <w:p w14:paraId="6C990A4C" w14:textId="77777777" w:rsidR="001F49FD" w:rsidRDefault="001F49FD">
      <w:pPr>
        <w:pStyle w:val="Recuodecorpodetexto"/>
        <w:ind w:left="283" w:firstLine="1134"/>
      </w:pPr>
    </w:p>
    <w:p w14:paraId="462CEA63" w14:textId="77777777" w:rsidR="001F49FD" w:rsidRDefault="001F49FD">
      <w:pPr>
        <w:pStyle w:val="Recuodecorpodetexto"/>
        <w:ind w:left="283" w:firstLine="1134"/>
      </w:pPr>
    </w:p>
    <w:p w14:paraId="4428BDA5" w14:textId="77777777" w:rsidR="001F49FD" w:rsidRDefault="001F49FD">
      <w:pPr>
        <w:pStyle w:val="Recuodecorpodetexto"/>
        <w:ind w:left="283" w:firstLine="1134"/>
      </w:pPr>
    </w:p>
    <w:p w14:paraId="6A002912" w14:textId="77777777" w:rsidR="001F49FD" w:rsidRDefault="001F49FD">
      <w:pPr>
        <w:pStyle w:val="Recuodecorpodetexto"/>
        <w:ind w:left="283" w:firstLine="1134"/>
      </w:pPr>
    </w:p>
    <w:p w14:paraId="23349858" w14:textId="77777777" w:rsidR="001F49FD" w:rsidRDefault="001F49FD">
      <w:pPr>
        <w:pStyle w:val="Recuodecorpodetexto"/>
        <w:ind w:left="283" w:firstLine="1134"/>
      </w:pPr>
    </w:p>
    <w:p w14:paraId="33C524A9" w14:textId="77777777" w:rsidR="001F49FD" w:rsidRDefault="001F49FD">
      <w:pPr>
        <w:pStyle w:val="Recuodecorpodetexto"/>
        <w:ind w:left="283" w:firstLine="1134"/>
      </w:pPr>
    </w:p>
    <w:p w14:paraId="2D1C462E" w14:textId="77777777" w:rsidR="001F49FD" w:rsidRDefault="001F49FD">
      <w:pPr>
        <w:pStyle w:val="Recuodecorpodetexto"/>
        <w:ind w:left="283" w:firstLine="1134"/>
      </w:pPr>
    </w:p>
    <w:p w14:paraId="30BD23EF" w14:textId="77777777" w:rsidR="001F49FD" w:rsidRDefault="001F49FD">
      <w:pPr>
        <w:pStyle w:val="Recuodecorpodetexto"/>
        <w:ind w:left="283" w:firstLine="1134"/>
      </w:pPr>
    </w:p>
    <w:p w14:paraId="63185DC4" w14:textId="77777777" w:rsidR="001F49FD" w:rsidRDefault="001F49FD">
      <w:pPr>
        <w:pStyle w:val="Recuodecorpodetexto"/>
        <w:ind w:left="283" w:firstLine="1134"/>
      </w:pPr>
    </w:p>
    <w:p w14:paraId="38D20F28" w14:textId="77777777" w:rsidR="001F49FD" w:rsidRDefault="001F49FD">
      <w:pPr>
        <w:pStyle w:val="Recuodecorpodetexto"/>
        <w:ind w:left="283" w:firstLine="1134"/>
      </w:pPr>
    </w:p>
    <w:p w14:paraId="6D9C3B09" w14:textId="67549825" w:rsidR="001F49FD" w:rsidRDefault="00D61B80" w:rsidP="000A6E65">
      <w:pPr>
        <w:pStyle w:val="Ttulo1"/>
      </w:pPr>
      <w:bookmarkStart w:id="130" w:name="_Toc14331050"/>
      <w:bookmarkStart w:id="131" w:name="_Toc219359051"/>
      <w:r>
        <w:lastRenderedPageBreak/>
        <w:t>4</w:t>
      </w:r>
      <w:r w:rsidR="00611419">
        <w:t xml:space="preserve"> </w:t>
      </w:r>
      <w:r w:rsidR="00611419">
        <w:tab/>
        <w:t>ANÁLISE DOS RESULTADOS DAS ENTREVISTAS</w:t>
      </w:r>
      <w:bookmarkEnd w:id="130"/>
      <w:r w:rsidR="00611419">
        <w:rPr>
          <w:rStyle w:val="Refdenotaderodap"/>
          <w:b w:val="0"/>
        </w:rPr>
        <w:footnoteReference w:id="49"/>
      </w:r>
      <w:bookmarkEnd w:id="131"/>
    </w:p>
    <w:p w14:paraId="1D91A961" w14:textId="73C0041B" w:rsidR="001F49FD" w:rsidRDefault="00611419" w:rsidP="00BF6888">
      <w:pPr>
        <w:tabs>
          <w:tab w:val="left" w:pos="709"/>
        </w:tabs>
        <w:ind w:firstLine="709"/>
        <w:rPr>
          <w:rFonts w:asciiTheme="majorHAnsi" w:eastAsiaTheme="majorEastAsia" w:hAnsiTheme="majorHAnsi" w:cstheme="majorBidi"/>
          <w:szCs w:val="24"/>
          <w:lang w:eastAsia="en-US"/>
        </w:rPr>
      </w:pPr>
      <w:r>
        <w:rPr>
          <w:rFonts w:eastAsiaTheme="majorEastAsia" w:cstheme="majorBidi"/>
          <w:szCs w:val="24"/>
          <w:lang w:eastAsia="en-US"/>
        </w:rPr>
        <w:t>Após a verificação das características e transformações dos elementos técnicos fundamentais ao longo dos dois últimos séculos</w:t>
      </w:r>
      <w:r w:rsidR="0098281A">
        <w:rPr>
          <w:rFonts w:eastAsiaTheme="majorEastAsia" w:cstheme="majorBidi"/>
          <w:szCs w:val="24"/>
          <w:lang w:eastAsia="en-US"/>
        </w:rPr>
        <w:t>,</w:t>
      </w:r>
      <w:r>
        <w:rPr>
          <w:rFonts w:eastAsiaTheme="majorEastAsia" w:cstheme="majorBidi"/>
          <w:szCs w:val="24"/>
          <w:lang w:eastAsia="en-US"/>
        </w:rPr>
        <w:t xml:space="preserve"> ingressamos na etapa principal do trabalho: investigar os preceitos dos violinistas contemporâneos. </w:t>
      </w:r>
    </w:p>
    <w:p w14:paraId="781BB14C" w14:textId="18CC241E" w:rsidR="001F49FD" w:rsidRDefault="00611419" w:rsidP="00BF6888">
      <w:pPr>
        <w:tabs>
          <w:tab w:val="left" w:pos="709"/>
        </w:tabs>
        <w:ind w:firstLine="709"/>
        <w:rPr>
          <w:rFonts w:asciiTheme="majorHAnsi" w:eastAsiaTheme="majorEastAsia" w:hAnsiTheme="majorHAnsi" w:cstheme="majorBidi"/>
          <w:szCs w:val="24"/>
          <w:lang w:eastAsia="en-US"/>
        </w:rPr>
      </w:pPr>
      <w:r>
        <w:rPr>
          <w:rFonts w:eastAsiaTheme="majorEastAsia" w:cstheme="majorBidi"/>
          <w:szCs w:val="24"/>
          <w:lang w:eastAsia="en-US"/>
        </w:rPr>
        <w:t xml:space="preserve">Como mencionado na </w:t>
      </w:r>
      <w:r w:rsidR="0098281A">
        <w:rPr>
          <w:rFonts w:eastAsiaTheme="majorEastAsia" w:cstheme="majorBidi"/>
          <w:szCs w:val="24"/>
          <w:lang w:eastAsia="en-US"/>
        </w:rPr>
        <w:t>i</w:t>
      </w:r>
      <w:r>
        <w:rPr>
          <w:rFonts w:eastAsiaTheme="majorEastAsia" w:cstheme="majorBidi"/>
          <w:szCs w:val="24"/>
          <w:lang w:eastAsia="en-US"/>
        </w:rPr>
        <w:t xml:space="preserve">ntrodução, o método adotado para essa pesquisa foi a realização de uma entrevista estruturada com questões fechadas – formuladas e ordenadas previamente. Assim, as perguntas foram fundamentadas no conteúdo resultante da análise comparativa do capítulo precedente, constituindo o material principal. Além disso, acrescentamos questões que julgamos relevantes atualmente, baseados na observação e na experiência. </w:t>
      </w:r>
    </w:p>
    <w:p w14:paraId="596DA040" w14:textId="6A9257AE" w:rsidR="001F49FD" w:rsidRDefault="00611419" w:rsidP="00BF6888">
      <w:pPr>
        <w:tabs>
          <w:tab w:val="left" w:pos="709"/>
        </w:tabs>
        <w:ind w:firstLine="709"/>
        <w:rPr>
          <w:rFonts w:eastAsiaTheme="majorEastAsia" w:cstheme="majorBidi"/>
          <w:szCs w:val="24"/>
          <w:lang w:eastAsia="en-US"/>
        </w:rPr>
      </w:pPr>
      <w:r>
        <w:rPr>
          <w:rFonts w:eastAsiaTheme="majorEastAsia" w:cstheme="majorBidi"/>
          <w:szCs w:val="24"/>
          <w:lang w:eastAsia="en-US"/>
        </w:rPr>
        <w:t xml:space="preserve">A amostragem dos cinquenta entrevistados foi livre quanto à nacionalidade, sexo, formação, área de atuação profissional ou notoriedade. No entanto, estabelecemos uma perspectiva geracional que é valiosa no âmbito do trabalho, pois contribui na verificação dos elos do pensamento atual com etapas pregressas e indica os próximos caminhos da técnica violinística. Assim, o único critério é a proporção numérica das diferentes faixas etárias: </w:t>
      </w:r>
    </w:p>
    <w:p w14:paraId="67FCF7EC" w14:textId="77777777" w:rsidR="00BF6888" w:rsidRDefault="00BF6888" w:rsidP="00BF6888">
      <w:pPr>
        <w:tabs>
          <w:tab w:val="left" w:pos="709"/>
        </w:tabs>
        <w:ind w:firstLine="709"/>
        <w:rPr>
          <w:rFonts w:asciiTheme="majorHAnsi" w:eastAsiaTheme="majorEastAsia" w:hAnsiTheme="majorHAnsi" w:cstheme="majorBidi"/>
          <w:szCs w:val="24"/>
          <w:lang w:eastAsia="en-US"/>
        </w:rPr>
      </w:pPr>
    </w:p>
    <w:p w14:paraId="5DA9A9F7" w14:textId="77777777" w:rsidR="001F49FD" w:rsidRDefault="00611419">
      <w:pPr>
        <w:rPr>
          <w:rFonts w:asciiTheme="majorHAnsi" w:eastAsiaTheme="majorEastAsia" w:hAnsiTheme="majorHAnsi" w:cstheme="majorBidi"/>
          <w:szCs w:val="24"/>
          <w:lang w:eastAsia="en-US"/>
        </w:rPr>
      </w:pPr>
      <w:r>
        <w:rPr>
          <w:rFonts w:eastAsiaTheme="majorEastAsia" w:cstheme="majorBidi"/>
          <w:szCs w:val="24"/>
          <w:lang w:eastAsia="en-US"/>
        </w:rPr>
        <w:t xml:space="preserve">. 20 violinistas com idade entre 20 e 40 anos. </w:t>
      </w:r>
    </w:p>
    <w:p w14:paraId="50EA4617" w14:textId="77777777" w:rsidR="001F49FD" w:rsidRDefault="00611419">
      <w:pPr>
        <w:rPr>
          <w:rFonts w:asciiTheme="majorHAnsi" w:eastAsiaTheme="majorEastAsia" w:hAnsiTheme="majorHAnsi" w:cstheme="majorBidi"/>
          <w:szCs w:val="24"/>
          <w:lang w:eastAsia="en-US"/>
        </w:rPr>
      </w:pPr>
      <w:r>
        <w:rPr>
          <w:rFonts w:eastAsiaTheme="majorEastAsia" w:cstheme="majorBidi"/>
          <w:szCs w:val="24"/>
          <w:lang w:eastAsia="en-US"/>
        </w:rPr>
        <w:t xml:space="preserve">. 20 violinistas com idade entre 40 e 60 anos. </w:t>
      </w:r>
    </w:p>
    <w:p w14:paraId="468FC6A2" w14:textId="77777777" w:rsidR="001F49FD" w:rsidRDefault="00611419">
      <w:pPr>
        <w:tabs>
          <w:tab w:val="left" w:pos="2268"/>
        </w:tabs>
        <w:rPr>
          <w:rFonts w:asciiTheme="majorHAnsi" w:eastAsiaTheme="majorEastAsia" w:hAnsiTheme="majorHAnsi" w:cstheme="majorBidi"/>
          <w:szCs w:val="24"/>
          <w:lang w:eastAsia="en-US"/>
        </w:rPr>
      </w:pPr>
      <w:r>
        <w:rPr>
          <w:rFonts w:eastAsiaTheme="majorEastAsia" w:cstheme="majorBidi"/>
          <w:szCs w:val="24"/>
          <w:lang w:eastAsia="en-US"/>
        </w:rPr>
        <w:t xml:space="preserve">. 10 violinistas com idade acima de 60 anos. </w:t>
      </w:r>
    </w:p>
    <w:p w14:paraId="14C40C5F" w14:textId="77777777" w:rsidR="001F49FD" w:rsidRDefault="001F49FD">
      <w:pPr>
        <w:tabs>
          <w:tab w:val="left" w:pos="2268"/>
        </w:tabs>
        <w:rPr>
          <w:rFonts w:asciiTheme="majorHAnsi" w:eastAsiaTheme="majorEastAsia" w:hAnsiTheme="majorHAnsi" w:cstheme="majorBidi"/>
          <w:szCs w:val="24"/>
          <w:lang w:eastAsia="en-US"/>
        </w:rPr>
      </w:pPr>
    </w:p>
    <w:p w14:paraId="33A34C94" w14:textId="6EBFF93D" w:rsidR="001F49FD" w:rsidRPr="00BF6888" w:rsidRDefault="00283616" w:rsidP="00BF6888">
      <w:pPr>
        <w:ind w:firstLine="709"/>
        <w:rPr>
          <w:rFonts w:asciiTheme="majorHAnsi" w:eastAsiaTheme="majorEastAsia" w:hAnsiTheme="majorHAnsi" w:cstheme="majorBidi"/>
          <w:szCs w:val="24"/>
          <w:lang w:eastAsia="en-US"/>
        </w:rPr>
      </w:pPr>
      <w:r w:rsidRPr="00283616">
        <w:rPr>
          <w:rFonts w:eastAsiaTheme="majorEastAsia" w:cstheme="majorBidi"/>
          <w:szCs w:val="24"/>
          <w:lang w:eastAsia="en-US"/>
        </w:rPr>
        <w:t xml:space="preserve">Nosso modelo de entrevista se assemelha ao tipo de questionário aplicado em pesquisas de campo da sociologia e tem em </w:t>
      </w:r>
      <w:proofErr w:type="spellStart"/>
      <w:r w:rsidRPr="00283616">
        <w:rPr>
          <w:rFonts w:eastAsiaTheme="majorEastAsia" w:cstheme="majorBidi"/>
          <w:szCs w:val="24"/>
          <w:lang w:eastAsia="en-US"/>
        </w:rPr>
        <w:t>Combessie</w:t>
      </w:r>
      <w:proofErr w:type="spellEnd"/>
      <w:r w:rsidRPr="00283616">
        <w:rPr>
          <w:rFonts w:eastAsiaTheme="majorEastAsia" w:cstheme="majorBidi"/>
          <w:szCs w:val="24"/>
          <w:lang w:eastAsia="en-US"/>
        </w:rPr>
        <w:t xml:space="preserve"> (2007) o seu principal teórico.</w:t>
      </w:r>
    </w:p>
    <w:p w14:paraId="1ABDAA47" w14:textId="770F0F4F" w:rsidR="001F49FD" w:rsidRDefault="00611419" w:rsidP="00BF6888">
      <w:pPr>
        <w:ind w:firstLine="709"/>
        <w:rPr>
          <w:rFonts w:asciiTheme="majorHAnsi" w:eastAsiaTheme="majorEastAsia" w:hAnsiTheme="majorHAnsi" w:cstheme="majorBidi"/>
          <w:szCs w:val="24"/>
          <w:lang w:eastAsia="en-US"/>
        </w:rPr>
      </w:pPr>
      <w:r>
        <w:rPr>
          <w:rFonts w:eastAsiaTheme="majorEastAsia" w:cstheme="majorBidi"/>
          <w:szCs w:val="24"/>
          <w:lang w:eastAsia="en-US"/>
        </w:rPr>
        <w:t xml:space="preserve">Todas as entrevistas foram realizadas de forma presencial, </w:t>
      </w:r>
      <w:r w:rsidR="008C0FC7">
        <w:rPr>
          <w:rFonts w:eastAsiaTheme="majorEastAsia" w:cstheme="majorBidi"/>
          <w:szCs w:val="24"/>
          <w:lang w:eastAsia="en-US"/>
        </w:rPr>
        <w:t>em que</w:t>
      </w:r>
      <w:r>
        <w:rPr>
          <w:rFonts w:eastAsiaTheme="majorEastAsia" w:cstheme="majorBidi"/>
          <w:szCs w:val="24"/>
          <w:lang w:eastAsia="en-US"/>
        </w:rPr>
        <w:t xml:space="preserve"> as questões e as opções de resposta foram lidas conjuntamente – entrevistador e entrevistado – no próprio questionário e na mesma ordem para todos, assegurando as eventuais explicações sobre o elemento técnico abordado e o esclarecimento das respostas.</w:t>
      </w:r>
    </w:p>
    <w:p w14:paraId="29565DAC" w14:textId="71546A85" w:rsidR="000A6E65" w:rsidRPr="000A6E65" w:rsidRDefault="00BF6888" w:rsidP="000A6E65">
      <w:pPr>
        <w:pStyle w:val="Ttulo3"/>
      </w:pPr>
      <w:bookmarkStart w:id="132" w:name="_Toc219359052"/>
      <w:r>
        <w:lastRenderedPageBreak/>
        <w:t>4</w:t>
      </w:r>
      <w:r w:rsidR="00611419">
        <w:t>.1    Postura corporal e sustentação do violino</w:t>
      </w:r>
      <w:bookmarkEnd w:id="132"/>
    </w:p>
    <w:p w14:paraId="15197FAA" w14:textId="7585CEAB" w:rsidR="001F49FD" w:rsidRDefault="00611419" w:rsidP="00BF6888">
      <w:pPr>
        <w:keepNext/>
        <w:keepLines/>
        <w:ind w:firstLine="709"/>
        <w:jc w:val="left"/>
        <w:rPr>
          <w:rFonts w:asciiTheme="majorHAnsi" w:eastAsia="Times New Roman" w:hAnsiTheme="majorHAnsi" w:cstheme="majorHAnsi"/>
          <w:b/>
          <w:bCs/>
          <w:szCs w:val="24"/>
          <w:lang w:eastAsia="en-US"/>
        </w:rPr>
      </w:pPr>
      <w:r>
        <w:rPr>
          <w:rFonts w:eastAsia="Times New Roman" w:cstheme="majorHAnsi"/>
          <w:b/>
          <w:bCs/>
          <w:szCs w:val="24"/>
          <w:lang w:eastAsia="en-US"/>
        </w:rPr>
        <w:t>Questão 1- Equilíbrio do corpo</w:t>
      </w:r>
      <w:r>
        <w:rPr>
          <w:rStyle w:val="Refdenotaderodap"/>
          <w:rFonts w:eastAsia="Times New Roman" w:cstheme="majorHAnsi"/>
          <w:bCs/>
          <w:szCs w:val="24"/>
          <w:lang w:eastAsia="en-US"/>
        </w:rPr>
        <w:footnoteReference w:id="50"/>
      </w:r>
    </w:p>
    <w:p w14:paraId="0E436AB0"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 equilíbrio do corpo sobre as duas pernas, constatado com ressalvas por </w:t>
      </w:r>
      <w:proofErr w:type="spellStart"/>
      <w:r>
        <w:rPr>
          <w:rFonts w:eastAsia="Calibri" w:cstheme="majorHAnsi"/>
          <w:szCs w:val="24"/>
          <w:lang w:eastAsia="en-US"/>
        </w:rPr>
        <w:t>Auer</w:t>
      </w:r>
      <w:proofErr w:type="spellEnd"/>
      <w:r>
        <w:rPr>
          <w:rFonts w:eastAsia="Calibri" w:cstheme="majorHAnsi"/>
          <w:szCs w:val="24"/>
          <w:lang w:eastAsia="en-US"/>
        </w:rPr>
        <w:t xml:space="preserve">, preconizado por Flesch antes da primeira metade do século XX e mais tarde ratificado por Fischer, é amplamente adotado pelos violinistas entrevistados. As principais razões para esse parâmetro predominante de postura corporal são a preservação física – não forçar apenas um lado da coluna vertebral – e o equilíbrio para maior controle dos demais elementos técnicos, sejam eles de sustentação do instrumento, de funcionamento da mão esquerda ou de manuseio do arco.   </w:t>
      </w:r>
    </w:p>
    <w:p w14:paraId="4B60A8D2"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Os números da pesquisa indicam que esse princípio postural tende a se consolidar ainda mais, uma vez que, dentre os violinistas que não o adotam – aqueles cujo peso do corpo recai sobre a perna esquerda (opção </w:t>
      </w:r>
      <w:r>
        <w:rPr>
          <w:rFonts w:eastAsia="Calibri" w:cstheme="majorHAnsi"/>
          <w:i/>
          <w:szCs w:val="24"/>
          <w:lang w:eastAsia="en-US"/>
        </w:rPr>
        <w:t>b</w:t>
      </w:r>
      <w:r>
        <w:rPr>
          <w:rFonts w:eastAsia="Calibri" w:cstheme="majorHAnsi"/>
          <w:szCs w:val="24"/>
          <w:lang w:eastAsia="en-US"/>
        </w:rPr>
        <w:t xml:space="preserve">) ou cuja resposta </w:t>
      </w:r>
      <w:proofErr w:type="gramStart"/>
      <w:r>
        <w:rPr>
          <w:rFonts w:eastAsia="Calibri" w:cstheme="majorHAnsi"/>
          <w:szCs w:val="24"/>
          <w:lang w:eastAsia="en-US"/>
        </w:rPr>
        <w:t>foi</w:t>
      </w:r>
      <w:r>
        <w:rPr>
          <w:rFonts w:eastAsia="Calibri" w:cstheme="majorHAnsi"/>
          <w:i/>
          <w:szCs w:val="24"/>
          <w:lang w:eastAsia="en-US"/>
        </w:rPr>
        <w:t xml:space="preserve"> Variável</w:t>
      </w:r>
      <w:proofErr w:type="gramEnd"/>
      <w:r>
        <w:rPr>
          <w:rFonts w:eastAsia="Calibri" w:cstheme="majorHAnsi"/>
          <w:szCs w:val="24"/>
          <w:lang w:eastAsia="en-US"/>
        </w:rPr>
        <w:t xml:space="preserve"> –, </w:t>
      </w:r>
      <w:proofErr w:type="gramStart"/>
      <w:r>
        <w:rPr>
          <w:rFonts w:eastAsia="Calibri" w:cstheme="majorHAnsi"/>
          <w:szCs w:val="24"/>
          <w:lang w:eastAsia="en-US"/>
        </w:rPr>
        <w:t>dois terços se situa</w:t>
      </w:r>
      <w:proofErr w:type="gramEnd"/>
      <w:r>
        <w:rPr>
          <w:rFonts w:eastAsia="Calibri" w:cstheme="majorHAnsi"/>
          <w:szCs w:val="24"/>
          <w:lang w:eastAsia="en-US"/>
        </w:rPr>
        <w:t xml:space="preserve"> na faixa etária acima de 60 anos. Cabe ressaltar ainda que todos os violinistas entre 40 e 60 anos de idade preconizam o equilíbrio sobre as duas pernas (opção </w:t>
      </w:r>
      <w:r>
        <w:rPr>
          <w:rFonts w:eastAsia="Calibri" w:cstheme="majorHAnsi"/>
          <w:i/>
          <w:szCs w:val="24"/>
          <w:lang w:eastAsia="en-US"/>
        </w:rPr>
        <w:t>a</w:t>
      </w:r>
      <w:r>
        <w:rPr>
          <w:rFonts w:eastAsia="Calibri" w:cstheme="majorHAnsi"/>
          <w:szCs w:val="24"/>
          <w:lang w:eastAsia="en-US"/>
        </w:rPr>
        <w:t>).</w:t>
      </w:r>
    </w:p>
    <w:p w14:paraId="563953AF"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Por fim, três violinistas (</w:t>
      </w:r>
      <w:r>
        <w:rPr>
          <w:rFonts w:eastAsia="Calibri" w:cstheme="majorHAnsi"/>
          <w:color w:val="0070C0"/>
          <w:szCs w:val="24"/>
          <w:lang w:eastAsia="en-US"/>
        </w:rPr>
        <w:t xml:space="preserve">6, </w:t>
      </w:r>
      <w:r>
        <w:rPr>
          <w:rFonts w:eastAsia="Calibri" w:cstheme="majorHAnsi"/>
          <w:color w:val="00B050"/>
          <w:szCs w:val="24"/>
          <w:lang w:eastAsia="en-US"/>
        </w:rPr>
        <w:t>22, 32</w:t>
      </w:r>
      <w:r>
        <w:rPr>
          <w:rFonts w:eastAsia="Calibri" w:cstheme="majorHAnsi"/>
          <w:szCs w:val="24"/>
          <w:lang w:eastAsia="en-US"/>
        </w:rPr>
        <w:t xml:space="preserve">) complementaram a opção </w:t>
      </w:r>
      <w:r>
        <w:rPr>
          <w:rFonts w:eastAsia="Calibri" w:cstheme="majorHAnsi"/>
          <w:i/>
          <w:szCs w:val="24"/>
          <w:lang w:eastAsia="en-US"/>
        </w:rPr>
        <w:t xml:space="preserve">a </w:t>
      </w:r>
      <w:r>
        <w:rPr>
          <w:rFonts w:eastAsia="Calibri" w:cstheme="majorHAnsi"/>
          <w:szCs w:val="24"/>
          <w:lang w:eastAsia="en-US"/>
        </w:rPr>
        <w:t>com uma ideia ainda não encontrada nos registros estudados dos períodos precedentes: equilibram-se sobre as duas pernas, mas consideram que há um peso maior do lado esquerdo. Nesse pequeno grupo, dois (</w:t>
      </w:r>
      <w:r>
        <w:rPr>
          <w:rFonts w:eastAsia="Calibri" w:cstheme="majorHAnsi"/>
          <w:color w:val="00B050"/>
          <w:szCs w:val="24"/>
          <w:lang w:eastAsia="en-US"/>
        </w:rPr>
        <w:t>22, 32</w:t>
      </w:r>
      <w:r>
        <w:rPr>
          <w:rFonts w:eastAsia="Calibri" w:cstheme="majorHAnsi"/>
          <w:szCs w:val="24"/>
          <w:lang w:eastAsia="en-US"/>
        </w:rPr>
        <w:t xml:space="preserve">) relataram uma identificação genealógica com </w:t>
      </w:r>
      <w:proofErr w:type="spellStart"/>
      <w:r>
        <w:rPr>
          <w:rFonts w:eastAsia="Calibri" w:cstheme="majorHAnsi"/>
          <w:szCs w:val="24"/>
          <w:lang w:eastAsia="en-US"/>
        </w:rPr>
        <w:t>Galamian</w:t>
      </w:r>
      <w:proofErr w:type="spellEnd"/>
      <w:r>
        <w:rPr>
          <w:rFonts w:eastAsia="Calibri" w:cstheme="majorHAnsi"/>
          <w:szCs w:val="24"/>
          <w:lang w:eastAsia="en-US"/>
        </w:rPr>
        <w:t xml:space="preserve">. </w:t>
      </w:r>
    </w:p>
    <w:p w14:paraId="704C40C8" w14:textId="77777777" w:rsidR="001F49FD" w:rsidRDefault="001F49FD" w:rsidP="00BF6888">
      <w:pPr>
        <w:tabs>
          <w:tab w:val="left" w:pos="1134"/>
          <w:tab w:val="left" w:pos="1276"/>
          <w:tab w:val="left" w:pos="1860"/>
        </w:tabs>
        <w:ind w:firstLine="709"/>
        <w:rPr>
          <w:rFonts w:asciiTheme="majorHAnsi" w:eastAsia="Calibri" w:hAnsiTheme="majorHAnsi" w:cstheme="majorHAnsi"/>
          <w:szCs w:val="24"/>
          <w:lang w:eastAsia="en-US"/>
        </w:rPr>
      </w:pPr>
    </w:p>
    <w:p w14:paraId="385E1B30" w14:textId="5C85C5E1" w:rsidR="001F49FD" w:rsidRDefault="00611419" w:rsidP="00BF6888">
      <w:pPr>
        <w:tabs>
          <w:tab w:val="left" w:pos="1134"/>
          <w:tab w:val="left" w:pos="1276"/>
          <w:tab w:val="left" w:pos="1860"/>
        </w:tabs>
        <w:ind w:firstLine="709"/>
        <w:rPr>
          <w:rFonts w:asciiTheme="majorHAnsi" w:eastAsia="Calibri" w:hAnsiTheme="majorHAnsi" w:cstheme="majorHAnsi"/>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2 - Suporte </w:t>
      </w:r>
    </w:p>
    <w:p w14:paraId="0D45D4E3" w14:textId="77777777"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 xml:space="preserve">O suporte do violino entre o apoio da cabeça e a mão esquerda é um dos temas que mais divide os violinistas atuais, e trata-se de um elemento técnico postural diretamente ligado à concepção da técnica de mão esquerda, a ser analisada posteriormente. </w:t>
      </w:r>
    </w:p>
    <w:p w14:paraId="4B04B0C7" w14:textId="77777777"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 xml:space="preserve">A opção </w:t>
      </w:r>
      <w:r>
        <w:rPr>
          <w:rFonts w:eastAsia="Calibri" w:cstheme="majorHAnsi"/>
          <w:i/>
          <w:szCs w:val="24"/>
          <w:lang w:eastAsia="en-US"/>
        </w:rPr>
        <w:t>c</w:t>
      </w:r>
      <w:r>
        <w:rPr>
          <w:rFonts w:eastAsia="Calibri" w:cstheme="majorHAnsi"/>
          <w:szCs w:val="24"/>
          <w:lang w:eastAsia="en-US"/>
        </w:rPr>
        <w:t xml:space="preserve"> (com sustentação equilibrada entre o apoio da cabeça e da mão esquerda) prevalece sobre as demais e, uma vez que o equilíbrio exato entre esses dois pontos de suporte não pode ser perfeitamente mensurável, observamos que há duas razões para tal escolha:</w:t>
      </w:r>
    </w:p>
    <w:p w14:paraId="0DFE917F" w14:textId="74355C4B"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 xml:space="preserve">- Que o violinista concebe uma alternância de suporte em função das diferentes passagens musicais – e, nesse sentido, os violinistas que responderam </w:t>
      </w:r>
      <w:r w:rsidR="008C0FC7">
        <w:rPr>
          <w:rFonts w:eastAsia="Calibri" w:cstheme="majorHAnsi"/>
          <w:i/>
          <w:szCs w:val="24"/>
          <w:lang w:eastAsia="en-US"/>
        </w:rPr>
        <w:t>v</w:t>
      </w:r>
      <w:r>
        <w:rPr>
          <w:rFonts w:eastAsia="Calibri" w:cstheme="majorHAnsi"/>
          <w:i/>
          <w:szCs w:val="24"/>
          <w:lang w:eastAsia="en-US"/>
        </w:rPr>
        <w:t>ariável</w:t>
      </w:r>
      <w:r>
        <w:rPr>
          <w:rFonts w:eastAsia="Calibri" w:cstheme="majorHAnsi"/>
          <w:szCs w:val="24"/>
          <w:lang w:eastAsia="en-US"/>
        </w:rPr>
        <w:t xml:space="preserve"> também poderiam ser incluídos nesse grupo.</w:t>
      </w:r>
    </w:p>
    <w:p w14:paraId="7A206862" w14:textId="3E22967E" w:rsidR="001F49FD" w:rsidRDefault="00611419" w:rsidP="00BF6888">
      <w:pPr>
        <w:tabs>
          <w:tab w:val="left" w:pos="1134"/>
          <w:tab w:val="left" w:pos="1276"/>
        </w:tabs>
        <w:ind w:firstLine="709"/>
        <w:contextualSpacing/>
        <w:rPr>
          <w:rFonts w:asciiTheme="majorHAnsi" w:eastAsia="Calibri" w:hAnsiTheme="majorHAnsi" w:cstheme="majorHAnsi"/>
          <w:szCs w:val="24"/>
          <w:lang w:eastAsia="en-US"/>
        </w:rPr>
      </w:pPr>
      <w:r>
        <w:rPr>
          <w:rFonts w:eastAsia="Calibri" w:cstheme="majorHAnsi"/>
          <w:szCs w:val="24"/>
          <w:lang w:eastAsia="en-US"/>
        </w:rPr>
        <w:t>- Que a expressão</w:t>
      </w:r>
      <w:r w:rsidR="008C0FC7">
        <w:rPr>
          <w:rFonts w:eastAsia="Calibri" w:cstheme="majorHAnsi"/>
          <w:szCs w:val="24"/>
          <w:lang w:eastAsia="en-US"/>
        </w:rPr>
        <w:t>:</w:t>
      </w:r>
      <w:r>
        <w:rPr>
          <w:rFonts w:eastAsia="Calibri" w:cstheme="majorHAnsi"/>
          <w:szCs w:val="24"/>
          <w:lang w:eastAsia="en-US"/>
        </w:rPr>
        <w:t xml:space="preserve"> </w:t>
      </w:r>
      <w:r>
        <w:rPr>
          <w:rFonts w:eastAsia="Calibri" w:cstheme="majorHAnsi"/>
          <w:i/>
          <w:szCs w:val="24"/>
          <w:lang w:eastAsia="en-US"/>
        </w:rPr>
        <w:t xml:space="preserve">suporte equilibrado </w:t>
      </w:r>
      <w:r>
        <w:rPr>
          <w:rFonts w:eastAsia="Calibri" w:cstheme="majorHAnsi"/>
          <w:szCs w:val="24"/>
          <w:lang w:eastAsia="en-US"/>
        </w:rPr>
        <w:t xml:space="preserve">é mais atraente diante das demais opções, no caso de menos reflexão ou clareza sobre esse parâmetro técnico, o que se comprova pelo fato </w:t>
      </w:r>
      <w:r>
        <w:rPr>
          <w:rFonts w:eastAsia="Calibri" w:cstheme="majorHAnsi"/>
          <w:szCs w:val="24"/>
          <w:lang w:eastAsia="en-US"/>
        </w:rPr>
        <w:lastRenderedPageBreak/>
        <w:t xml:space="preserve">de que os violinistas que optaram por </w:t>
      </w:r>
      <w:r>
        <w:rPr>
          <w:rFonts w:eastAsia="Calibri" w:cstheme="majorHAnsi"/>
          <w:i/>
          <w:szCs w:val="24"/>
          <w:lang w:eastAsia="en-US"/>
        </w:rPr>
        <w:t xml:space="preserve">a </w:t>
      </w:r>
      <w:r>
        <w:rPr>
          <w:rFonts w:eastAsia="Calibri" w:cstheme="majorHAnsi"/>
          <w:szCs w:val="24"/>
          <w:lang w:eastAsia="en-US"/>
        </w:rPr>
        <w:t xml:space="preserve">ou </w:t>
      </w:r>
      <w:r>
        <w:rPr>
          <w:rFonts w:eastAsia="Calibri" w:cstheme="majorHAnsi"/>
          <w:i/>
          <w:szCs w:val="24"/>
          <w:lang w:eastAsia="en-US"/>
        </w:rPr>
        <w:t xml:space="preserve">b </w:t>
      </w:r>
      <w:r>
        <w:rPr>
          <w:rFonts w:eastAsia="Calibri" w:cstheme="majorHAnsi"/>
          <w:szCs w:val="24"/>
          <w:lang w:eastAsia="en-US"/>
        </w:rPr>
        <w:t xml:space="preserve">(que indicam apoios mais definidos) demonstraram grande convicção em suas respostas.  </w:t>
      </w:r>
    </w:p>
    <w:p w14:paraId="48518118" w14:textId="4FF43351" w:rsidR="001F49FD" w:rsidRDefault="00611419" w:rsidP="00BF6888">
      <w:pPr>
        <w:tabs>
          <w:tab w:val="left" w:pos="1134"/>
          <w:tab w:val="left" w:pos="1276"/>
        </w:tabs>
        <w:ind w:firstLine="709"/>
        <w:rPr>
          <w:rFonts w:asciiTheme="majorHAnsi" w:eastAsia="Calibri" w:hAnsiTheme="majorHAnsi" w:cstheme="majorHAnsi"/>
          <w:b/>
          <w:szCs w:val="24"/>
          <w:lang w:eastAsia="en-US"/>
        </w:rPr>
      </w:pPr>
      <w:r>
        <w:rPr>
          <w:rFonts w:eastAsia="Calibri" w:cstheme="majorHAnsi"/>
          <w:szCs w:val="24"/>
          <w:lang w:eastAsia="en-US"/>
        </w:rPr>
        <w:t xml:space="preserve">O suporte prioritariamente através do apoio da cabeça, predominante até o início do século XX, mantém-se como uma das principais formas de sustentação, apresentando um número quase equivalente de adeptos da sustentação equilibrada. E, tal como explicitado por </w:t>
      </w:r>
      <w:proofErr w:type="spellStart"/>
      <w:r>
        <w:rPr>
          <w:rFonts w:eastAsia="Calibri" w:cstheme="majorHAnsi"/>
          <w:szCs w:val="24"/>
          <w:lang w:eastAsia="en-US"/>
        </w:rPr>
        <w:t>Bériot</w:t>
      </w:r>
      <w:proofErr w:type="spellEnd"/>
      <w:r>
        <w:rPr>
          <w:rFonts w:eastAsia="Calibri" w:cstheme="majorHAnsi"/>
          <w:szCs w:val="24"/>
          <w:lang w:eastAsia="en-US"/>
        </w:rPr>
        <w:t xml:space="preserve"> e Flesch, é uma premissa técnica vinculada aos conceitos de estabilização do instrumento e de liberdade da mão esquerda. Cabe ressaltar que nenhum violinista demonstrou preocupação com as tensões decorrentes de um excesso de pressão, tal como alertou Fischer. Pelo fato </w:t>
      </w:r>
      <w:proofErr w:type="gramStart"/>
      <w:r>
        <w:rPr>
          <w:rFonts w:eastAsia="Calibri" w:cstheme="majorHAnsi"/>
          <w:szCs w:val="24"/>
          <w:lang w:eastAsia="en-US"/>
        </w:rPr>
        <w:t>dos</w:t>
      </w:r>
      <w:proofErr w:type="gramEnd"/>
      <w:r>
        <w:rPr>
          <w:rFonts w:eastAsia="Calibri" w:cstheme="majorHAnsi"/>
          <w:szCs w:val="24"/>
          <w:lang w:eastAsia="en-US"/>
        </w:rPr>
        <w:t xml:space="preserve"> violinistas terem demonstrado preocupação com a preservação física em outros elementos técnicos, acreditamos que isso ocorra porque há hoje uma consciência de que o </w:t>
      </w:r>
      <w:r>
        <w:rPr>
          <w:rFonts w:eastAsia="Calibri" w:cstheme="majorHAnsi"/>
          <w:i/>
          <w:szCs w:val="24"/>
          <w:lang w:eastAsia="en-US"/>
        </w:rPr>
        <w:t xml:space="preserve">apoio da cabeça </w:t>
      </w:r>
      <w:r>
        <w:rPr>
          <w:rFonts w:eastAsia="Calibri" w:cstheme="majorHAnsi"/>
          <w:szCs w:val="24"/>
          <w:lang w:eastAsia="en-US"/>
        </w:rPr>
        <w:t>(expressão que utilizamos para essa opção)</w:t>
      </w:r>
      <w:r>
        <w:rPr>
          <w:rFonts w:eastAsia="Calibri" w:cstheme="majorHAnsi"/>
          <w:i/>
          <w:szCs w:val="24"/>
          <w:lang w:eastAsia="en-US"/>
        </w:rPr>
        <w:t xml:space="preserve"> </w:t>
      </w:r>
      <w:r>
        <w:rPr>
          <w:rFonts w:eastAsia="Calibri" w:cstheme="majorHAnsi"/>
          <w:szCs w:val="24"/>
          <w:lang w:eastAsia="en-US"/>
        </w:rPr>
        <w:t xml:space="preserve">não pressupõe uma pressão exagerada, ao contrário do preceito </w:t>
      </w:r>
      <w:r>
        <w:rPr>
          <w:rFonts w:eastAsia="Calibri" w:cstheme="majorHAnsi"/>
          <w:i/>
          <w:szCs w:val="24"/>
          <w:lang w:eastAsia="en-US"/>
        </w:rPr>
        <w:t>pressão do queixo</w:t>
      </w:r>
      <w:r w:rsidR="008C0FC7">
        <w:rPr>
          <w:rFonts w:eastAsia="Calibri" w:cstheme="majorHAnsi"/>
          <w:iCs/>
          <w:szCs w:val="24"/>
          <w:lang w:eastAsia="en-US"/>
        </w:rPr>
        <w:t>,</w:t>
      </w:r>
      <w:r>
        <w:rPr>
          <w:rFonts w:eastAsia="Calibri" w:cstheme="majorHAnsi"/>
          <w:szCs w:val="24"/>
          <w:lang w:eastAsia="en-US"/>
        </w:rPr>
        <w:t xml:space="preserve"> muito utilizado pelos predecessores de Fischer. </w:t>
      </w:r>
    </w:p>
    <w:p w14:paraId="79D25B8B" w14:textId="303359B7"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 xml:space="preserve">Constatada por </w:t>
      </w:r>
      <w:proofErr w:type="spellStart"/>
      <w:r>
        <w:rPr>
          <w:rFonts w:eastAsia="Calibri" w:cstheme="majorHAnsi"/>
          <w:szCs w:val="24"/>
          <w:lang w:eastAsia="en-US"/>
        </w:rPr>
        <w:t>Galamian</w:t>
      </w:r>
      <w:proofErr w:type="spellEnd"/>
      <w:r>
        <w:rPr>
          <w:rFonts w:eastAsia="Calibri" w:cstheme="majorHAnsi"/>
          <w:szCs w:val="24"/>
          <w:lang w:eastAsia="en-US"/>
        </w:rPr>
        <w:t xml:space="preserve">, a opção </w:t>
      </w:r>
      <w:r>
        <w:rPr>
          <w:rFonts w:eastAsia="Calibri" w:cstheme="majorHAnsi"/>
          <w:i/>
          <w:szCs w:val="24"/>
          <w:lang w:eastAsia="en-US"/>
        </w:rPr>
        <w:t>b</w:t>
      </w:r>
      <w:r>
        <w:rPr>
          <w:rFonts w:eastAsia="Calibri" w:cstheme="majorHAnsi"/>
          <w:szCs w:val="24"/>
          <w:lang w:eastAsia="en-US"/>
        </w:rPr>
        <w:t xml:space="preserve">, que propõe a sustentação do violino principalmente através da mão esquerda, revelou-se a menos praticada. Porém, notamos que dentre os seis violinistas desse grupo, quatro se situam na faixa etária entre 20 e 40 anos, </w:t>
      </w:r>
      <w:r w:rsidR="00400761">
        <w:rPr>
          <w:rFonts w:eastAsia="Calibri" w:cstheme="majorHAnsi"/>
          <w:szCs w:val="24"/>
          <w:lang w:eastAsia="en-US"/>
        </w:rPr>
        <w:t>dos quais</w:t>
      </w:r>
      <w:r>
        <w:rPr>
          <w:rFonts w:eastAsia="Calibri" w:cstheme="majorHAnsi"/>
          <w:szCs w:val="24"/>
          <w:lang w:eastAsia="en-US"/>
        </w:rPr>
        <w:t xml:space="preserve"> três relataram uma genealogia violinística similar: </w:t>
      </w:r>
      <w:r>
        <w:rPr>
          <w:rFonts w:eastAsia="Calibri" w:cstheme="majorHAnsi"/>
          <w:color w:val="0070C0"/>
          <w:szCs w:val="24"/>
          <w:lang w:eastAsia="en-US"/>
        </w:rPr>
        <w:t>2</w:t>
      </w:r>
      <w:r>
        <w:rPr>
          <w:rFonts w:eastAsia="Calibri" w:cstheme="majorHAnsi"/>
          <w:szCs w:val="24"/>
          <w:lang w:eastAsia="en-US"/>
        </w:rPr>
        <w:t xml:space="preserve"> (</w:t>
      </w:r>
      <w:proofErr w:type="spellStart"/>
      <w:r>
        <w:rPr>
          <w:rFonts w:eastAsia="Calibri" w:cstheme="majorHAnsi"/>
          <w:szCs w:val="24"/>
          <w:shd w:val="clear" w:color="auto" w:fill="FFFFFF"/>
          <w:lang w:eastAsia="en-US"/>
        </w:rPr>
        <w:t>Rosand</w:t>
      </w:r>
      <w:proofErr w:type="spellEnd"/>
      <w:r>
        <w:rPr>
          <w:rFonts w:eastAsia="Calibri" w:cstheme="majorHAnsi"/>
          <w:szCs w:val="24"/>
          <w:shd w:val="clear" w:color="auto" w:fill="FFFFFF"/>
          <w:lang w:eastAsia="en-US"/>
        </w:rPr>
        <w:t xml:space="preserve"> – Zimbalist – </w:t>
      </w:r>
      <w:proofErr w:type="spellStart"/>
      <w:r>
        <w:rPr>
          <w:rFonts w:eastAsia="Calibri" w:cstheme="majorHAnsi"/>
          <w:szCs w:val="24"/>
          <w:shd w:val="clear" w:color="auto" w:fill="FFFFFF"/>
          <w:lang w:eastAsia="en-US"/>
        </w:rPr>
        <w:t>Auer</w:t>
      </w:r>
      <w:proofErr w:type="spellEnd"/>
      <w:r>
        <w:rPr>
          <w:rFonts w:eastAsia="Calibri" w:cstheme="majorHAnsi"/>
          <w:szCs w:val="24"/>
          <w:lang w:eastAsia="en-US"/>
        </w:rPr>
        <w:t xml:space="preserve">); </w:t>
      </w:r>
      <w:r>
        <w:rPr>
          <w:rFonts w:eastAsia="Calibri" w:cstheme="majorHAnsi"/>
          <w:color w:val="0070C0"/>
          <w:szCs w:val="24"/>
          <w:shd w:val="clear" w:color="auto" w:fill="FFFFFF"/>
          <w:lang w:eastAsia="en-US"/>
        </w:rPr>
        <w:t>3</w:t>
      </w:r>
      <w:r>
        <w:rPr>
          <w:rFonts w:eastAsia="Calibri" w:cstheme="majorHAnsi"/>
          <w:szCs w:val="24"/>
          <w:shd w:val="clear" w:color="auto" w:fill="FFFFFF"/>
          <w:lang w:eastAsia="en-US"/>
        </w:rPr>
        <w:t xml:space="preserve"> (</w:t>
      </w:r>
      <w:proofErr w:type="spellStart"/>
      <w:r>
        <w:rPr>
          <w:rFonts w:eastAsia="Calibri" w:cstheme="majorHAnsi"/>
          <w:szCs w:val="24"/>
          <w:lang w:eastAsia="en-US"/>
        </w:rPr>
        <w:t>Amoyal</w:t>
      </w:r>
      <w:proofErr w:type="spellEnd"/>
      <w:r>
        <w:rPr>
          <w:rFonts w:eastAsia="Calibri" w:cstheme="majorHAnsi"/>
          <w:szCs w:val="24"/>
          <w:lang w:eastAsia="en-US"/>
        </w:rPr>
        <w:t xml:space="preserve"> – </w:t>
      </w:r>
      <w:proofErr w:type="spellStart"/>
      <w:r>
        <w:rPr>
          <w:rFonts w:eastAsia="Calibri" w:cstheme="majorHAnsi"/>
          <w:szCs w:val="24"/>
          <w:lang w:eastAsia="en-US"/>
        </w:rPr>
        <w:t>Heifetz</w:t>
      </w:r>
      <w:proofErr w:type="spellEnd"/>
      <w:r>
        <w:rPr>
          <w:rFonts w:eastAsia="Calibri" w:cstheme="majorHAnsi"/>
          <w:szCs w:val="24"/>
          <w:lang w:eastAsia="en-US"/>
        </w:rPr>
        <w:t xml:space="preserve"> – </w:t>
      </w:r>
      <w:proofErr w:type="spellStart"/>
      <w:r>
        <w:rPr>
          <w:rFonts w:eastAsia="Calibri" w:cstheme="majorHAnsi"/>
          <w:szCs w:val="24"/>
          <w:lang w:eastAsia="en-US"/>
        </w:rPr>
        <w:t>Auer</w:t>
      </w:r>
      <w:proofErr w:type="spellEnd"/>
      <w:r>
        <w:rPr>
          <w:rFonts w:eastAsia="Calibri" w:cstheme="majorHAnsi"/>
          <w:szCs w:val="24"/>
          <w:lang w:eastAsia="en-US"/>
        </w:rPr>
        <w:t>);</w:t>
      </w:r>
      <w:r>
        <w:rPr>
          <w:rFonts w:eastAsia="Calibri" w:cstheme="majorHAnsi"/>
          <w:szCs w:val="24"/>
          <w:shd w:val="clear" w:color="auto" w:fill="FFFFFF"/>
          <w:lang w:eastAsia="en-US"/>
        </w:rPr>
        <w:t xml:space="preserve"> </w:t>
      </w:r>
      <w:r>
        <w:rPr>
          <w:rFonts w:eastAsia="Calibri" w:cstheme="majorHAnsi"/>
          <w:color w:val="0070C0"/>
          <w:szCs w:val="24"/>
          <w:lang w:eastAsia="en-US"/>
        </w:rPr>
        <w:t>5</w:t>
      </w:r>
      <w:r>
        <w:rPr>
          <w:rFonts w:eastAsia="Calibri" w:cstheme="majorHAnsi"/>
          <w:szCs w:val="24"/>
          <w:lang w:eastAsia="en-US"/>
        </w:rPr>
        <w:t xml:space="preserve"> (</w:t>
      </w:r>
      <w:proofErr w:type="spellStart"/>
      <w:r>
        <w:rPr>
          <w:rFonts w:eastAsia="Calibri" w:cstheme="majorHAnsi"/>
          <w:szCs w:val="24"/>
          <w:lang w:eastAsia="en-US"/>
        </w:rPr>
        <w:t>Ashkenasi</w:t>
      </w:r>
      <w:proofErr w:type="spellEnd"/>
      <w:r>
        <w:rPr>
          <w:rFonts w:eastAsia="Calibri" w:cstheme="majorHAnsi"/>
          <w:szCs w:val="24"/>
          <w:lang w:eastAsia="en-US"/>
        </w:rPr>
        <w:t xml:space="preserve"> – Zimbalist – </w:t>
      </w:r>
      <w:proofErr w:type="spellStart"/>
      <w:r>
        <w:rPr>
          <w:rFonts w:eastAsia="Calibri" w:cstheme="majorHAnsi"/>
          <w:szCs w:val="24"/>
          <w:lang w:eastAsia="en-US"/>
        </w:rPr>
        <w:t>Auer</w:t>
      </w:r>
      <w:proofErr w:type="spellEnd"/>
      <w:r>
        <w:rPr>
          <w:rFonts w:eastAsia="Calibri" w:cstheme="majorHAnsi"/>
          <w:szCs w:val="24"/>
          <w:lang w:eastAsia="en-US"/>
        </w:rPr>
        <w:t>)</w:t>
      </w:r>
      <w:r>
        <w:rPr>
          <w:rFonts w:eastAsia="Calibri" w:cstheme="majorHAnsi"/>
          <w:szCs w:val="24"/>
          <w:shd w:val="clear" w:color="auto" w:fill="FFFFFF"/>
          <w:lang w:eastAsia="en-US"/>
        </w:rPr>
        <w:t xml:space="preserve">. Ambiguamente, um dos preceitos de </w:t>
      </w:r>
      <w:proofErr w:type="spellStart"/>
      <w:r>
        <w:rPr>
          <w:rFonts w:eastAsia="Calibri" w:cstheme="majorHAnsi"/>
          <w:szCs w:val="24"/>
          <w:shd w:val="clear" w:color="auto" w:fill="FFFFFF"/>
          <w:lang w:eastAsia="en-US"/>
        </w:rPr>
        <w:t>Auer</w:t>
      </w:r>
      <w:proofErr w:type="spellEnd"/>
      <w:r>
        <w:rPr>
          <w:rFonts w:eastAsia="Calibri" w:cstheme="majorHAnsi"/>
          <w:szCs w:val="24"/>
          <w:shd w:val="clear" w:color="auto" w:fill="FFFFFF"/>
          <w:lang w:eastAsia="en-US"/>
        </w:rPr>
        <w:t xml:space="preserve"> refuta essa ideia: “</w:t>
      </w:r>
      <w:r>
        <w:rPr>
          <w:rFonts w:eastAsia="Calibri" w:cstheme="majorHAnsi"/>
          <w:szCs w:val="24"/>
          <w:lang w:eastAsia="en-US"/>
        </w:rPr>
        <w:t xml:space="preserve">O violino nunca deve ser sustentado pela mão esquerda – somente pela clavícula e o maxilar”. </w:t>
      </w:r>
    </w:p>
    <w:p w14:paraId="160EDDEF" w14:textId="77777777" w:rsidR="001F49FD" w:rsidRDefault="001F49FD" w:rsidP="00BF6888">
      <w:pPr>
        <w:ind w:firstLine="709"/>
        <w:rPr>
          <w:rFonts w:asciiTheme="majorHAnsi" w:eastAsia="Times New Roman" w:hAnsiTheme="majorHAnsi" w:cstheme="majorHAnsi"/>
          <w:b/>
          <w:bCs/>
          <w:szCs w:val="24"/>
          <w:lang w:eastAsia="en-US"/>
        </w:rPr>
      </w:pPr>
    </w:p>
    <w:p w14:paraId="5364C5CE"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3 - Nível</w:t>
      </w:r>
    </w:p>
    <w:p w14:paraId="5C056193" w14:textId="77777777" w:rsidR="001F49FD" w:rsidRDefault="00611419" w:rsidP="00BF6888">
      <w:pPr>
        <w:ind w:firstLine="709"/>
        <w:rPr>
          <w:rFonts w:asciiTheme="majorHAnsi" w:eastAsia="Calibri" w:hAnsiTheme="majorHAnsi" w:cstheme="majorHAnsi"/>
          <w:b/>
          <w:szCs w:val="24"/>
          <w:lang w:eastAsia="en-US"/>
        </w:rPr>
      </w:pPr>
      <w:r>
        <w:rPr>
          <w:rFonts w:eastAsia="Calibri" w:cstheme="majorHAnsi"/>
          <w:szCs w:val="24"/>
          <w:lang w:eastAsia="en-US"/>
        </w:rPr>
        <w:t xml:space="preserve">A posição do violino em plano horizontal – no eixo longitudinal, paralelo em relação ao solo – (opção </w:t>
      </w:r>
      <w:r>
        <w:rPr>
          <w:rFonts w:eastAsia="Calibri" w:cstheme="majorHAnsi"/>
          <w:i/>
          <w:szCs w:val="24"/>
          <w:lang w:eastAsia="en-US"/>
        </w:rPr>
        <w:t>b</w:t>
      </w:r>
      <w:r>
        <w:rPr>
          <w:rFonts w:eastAsia="Calibri" w:cstheme="majorHAnsi"/>
          <w:szCs w:val="24"/>
          <w:lang w:eastAsia="en-US"/>
        </w:rPr>
        <w:t xml:space="preserve">), preconizada pelos autores estudados do século XIX e por Flesch, é a opção de grande parte dos violinistas, tanto para a facilitação das trocas de posição como para a estabilidade do arco. No entanto, poucos entre os entrevistados demonstraram perceber a questão alertada por Fischer sobre a diferença entre a horizontalidade do corpo do instrumento e a horizontalidade da corda. Portanto, a escolha quase unânime da posição do instrumento em nível horizontal não está exclusivamente relacionada com a efetiva consciência de seus efeitos, mas também com os conceitos de moderação e equilíbrio, ou seja, de evitar os extremos que as demais opções propõem. </w:t>
      </w:r>
    </w:p>
    <w:p w14:paraId="557D3A43"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Uma vez que as opções </w:t>
      </w:r>
      <w:r>
        <w:rPr>
          <w:rFonts w:eastAsia="Calibri" w:cstheme="majorHAnsi"/>
          <w:i/>
          <w:szCs w:val="24"/>
          <w:lang w:eastAsia="en-US"/>
        </w:rPr>
        <w:t xml:space="preserve">a </w:t>
      </w:r>
      <w:r>
        <w:rPr>
          <w:rFonts w:eastAsia="Calibri" w:cstheme="majorHAnsi"/>
          <w:szCs w:val="24"/>
          <w:lang w:eastAsia="en-US"/>
        </w:rPr>
        <w:t xml:space="preserve">e </w:t>
      </w:r>
      <w:r>
        <w:rPr>
          <w:rFonts w:eastAsia="Calibri" w:cstheme="majorHAnsi"/>
          <w:i/>
          <w:szCs w:val="24"/>
          <w:lang w:eastAsia="en-US"/>
        </w:rPr>
        <w:t xml:space="preserve">c </w:t>
      </w:r>
      <w:r>
        <w:rPr>
          <w:rFonts w:eastAsia="Calibri" w:cstheme="majorHAnsi"/>
          <w:szCs w:val="24"/>
          <w:lang w:eastAsia="en-US"/>
        </w:rPr>
        <w:t xml:space="preserve">se fazem raras, buscamos características comuns entre os violinistas que as empregam: </w:t>
      </w:r>
    </w:p>
    <w:p w14:paraId="403111D4" w14:textId="1858AAAA" w:rsidR="001F49FD" w:rsidRDefault="00611419" w:rsidP="00BF6888">
      <w:pPr>
        <w:ind w:firstLine="709"/>
        <w:rPr>
          <w:rFonts w:asciiTheme="majorHAnsi" w:eastAsia="Calibri" w:hAnsiTheme="majorHAnsi" w:cstheme="majorHAnsi"/>
          <w:i/>
          <w:szCs w:val="24"/>
          <w:lang w:eastAsia="en-US"/>
        </w:rPr>
      </w:pPr>
      <w:r>
        <w:rPr>
          <w:rFonts w:eastAsia="Calibri" w:cstheme="majorHAnsi"/>
          <w:szCs w:val="24"/>
          <w:lang w:eastAsia="en-US"/>
        </w:rPr>
        <w:lastRenderedPageBreak/>
        <w:t>Observamos que não há identificações relevantes na formação dos violinistas que optaram pela voluta mais baixa do que o plano horizontal</w:t>
      </w:r>
      <w:r>
        <w:rPr>
          <w:rFonts w:eastAsia="Calibri" w:cstheme="majorHAnsi"/>
          <w:i/>
          <w:szCs w:val="24"/>
          <w:lang w:eastAsia="en-US"/>
        </w:rPr>
        <w:t xml:space="preserve"> </w:t>
      </w:r>
      <w:r>
        <w:rPr>
          <w:rFonts w:eastAsia="Calibri" w:cstheme="majorHAnsi"/>
          <w:szCs w:val="24"/>
          <w:lang w:eastAsia="en-US"/>
        </w:rPr>
        <w:t xml:space="preserve">(opção </w:t>
      </w:r>
      <w:r>
        <w:rPr>
          <w:rFonts w:eastAsia="Calibri" w:cstheme="majorHAnsi"/>
          <w:i/>
          <w:szCs w:val="24"/>
          <w:lang w:eastAsia="en-US"/>
        </w:rPr>
        <w:t>a</w:t>
      </w:r>
      <w:r>
        <w:rPr>
          <w:rFonts w:eastAsia="Calibri" w:cstheme="majorHAnsi"/>
          <w:szCs w:val="24"/>
          <w:lang w:eastAsia="en-US"/>
        </w:rPr>
        <w:t>). Nesse grupo, a característica comum é que quatro dentre os cinco (</w:t>
      </w:r>
      <w:r>
        <w:rPr>
          <w:rFonts w:eastAsia="Calibri" w:cstheme="majorHAnsi"/>
          <w:color w:val="0070C0"/>
          <w:szCs w:val="24"/>
          <w:lang w:eastAsia="en-US"/>
        </w:rPr>
        <w:t>16</w:t>
      </w:r>
      <w:r>
        <w:rPr>
          <w:rFonts w:eastAsia="Calibri" w:cstheme="majorHAnsi"/>
          <w:szCs w:val="24"/>
          <w:lang w:eastAsia="en-US"/>
        </w:rPr>
        <w:t xml:space="preserve">, </w:t>
      </w:r>
      <w:r>
        <w:rPr>
          <w:rFonts w:eastAsia="Calibri" w:cstheme="majorHAnsi"/>
          <w:color w:val="00B050"/>
          <w:szCs w:val="24"/>
          <w:lang w:eastAsia="en-US"/>
        </w:rPr>
        <w:t>31, 33, 36</w:t>
      </w:r>
      <w:r>
        <w:rPr>
          <w:rFonts w:eastAsia="Calibri" w:cstheme="majorHAnsi"/>
          <w:szCs w:val="24"/>
          <w:lang w:eastAsia="en-US"/>
        </w:rPr>
        <w:t>) sustentam o violino prioritariamente com o apoio da cabeça e com pouco auxílio da mão esquerda (</w:t>
      </w:r>
      <w:r w:rsidR="00400761">
        <w:rPr>
          <w:rFonts w:eastAsia="Calibri" w:cstheme="majorHAnsi"/>
          <w:szCs w:val="24"/>
          <w:lang w:eastAsia="en-US"/>
        </w:rPr>
        <w:t>q</w:t>
      </w:r>
      <w:r>
        <w:rPr>
          <w:rFonts w:eastAsia="Calibri" w:cstheme="majorHAnsi"/>
          <w:szCs w:val="24"/>
          <w:lang w:eastAsia="en-US"/>
        </w:rPr>
        <w:t>uestão 2), o que demonstra a relação entre esses dois parâmetros técnicos.</w:t>
      </w:r>
    </w:p>
    <w:p w14:paraId="3585C4AA" w14:textId="0FFD51B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 posição do violino com a voluta mais elevada do que o plano horizontal (opção </w:t>
      </w:r>
      <w:r>
        <w:rPr>
          <w:rFonts w:eastAsia="Calibri" w:cstheme="majorHAnsi"/>
          <w:i/>
          <w:szCs w:val="24"/>
          <w:lang w:eastAsia="en-US"/>
        </w:rPr>
        <w:t>c</w:t>
      </w:r>
      <w:r>
        <w:rPr>
          <w:rFonts w:eastAsia="Calibri" w:cstheme="majorHAnsi"/>
          <w:szCs w:val="24"/>
          <w:lang w:eastAsia="en-US"/>
        </w:rPr>
        <w:t>)</w:t>
      </w:r>
      <w:r>
        <w:rPr>
          <w:rFonts w:eastAsia="Calibri" w:cstheme="majorHAnsi"/>
          <w:i/>
          <w:szCs w:val="24"/>
          <w:lang w:eastAsia="en-US"/>
        </w:rPr>
        <w:t xml:space="preserve">, </w:t>
      </w:r>
      <w:r>
        <w:rPr>
          <w:rFonts w:eastAsia="Calibri" w:cstheme="majorHAnsi"/>
          <w:szCs w:val="24"/>
          <w:lang w:eastAsia="en-US"/>
        </w:rPr>
        <w:t xml:space="preserve">revela-se menos difundida hoje em dia. Primeiramente, constatamos que três dentre os quatro violinistas desse grupo tiveram professores russos em suas formações: </w:t>
      </w:r>
      <w:r>
        <w:rPr>
          <w:rFonts w:eastAsia="Calibri" w:cstheme="majorHAnsi"/>
          <w:color w:val="0070C0"/>
          <w:szCs w:val="24"/>
          <w:lang w:eastAsia="en-US"/>
        </w:rPr>
        <w:t>6</w:t>
      </w:r>
      <w:r>
        <w:rPr>
          <w:rFonts w:eastAsia="Calibri" w:cstheme="majorHAnsi"/>
          <w:szCs w:val="24"/>
          <w:lang w:eastAsia="en-US"/>
        </w:rPr>
        <w:t xml:space="preserve"> (Guseva); </w:t>
      </w:r>
      <w:r>
        <w:rPr>
          <w:rFonts w:eastAsia="Calibri" w:cstheme="majorHAnsi"/>
          <w:color w:val="0070C0"/>
          <w:szCs w:val="24"/>
          <w:lang w:eastAsia="en-US"/>
        </w:rPr>
        <w:t>19</w:t>
      </w:r>
      <w:r>
        <w:rPr>
          <w:rFonts w:eastAsia="Calibri" w:cstheme="majorHAnsi"/>
          <w:szCs w:val="24"/>
          <w:lang w:eastAsia="en-US"/>
        </w:rPr>
        <w:t xml:space="preserve"> (Bron); </w:t>
      </w:r>
      <w:r>
        <w:rPr>
          <w:rFonts w:eastAsia="Calibri" w:cstheme="majorHAnsi"/>
          <w:color w:val="00B050"/>
          <w:szCs w:val="24"/>
          <w:lang w:eastAsia="en-US"/>
        </w:rPr>
        <w:t>21 (</w:t>
      </w:r>
      <w:proofErr w:type="spellStart"/>
      <w:r>
        <w:rPr>
          <w:rFonts w:eastAsia="Calibri" w:cstheme="majorHAnsi"/>
          <w:szCs w:val="24"/>
          <w:lang w:eastAsia="en-US"/>
        </w:rPr>
        <w:t>Yankelevich</w:t>
      </w:r>
      <w:proofErr w:type="spellEnd"/>
      <w:r>
        <w:rPr>
          <w:rFonts w:eastAsia="Calibri" w:cstheme="majorHAnsi"/>
          <w:szCs w:val="24"/>
          <w:lang w:eastAsia="en-US"/>
        </w:rPr>
        <w:t>). Em seguida, ao contrário do que se poderia supor, a relação direta entre essa posição mais elevada da voluta e a sustentação do violino prioritariamente com a mão esquerda (</w:t>
      </w:r>
      <w:r w:rsidR="00400761">
        <w:rPr>
          <w:rFonts w:eastAsia="Calibri" w:cstheme="majorHAnsi"/>
          <w:szCs w:val="24"/>
          <w:lang w:eastAsia="en-US"/>
        </w:rPr>
        <w:t>q</w:t>
      </w:r>
      <w:r>
        <w:rPr>
          <w:rFonts w:eastAsia="Calibri" w:cstheme="majorHAnsi"/>
          <w:szCs w:val="24"/>
          <w:lang w:eastAsia="en-US"/>
        </w:rPr>
        <w:t>uestão 2) não se concretiza, pois apenas um violinista (</w:t>
      </w:r>
      <w:r>
        <w:rPr>
          <w:rFonts w:eastAsia="Calibri" w:cstheme="majorHAnsi"/>
          <w:color w:val="C00000"/>
          <w:szCs w:val="24"/>
          <w:lang w:eastAsia="en-US"/>
        </w:rPr>
        <w:t>49</w:t>
      </w:r>
      <w:r>
        <w:rPr>
          <w:rFonts w:eastAsia="Calibri" w:cstheme="majorHAnsi"/>
          <w:szCs w:val="24"/>
          <w:lang w:eastAsia="en-US"/>
        </w:rPr>
        <w:t xml:space="preserve">) assinalou essas duas opções. </w:t>
      </w:r>
    </w:p>
    <w:p w14:paraId="67D66EA5" w14:textId="77777777" w:rsidR="001F49FD" w:rsidRDefault="001F49FD" w:rsidP="00BF6888">
      <w:pPr>
        <w:ind w:firstLine="709"/>
        <w:rPr>
          <w:rFonts w:asciiTheme="majorHAnsi" w:eastAsia="Calibri" w:hAnsiTheme="majorHAnsi" w:cstheme="majorHAnsi"/>
          <w:b/>
          <w:szCs w:val="24"/>
          <w:lang w:eastAsia="en-US"/>
        </w:rPr>
      </w:pPr>
    </w:p>
    <w:p w14:paraId="285F9552"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4 - Local de colocação do queixo </w:t>
      </w:r>
    </w:p>
    <w:p w14:paraId="75F03B69"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b/>
          <w:szCs w:val="24"/>
          <w:lang w:eastAsia="en-US"/>
        </w:rPr>
        <w:t xml:space="preserve"> </w:t>
      </w:r>
      <w:r>
        <w:rPr>
          <w:rFonts w:eastAsia="Calibri" w:cstheme="majorHAnsi"/>
          <w:szCs w:val="24"/>
          <w:lang w:eastAsia="en-US"/>
        </w:rPr>
        <w:t xml:space="preserve">As respostas do questionário evidenciam que a colocação do queixo entre o lado esquerdo e o estandarte – preconizado por </w:t>
      </w:r>
      <w:proofErr w:type="spellStart"/>
      <w:r>
        <w:rPr>
          <w:rFonts w:eastAsia="Calibri" w:cstheme="majorHAnsi"/>
          <w:szCs w:val="24"/>
          <w:lang w:eastAsia="en-US"/>
        </w:rPr>
        <w:t>Bériot</w:t>
      </w:r>
      <w:proofErr w:type="spellEnd"/>
      <w:r>
        <w:rPr>
          <w:rFonts w:eastAsia="Calibri" w:cstheme="majorHAnsi"/>
          <w:szCs w:val="24"/>
          <w:lang w:eastAsia="en-US"/>
        </w:rPr>
        <w:t xml:space="preserve">, sugerido por Flesch e provavelmente por </w:t>
      </w:r>
      <w:proofErr w:type="spellStart"/>
      <w:r>
        <w:rPr>
          <w:rFonts w:eastAsia="Calibri" w:cstheme="majorHAnsi"/>
          <w:szCs w:val="24"/>
          <w:lang w:eastAsia="en-US"/>
        </w:rPr>
        <w:t>Galamian</w:t>
      </w:r>
      <w:proofErr w:type="spellEnd"/>
      <w:r>
        <w:rPr>
          <w:rFonts w:eastAsia="Calibri" w:cstheme="majorHAnsi"/>
          <w:szCs w:val="24"/>
          <w:lang w:eastAsia="en-US"/>
        </w:rPr>
        <w:t xml:space="preserve"> – é a posição usual. De fato, verificamos que o tipo de </w:t>
      </w:r>
      <w:proofErr w:type="spellStart"/>
      <w:r>
        <w:rPr>
          <w:rFonts w:eastAsia="Calibri" w:cstheme="majorHAnsi"/>
          <w:szCs w:val="24"/>
          <w:lang w:eastAsia="en-US"/>
        </w:rPr>
        <w:t>queixeira</w:t>
      </w:r>
      <w:proofErr w:type="spellEnd"/>
      <w:r>
        <w:rPr>
          <w:rFonts w:eastAsia="Calibri" w:cstheme="majorHAnsi"/>
          <w:szCs w:val="24"/>
          <w:lang w:eastAsia="en-US"/>
        </w:rPr>
        <w:t xml:space="preserve"> que se situa ao lado do estandarte, mas que possui uma estrutura de ponte que permite que parte do queixo </w:t>
      </w:r>
      <w:proofErr w:type="gramStart"/>
      <w:r>
        <w:rPr>
          <w:rFonts w:eastAsia="Calibri" w:cstheme="majorHAnsi"/>
          <w:szCs w:val="24"/>
          <w:lang w:eastAsia="en-US"/>
        </w:rPr>
        <w:t>encoste-se</w:t>
      </w:r>
      <w:proofErr w:type="gramEnd"/>
      <w:r>
        <w:rPr>
          <w:rFonts w:eastAsia="Calibri" w:cstheme="majorHAnsi"/>
          <w:szCs w:val="24"/>
          <w:lang w:eastAsia="en-US"/>
        </w:rPr>
        <w:t xml:space="preserve"> a ele sem comprometer a sonoridade e a afinação é utilizado em larga escala. Notamos ainda que alguns dos violinistas que utilizam a </w:t>
      </w:r>
      <w:proofErr w:type="spellStart"/>
      <w:r>
        <w:rPr>
          <w:rFonts w:eastAsia="Calibri" w:cstheme="majorHAnsi"/>
          <w:szCs w:val="24"/>
          <w:lang w:eastAsia="en-US"/>
        </w:rPr>
        <w:t>queixeira</w:t>
      </w:r>
      <w:proofErr w:type="spellEnd"/>
      <w:r>
        <w:rPr>
          <w:rFonts w:eastAsia="Calibri" w:cstheme="majorHAnsi"/>
          <w:szCs w:val="24"/>
          <w:lang w:eastAsia="en-US"/>
        </w:rPr>
        <w:t xml:space="preserve"> lateral (opção </w:t>
      </w:r>
      <w:r>
        <w:rPr>
          <w:rFonts w:eastAsia="Calibri" w:cstheme="majorHAnsi"/>
          <w:i/>
          <w:szCs w:val="24"/>
          <w:lang w:eastAsia="en-US"/>
        </w:rPr>
        <w:t>a</w:t>
      </w:r>
      <w:r>
        <w:rPr>
          <w:rFonts w:eastAsia="Calibri" w:cstheme="majorHAnsi"/>
          <w:szCs w:val="24"/>
          <w:lang w:eastAsia="en-US"/>
        </w:rPr>
        <w:t xml:space="preserve">) relataram encostar levemente o queixo no estandarte, fundindo-se, portanto, ao grupo predominante. </w:t>
      </w:r>
    </w:p>
    <w:p w14:paraId="1C241612"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 faixa etária acima de 60 anos é a que mais se aproximou de uma equivalência numérica entre os que posicionam o queixo ao lado do estandarte (opção </w:t>
      </w:r>
      <w:r>
        <w:rPr>
          <w:rFonts w:eastAsia="Calibri" w:cstheme="majorHAnsi"/>
          <w:i/>
          <w:szCs w:val="24"/>
          <w:lang w:eastAsia="en-US"/>
        </w:rPr>
        <w:t>a</w:t>
      </w:r>
      <w:r>
        <w:rPr>
          <w:rFonts w:eastAsia="Calibri" w:cstheme="majorHAnsi"/>
          <w:szCs w:val="24"/>
          <w:lang w:eastAsia="en-US"/>
        </w:rPr>
        <w:t xml:space="preserve">) e aqueles que o posicionam entre lado esquerdo e o estandarte (opção </w:t>
      </w:r>
      <w:r>
        <w:rPr>
          <w:rFonts w:eastAsia="Calibri" w:cstheme="majorHAnsi"/>
          <w:i/>
          <w:szCs w:val="24"/>
          <w:lang w:eastAsia="en-US"/>
        </w:rPr>
        <w:t>b</w:t>
      </w:r>
      <w:r>
        <w:rPr>
          <w:rFonts w:eastAsia="Calibri" w:cstheme="majorHAnsi"/>
          <w:szCs w:val="24"/>
          <w:lang w:eastAsia="en-US"/>
        </w:rPr>
        <w:t>), o que indica que a predominância desse último local de posicionamento (ou a conscientização da colocação do queixo nesse local) é recente, talvez própria ao século XXI.</w:t>
      </w:r>
    </w:p>
    <w:p w14:paraId="2F6F6BCF" w14:textId="04349FC4"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Embora saibamos</w:t>
      </w:r>
      <w:r w:rsidR="00400761">
        <w:rPr>
          <w:rFonts w:eastAsia="Calibri" w:cstheme="majorHAnsi"/>
          <w:szCs w:val="24"/>
          <w:lang w:eastAsia="en-US"/>
        </w:rPr>
        <w:t>,</w:t>
      </w:r>
      <w:r>
        <w:rPr>
          <w:rFonts w:eastAsia="Calibri" w:cstheme="majorHAnsi"/>
          <w:szCs w:val="24"/>
          <w:lang w:eastAsia="en-US"/>
        </w:rPr>
        <w:t xml:space="preserve"> através da experiência e da observação, que a utilização da </w:t>
      </w:r>
      <w:proofErr w:type="spellStart"/>
      <w:r>
        <w:rPr>
          <w:rFonts w:eastAsia="Calibri" w:cstheme="majorHAnsi"/>
          <w:szCs w:val="24"/>
          <w:lang w:eastAsia="en-US"/>
        </w:rPr>
        <w:t>queixeira</w:t>
      </w:r>
      <w:proofErr w:type="spellEnd"/>
      <w:r>
        <w:rPr>
          <w:rFonts w:eastAsia="Calibri" w:cstheme="majorHAnsi"/>
          <w:szCs w:val="24"/>
          <w:lang w:eastAsia="en-US"/>
        </w:rPr>
        <w:t xml:space="preserve"> central foi relativamente difundida ao final do século XX, verificamos que esse local central de colocação do queixo (opção </w:t>
      </w:r>
      <w:r>
        <w:rPr>
          <w:rFonts w:eastAsia="Calibri" w:cstheme="majorHAnsi"/>
          <w:i/>
          <w:szCs w:val="24"/>
          <w:lang w:eastAsia="en-US"/>
        </w:rPr>
        <w:t>c</w:t>
      </w:r>
      <w:r>
        <w:rPr>
          <w:rFonts w:eastAsia="Calibri" w:cstheme="majorHAnsi"/>
          <w:szCs w:val="24"/>
          <w:lang w:eastAsia="en-US"/>
        </w:rPr>
        <w:t xml:space="preserve">), indicado por Spohr através da criação de sua </w:t>
      </w:r>
      <w:proofErr w:type="spellStart"/>
      <w:r>
        <w:rPr>
          <w:rFonts w:eastAsia="Calibri" w:cstheme="majorHAnsi"/>
          <w:szCs w:val="24"/>
          <w:lang w:eastAsia="en-US"/>
        </w:rPr>
        <w:t>queixeira</w:t>
      </w:r>
      <w:proofErr w:type="spellEnd"/>
      <w:r>
        <w:rPr>
          <w:rFonts w:eastAsia="Calibri" w:cstheme="majorHAnsi"/>
          <w:szCs w:val="24"/>
          <w:lang w:eastAsia="en-US"/>
        </w:rPr>
        <w:t>, é pouco encontrado hoje em dia. Ambiguamente, os três violinistas que se valem dessa alternativa estão na faixa etária entre 20 e 40 anos.</w:t>
      </w:r>
    </w:p>
    <w:p w14:paraId="6087B1AC" w14:textId="77777777" w:rsidR="001F49FD" w:rsidRDefault="001F49FD">
      <w:pPr>
        <w:rPr>
          <w:rFonts w:asciiTheme="majorHAnsi" w:eastAsia="Calibri" w:hAnsiTheme="majorHAnsi" w:cstheme="majorHAnsi"/>
          <w:szCs w:val="24"/>
          <w:lang w:eastAsia="en-US"/>
        </w:rPr>
      </w:pPr>
    </w:p>
    <w:p w14:paraId="3B312471" w14:textId="77777777" w:rsidR="000A6E65" w:rsidRDefault="000A6E65">
      <w:pPr>
        <w:rPr>
          <w:rFonts w:asciiTheme="majorHAnsi" w:eastAsia="Calibri" w:hAnsiTheme="majorHAnsi" w:cstheme="majorHAnsi"/>
          <w:szCs w:val="24"/>
          <w:lang w:eastAsia="en-US"/>
        </w:rPr>
      </w:pPr>
    </w:p>
    <w:p w14:paraId="50B80CA5" w14:textId="77777777" w:rsidR="001F49FD" w:rsidRDefault="00611419" w:rsidP="00BF6888">
      <w:pPr>
        <w:tabs>
          <w:tab w:val="left" w:pos="1134"/>
          <w:tab w:val="left" w:pos="1276"/>
          <w:tab w:val="left" w:pos="1860"/>
        </w:tabs>
        <w:ind w:firstLine="709"/>
        <w:contextualSpacing/>
        <w:rPr>
          <w:rFonts w:asciiTheme="majorHAnsi" w:eastAsia="Calibri" w:hAnsiTheme="majorHAnsi" w:cstheme="majorHAnsi"/>
          <w:b/>
          <w:szCs w:val="24"/>
          <w:lang w:eastAsia="en-US"/>
        </w:rPr>
      </w:pPr>
      <w:r>
        <w:rPr>
          <w:rFonts w:eastAsia="Times New Roman" w:cstheme="majorHAnsi"/>
          <w:b/>
          <w:bCs/>
          <w:szCs w:val="24"/>
          <w:lang w:eastAsia="en-US"/>
        </w:rPr>
        <w:lastRenderedPageBreak/>
        <w:t xml:space="preserve">Questão </w:t>
      </w:r>
      <w:r>
        <w:rPr>
          <w:rFonts w:eastAsia="Calibri" w:cstheme="majorHAnsi"/>
          <w:b/>
          <w:szCs w:val="24"/>
          <w:lang w:eastAsia="en-US"/>
        </w:rPr>
        <w:t>5 - Direcionamento da cabeça</w:t>
      </w:r>
    </w:p>
    <w:p w14:paraId="3FC9E4C4" w14:textId="5F150747" w:rsidR="001F49FD" w:rsidRDefault="00611419" w:rsidP="00BF6888">
      <w:pPr>
        <w:tabs>
          <w:tab w:val="left" w:pos="1134"/>
          <w:tab w:val="left" w:pos="1276"/>
          <w:tab w:val="left" w:pos="1860"/>
        </w:tabs>
        <w:ind w:firstLine="709"/>
        <w:rPr>
          <w:rFonts w:asciiTheme="majorHAnsi" w:eastAsia="Calibri" w:hAnsiTheme="majorHAnsi" w:cstheme="majorHAnsi"/>
          <w:szCs w:val="24"/>
          <w:lang w:eastAsia="en-US"/>
        </w:rPr>
      </w:pPr>
      <w:r>
        <w:rPr>
          <w:rFonts w:eastAsia="Calibri" w:cstheme="majorHAnsi"/>
          <w:szCs w:val="24"/>
          <w:lang w:eastAsia="en-US"/>
        </w:rPr>
        <w:t>Mais uma vez</w:t>
      </w:r>
      <w:r w:rsidR="00400761">
        <w:rPr>
          <w:rFonts w:eastAsia="Calibri" w:cstheme="majorHAnsi"/>
          <w:szCs w:val="24"/>
          <w:lang w:eastAsia="en-US"/>
        </w:rPr>
        <w:t>,</w:t>
      </w:r>
      <w:r>
        <w:rPr>
          <w:rFonts w:eastAsia="Calibri" w:cstheme="majorHAnsi"/>
          <w:szCs w:val="24"/>
          <w:lang w:eastAsia="en-US"/>
        </w:rPr>
        <w:t xml:space="preserve"> a resposta que oferece uma opção intermediária (opção </w:t>
      </w:r>
      <w:r>
        <w:rPr>
          <w:rFonts w:eastAsia="Calibri" w:cstheme="majorHAnsi"/>
          <w:i/>
          <w:szCs w:val="24"/>
          <w:lang w:eastAsia="en-US"/>
        </w:rPr>
        <w:t>b –</w:t>
      </w:r>
      <w:r>
        <w:rPr>
          <w:rFonts w:eastAsia="Calibri" w:cstheme="majorHAnsi"/>
          <w:szCs w:val="24"/>
          <w:lang w:eastAsia="en-US"/>
        </w:rPr>
        <w:t xml:space="preserve"> entre o centro e o espelho) é a mais preconizada. Ainda assim, esse é o elemento técnico de postura corporal que mais divide os violinistas, o que demonstra que não há (ou nunca haverá) um parâmetro predominante. Constatamos um grande equilíbrio entre as demais alternativas – a cabeça voltada para frente (opção </w:t>
      </w:r>
      <w:r>
        <w:rPr>
          <w:rFonts w:eastAsia="Calibri" w:cstheme="majorHAnsi"/>
          <w:i/>
          <w:szCs w:val="24"/>
          <w:lang w:eastAsia="en-US"/>
        </w:rPr>
        <w:t>a</w:t>
      </w:r>
      <w:r>
        <w:rPr>
          <w:rFonts w:eastAsia="Calibri" w:cstheme="majorHAnsi"/>
          <w:szCs w:val="24"/>
          <w:lang w:eastAsia="en-US"/>
        </w:rPr>
        <w:t xml:space="preserve">) ou para o espelho (opção </w:t>
      </w:r>
      <w:r>
        <w:rPr>
          <w:rFonts w:eastAsia="Calibri" w:cstheme="majorHAnsi"/>
          <w:i/>
          <w:szCs w:val="24"/>
          <w:lang w:eastAsia="en-US"/>
        </w:rPr>
        <w:t>c</w:t>
      </w:r>
      <w:r>
        <w:rPr>
          <w:rFonts w:eastAsia="Calibri" w:cstheme="majorHAnsi"/>
          <w:szCs w:val="24"/>
          <w:lang w:eastAsia="en-US"/>
        </w:rPr>
        <w:t xml:space="preserve">). Ademais, a incidência de recusa às opções oferecidas, incorrendo na resposta </w:t>
      </w:r>
      <w:r w:rsidR="00400761">
        <w:rPr>
          <w:rFonts w:eastAsia="Calibri" w:cstheme="majorHAnsi"/>
          <w:i/>
          <w:szCs w:val="24"/>
          <w:lang w:eastAsia="en-US"/>
        </w:rPr>
        <w:t>v</w:t>
      </w:r>
      <w:r>
        <w:rPr>
          <w:rFonts w:eastAsia="Calibri" w:cstheme="majorHAnsi"/>
          <w:i/>
          <w:szCs w:val="24"/>
          <w:lang w:eastAsia="en-US"/>
        </w:rPr>
        <w:t>ariável</w:t>
      </w:r>
      <w:r>
        <w:rPr>
          <w:rFonts w:eastAsia="Calibri" w:cstheme="majorHAnsi"/>
          <w:szCs w:val="24"/>
          <w:lang w:eastAsia="en-US"/>
        </w:rPr>
        <w:t xml:space="preserve">, foi a mais alta até aqui, o que corrobora nosso entendimento de indefinição. </w:t>
      </w:r>
    </w:p>
    <w:p w14:paraId="3F5A1057" w14:textId="77777777" w:rsidR="001F49FD" w:rsidRDefault="00611419" w:rsidP="00BF6888">
      <w:pPr>
        <w:tabs>
          <w:tab w:val="left" w:pos="1134"/>
          <w:tab w:val="left" w:pos="1276"/>
          <w:tab w:val="left" w:pos="1860"/>
        </w:tabs>
        <w:ind w:firstLine="709"/>
        <w:rPr>
          <w:rFonts w:asciiTheme="majorHAnsi" w:eastAsia="Calibri" w:hAnsiTheme="majorHAnsi" w:cstheme="majorHAnsi"/>
          <w:szCs w:val="24"/>
          <w:lang w:eastAsia="en-US"/>
        </w:rPr>
      </w:pPr>
      <w:r>
        <w:rPr>
          <w:rFonts w:eastAsia="Calibri" w:cstheme="majorHAnsi"/>
          <w:szCs w:val="24"/>
          <w:lang w:eastAsia="en-US"/>
        </w:rPr>
        <w:t xml:space="preserve">Em uma primeira abordagem, o direcionamento da cabeça parece ter uma relação direta com o posicionamento do queixo. Porém, ao compararmos as respostas para as duas questões, percebemos que essa relação não é tão evidente: </w:t>
      </w:r>
    </w:p>
    <w:p w14:paraId="7D31AAF9" w14:textId="5950105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A presente questão sobre o direcionamento da cabeça obteve 6</w:t>
      </w:r>
      <w:r>
        <w:rPr>
          <w:rFonts w:eastAsia="Calibri" w:cstheme="majorHAnsi"/>
          <w:b/>
          <w:szCs w:val="24"/>
          <w:lang w:eastAsia="en-US"/>
        </w:rPr>
        <w:t xml:space="preserve"> </w:t>
      </w:r>
      <w:r>
        <w:rPr>
          <w:rFonts w:eastAsia="Calibri" w:cstheme="majorHAnsi"/>
          <w:szCs w:val="24"/>
          <w:lang w:eastAsia="en-US"/>
        </w:rPr>
        <w:t xml:space="preserve">respostas </w:t>
      </w:r>
      <w:r w:rsidR="00400761">
        <w:rPr>
          <w:rFonts w:eastAsia="Calibri" w:cstheme="majorHAnsi"/>
          <w:i/>
          <w:szCs w:val="24"/>
          <w:lang w:eastAsia="en-US"/>
        </w:rPr>
        <w:t>v</w:t>
      </w:r>
      <w:r>
        <w:rPr>
          <w:rFonts w:eastAsia="Calibri" w:cstheme="majorHAnsi"/>
          <w:i/>
          <w:szCs w:val="24"/>
          <w:lang w:eastAsia="en-US"/>
        </w:rPr>
        <w:t xml:space="preserve">ariável </w:t>
      </w:r>
      <w:r>
        <w:rPr>
          <w:rFonts w:eastAsia="Calibri" w:cstheme="majorHAnsi"/>
          <w:szCs w:val="24"/>
          <w:lang w:eastAsia="en-US"/>
        </w:rPr>
        <w:t>e a precedente questão sobre o local de colocação do queixo não obteve nenhuma.</w:t>
      </w:r>
    </w:p>
    <w:p w14:paraId="75791CB2" w14:textId="77777777" w:rsidR="001F49FD" w:rsidRDefault="00611419" w:rsidP="00BF6888">
      <w:pPr>
        <w:tabs>
          <w:tab w:val="left" w:pos="1134"/>
        </w:tabs>
        <w:ind w:firstLine="709"/>
        <w:rPr>
          <w:rFonts w:asciiTheme="majorHAnsi" w:eastAsia="Calibri" w:hAnsiTheme="majorHAnsi" w:cstheme="majorHAnsi"/>
          <w:szCs w:val="24"/>
          <w:lang w:eastAsia="en-US"/>
        </w:rPr>
      </w:pPr>
      <w:r>
        <w:rPr>
          <w:rFonts w:eastAsia="Calibri" w:cstheme="majorHAnsi"/>
          <w:szCs w:val="24"/>
          <w:lang w:eastAsia="en-US"/>
        </w:rPr>
        <w:t xml:space="preserve"> </w:t>
      </w:r>
      <w:r>
        <w:rPr>
          <w:rFonts w:eastAsia="Calibri" w:cstheme="majorHAnsi"/>
          <w:szCs w:val="24"/>
          <w:lang w:eastAsia="en-US"/>
        </w:rPr>
        <w:tab/>
        <w:t>- Do vasto número de violinistas que posiciona o queixo entre o lado esquerdo e o estandarte (36), apenas 23 direcionam a cabeça entre o centro e o espelho.</w:t>
      </w:r>
    </w:p>
    <w:p w14:paraId="66A045DC" w14:textId="3C876585"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Verificamos</w:t>
      </w:r>
      <w:r w:rsidR="00400761">
        <w:rPr>
          <w:rFonts w:eastAsia="Calibri" w:cstheme="majorHAnsi"/>
          <w:szCs w:val="24"/>
          <w:lang w:eastAsia="en-US"/>
        </w:rPr>
        <w:t>,</w:t>
      </w:r>
      <w:r>
        <w:rPr>
          <w:rFonts w:eastAsia="Calibri" w:cstheme="majorHAnsi"/>
          <w:szCs w:val="24"/>
          <w:lang w:eastAsia="en-US"/>
        </w:rPr>
        <w:t xml:space="preserve"> por fim</w:t>
      </w:r>
      <w:r w:rsidR="00400761">
        <w:rPr>
          <w:rFonts w:eastAsia="Calibri" w:cstheme="majorHAnsi"/>
          <w:szCs w:val="24"/>
          <w:lang w:eastAsia="en-US"/>
        </w:rPr>
        <w:t>,</w:t>
      </w:r>
      <w:r>
        <w:rPr>
          <w:rFonts w:eastAsia="Calibri" w:cstheme="majorHAnsi"/>
          <w:szCs w:val="24"/>
          <w:lang w:eastAsia="en-US"/>
        </w:rPr>
        <w:t xml:space="preserve"> que atualmente não há mais uma relação </w:t>
      </w:r>
      <w:r w:rsidRPr="00853593">
        <w:rPr>
          <w:rFonts w:eastAsia="Calibri" w:cstheme="majorHAnsi"/>
          <w:szCs w:val="24"/>
          <w:lang w:eastAsia="en-US"/>
        </w:rPr>
        <w:t xml:space="preserve">direta entre o </w:t>
      </w:r>
      <w:r w:rsidR="00853593" w:rsidRPr="00853593">
        <w:rPr>
          <w:rFonts w:eastAsia="Calibri" w:cstheme="majorHAnsi"/>
          <w:szCs w:val="24"/>
          <w:lang w:eastAsia="en-US"/>
        </w:rPr>
        <w:t>peso</w:t>
      </w:r>
      <w:r w:rsidRPr="00853593">
        <w:rPr>
          <w:rFonts w:eastAsia="Calibri" w:cstheme="majorHAnsi"/>
          <w:szCs w:val="24"/>
          <w:lang w:eastAsia="en-US"/>
        </w:rPr>
        <w:t xml:space="preserve"> </w:t>
      </w:r>
      <w:r>
        <w:rPr>
          <w:rFonts w:eastAsia="Calibri" w:cstheme="majorHAnsi"/>
          <w:szCs w:val="24"/>
          <w:lang w:eastAsia="en-US"/>
        </w:rPr>
        <w:t>do corpo sobre a perna esquerda e a cabeça voltada para o espelho – posição característica do século XIX –</w:t>
      </w:r>
      <w:r w:rsidR="00400761">
        <w:rPr>
          <w:rFonts w:eastAsia="Calibri" w:cstheme="majorHAnsi"/>
          <w:szCs w:val="24"/>
          <w:lang w:eastAsia="en-US"/>
        </w:rPr>
        <w:t>,</w:t>
      </w:r>
      <w:r>
        <w:rPr>
          <w:rFonts w:eastAsia="Calibri" w:cstheme="majorHAnsi"/>
          <w:szCs w:val="24"/>
          <w:lang w:eastAsia="en-US"/>
        </w:rPr>
        <w:t xml:space="preserve"> pois apenas dois violinistas (</w:t>
      </w:r>
      <w:r>
        <w:rPr>
          <w:rFonts w:eastAsia="Calibri" w:cstheme="majorHAnsi"/>
          <w:color w:val="00B050"/>
          <w:szCs w:val="24"/>
          <w:lang w:eastAsia="en-US"/>
        </w:rPr>
        <w:t xml:space="preserve">19, </w:t>
      </w:r>
      <w:r>
        <w:rPr>
          <w:rFonts w:eastAsia="Calibri" w:cstheme="majorHAnsi"/>
          <w:color w:val="C00000"/>
          <w:szCs w:val="24"/>
          <w:lang w:eastAsia="en-US"/>
        </w:rPr>
        <w:t>42</w:t>
      </w:r>
      <w:r>
        <w:rPr>
          <w:rFonts w:eastAsia="Calibri" w:cstheme="majorHAnsi"/>
          <w:szCs w:val="24"/>
          <w:lang w:eastAsia="en-US"/>
        </w:rPr>
        <w:t>) adotam as duas premissas.</w:t>
      </w:r>
    </w:p>
    <w:p w14:paraId="2DA4E5D6" w14:textId="77777777" w:rsidR="001F49FD" w:rsidRDefault="001F49FD" w:rsidP="00BF6888">
      <w:pPr>
        <w:ind w:firstLine="709"/>
        <w:rPr>
          <w:rFonts w:asciiTheme="majorHAnsi" w:eastAsia="Calibri" w:hAnsiTheme="majorHAnsi" w:cstheme="majorHAnsi"/>
          <w:szCs w:val="24"/>
          <w:lang w:eastAsia="en-US"/>
        </w:rPr>
      </w:pPr>
    </w:p>
    <w:p w14:paraId="2A11FF36"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6 - Ângulo de abertura do violino </w:t>
      </w:r>
    </w:p>
    <w:p w14:paraId="0F788480" w14:textId="6424A76C"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Apesar de não havermos encontrado definições precisas sobe esse aspecto técnico nos métodos selecionados,</w:t>
      </w:r>
      <w:r>
        <w:rPr>
          <w:rStyle w:val="Refdenotaderodap"/>
          <w:rFonts w:eastAsia="Calibri" w:cstheme="majorHAnsi"/>
          <w:szCs w:val="24"/>
          <w:lang w:eastAsia="en-US"/>
        </w:rPr>
        <w:footnoteReference w:id="51"/>
      </w:r>
      <w:r>
        <w:rPr>
          <w:rFonts w:eastAsia="Calibri" w:cstheme="majorHAnsi"/>
          <w:szCs w:val="24"/>
          <w:lang w:eastAsia="en-US"/>
        </w:rPr>
        <w:t xml:space="preserve"> os estudos sobre a História da prática do instrumento demonstram que houve, na passagem do século XIX</w:t>
      </w:r>
      <w:r>
        <w:rPr>
          <w:rFonts w:eastAsia="Calibri" w:cstheme="majorHAnsi"/>
          <w:b/>
          <w:szCs w:val="24"/>
          <w:lang w:eastAsia="en-US"/>
        </w:rPr>
        <w:t xml:space="preserve"> </w:t>
      </w:r>
      <w:r>
        <w:rPr>
          <w:rFonts w:eastAsia="Calibri" w:cstheme="majorHAnsi"/>
          <w:szCs w:val="24"/>
          <w:lang w:eastAsia="en-US"/>
        </w:rPr>
        <w:t>para o século XX, uma abertura do ângulo do violino em direção ao lado esquerdo (BROWN, 2013). Em reflexão conjunta com o coorientador nas últimas etapas do trabalho, concluímos que essa alteração está vinculada à elevação e ao avanço do cotovelo direito, ocorrido no final do século XIX, pois, se o violino continuasse na posição padrão da primeira metade desse século (na direção do ombro, à frente do violinista)</w:t>
      </w:r>
      <w:r w:rsidR="00400761">
        <w:rPr>
          <w:rFonts w:eastAsia="Calibri" w:cstheme="majorHAnsi"/>
          <w:szCs w:val="24"/>
          <w:lang w:eastAsia="en-US"/>
        </w:rPr>
        <w:t>,</w:t>
      </w:r>
      <w:r>
        <w:rPr>
          <w:rFonts w:eastAsia="Calibri" w:cstheme="majorHAnsi"/>
          <w:szCs w:val="24"/>
          <w:lang w:eastAsia="en-US"/>
        </w:rPr>
        <w:t xml:space="preserve"> o arco perderia seu paralelismo com relação ao cavalete, atravessando-se sobre as cordas. Essa ideia é corroborada por Fischer em seu preceito sobre </w:t>
      </w:r>
      <w:r>
        <w:rPr>
          <w:rFonts w:eastAsia="Calibri" w:cstheme="majorHAnsi"/>
          <w:i/>
          <w:szCs w:val="24"/>
          <w:lang w:eastAsia="en-US"/>
        </w:rPr>
        <w:t>Colocação do queix</w:t>
      </w:r>
      <w:r>
        <w:rPr>
          <w:rFonts w:eastAsia="Calibri" w:cstheme="majorHAnsi"/>
          <w:szCs w:val="24"/>
          <w:lang w:eastAsia="en-US"/>
        </w:rPr>
        <w:t>o (</w:t>
      </w:r>
      <w:r w:rsidR="00400761">
        <w:rPr>
          <w:rFonts w:eastAsia="Calibri" w:cstheme="majorHAnsi"/>
          <w:szCs w:val="24"/>
          <w:lang w:eastAsia="en-US"/>
        </w:rPr>
        <w:t>q</w:t>
      </w:r>
      <w:r>
        <w:rPr>
          <w:rFonts w:eastAsia="Calibri" w:cstheme="majorHAnsi"/>
          <w:szCs w:val="24"/>
          <w:lang w:eastAsia="en-US"/>
        </w:rPr>
        <w:t>uadro 3)</w:t>
      </w:r>
      <w:r w:rsidR="00400761">
        <w:rPr>
          <w:rFonts w:eastAsia="Calibri" w:cstheme="majorHAnsi"/>
          <w:szCs w:val="24"/>
          <w:lang w:eastAsia="en-US"/>
        </w:rPr>
        <w:t>,</w:t>
      </w:r>
      <w:r>
        <w:rPr>
          <w:rFonts w:eastAsia="Calibri" w:cstheme="majorHAnsi"/>
          <w:szCs w:val="24"/>
          <w:lang w:eastAsia="en-US"/>
        </w:rPr>
        <w:t xml:space="preserve"> quando menciona que o local do queixo depende de características anatômicas: “braços longos ou curtos”</w:t>
      </w:r>
      <w:r>
        <w:rPr>
          <w:rFonts w:eastAsia="Calibri" w:cstheme="majorHAnsi"/>
          <w:i/>
          <w:szCs w:val="24"/>
          <w:lang w:eastAsia="en-US"/>
        </w:rPr>
        <w:t xml:space="preserve">. </w:t>
      </w:r>
      <w:r>
        <w:rPr>
          <w:rFonts w:eastAsia="Calibri" w:cstheme="majorHAnsi"/>
          <w:szCs w:val="24"/>
          <w:lang w:eastAsia="en-US"/>
        </w:rPr>
        <w:t xml:space="preserve">Consideramos que o autor não está tratando do local de colocação do </w:t>
      </w:r>
      <w:r>
        <w:rPr>
          <w:rFonts w:eastAsia="Calibri" w:cstheme="majorHAnsi"/>
          <w:szCs w:val="24"/>
          <w:lang w:eastAsia="en-US"/>
        </w:rPr>
        <w:lastRenderedPageBreak/>
        <w:t xml:space="preserve">queixo em si, mas sim do ângulo de abertura do violino para favorecer o bom funcionamento do arco. </w:t>
      </w:r>
    </w:p>
    <w:p w14:paraId="1D7FD9B9"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As respostas nos indicam que o ângulo de abertura intermediário está completamente consolidado atualmente. Assim como Fischer, muitos entrevistados acrescentaram que tal opção depende do tamanho do braço. Porém, nesse numeroso grupo há violinistas das mais diversas estaturas, revelando que atualmente a opção por esse posicionamento está mais vinculada ao conceito de moderação do que a determinadas características anatômicas. Cabe notar que esse fator não é </w:t>
      </w:r>
      <w:proofErr w:type="gramStart"/>
      <w:r>
        <w:rPr>
          <w:rFonts w:eastAsia="Calibri" w:cstheme="majorHAnsi"/>
          <w:szCs w:val="24"/>
          <w:lang w:eastAsia="en-US"/>
        </w:rPr>
        <w:t>inócuo</w:t>
      </w:r>
      <w:proofErr w:type="gramEnd"/>
      <w:r>
        <w:rPr>
          <w:rFonts w:eastAsia="Calibri" w:cstheme="majorHAnsi"/>
          <w:szCs w:val="24"/>
          <w:lang w:eastAsia="en-US"/>
        </w:rPr>
        <w:t xml:space="preserve"> nos dois parâmetros mais extremos (opções </w:t>
      </w:r>
      <w:r>
        <w:rPr>
          <w:rFonts w:eastAsia="Calibri" w:cstheme="majorHAnsi"/>
          <w:i/>
          <w:szCs w:val="24"/>
          <w:lang w:eastAsia="en-US"/>
        </w:rPr>
        <w:t xml:space="preserve">a </w:t>
      </w:r>
      <w:r>
        <w:rPr>
          <w:rFonts w:eastAsia="Calibri" w:cstheme="majorHAnsi"/>
          <w:szCs w:val="24"/>
          <w:lang w:eastAsia="en-US"/>
        </w:rPr>
        <w:t>e</w:t>
      </w:r>
      <w:r>
        <w:rPr>
          <w:rFonts w:eastAsia="Calibri" w:cstheme="majorHAnsi"/>
          <w:i/>
          <w:szCs w:val="24"/>
          <w:lang w:eastAsia="en-US"/>
        </w:rPr>
        <w:t xml:space="preserve"> </w:t>
      </w:r>
      <w:r w:rsidRPr="00400761">
        <w:rPr>
          <w:rFonts w:eastAsia="Calibri" w:cstheme="majorHAnsi"/>
          <w:i/>
          <w:iCs/>
          <w:szCs w:val="24"/>
          <w:lang w:eastAsia="en-US"/>
        </w:rPr>
        <w:t>b</w:t>
      </w:r>
      <w:r>
        <w:rPr>
          <w:rFonts w:eastAsia="Calibri" w:cstheme="majorHAnsi"/>
          <w:szCs w:val="24"/>
          <w:lang w:eastAsia="en-US"/>
        </w:rPr>
        <w:t xml:space="preserve">): </w:t>
      </w:r>
    </w:p>
    <w:p w14:paraId="4CD06307"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Os três violinistas que abrem minimamente o ângulo do violino (</w:t>
      </w:r>
      <w:r>
        <w:rPr>
          <w:rFonts w:eastAsia="Calibri" w:cstheme="majorHAnsi"/>
          <w:color w:val="00B050"/>
          <w:szCs w:val="24"/>
          <w:lang w:eastAsia="en-US"/>
        </w:rPr>
        <w:t xml:space="preserve">32, 37, </w:t>
      </w:r>
      <w:r>
        <w:rPr>
          <w:rFonts w:eastAsia="Times New Roman" w:cstheme="majorHAnsi"/>
          <w:color w:val="C00000"/>
          <w:szCs w:val="24"/>
        </w:rPr>
        <w:t>42</w:t>
      </w:r>
      <w:r>
        <w:rPr>
          <w:rFonts w:eastAsia="Calibri" w:cstheme="majorHAnsi"/>
          <w:szCs w:val="24"/>
          <w:lang w:eastAsia="en-US"/>
        </w:rPr>
        <w:t>) não têm uma alta estatura ou possuem braços longos.</w:t>
      </w:r>
    </w:p>
    <w:p w14:paraId="7173CEB1" w14:textId="0EF27855"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Três (</w:t>
      </w:r>
      <w:r>
        <w:rPr>
          <w:rFonts w:eastAsia="Times New Roman" w:cstheme="majorHAnsi"/>
          <w:color w:val="0070C0"/>
          <w:szCs w:val="24"/>
        </w:rPr>
        <w:t xml:space="preserve">20, </w:t>
      </w:r>
      <w:r>
        <w:rPr>
          <w:rFonts w:eastAsia="Times New Roman" w:cstheme="majorHAnsi"/>
          <w:color w:val="00B050"/>
          <w:szCs w:val="24"/>
        </w:rPr>
        <w:t>23, 27</w:t>
      </w:r>
      <w:r>
        <w:rPr>
          <w:rFonts w:eastAsia="Times New Roman" w:cstheme="majorHAnsi"/>
          <w:szCs w:val="24"/>
        </w:rPr>
        <w:t>)</w:t>
      </w:r>
      <w:r w:rsidR="00400761">
        <w:rPr>
          <w:rFonts w:eastAsia="Times New Roman" w:cstheme="majorHAnsi"/>
          <w:szCs w:val="24"/>
        </w:rPr>
        <w:t>,</w:t>
      </w:r>
      <w:r>
        <w:rPr>
          <w:rFonts w:eastAsia="Calibri" w:cstheme="majorHAnsi"/>
          <w:szCs w:val="24"/>
          <w:lang w:eastAsia="en-US"/>
        </w:rPr>
        <w:t xml:space="preserve"> dentre os quatro violinistas que acentuam o ângulo de abertura para esquerda</w:t>
      </w:r>
      <w:r w:rsidR="00400761">
        <w:rPr>
          <w:rFonts w:eastAsia="Calibri" w:cstheme="majorHAnsi"/>
          <w:szCs w:val="24"/>
          <w:lang w:eastAsia="en-US"/>
        </w:rPr>
        <w:t>,</w:t>
      </w:r>
      <w:r>
        <w:rPr>
          <w:rFonts w:eastAsia="Calibri" w:cstheme="majorHAnsi"/>
          <w:szCs w:val="24"/>
          <w:lang w:eastAsia="en-US"/>
        </w:rPr>
        <w:t xml:space="preserve"> têm estatura acima da média e braços longos. </w:t>
      </w:r>
    </w:p>
    <w:p w14:paraId="02CD63A0" w14:textId="77777777" w:rsidR="001F49FD" w:rsidRDefault="001F49FD" w:rsidP="00BF6888">
      <w:pPr>
        <w:tabs>
          <w:tab w:val="left" w:pos="1134"/>
          <w:tab w:val="left" w:pos="1276"/>
        </w:tabs>
        <w:ind w:firstLine="709"/>
        <w:rPr>
          <w:rFonts w:asciiTheme="majorHAnsi" w:eastAsia="Calibri" w:hAnsiTheme="majorHAnsi" w:cstheme="majorHAnsi"/>
          <w:szCs w:val="24"/>
          <w:lang w:eastAsia="en-US"/>
        </w:rPr>
      </w:pPr>
    </w:p>
    <w:p w14:paraId="1C73A667" w14:textId="77777777" w:rsidR="001F49FD" w:rsidRDefault="00611419" w:rsidP="00BF6888">
      <w:pPr>
        <w:tabs>
          <w:tab w:val="left" w:pos="1134"/>
          <w:tab w:val="left" w:pos="1276"/>
        </w:tabs>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7 - Movimentação corporal</w:t>
      </w:r>
    </w:p>
    <w:p w14:paraId="1BC37685" w14:textId="734464F2" w:rsidR="001F49FD" w:rsidRDefault="00611419" w:rsidP="00BF6888">
      <w:pPr>
        <w:tabs>
          <w:tab w:val="left" w:pos="1134"/>
          <w:tab w:val="left" w:pos="1276"/>
        </w:tabs>
        <w:ind w:firstLine="709"/>
        <w:rPr>
          <w:rFonts w:asciiTheme="majorHAnsi" w:eastAsia="Calibri" w:hAnsiTheme="majorHAnsi" w:cstheme="majorHAnsi"/>
          <w:szCs w:val="24"/>
          <w:lang w:eastAsia="en-US"/>
        </w:rPr>
      </w:pPr>
      <w:r>
        <w:rPr>
          <w:rFonts w:eastAsia="Calibri" w:cstheme="majorHAnsi"/>
          <w:szCs w:val="24"/>
          <w:lang w:eastAsia="en-US"/>
        </w:rPr>
        <w:t>O grau de movimentação do corpo durante a performance é um tema que pode ser considerado estilístico e não propriamente técnico, sob o argumento de que está somente relacionado à música.  No entanto, acreditamos na relevância da questão no âmbito desta pesquisa, pois, como descreve Fischer: “Tocar violino é complexo porque, para tocar uma simples frase, várias técnicas diferentes devem ser executadas uma após a outra, geralmente em grande velocidade’’</w:t>
      </w:r>
      <w:r w:rsidR="00400761">
        <w:rPr>
          <w:rFonts w:eastAsia="Calibri" w:cstheme="majorHAnsi"/>
          <w:szCs w:val="24"/>
          <w:lang w:eastAsia="en-US"/>
        </w:rPr>
        <w:t xml:space="preserve"> </w:t>
      </w:r>
      <w:r>
        <w:rPr>
          <w:rFonts w:eastAsia="Calibri" w:cstheme="majorHAnsi"/>
          <w:szCs w:val="24"/>
          <w:lang w:eastAsia="en-US"/>
        </w:rPr>
        <w:t>(FISCHER, 1997, p. VI).</w:t>
      </w:r>
      <w:r w:rsidR="00400761">
        <w:rPr>
          <w:rFonts w:eastAsia="Calibri" w:cstheme="majorHAnsi"/>
          <w:szCs w:val="24"/>
          <w:lang w:eastAsia="en-US"/>
        </w:rPr>
        <w:t xml:space="preserve"> </w:t>
      </w:r>
      <w:r>
        <w:rPr>
          <w:rFonts w:eastAsia="Calibri" w:cstheme="majorHAnsi"/>
          <w:szCs w:val="24"/>
          <w:lang w:eastAsia="en-US"/>
        </w:rPr>
        <w:t xml:space="preserve">Nesse sentido, entendemos que a movimentação corporal é um fator que influencia a série de componentes técnicos. </w:t>
      </w:r>
    </w:p>
    <w:p w14:paraId="34A6802B" w14:textId="2C9A898F" w:rsidR="001F49FD" w:rsidRDefault="00611419" w:rsidP="00BF6888">
      <w:pPr>
        <w:tabs>
          <w:tab w:val="left" w:pos="1134"/>
          <w:tab w:val="left" w:pos="1276"/>
        </w:tabs>
        <w:ind w:firstLine="709"/>
        <w:rPr>
          <w:rFonts w:eastAsia="Calibri" w:cstheme="majorHAnsi"/>
          <w:szCs w:val="24"/>
          <w:lang w:eastAsia="en-US"/>
        </w:rPr>
      </w:pPr>
      <w:r>
        <w:rPr>
          <w:rFonts w:eastAsia="Calibri" w:cstheme="majorHAnsi"/>
          <w:szCs w:val="24"/>
          <w:lang w:eastAsia="en-US"/>
        </w:rPr>
        <w:t xml:space="preserve">Verificamos que atualmente grande parte dos violinistas prefere manter a estabilidade corporal através de uma movimentação restrita. Segundo os relatos coletados, além da ideia de foco na música, essa atitude busca preservar o controle sobre os diversos parâmetros técnicos, que estariam mais sujeitos a alterações no caso de uma movimentação acentuada. </w:t>
      </w:r>
      <w:r>
        <w:rPr>
          <w:rFonts w:eastAsia="Calibri" w:cstheme="majorHAnsi"/>
          <w:szCs w:val="24"/>
          <w:lang w:eastAsia="en-US"/>
        </w:rPr>
        <w:tab/>
        <w:t xml:space="preserve">Cabe ressaltar que alguns desses entrevistados comentaram que </w:t>
      </w:r>
      <w:r w:rsidR="00400761">
        <w:rPr>
          <w:rFonts w:eastAsia="Calibri" w:cstheme="majorHAnsi"/>
          <w:szCs w:val="24"/>
          <w:lang w:eastAsia="en-US"/>
        </w:rPr>
        <w:t xml:space="preserve">hoje em dia </w:t>
      </w:r>
      <w:r>
        <w:rPr>
          <w:rFonts w:eastAsia="Calibri" w:cstheme="majorHAnsi"/>
          <w:szCs w:val="24"/>
          <w:lang w:eastAsia="en-US"/>
        </w:rPr>
        <w:t xml:space="preserve">há um modismo de movimentos corporais exagerados. Embora isso não se confirme em nossos resultados, verificamos que o grupo que declarou se movimentar consideravelmente (opção </w:t>
      </w:r>
      <w:r>
        <w:rPr>
          <w:rFonts w:eastAsia="Calibri" w:cstheme="majorHAnsi"/>
          <w:i/>
          <w:szCs w:val="24"/>
          <w:lang w:eastAsia="en-US"/>
        </w:rPr>
        <w:t>b</w:t>
      </w:r>
      <w:r>
        <w:rPr>
          <w:rFonts w:eastAsia="Calibri" w:cstheme="majorHAnsi"/>
          <w:szCs w:val="24"/>
          <w:lang w:eastAsia="en-US"/>
        </w:rPr>
        <w:t>) é</w:t>
      </w:r>
      <w:r w:rsidR="00400761">
        <w:rPr>
          <w:rFonts w:eastAsia="Calibri" w:cstheme="majorHAnsi"/>
          <w:szCs w:val="24"/>
          <w:lang w:eastAsia="en-US"/>
        </w:rPr>
        <w:t>,</w:t>
      </w:r>
      <w:r>
        <w:rPr>
          <w:rFonts w:eastAsia="Calibri" w:cstheme="majorHAnsi"/>
          <w:szCs w:val="24"/>
          <w:lang w:eastAsia="en-US"/>
        </w:rPr>
        <w:t xml:space="preserve"> em maioria</w:t>
      </w:r>
      <w:r w:rsidR="00400761">
        <w:rPr>
          <w:rFonts w:eastAsia="Calibri" w:cstheme="majorHAnsi"/>
          <w:szCs w:val="24"/>
          <w:lang w:eastAsia="en-US"/>
        </w:rPr>
        <w:t xml:space="preserve">, </w:t>
      </w:r>
      <w:r>
        <w:rPr>
          <w:rFonts w:eastAsia="Calibri" w:cstheme="majorHAnsi"/>
          <w:szCs w:val="24"/>
          <w:lang w:eastAsia="en-US"/>
        </w:rPr>
        <w:t xml:space="preserve">composto por jovens violinistas e não contém nenhum violinista na faixa etária acima de 60 anos. </w:t>
      </w:r>
    </w:p>
    <w:p w14:paraId="6D51728F" w14:textId="77777777" w:rsidR="000A6E65" w:rsidRDefault="000A6E65" w:rsidP="00BF6888">
      <w:pPr>
        <w:tabs>
          <w:tab w:val="left" w:pos="1134"/>
          <w:tab w:val="left" w:pos="1276"/>
        </w:tabs>
        <w:ind w:firstLine="709"/>
        <w:rPr>
          <w:rFonts w:asciiTheme="majorHAnsi" w:eastAsia="Calibri" w:hAnsiTheme="majorHAnsi" w:cstheme="majorHAnsi"/>
          <w:szCs w:val="24"/>
          <w:lang w:eastAsia="en-US"/>
        </w:rPr>
      </w:pPr>
    </w:p>
    <w:p w14:paraId="728FBFC5" w14:textId="53B19737" w:rsidR="001F49FD" w:rsidRDefault="00BF6888" w:rsidP="000A6E65">
      <w:pPr>
        <w:pStyle w:val="Ttulo1"/>
      </w:pPr>
      <w:bookmarkStart w:id="133" w:name="_Toc14331051"/>
      <w:bookmarkStart w:id="134" w:name="_Toc219359053"/>
      <w:r>
        <w:lastRenderedPageBreak/>
        <w:t>4</w:t>
      </w:r>
      <w:r w:rsidR="00611419">
        <w:t>.2    Técnica de mão esquerda</w:t>
      </w:r>
      <w:bookmarkEnd w:id="133"/>
      <w:bookmarkEnd w:id="134"/>
    </w:p>
    <w:p w14:paraId="0FBCD3B8" w14:textId="77777777" w:rsidR="001F49FD" w:rsidRDefault="00611419" w:rsidP="00BF6888">
      <w:pPr>
        <w:tabs>
          <w:tab w:val="left" w:pos="709"/>
        </w:tabs>
        <w:ind w:firstLine="709"/>
        <w:contextualSpacing/>
        <w:rPr>
          <w:rFonts w:asciiTheme="majorHAnsi" w:eastAsia="Times New Roman" w:hAnsiTheme="majorHAnsi" w:cstheme="majorHAnsi"/>
          <w:b/>
          <w:szCs w:val="24"/>
        </w:rPr>
      </w:pPr>
      <w:r>
        <w:rPr>
          <w:rFonts w:eastAsia="Times New Roman" w:cstheme="majorHAnsi"/>
          <w:b/>
          <w:bCs/>
          <w:szCs w:val="24"/>
          <w:lang w:eastAsia="en-US"/>
        </w:rPr>
        <w:t xml:space="preserve">Questão </w:t>
      </w:r>
      <w:r>
        <w:rPr>
          <w:rFonts w:eastAsia="Times New Roman" w:cstheme="majorHAnsi"/>
          <w:b/>
          <w:szCs w:val="24"/>
        </w:rPr>
        <w:t>8 - Ponto de contato no braço do violino dos dedos polegar e indicador na 1ª posição:</w:t>
      </w:r>
    </w:p>
    <w:p w14:paraId="5A12E3BA" w14:textId="77777777" w:rsidR="001F49FD" w:rsidRDefault="00611419" w:rsidP="00BF6888">
      <w:pPr>
        <w:tabs>
          <w:tab w:val="left" w:pos="567"/>
          <w:tab w:val="left" w:pos="709"/>
          <w:tab w:val="left" w:pos="8505"/>
        </w:tabs>
        <w:ind w:firstLine="709"/>
        <w:contextualSpacing/>
        <w:rPr>
          <w:rFonts w:asciiTheme="majorHAnsi" w:eastAsia="Calibri" w:hAnsiTheme="majorHAnsi" w:cstheme="majorHAnsi"/>
          <w:szCs w:val="24"/>
          <w:lang w:eastAsia="en-US"/>
        </w:rPr>
      </w:pPr>
      <w:r>
        <w:rPr>
          <w:rFonts w:eastAsia="Times New Roman" w:cstheme="majorHAnsi"/>
          <w:color w:val="000000"/>
          <w:szCs w:val="24"/>
          <w:lang w:eastAsia="en-GB"/>
        </w:rPr>
        <w:t>Relembramos abaixo a</w:t>
      </w:r>
      <w:r>
        <w:rPr>
          <w:rFonts w:eastAsia="Calibri" w:cstheme="majorHAnsi"/>
          <w:szCs w:val="24"/>
          <w:lang w:eastAsia="en-US"/>
        </w:rPr>
        <w:t xml:space="preserve"> denominação das falanges, adicionando que o dedo polegar possui apenas as falanges proximal e distal:</w:t>
      </w:r>
    </w:p>
    <w:p w14:paraId="21B74504" w14:textId="77777777" w:rsidR="001F49FD" w:rsidRDefault="001F49FD">
      <w:pPr>
        <w:tabs>
          <w:tab w:val="left" w:pos="709"/>
        </w:tabs>
        <w:ind w:firstLine="0"/>
        <w:contextualSpacing/>
        <w:rPr>
          <w:rFonts w:asciiTheme="majorHAnsi" w:eastAsia="Calibri" w:hAnsiTheme="majorHAnsi" w:cstheme="majorHAnsi"/>
          <w:szCs w:val="24"/>
          <w:lang w:eastAsia="en-US"/>
        </w:rPr>
      </w:pPr>
    </w:p>
    <w:p w14:paraId="0EDF7A41" w14:textId="77777777" w:rsidR="001F49FD" w:rsidRDefault="00611419">
      <w:pPr>
        <w:tabs>
          <w:tab w:val="left" w:pos="709"/>
        </w:tabs>
        <w:ind w:firstLine="0"/>
        <w:jc w:val="center"/>
        <w:rPr>
          <w:rFonts w:asciiTheme="majorHAnsi" w:eastAsia="Calibri" w:hAnsiTheme="majorHAnsi" w:cstheme="majorHAnsi"/>
          <w:szCs w:val="24"/>
          <w:lang w:eastAsia="en-US"/>
        </w:rPr>
      </w:pPr>
      <w:r>
        <w:rPr>
          <w:noProof/>
        </w:rPr>
        <w:drawing>
          <wp:inline distT="0" distB="0" distL="0" distR="0" wp14:anchorId="61162A7E" wp14:editId="2A690BB3">
            <wp:extent cx="3095625" cy="2228850"/>
            <wp:effectExtent l="0" t="0" r="0" b="0"/>
            <wp:docPr id="13" name="Imagem 14" descr="Resultado de imagem para nomenclatura das falanges dos de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4" descr="Resultado de imagem para nomenclatura das falanges dos dedos"/>
                    <pic:cNvPicPr>
                      <a:picLocks noChangeAspect="1" noChangeArrowheads="1"/>
                    </pic:cNvPicPr>
                  </pic:nvPicPr>
                  <pic:blipFill>
                    <a:blip r:embed="rId9"/>
                    <a:stretch>
                      <a:fillRect/>
                    </a:stretch>
                  </pic:blipFill>
                  <pic:spPr bwMode="auto">
                    <a:xfrm>
                      <a:off x="0" y="0"/>
                      <a:ext cx="3095625" cy="2228850"/>
                    </a:xfrm>
                    <a:prstGeom prst="rect">
                      <a:avLst/>
                    </a:prstGeom>
                  </pic:spPr>
                </pic:pic>
              </a:graphicData>
            </a:graphic>
          </wp:inline>
        </w:drawing>
      </w:r>
    </w:p>
    <w:p w14:paraId="2E61D440" w14:textId="3783BD87" w:rsidR="001F49FD" w:rsidRDefault="00611419">
      <w:pPr>
        <w:pStyle w:val="PargrafodaLista"/>
        <w:spacing w:line="240" w:lineRule="auto"/>
        <w:ind w:left="0" w:firstLine="0"/>
        <w:jc w:val="center"/>
        <w:rPr>
          <w:rFonts w:ascii="Times New Roman" w:hAnsi="Times New Roman" w:cs="Times New Roman"/>
          <w:sz w:val="20"/>
          <w:szCs w:val="20"/>
        </w:rPr>
      </w:pPr>
      <w:r>
        <w:rPr>
          <w:rFonts w:cs="Times New Roman"/>
          <w:b/>
          <w:sz w:val="20"/>
          <w:szCs w:val="20"/>
        </w:rPr>
        <w:t>Figura 13</w:t>
      </w:r>
      <w:r>
        <w:rPr>
          <w:rFonts w:cs="Times New Roman"/>
          <w:sz w:val="20"/>
          <w:szCs w:val="20"/>
        </w:rPr>
        <w:t xml:space="preserve">: nomenclatura das articulações e falanges dos dedos. IFD = </w:t>
      </w:r>
      <w:r w:rsidR="00667934">
        <w:rPr>
          <w:rFonts w:cs="Times New Roman"/>
          <w:sz w:val="20"/>
          <w:szCs w:val="20"/>
        </w:rPr>
        <w:t>Interfalangiana</w:t>
      </w:r>
      <w:r>
        <w:rPr>
          <w:rFonts w:cs="Times New Roman"/>
          <w:sz w:val="20"/>
          <w:szCs w:val="20"/>
        </w:rPr>
        <w:t xml:space="preserve"> distal; </w:t>
      </w:r>
    </w:p>
    <w:p w14:paraId="7A185D69" w14:textId="5BC8D210" w:rsidR="001F49FD" w:rsidRDefault="00611419">
      <w:pPr>
        <w:pStyle w:val="PargrafodaLista"/>
        <w:spacing w:line="240" w:lineRule="auto"/>
        <w:ind w:left="0" w:firstLine="0"/>
        <w:jc w:val="center"/>
        <w:rPr>
          <w:rFonts w:ascii="Times New Roman" w:hAnsi="Times New Roman" w:cs="Times New Roman"/>
          <w:sz w:val="20"/>
          <w:szCs w:val="20"/>
        </w:rPr>
      </w:pPr>
      <w:r>
        <w:rPr>
          <w:rFonts w:cs="Times New Roman"/>
          <w:sz w:val="20"/>
          <w:szCs w:val="20"/>
        </w:rPr>
        <w:t xml:space="preserve">IFP = </w:t>
      </w:r>
      <w:r w:rsidR="00667934">
        <w:rPr>
          <w:rFonts w:cs="Times New Roman"/>
          <w:sz w:val="20"/>
          <w:szCs w:val="20"/>
        </w:rPr>
        <w:t>Interfalangiana</w:t>
      </w:r>
      <w:r>
        <w:rPr>
          <w:rFonts w:cs="Times New Roman"/>
          <w:sz w:val="20"/>
          <w:szCs w:val="20"/>
        </w:rPr>
        <w:t xml:space="preserve"> proximal; MCF = </w:t>
      </w:r>
      <w:r w:rsidR="00667934">
        <w:rPr>
          <w:rFonts w:cs="Times New Roman"/>
          <w:sz w:val="20"/>
          <w:szCs w:val="20"/>
        </w:rPr>
        <w:t>Metacarpo falangeana</w:t>
      </w:r>
      <w:r>
        <w:rPr>
          <w:rFonts w:cs="Times New Roman"/>
          <w:sz w:val="20"/>
          <w:szCs w:val="20"/>
        </w:rPr>
        <w:t xml:space="preserve"> (www.Anatomia do corpo.com).</w:t>
      </w:r>
    </w:p>
    <w:p w14:paraId="13C46DE6" w14:textId="77777777" w:rsidR="001F49FD" w:rsidRDefault="00611419">
      <w:pPr>
        <w:tabs>
          <w:tab w:val="left" w:pos="709"/>
        </w:tabs>
        <w:ind w:firstLine="0"/>
        <w:rPr>
          <w:rFonts w:asciiTheme="majorHAnsi" w:eastAsia="Calibri" w:hAnsiTheme="majorHAnsi" w:cstheme="majorHAnsi"/>
          <w:color w:val="FF0000"/>
          <w:szCs w:val="24"/>
          <w:lang w:eastAsia="en-US"/>
        </w:rPr>
      </w:pPr>
      <w:r>
        <w:rPr>
          <w:rFonts w:eastAsia="Calibri" w:cstheme="majorHAnsi"/>
          <w:color w:val="FF0000"/>
          <w:szCs w:val="24"/>
          <w:lang w:eastAsia="en-US"/>
        </w:rPr>
        <w:t xml:space="preserve"> </w:t>
      </w:r>
    </w:p>
    <w:p w14:paraId="71B8C1A1" w14:textId="77777777" w:rsidR="001F49FD" w:rsidRDefault="001F49FD">
      <w:pPr>
        <w:tabs>
          <w:tab w:val="left" w:pos="709"/>
        </w:tabs>
        <w:ind w:firstLine="0"/>
        <w:rPr>
          <w:rFonts w:asciiTheme="majorHAnsi" w:eastAsia="Calibri" w:hAnsiTheme="majorHAnsi" w:cstheme="majorHAnsi"/>
          <w:color w:val="FF0000"/>
          <w:szCs w:val="24"/>
          <w:lang w:eastAsia="en-US"/>
        </w:rPr>
      </w:pPr>
    </w:p>
    <w:p w14:paraId="57E93CB7" w14:textId="77777777" w:rsidR="001F49FD" w:rsidRDefault="00611419" w:rsidP="00BF6888">
      <w:pPr>
        <w:ind w:left="426" w:firstLine="283"/>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8.1 - Ponto de contato do dedo polegar </w:t>
      </w:r>
    </w:p>
    <w:p w14:paraId="29CB22CE" w14:textId="098D60A0" w:rsidR="001F49FD" w:rsidRDefault="00611419" w:rsidP="00BF6888">
      <w:pPr>
        <w:ind w:firstLine="283"/>
        <w:rPr>
          <w:rFonts w:asciiTheme="majorHAnsi" w:eastAsia="Calibri" w:hAnsiTheme="majorHAnsi" w:cstheme="majorHAnsi"/>
          <w:szCs w:val="24"/>
          <w:lang w:eastAsia="en-US"/>
        </w:rPr>
      </w:pPr>
      <w:r>
        <w:rPr>
          <w:rFonts w:eastAsia="Calibri" w:cstheme="majorHAnsi"/>
          <w:szCs w:val="24"/>
          <w:lang w:eastAsia="en-US"/>
        </w:rPr>
        <w:t>Como registrado pelos autores estudados do século XIX e por Flesch, a falange distal do dedo polegar mant</w:t>
      </w:r>
      <w:r w:rsidR="00400761">
        <w:rPr>
          <w:rFonts w:eastAsia="Calibri" w:cstheme="majorHAnsi"/>
          <w:szCs w:val="24"/>
          <w:lang w:eastAsia="en-US"/>
        </w:rPr>
        <w:t>é</w:t>
      </w:r>
      <w:r>
        <w:rPr>
          <w:rFonts w:eastAsia="Calibri" w:cstheme="majorHAnsi"/>
          <w:szCs w:val="24"/>
          <w:lang w:eastAsia="en-US"/>
        </w:rPr>
        <w:t xml:space="preserve">m-se como o ponto de contato mais utilizado, mas não pode ser considerado um local padrão devido ao número de repostas onde o braço do violino se situa na articulação </w:t>
      </w:r>
      <w:r w:rsidR="00400761">
        <w:rPr>
          <w:rFonts w:eastAsia="Calibri" w:cstheme="majorHAnsi"/>
          <w:szCs w:val="24"/>
          <w:lang w:eastAsia="en-US"/>
        </w:rPr>
        <w:t>interfalangiana</w:t>
      </w:r>
      <w:r>
        <w:rPr>
          <w:rFonts w:eastAsia="Calibri" w:cstheme="majorHAnsi"/>
          <w:szCs w:val="24"/>
          <w:lang w:eastAsia="en-US"/>
        </w:rPr>
        <w:t xml:space="preserve"> proximal (opção </w:t>
      </w:r>
      <w:r>
        <w:rPr>
          <w:rFonts w:eastAsia="Calibri" w:cstheme="majorHAnsi"/>
          <w:i/>
          <w:szCs w:val="24"/>
          <w:lang w:eastAsia="en-US"/>
        </w:rPr>
        <w:t>b</w:t>
      </w:r>
      <w:r>
        <w:rPr>
          <w:rFonts w:eastAsia="Calibri" w:cstheme="majorHAnsi"/>
          <w:szCs w:val="24"/>
          <w:lang w:eastAsia="en-US"/>
        </w:rPr>
        <w:t xml:space="preserve">), como preconizado por </w:t>
      </w:r>
      <w:proofErr w:type="spellStart"/>
      <w:r>
        <w:rPr>
          <w:rFonts w:eastAsia="Calibri" w:cstheme="majorHAnsi"/>
          <w:szCs w:val="24"/>
          <w:lang w:eastAsia="en-US"/>
        </w:rPr>
        <w:t>Auer</w:t>
      </w:r>
      <w:proofErr w:type="spellEnd"/>
      <w:r>
        <w:rPr>
          <w:rFonts w:eastAsia="Calibri" w:cstheme="majorHAnsi"/>
          <w:szCs w:val="24"/>
          <w:lang w:eastAsia="en-US"/>
        </w:rPr>
        <w:t xml:space="preserve">, ou mesmo na falange proximal (opção </w:t>
      </w:r>
      <w:r>
        <w:rPr>
          <w:rFonts w:eastAsia="Calibri" w:cstheme="majorHAnsi"/>
          <w:i/>
          <w:szCs w:val="24"/>
          <w:lang w:eastAsia="en-US"/>
        </w:rPr>
        <w:t>a</w:t>
      </w:r>
      <w:r>
        <w:rPr>
          <w:rFonts w:eastAsia="Calibri" w:cstheme="majorHAnsi"/>
          <w:szCs w:val="24"/>
          <w:lang w:eastAsia="en-US"/>
        </w:rPr>
        <w:t>).</w:t>
      </w:r>
    </w:p>
    <w:p w14:paraId="71030902" w14:textId="153B5399" w:rsidR="001F49FD" w:rsidRDefault="00611419" w:rsidP="00BF6888">
      <w:pPr>
        <w:ind w:firstLine="283"/>
        <w:rPr>
          <w:rFonts w:asciiTheme="majorHAnsi" w:eastAsia="Calibri" w:hAnsiTheme="majorHAnsi" w:cstheme="majorHAnsi"/>
          <w:szCs w:val="24"/>
          <w:lang w:eastAsia="en-US"/>
        </w:rPr>
      </w:pPr>
      <w:r>
        <w:rPr>
          <w:rFonts w:eastAsia="Calibri" w:cstheme="majorHAnsi"/>
          <w:szCs w:val="24"/>
          <w:lang w:eastAsia="en-US"/>
        </w:rPr>
        <w:t>O ponto de contato exato do dedo polegar da mão esquerda, assim como o do dedo indicador (</w:t>
      </w:r>
      <w:r w:rsidR="00667934">
        <w:rPr>
          <w:rFonts w:eastAsia="Calibri" w:cstheme="majorHAnsi"/>
          <w:szCs w:val="24"/>
          <w:lang w:eastAsia="en-US"/>
        </w:rPr>
        <w:t>q</w:t>
      </w:r>
      <w:r>
        <w:rPr>
          <w:rFonts w:eastAsia="Calibri" w:cstheme="majorHAnsi"/>
          <w:szCs w:val="24"/>
          <w:lang w:eastAsia="en-US"/>
        </w:rPr>
        <w:t xml:space="preserve">uestão 8.2) não é medido facilmente. Apesar disso, essa tentativa de localização permite compreender os dois parâmetros primordiais: a mão – e consequentemente os dedos – mais alta sobre o espelho (opções </w:t>
      </w:r>
      <w:r>
        <w:rPr>
          <w:rFonts w:eastAsia="Calibri" w:cstheme="majorHAnsi"/>
          <w:i/>
          <w:szCs w:val="24"/>
          <w:lang w:eastAsia="en-US"/>
        </w:rPr>
        <w:t>a</w:t>
      </w:r>
      <w:r>
        <w:rPr>
          <w:rFonts w:eastAsia="Calibri" w:cstheme="majorHAnsi"/>
          <w:szCs w:val="24"/>
          <w:lang w:eastAsia="en-US"/>
        </w:rPr>
        <w:t xml:space="preserve"> e </w:t>
      </w:r>
      <w:r>
        <w:rPr>
          <w:rFonts w:eastAsia="Calibri" w:cstheme="majorHAnsi"/>
          <w:i/>
          <w:szCs w:val="24"/>
          <w:lang w:eastAsia="en-US"/>
        </w:rPr>
        <w:t>b</w:t>
      </w:r>
      <w:r>
        <w:rPr>
          <w:rFonts w:eastAsia="Calibri" w:cstheme="majorHAnsi"/>
          <w:szCs w:val="24"/>
          <w:lang w:eastAsia="en-US"/>
        </w:rPr>
        <w:t xml:space="preserve">); a mão baixa sobre o espelho (opção </w:t>
      </w:r>
      <w:r>
        <w:rPr>
          <w:rFonts w:eastAsia="Calibri" w:cstheme="majorHAnsi"/>
          <w:i/>
          <w:szCs w:val="24"/>
          <w:lang w:eastAsia="en-US"/>
        </w:rPr>
        <w:t>c</w:t>
      </w:r>
      <w:r>
        <w:rPr>
          <w:rFonts w:eastAsia="Calibri" w:cstheme="majorHAnsi"/>
          <w:szCs w:val="24"/>
          <w:lang w:eastAsia="en-US"/>
        </w:rPr>
        <w:t xml:space="preserve">, falange distal). É interessante notar que o grupo que optou pelo ponto de contato onde a mão encontra-se relativamente alta sobre o espelho (opção </w:t>
      </w:r>
      <w:r>
        <w:rPr>
          <w:rFonts w:eastAsia="Calibri" w:cstheme="majorHAnsi"/>
          <w:i/>
          <w:szCs w:val="24"/>
          <w:lang w:eastAsia="en-US"/>
        </w:rPr>
        <w:t>b</w:t>
      </w:r>
      <w:r>
        <w:rPr>
          <w:rFonts w:eastAsia="Calibri" w:cstheme="majorHAnsi"/>
          <w:szCs w:val="24"/>
          <w:lang w:eastAsia="en-US"/>
        </w:rPr>
        <w:t>)</w:t>
      </w:r>
      <w:r>
        <w:rPr>
          <w:rFonts w:eastAsia="Calibri" w:cstheme="majorHAnsi"/>
          <w:i/>
          <w:szCs w:val="24"/>
          <w:lang w:eastAsia="en-US"/>
        </w:rPr>
        <w:t xml:space="preserve"> </w:t>
      </w:r>
      <w:r>
        <w:rPr>
          <w:rFonts w:eastAsia="Calibri" w:cstheme="majorHAnsi"/>
          <w:szCs w:val="24"/>
          <w:lang w:eastAsia="en-US"/>
        </w:rPr>
        <w:t xml:space="preserve">não é majoritariamente formado por violinistas com mãos pequenas ou dedos mais curtos, como seria esperado. Similarmente, o grupo que preconiza a posição da mão mais baixa sobre o espelho (opção </w:t>
      </w:r>
      <w:r>
        <w:rPr>
          <w:rFonts w:eastAsia="Calibri" w:cstheme="majorHAnsi"/>
          <w:i/>
          <w:szCs w:val="24"/>
          <w:lang w:eastAsia="en-US"/>
        </w:rPr>
        <w:t>c</w:t>
      </w:r>
      <w:r>
        <w:rPr>
          <w:rFonts w:eastAsia="Calibri" w:cstheme="majorHAnsi"/>
          <w:szCs w:val="24"/>
          <w:lang w:eastAsia="en-US"/>
        </w:rPr>
        <w:t xml:space="preserve">) é constituído por diversos padrões anatômicos, e não apenas por violinistas com dedos longos. Logo, como </w:t>
      </w:r>
      <w:r>
        <w:rPr>
          <w:rFonts w:eastAsia="Calibri" w:cstheme="majorHAnsi"/>
          <w:szCs w:val="24"/>
          <w:lang w:eastAsia="en-US"/>
        </w:rPr>
        <w:lastRenderedPageBreak/>
        <w:t>vimos previamente em alguns tópicos relativos à postura corporal, em nossos dias</w:t>
      </w:r>
      <w:r w:rsidR="00400761">
        <w:rPr>
          <w:rFonts w:eastAsia="Calibri" w:cstheme="majorHAnsi"/>
          <w:szCs w:val="24"/>
          <w:lang w:eastAsia="en-US"/>
        </w:rPr>
        <w:t>,</w:t>
      </w:r>
      <w:r>
        <w:rPr>
          <w:rFonts w:eastAsia="Calibri" w:cstheme="majorHAnsi"/>
          <w:szCs w:val="24"/>
          <w:lang w:eastAsia="en-US"/>
        </w:rPr>
        <w:t xml:space="preserve"> esse elemento técnico não está necessariamente relacionado a questões anatômicas – tal como sugerido por </w:t>
      </w:r>
      <w:proofErr w:type="spellStart"/>
      <w:r>
        <w:rPr>
          <w:rFonts w:eastAsia="Calibri" w:cstheme="majorHAnsi"/>
          <w:szCs w:val="24"/>
          <w:lang w:eastAsia="en-US"/>
        </w:rPr>
        <w:t>Galamian</w:t>
      </w:r>
      <w:proofErr w:type="spellEnd"/>
      <w:r>
        <w:rPr>
          <w:rFonts w:eastAsia="Calibri" w:cstheme="majorHAnsi"/>
          <w:szCs w:val="24"/>
          <w:lang w:eastAsia="en-US"/>
        </w:rPr>
        <w:t xml:space="preserve"> e definido por Fis</w:t>
      </w:r>
      <w:r w:rsidR="00400761">
        <w:rPr>
          <w:rFonts w:eastAsia="Calibri" w:cstheme="majorHAnsi"/>
          <w:szCs w:val="24"/>
          <w:lang w:eastAsia="en-US"/>
        </w:rPr>
        <w:t>c</w:t>
      </w:r>
      <w:r>
        <w:rPr>
          <w:rFonts w:eastAsia="Calibri" w:cstheme="majorHAnsi"/>
          <w:szCs w:val="24"/>
          <w:lang w:eastAsia="en-US"/>
        </w:rPr>
        <w:t>her – mas</w:t>
      </w:r>
      <w:r w:rsidR="00667934">
        <w:rPr>
          <w:rFonts w:eastAsia="Calibri" w:cstheme="majorHAnsi"/>
          <w:szCs w:val="24"/>
          <w:lang w:eastAsia="en-US"/>
        </w:rPr>
        <w:t>,</w:t>
      </w:r>
      <w:r>
        <w:rPr>
          <w:rFonts w:eastAsia="Calibri" w:cstheme="majorHAnsi"/>
          <w:szCs w:val="24"/>
          <w:lang w:eastAsia="en-US"/>
        </w:rPr>
        <w:t xml:space="preserve"> sim</w:t>
      </w:r>
      <w:r w:rsidR="00667934">
        <w:rPr>
          <w:rFonts w:eastAsia="Calibri" w:cstheme="majorHAnsi"/>
          <w:szCs w:val="24"/>
          <w:lang w:eastAsia="en-US"/>
        </w:rPr>
        <w:t>,</w:t>
      </w:r>
      <w:r>
        <w:rPr>
          <w:rFonts w:eastAsia="Calibri" w:cstheme="majorHAnsi"/>
          <w:szCs w:val="24"/>
          <w:lang w:eastAsia="en-US"/>
        </w:rPr>
        <w:t xml:space="preserve"> a um conceito subjetivo de funcionamento dos dedos da mão esquerda.</w:t>
      </w:r>
    </w:p>
    <w:p w14:paraId="1C7D7934" w14:textId="5578CB14"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É somente na posição mais extrema – falange proximal (opção </w:t>
      </w:r>
      <w:r>
        <w:rPr>
          <w:rFonts w:eastAsia="Calibri" w:cstheme="majorHAnsi"/>
          <w:i/>
          <w:szCs w:val="24"/>
          <w:lang w:eastAsia="en-US"/>
        </w:rPr>
        <w:t>a</w:t>
      </w:r>
      <w:r>
        <w:rPr>
          <w:rFonts w:eastAsia="Calibri" w:cstheme="majorHAnsi"/>
          <w:szCs w:val="24"/>
          <w:lang w:eastAsia="en-US"/>
        </w:rPr>
        <w:t>) – que encontramos certo padrão anatômico, pois três dentre os quatro violinistas desse grupo não possuem dedos longos (</w:t>
      </w:r>
      <w:r>
        <w:rPr>
          <w:rFonts w:cs="Times New Roman"/>
          <w:color w:val="00B050"/>
          <w:szCs w:val="24"/>
        </w:rPr>
        <w:t>30, 36, 37</w:t>
      </w:r>
      <w:r>
        <w:rPr>
          <w:rFonts w:cs="Times New Roman"/>
          <w:szCs w:val="24"/>
        </w:rPr>
        <w:t>)</w:t>
      </w:r>
      <w:r>
        <w:rPr>
          <w:rFonts w:eastAsia="Calibri" w:cstheme="majorHAnsi"/>
          <w:szCs w:val="24"/>
          <w:lang w:eastAsia="en-US"/>
        </w:rPr>
        <w:t xml:space="preserve">. </w:t>
      </w:r>
    </w:p>
    <w:p w14:paraId="149F93E3" w14:textId="0016026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Enfim, observamos que a posição da mão mais alta sobre o espelho (opções </w:t>
      </w:r>
      <w:r>
        <w:rPr>
          <w:rFonts w:eastAsia="Calibri" w:cstheme="majorHAnsi"/>
          <w:i/>
          <w:szCs w:val="24"/>
          <w:lang w:eastAsia="en-US"/>
        </w:rPr>
        <w:t xml:space="preserve">a </w:t>
      </w:r>
      <w:r>
        <w:rPr>
          <w:rFonts w:eastAsia="Calibri" w:cstheme="majorHAnsi"/>
          <w:szCs w:val="24"/>
          <w:lang w:eastAsia="en-US"/>
        </w:rPr>
        <w:t xml:space="preserve">e </w:t>
      </w:r>
      <w:r>
        <w:rPr>
          <w:rFonts w:eastAsia="Calibri" w:cstheme="majorHAnsi"/>
          <w:i/>
          <w:szCs w:val="24"/>
          <w:lang w:eastAsia="en-US"/>
        </w:rPr>
        <w:t>b</w:t>
      </w:r>
      <w:r>
        <w:rPr>
          <w:rFonts w:eastAsia="Calibri" w:cstheme="majorHAnsi"/>
          <w:szCs w:val="24"/>
          <w:lang w:eastAsia="en-US"/>
        </w:rPr>
        <w:t xml:space="preserve">) não implica, ao menos em termos conceituais, em uma maior atividade </w:t>
      </w:r>
      <w:r w:rsidR="00400761">
        <w:rPr>
          <w:rFonts w:eastAsia="Calibri" w:cstheme="majorHAnsi"/>
          <w:szCs w:val="24"/>
          <w:lang w:eastAsia="en-US"/>
        </w:rPr>
        <w:t xml:space="preserve">dos </w:t>
      </w:r>
      <w:r>
        <w:rPr>
          <w:rFonts w:eastAsia="Calibri" w:cstheme="majorHAnsi"/>
          <w:szCs w:val="24"/>
          <w:lang w:eastAsia="en-US"/>
        </w:rPr>
        <w:t>dedos, pois não verificamos sua conexão direta com uma considerável elevação dos dedos (</w:t>
      </w:r>
      <w:r w:rsidR="00400761">
        <w:rPr>
          <w:rFonts w:eastAsia="Calibri" w:cstheme="majorHAnsi"/>
          <w:szCs w:val="24"/>
          <w:lang w:eastAsia="en-US"/>
        </w:rPr>
        <w:t>q</w:t>
      </w:r>
      <w:r>
        <w:rPr>
          <w:rFonts w:eastAsia="Calibri" w:cstheme="majorHAnsi"/>
          <w:szCs w:val="24"/>
          <w:lang w:eastAsia="en-US"/>
        </w:rPr>
        <w:t>uestão 11</w:t>
      </w:r>
      <w:r>
        <w:rPr>
          <w:rFonts w:eastAsia="Calibri" w:cstheme="majorHAnsi"/>
          <w:b/>
          <w:szCs w:val="24"/>
          <w:lang w:eastAsia="en-US"/>
        </w:rPr>
        <w:t xml:space="preserve">, </w:t>
      </w:r>
      <w:r>
        <w:rPr>
          <w:rFonts w:eastAsia="Calibri" w:cstheme="majorHAnsi"/>
          <w:szCs w:val="24"/>
          <w:lang w:eastAsia="en-US"/>
        </w:rPr>
        <w:t xml:space="preserve">opção </w:t>
      </w:r>
      <w:r>
        <w:rPr>
          <w:rFonts w:eastAsia="Calibri" w:cstheme="majorHAnsi"/>
          <w:i/>
          <w:szCs w:val="24"/>
          <w:lang w:eastAsia="en-US"/>
        </w:rPr>
        <w:t>b</w:t>
      </w:r>
      <w:r>
        <w:rPr>
          <w:rFonts w:eastAsia="Calibri" w:cstheme="majorHAnsi"/>
          <w:szCs w:val="24"/>
          <w:lang w:eastAsia="en-US"/>
        </w:rPr>
        <w:t xml:space="preserve">), pois nenhum violinista reuniu essas duas alternativas técnicas. </w:t>
      </w:r>
    </w:p>
    <w:p w14:paraId="48F936B1" w14:textId="77777777" w:rsidR="001F49FD" w:rsidRDefault="001F49FD" w:rsidP="00BF6888">
      <w:pPr>
        <w:ind w:firstLine="709"/>
        <w:rPr>
          <w:rFonts w:asciiTheme="majorHAnsi" w:eastAsia="Calibri" w:hAnsiTheme="majorHAnsi" w:cstheme="majorHAnsi"/>
          <w:szCs w:val="24"/>
          <w:lang w:eastAsia="en-US"/>
        </w:rPr>
      </w:pPr>
    </w:p>
    <w:p w14:paraId="1BB40C3B" w14:textId="6766E608"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8.2 - Ponto de contato do dedo indicador</w:t>
      </w:r>
    </w:p>
    <w:p w14:paraId="6545E46F" w14:textId="188DFB55"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Quando a mão está posicionada no braço do violino (com os dedos flexionados sobre as cordas)</w:t>
      </w:r>
      <w:r w:rsidR="00400761">
        <w:rPr>
          <w:rFonts w:eastAsia="Calibri" w:cstheme="majorHAnsi"/>
          <w:szCs w:val="24"/>
          <w:lang w:eastAsia="en-US"/>
        </w:rPr>
        <w:t>,</w:t>
      </w:r>
      <w:r>
        <w:rPr>
          <w:rFonts w:eastAsia="Calibri" w:cstheme="majorHAnsi"/>
          <w:szCs w:val="24"/>
          <w:lang w:eastAsia="en-US"/>
        </w:rPr>
        <w:t xml:space="preserve"> a falange distal do dedo polegar corresponde à falange proximal do dedo indicador.  De fato, a maior parte dos violinistas cujo ponto de contato do dedo polegar se situa na falange distal respondeu a opção </w:t>
      </w:r>
      <w:r>
        <w:rPr>
          <w:rFonts w:eastAsia="Calibri" w:cstheme="majorHAnsi"/>
          <w:i/>
          <w:szCs w:val="24"/>
          <w:lang w:eastAsia="en-US"/>
        </w:rPr>
        <w:t>b</w:t>
      </w:r>
      <w:r>
        <w:rPr>
          <w:rFonts w:eastAsia="Calibri" w:cstheme="majorHAnsi"/>
          <w:szCs w:val="24"/>
          <w:lang w:eastAsia="en-US"/>
        </w:rPr>
        <w:t xml:space="preserve"> – falange proximal – para o ponto de contato do dedo indicador (</w:t>
      </w:r>
      <w:r>
        <w:rPr>
          <w:rFonts w:eastAsia="Calibri" w:cstheme="majorHAnsi"/>
          <w:color w:val="0070C0"/>
          <w:szCs w:val="24"/>
          <w:lang w:eastAsia="en-US"/>
        </w:rPr>
        <w:t>1, 2, 3, 4, 5, 6, 10, 11, 14, 16, 18</w:t>
      </w:r>
      <w:r>
        <w:rPr>
          <w:rFonts w:eastAsia="Calibri" w:cstheme="majorHAnsi"/>
          <w:szCs w:val="24"/>
          <w:lang w:eastAsia="en-US"/>
        </w:rPr>
        <w:t xml:space="preserve">, </w:t>
      </w:r>
      <w:r>
        <w:rPr>
          <w:rFonts w:eastAsia="Calibri" w:cstheme="majorHAnsi"/>
          <w:color w:val="00B050"/>
          <w:szCs w:val="24"/>
          <w:lang w:eastAsia="en-US"/>
        </w:rPr>
        <w:t xml:space="preserve">22, 23, 24 29, 38, 40, </w:t>
      </w:r>
      <w:r>
        <w:rPr>
          <w:rFonts w:eastAsia="Calibri" w:cstheme="majorHAnsi"/>
          <w:color w:val="C00000"/>
          <w:szCs w:val="24"/>
          <w:lang w:eastAsia="en-US"/>
        </w:rPr>
        <w:t>45, 46, 48</w:t>
      </w:r>
      <w:r>
        <w:rPr>
          <w:rFonts w:eastAsia="Calibri" w:cstheme="majorHAnsi"/>
          <w:szCs w:val="24"/>
          <w:lang w:eastAsia="en-US"/>
        </w:rPr>
        <w:t xml:space="preserve">), </w:t>
      </w:r>
      <w:r w:rsidR="00400761">
        <w:rPr>
          <w:rFonts w:eastAsia="Calibri" w:cstheme="majorHAnsi"/>
          <w:szCs w:val="24"/>
          <w:lang w:eastAsia="en-US"/>
        </w:rPr>
        <w:t xml:space="preserve">que nos faz observar </w:t>
      </w:r>
      <w:r>
        <w:rPr>
          <w:rFonts w:eastAsia="Calibri" w:cstheme="majorHAnsi"/>
          <w:szCs w:val="24"/>
          <w:lang w:eastAsia="en-US"/>
        </w:rPr>
        <w:t xml:space="preserve">que a incidência de violinistas que corroboram esse padrão anatômico é maior entre os violinistas mais jovens. </w:t>
      </w:r>
    </w:p>
    <w:p w14:paraId="45596E96" w14:textId="51E8BB02"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Seguindo a mesma linha de raciocínio, </w:t>
      </w:r>
      <w:r w:rsidR="00667934">
        <w:rPr>
          <w:rFonts w:eastAsia="Calibri" w:cstheme="majorHAnsi"/>
          <w:szCs w:val="24"/>
          <w:lang w:eastAsia="en-US"/>
        </w:rPr>
        <w:t>pode-se verificar</w:t>
      </w:r>
      <w:r>
        <w:rPr>
          <w:rFonts w:eastAsia="Calibri" w:cstheme="majorHAnsi"/>
          <w:szCs w:val="24"/>
          <w:lang w:eastAsia="en-US"/>
        </w:rPr>
        <w:t xml:space="preserve"> a correlação da opção </w:t>
      </w:r>
      <w:r>
        <w:rPr>
          <w:rFonts w:eastAsia="Calibri" w:cstheme="majorHAnsi"/>
          <w:i/>
          <w:szCs w:val="24"/>
          <w:lang w:eastAsia="en-US"/>
        </w:rPr>
        <w:t>a</w:t>
      </w:r>
      <w:r>
        <w:rPr>
          <w:rFonts w:eastAsia="Calibri" w:cstheme="majorHAnsi"/>
          <w:szCs w:val="24"/>
          <w:lang w:eastAsia="en-US"/>
        </w:rPr>
        <w:t xml:space="preserve"> da presente </w:t>
      </w:r>
      <w:r w:rsidR="00400761">
        <w:rPr>
          <w:rFonts w:eastAsia="Calibri" w:cstheme="majorHAnsi"/>
          <w:szCs w:val="24"/>
          <w:lang w:eastAsia="en-US"/>
        </w:rPr>
        <w:t>q</w:t>
      </w:r>
      <w:r>
        <w:rPr>
          <w:rFonts w:eastAsia="Calibri" w:cstheme="majorHAnsi"/>
          <w:szCs w:val="24"/>
          <w:lang w:eastAsia="en-US"/>
        </w:rPr>
        <w:t xml:space="preserve">uestão – </w:t>
      </w:r>
      <w:r w:rsidR="00400761">
        <w:rPr>
          <w:rFonts w:eastAsia="Calibri" w:cstheme="majorHAnsi"/>
          <w:szCs w:val="24"/>
          <w:lang w:eastAsia="en-US"/>
        </w:rPr>
        <w:t>em que</w:t>
      </w:r>
      <w:r>
        <w:rPr>
          <w:rFonts w:eastAsia="Calibri" w:cstheme="majorHAnsi"/>
          <w:szCs w:val="24"/>
          <w:lang w:eastAsia="en-US"/>
        </w:rPr>
        <w:t xml:space="preserve"> o ponto de contato do dedo indicador se localiza na articulação </w:t>
      </w:r>
      <w:r w:rsidR="00667934">
        <w:rPr>
          <w:rFonts w:eastAsia="Calibri" w:cstheme="majorHAnsi"/>
          <w:szCs w:val="24"/>
          <w:lang w:eastAsia="en-US"/>
        </w:rPr>
        <w:t>metacarpo falangeana</w:t>
      </w:r>
      <w:r>
        <w:rPr>
          <w:rFonts w:eastAsia="Calibri" w:cstheme="majorHAnsi"/>
          <w:szCs w:val="24"/>
          <w:lang w:eastAsia="en-US"/>
        </w:rPr>
        <w:t xml:space="preserve"> – com as respostas </w:t>
      </w:r>
      <w:r>
        <w:rPr>
          <w:rFonts w:eastAsia="Calibri" w:cstheme="majorHAnsi"/>
          <w:i/>
          <w:szCs w:val="24"/>
          <w:lang w:eastAsia="en-US"/>
        </w:rPr>
        <w:t xml:space="preserve">a </w:t>
      </w:r>
      <w:r>
        <w:rPr>
          <w:rFonts w:eastAsia="Calibri" w:cstheme="majorHAnsi"/>
          <w:szCs w:val="24"/>
          <w:lang w:eastAsia="en-US"/>
        </w:rPr>
        <w:t xml:space="preserve">e </w:t>
      </w:r>
      <w:r>
        <w:rPr>
          <w:rFonts w:eastAsia="Calibri" w:cstheme="majorHAnsi"/>
          <w:i/>
          <w:szCs w:val="24"/>
          <w:lang w:eastAsia="en-US"/>
        </w:rPr>
        <w:t xml:space="preserve">b </w:t>
      </w:r>
      <w:r>
        <w:rPr>
          <w:rFonts w:eastAsia="Calibri" w:cstheme="majorHAnsi"/>
          <w:szCs w:val="24"/>
          <w:lang w:eastAsia="en-US"/>
        </w:rPr>
        <w:t xml:space="preserve">da </w:t>
      </w:r>
      <w:r w:rsidR="00400761">
        <w:rPr>
          <w:rFonts w:eastAsia="Calibri" w:cstheme="majorHAnsi"/>
          <w:szCs w:val="24"/>
          <w:lang w:eastAsia="en-US"/>
        </w:rPr>
        <w:t>q</w:t>
      </w:r>
      <w:r>
        <w:rPr>
          <w:rFonts w:eastAsia="Calibri" w:cstheme="majorHAnsi"/>
          <w:szCs w:val="24"/>
          <w:lang w:eastAsia="en-US"/>
        </w:rPr>
        <w:t>uestão precedente sobre o ponto de contato do dedo polegar (mão alta sobre o espelho) e verificamos que o índice de correspondência é um pouco menor (</w:t>
      </w:r>
      <w:r>
        <w:rPr>
          <w:rFonts w:eastAsia="Calibri" w:cstheme="majorHAnsi"/>
          <w:color w:val="0070C0"/>
          <w:szCs w:val="24"/>
          <w:lang w:eastAsia="en-US"/>
        </w:rPr>
        <w:t>12, 19,</w:t>
      </w:r>
      <w:r>
        <w:rPr>
          <w:rFonts w:eastAsia="Calibri" w:cstheme="majorHAnsi"/>
          <w:b/>
          <w:color w:val="0070C0"/>
          <w:szCs w:val="24"/>
          <w:lang w:eastAsia="en-US"/>
        </w:rPr>
        <w:t xml:space="preserve"> </w:t>
      </w:r>
      <w:r>
        <w:rPr>
          <w:rFonts w:eastAsia="Calibri" w:cstheme="majorHAnsi"/>
          <w:color w:val="00B050"/>
          <w:szCs w:val="24"/>
          <w:lang w:eastAsia="en-US"/>
        </w:rPr>
        <w:t>21, 31, 33, 34, 36, 39,</w:t>
      </w:r>
      <w:r>
        <w:rPr>
          <w:rFonts w:eastAsia="Calibri" w:cstheme="majorHAnsi"/>
          <w:b/>
          <w:color w:val="00B050"/>
          <w:szCs w:val="24"/>
          <w:lang w:eastAsia="en-US"/>
        </w:rPr>
        <w:t xml:space="preserve"> </w:t>
      </w:r>
      <w:r>
        <w:rPr>
          <w:rFonts w:eastAsia="Calibri" w:cstheme="majorHAnsi"/>
          <w:color w:val="C00000"/>
          <w:szCs w:val="24"/>
          <w:lang w:eastAsia="en-US"/>
        </w:rPr>
        <w:t>41, 43</w:t>
      </w:r>
      <w:r>
        <w:rPr>
          <w:rFonts w:eastAsia="Calibri" w:cstheme="majorHAnsi"/>
          <w:szCs w:val="24"/>
          <w:lang w:eastAsia="en-US"/>
        </w:rPr>
        <w:t xml:space="preserve">). </w:t>
      </w:r>
    </w:p>
    <w:p w14:paraId="12F4386D"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Ressaltamos que poucos entrevistados demonstraram consciência sobre essas relações anatômicas. Do mesmo modo, poucos responderam prontamente às duas questões, o que revela que não é conferida grande atenção a esse elemento técnico. </w:t>
      </w:r>
    </w:p>
    <w:p w14:paraId="3E256F76" w14:textId="2D84647F" w:rsidR="001F49FD" w:rsidRDefault="00611419" w:rsidP="00BF6888">
      <w:pPr>
        <w:ind w:firstLine="709"/>
        <w:rPr>
          <w:rFonts w:asciiTheme="majorHAnsi" w:eastAsia="Times New Roman" w:hAnsiTheme="majorHAnsi" w:cstheme="majorHAnsi"/>
          <w:szCs w:val="24"/>
        </w:rPr>
      </w:pPr>
      <w:r>
        <w:rPr>
          <w:rFonts w:eastAsia="Times New Roman" w:cstheme="majorHAnsi"/>
          <w:szCs w:val="24"/>
        </w:rPr>
        <w:t xml:space="preserve">Por fim, encontramos certa conexão entre a resposta que implica no dedo indicador extremamente </w:t>
      </w:r>
      <w:proofErr w:type="spellStart"/>
      <w:r>
        <w:rPr>
          <w:rFonts w:eastAsia="Times New Roman" w:cstheme="majorHAnsi"/>
          <w:szCs w:val="24"/>
        </w:rPr>
        <w:t>baixo</w:t>
      </w:r>
      <w:proofErr w:type="spellEnd"/>
      <w:r>
        <w:rPr>
          <w:rFonts w:eastAsia="Times New Roman" w:cstheme="majorHAnsi"/>
          <w:szCs w:val="24"/>
        </w:rPr>
        <w:t xml:space="preserve"> sobre as cordas (opção</w:t>
      </w:r>
      <w:r>
        <w:rPr>
          <w:rFonts w:eastAsia="Times New Roman" w:cstheme="majorHAnsi"/>
          <w:i/>
          <w:szCs w:val="24"/>
        </w:rPr>
        <w:t xml:space="preserve"> d </w:t>
      </w:r>
      <w:r>
        <w:rPr>
          <w:rFonts w:eastAsia="Times New Roman" w:cstheme="majorHAnsi"/>
          <w:szCs w:val="24"/>
        </w:rPr>
        <w:t>– falange média) com outro elemento técnico, o direcionamento dos dedos (</w:t>
      </w:r>
      <w:r w:rsidR="00400761">
        <w:rPr>
          <w:rFonts w:eastAsia="Times New Roman" w:cstheme="majorHAnsi"/>
          <w:szCs w:val="24"/>
        </w:rPr>
        <w:t>q</w:t>
      </w:r>
      <w:r>
        <w:rPr>
          <w:rFonts w:eastAsia="Times New Roman" w:cstheme="majorHAnsi"/>
          <w:szCs w:val="24"/>
        </w:rPr>
        <w:t>uestão 10), pois três dos quatro violinistas desse grupo posicionam os dedos perpendicularmente com relação ao espelho (</w:t>
      </w:r>
      <w:r>
        <w:rPr>
          <w:rFonts w:eastAsia="Times New Roman" w:cstheme="majorHAnsi"/>
          <w:color w:val="00B050"/>
          <w:szCs w:val="24"/>
        </w:rPr>
        <w:t>27, 32, 37</w:t>
      </w:r>
      <w:r>
        <w:rPr>
          <w:rFonts w:eastAsia="Times New Roman" w:cstheme="majorHAnsi"/>
          <w:szCs w:val="24"/>
        </w:rPr>
        <w:t>).</w:t>
      </w:r>
    </w:p>
    <w:p w14:paraId="3D31CEBE" w14:textId="334825AB"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lastRenderedPageBreak/>
        <w:t>Analisando o tema dos pontos de contato dos dedos polegar e indicador em relação ao espelho em termos de continuidade histórica, os dois posicionamentos mais usuais – que, como mencionamos acima</w:t>
      </w:r>
      <w:r w:rsidR="00400761">
        <w:rPr>
          <w:rFonts w:eastAsia="Calibri" w:cstheme="majorHAnsi"/>
          <w:szCs w:val="24"/>
          <w:lang w:eastAsia="en-US"/>
        </w:rPr>
        <w:t>,</w:t>
      </w:r>
      <w:r>
        <w:rPr>
          <w:rFonts w:eastAsia="Calibri" w:cstheme="majorHAnsi"/>
          <w:szCs w:val="24"/>
          <w:lang w:eastAsia="en-US"/>
        </w:rPr>
        <w:t xml:space="preserve"> podem ser simplesmente qualificados como posição da mão </w:t>
      </w:r>
      <w:r>
        <w:rPr>
          <w:rFonts w:eastAsia="Calibri" w:cstheme="majorHAnsi"/>
          <w:i/>
          <w:szCs w:val="24"/>
          <w:lang w:eastAsia="en-US"/>
        </w:rPr>
        <w:t>elevada</w:t>
      </w:r>
      <w:r>
        <w:rPr>
          <w:rFonts w:eastAsia="Calibri" w:cstheme="majorHAnsi"/>
          <w:szCs w:val="24"/>
          <w:lang w:eastAsia="en-US"/>
        </w:rPr>
        <w:t xml:space="preserve"> ou</w:t>
      </w:r>
      <w:r>
        <w:rPr>
          <w:rFonts w:eastAsia="Calibri" w:cstheme="majorHAnsi"/>
          <w:i/>
          <w:szCs w:val="24"/>
          <w:lang w:eastAsia="en-US"/>
        </w:rPr>
        <w:t xml:space="preserve"> baixa </w:t>
      </w:r>
      <w:r>
        <w:rPr>
          <w:rFonts w:eastAsia="Calibri" w:cstheme="majorHAnsi"/>
          <w:szCs w:val="24"/>
          <w:lang w:eastAsia="en-US"/>
        </w:rPr>
        <w:t>sobre o espelho – percebemos que os violinistas do século XIX adotavam um posicionamento relativamente elevado da mão, que se acentuou</w:t>
      </w:r>
      <w:r w:rsidR="00400761">
        <w:rPr>
          <w:rFonts w:eastAsia="Calibri" w:cstheme="majorHAnsi"/>
          <w:szCs w:val="24"/>
          <w:lang w:eastAsia="en-US"/>
        </w:rPr>
        <w:t>,</w:t>
      </w:r>
      <w:r>
        <w:rPr>
          <w:rFonts w:eastAsia="Calibri" w:cstheme="majorHAnsi"/>
          <w:szCs w:val="24"/>
          <w:lang w:eastAsia="en-US"/>
        </w:rPr>
        <w:t xml:space="preserve"> em seguida</w:t>
      </w:r>
      <w:r w:rsidR="00400761">
        <w:rPr>
          <w:rFonts w:eastAsia="Calibri" w:cstheme="majorHAnsi"/>
          <w:szCs w:val="24"/>
          <w:lang w:eastAsia="en-US"/>
        </w:rPr>
        <w:t xml:space="preserve">, </w:t>
      </w:r>
      <w:r>
        <w:rPr>
          <w:rFonts w:eastAsia="Calibri" w:cstheme="majorHAnsi"/>
          <w:szCs w:val="24"/>
          <w:lang w:eastAsia="en-US"/>
        </w:rPr>
        <w:t xml:space="preserve">nas primeiras décadas do século XX, como vimos nos preceitos de </w:t>
      </w:r>
      <w:proofErr w:type="spellStart"/>
      <w:r>
        <w:rPr>
          <w:rFonts w:eastAsia="Calibri" w:cstheme="majorHAnsi"/>
          <w:szCs w:val="24"/>
          <w:lang w:eastAsia="en-US"/>
        </w:rPr>
        <w:t>Auer</w:t>
      </w:r>
      <w:proofErr w:type="spellEnd"/>
      <w:r>
        <w:rPr>
          <w:rFonts w:eastAsia="Calibri" w:cstheme="majorHAnsi"/>
          <w:szCs w:val="24"/>
          <w:lang w:eastAsia="en-US"/>
        </w:rPr>
        <w:t xml:space="preserve"> e Flesch. No entanto, a posição da mão elevada sobre o espelho não se consolidou na segunda metade do século XX e hoje há uma tendência a um posicionamento mais baixo, principalmente na faixa etária entre 20 e 40 anos, independentemente de características anatômicas.</w:t>
      </w:r>
    </w:p>
    <w:p w14:paraId="3AD536CD" w14:textId="77777777" w:rsidR="001F49FD" w:rsidRDefault="001F49FD" w:rsidP="00BF6888">
      <w:pPr>
        <w:ind w:firstLine="709"/>
        <w:rPr>
          <w:rFonts w:asciiTheme="majorHAnsi" w:eastAsia="Calibri" w:hAnsiTheme="majorHAnsi" w:cstheme="majorHAnsi"/>
          <w:b/>
          <w:szCs w:val="24"/>
          <w:lang w:eastAsia="en-US"/>
        </w:rPr>
      </w:pPr>
    </w:p>
    <w:p w14:paraId="20A41FE8" w14:textId="08D2F34D"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9 - Posicionamento do dedo indicador</w:t>
      </w:r>
    </w:p>
    <w:p w14:paraId="5368BB0E" w14:textId="6AD76D3E"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 dedo indicador encostado ao braço do violino, como recomendado por Flesch e por Fischer, é o posicionamento aplicado por uma larga maioria dos entrevistados, que demonstrou compreender que se trata de um parâmetro básico e que em certas situações, como </w:t>
      </w:r>
      <w:r w:rsidR="00400761">
        <w:rPr>
          <w:rFonts w:eastAsia="Calibri" w:cstheme="majorHAnsi"/>
          <w:szCs w:val="24"/>
          <w:lang w:eastAsia="en-US"/>
        </w:rPr>
        <w:t>n</w:t>
      </w:r>
      <w:r>
        <w:rPr>
          <w:rFonts w:eastAsia="Calibri" w:cstheme="majorHAnsi"/>
          <w:szCs w:val="24"/>
          <w:lang w:eastAsia="en-US"/>
        </w:rPr>
        <w:t xml:space="preserve">o vibrato, por exemplo, o dedo deve se destacar levemente. Muitas vezes, foi essa mesma reflexão sobre o vibrato que os conduziu à opção </w:t>
      </w:r>
      <w:r>
        <w:rPr>
          <w:rFonts w:eastAsia="Calibri" w:cstheme="majorHAnsi"/>
          <w:i/>
          <w:szCs w:val="24"/>
          <w:lang w:eastAsia="en-US"/>
        </w:rPr>
        <w:t>b</w:t>
      </w:r>
      <w:r>
        <w:rPr>
          <w:rFonts w:eastAsia="Calibri" w:cstheme="majorHAnsi"/>
          <w:szCs w:val="24"/>
          <w:lang w:eastAsia="en-US"/>
        </w:rPr>
        <w:t xml:space="preserve">, próximo do braço do violino, o que nos leva a considerar que esses dois parâmetros – encostado (opção </w:t>
      </w:r>
      <w:r>
        <w:rPr>
          <w:rFonts w:eastAsia="Calibri" w:cstheme="majorHAnsi"/>
          <w:i/>
          <w:szCs w:val="24"/>
          <w:lang w:eastAsia="en-US"/>
        </w:rPr>
        <w:t>a</w:t>
      </w:r>
      <w:r>
        <w:rPr>
          <w:rFonts w:eastAsia="Calibri" w:cstheme="majorHAnsi"/>
          <w:szCs w:val="24"/>
          <w:lang w:eastAsia="en-US"/>
        </w:rPr>
        <w:t xml:space="preserve">) ou próximo (opção </w:t>
      </w:r>
      <w:r>
        <w:rPr>
          <w:rFonts w:eastAsia="Calibri" w:cstheme="majorHAnsi"/>
          <w:i/>
          <w:szCs w:val="24"/>
          <w:lang w:eastAsia="en-US"/>
        </w:rPr>
        <w:t>b</w:t>
      </w:r>
      <w:r>
        <w:rPr>
          <w:rFonts w:eastAsia="Calibri" w:cstheme="majorHAnsi"/>
          <w:szCs w:val="24"/>
          <w:lang w:eastAsia="en-US"/>
        </w:rPr>
        <w:t xml:space="preserve">) </w:t>
      </w:r>
      <w:r w:rsidR="00400761">
        <w:rPr>
          <w:rFonts w:eastAsia="Calibri" w:cstheme="majorHAnsi"/>
          <w:szCs w:val="24"/>
          <w:lang w:eastAsia="en-US"/>
        </w:rPr>
        <w:t>a</w:t>
      </w:r>
      <w:r>
        <w:rPr>
          <w:rFonts w:eastAsia="Calibri" w:cstheme="majorHAnsi"/>
          <w:szCs w:val="24"/>
          <w:lang w:eastAsia="en-US"/>
        </w:rPr>
        <w:t xml:space="preserve">o braço do violino – pertencem ao mesmo conceito: uma referência tátil, principalmente para as mudanças de posição, mas que não é permanente.  </w:t>
      </w:r>
    </w:p>
    <w:p w14:paraId="73DCF5A1" w14:textId="7E93F9A9"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O posicionamento</w:t>
      </w:r>
      <w:r>
        <w:rPr>
          <w:rFonts w:eastAsia="Calibri" w:cstheme="majorHAnsi"/>
          <w:i/>
          <w:szCs w:val="24"/>
          <w:lang w:eastAsia="en-US"/>
        </w:rPr>
        <w:t xml:space="preserve"> </w:t>
      </w:r>
      <w:r>
        <w:rPr>
          <w:rFonts w:eastAsia="Calibri" w:cstheme="majorHAnsi"/>
          <w:szCs w:val="24"/>
          <w:lang w:eastAsia="en-US"/>
        </w:rPr>
        <w:t>distanciado do braço do violino</w:t>
      </w:r>
      <w:r>
        <w:rPr>
          <w:rFonts w:eastAsia="Calibri" w:cstheme="majorHAnsi"/>
          <w:i/>
          <w:szCs w:val="24"/>
          <w:lang w:eastAsia="en-US"/>
        </w:rPr>
        <w:t xml:space="preserve"> </w:t>
      </w:r>
      <w:r>
        <w:rPr>
          <w:rFonts w:eastAsia="Calibri" w:cstheme="majorHAnsi"/>
          <w:szCs w:val="24"/>
          <w:lang w:eastAsia="en-US"/>
        </w:rPr>
        <w:t xml:space="preserve">(opção </w:t>
      </w:r>
      <w:r>
        <w:rPr>
          <w:rFonts w:eastAsia="Calibri" w:cstheme="majorHAnsi"/>
          <w:i/>
          <w:szCs w:val="24"/>
          <w:lang w:eastAsia="en-US"/>
        </w:rPr>
        <w:t>b</w:t>
      </w:r>
      <w:r>
        <w:rPr>
          <w:rFonts w:eastAsia="Calibri" w:cstheme="majorHAnsi"/>
          <w:szCs w:val="24"/>
          <w:lang w:eastAsia="en-US"/>
        </w:rPr>
        <w:t>) revelou-se uma exceção e por isso observamos as particularidades de cada membro desse grupo: as violinistas (</w:t>
      </w:r>
      <w:r>
        <w:rPr>
          <w:rFonts w:eastAsia="Times New Roman" w:cstheme="majorHAnsi"/>
          <w:color w:val="0070C0"/>
          <w:szCs w:val="24"/>
        </w:rPr>
        <w:t xml:space="preserve">16 e </w:t>
      </w:r>
      <w:r>
        <w:rPr>
          <w:rFonts w:eastAsia="Times New Roman" w:cstheme="majorHAnsi"/>
          <w:color w:val="00B050"/>
          <w:szCs w:val="24"/>
        </w:rPr>
        <w:t>37</w:t>
      </w:r>
      <w:r>
        <w:rPr>
          <w:rFonts w:eastAsia="Times New Roman" w:cstheme="majorHAnsi"/>
          <w:szCs w:val="24"/>
        </w:rPr>
        <w:t>) não possuem dedos longos e direcionam os dedos perpendicularmente com relação ao espelho (</w:t>
      </w:r>
      <w:r w:rsidR="00400761">
        <w:rPr>
          <w:rFonts w:eastAsia="Times New Roman" w:cstheme="majorHAnsi"/>
          <w:szCs w:val="24"/>
        </w:rPr>
        <w:t>q</w:t>
      </w:r>
      <w:r>
        <w:rPr>
          <w:rFonts w:eastAsia="Times New Roman" w:cstheme="majorHAnsi"/>
          <w:szCs w:val="24"/>
        </w:rPr>
        <w:t xml:space="preserve">uestão 10). </w:t>
      </w:r>
      <w:r>
        <w:rPr>
          <w:rFonts w:eastAsia="Calibri" w:cstheme="majorHAnsi"/>
          <w:szCs w:val="24"/>
          <w:lang w:eastAsia="en-US"/>
        </w:rPr>
        <w:t>O violinista (</w:t>
      </w:r>
      <w:r>
        <w:rPr>
          <w:rFonts w:eastAsia="Calibri" w:cstheme="majorHAnsi"/>
          <w:color w:val="00B050"/>
          <w:szCs w:val="24"/>
          <w:lang w:eastAsia="en-US"/>
        </w:rPr>
        <w:t>25</w:t>
      </w:r>
      <w:r>
        <w:rPr>
          <w:rFonts w:eastAsia="Calibri" w:cstheme="majorHAnsi"/>
          <w:szCs w:val="24"/>
          <w:lang w:eastAsia="en-US"/>
        </w:rPr>
        <w:t xml:space="preserve">) possui dedos extremamente longos e relatou na entrevista sua necessidade de distanciá-los do braço do violino para acioná-los confortavelmente. </w:t>
      </w:r>
    </w:p>
    <w:p w14:paraId="7EC810C1"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Concluímos assim que, salvo exceções, o posicionamento do dedo indicador tem um parâmetro consolidado no século XXI: encostado ao braço do violino, mas com liberdade para se destacar levemente.</w:t>
      </w:r>
    </w:p>
    <w:p w14:paraId="5C37B246" w14:textId="77777777" w:rsidR="001F49FD" w:rsidRDefault="001F49FD" w:rsidP="00BF6888">
      <w:pPr>
        <w:ind w:firstLine="709"/>
        <w:rPr>
          <w:rFonts w:asciiTheme="majorHAnsi" w:eastAsia="Calibri" w:hAnsiTheme="majorHAnsi" w:cstheme="majorHAnsi"/>
          <w:b/>
          <w:szCs w:val="24"/>
          <w:lang w:eastAsia="en-US"/>
        </w:rPr>
      </w:pPr>
    </w:p>
    <w:p w14:paraId="5FBF1280" w14:textId="0DDDD351" w:rsidR="001F49FD" w:rsidRDefault="00611419" w:rsidP="00BF6888">
      <w:pPr>
        <w:ind w:left="426" w:firstLine="283"/>
        <w:rPr>
          <w:rFonts w:asciiTheme="majorHAnsi" w:eastAsia="Calibri" w:hAnsiTheme="majorHAnsi" w:cstheme="majorHAnsi"/>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10 - Direcionamento dos dedos em relação ao espelho</w:t>
      </w:r>
    </w:p>
    <w:p w14:paraId="4035A7FE" w14:textId="2574C60C"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Como mencionado no </w:t>
      </w:r>
      <w:r w:rsidR="00400761" w:rsidRPr="00667934">
        <w:rPr>
          <w:rFonts w:eastAsia="Calibri" w:cstheme="majorHAnsi"/>
          <w:szCs w:val="24"/>
          <w:lang w:eastAsia="en-US"/>
        </w:rPr>
        <w:t>c</w:t>
      </w:r>
      <w:r w:rsidRPr="00667934">
        <w:rPr>
          <w:rFonts w:eastAsia="Calibri" w:cstheme="majorHAnsi"/>
          <w:szCs w:val="24"/>
          <w:lang w:eastAsia="en-US"/>
        </w:rPr>
        <w:t xml:space="preserve">apítulo </w:t>
      </w:r>
      <w:r w:rsidR="00667934">
        <w:rPr>
          <w:rFonts w:eastAsia="Calibri" w:cstheme="majorHAnsi"/>
          <w:szCs w:val="24"/>
          <w:lang w:eastAsia="en-US"/>
        </w:rPr>
        <w:t>3</w:t>
      </w:r>
      <w:r>
        <w:rPr>
          <w:rFonts w:eastAsia="Calibri" w:cstheme="majorHAnsi"/>
          <w:szCs w:val="24"/>
          <w:lang w:eastAsia="en-US"/>
        </w:rPr>
        <w:t xml:space="preserve">, o direcionamento dos dedos, resultante do ângulo da mão com relação ao espelho, é um tema que revela concepções antagônicas da técnica de mão esquerda: ao acionar os dedos na direção das cordas, o violinista mantém uma supinação moderada ou nula do antebraço esquerdo, mas está permanentemente lidando com os </w:t>
      </w:r>
      <w:r>
        <w:rPr>
          <w:rFonts w:eastAsia="Calibri" w:cstheme="majorHAnsi"/>
          <w:szCs w:val="24"/>
          <w:lang w:eastAsia="en-US"/>
        </w:rPr>
        <w:lastRenderedPageBreak/>
        <w:t xml:space="preserve">diferentes tamanhos de cada dedo. Em contrapartida, o direcionamento perpendicular minimiza a variação anatômica dos dedos – igualando-os tal como os martelos de um piano –, mas implica em uma supinação antinatural do antebraço. </w:t>
      </w:r>
    </w:p>
    <w:p w14:paraId="657A9FE6" w14:textId="70C389EB"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Os resultados da </w:t>
      </w:r>
      <w:r w:rsidR="00400761">
        <w:rPr>
          <w:rFonts w:eastAsia="Calibri" w:cstheme="majorHAnsi"/>
          <w:szCs w:val="24"/>
          <w:lang w:eastAsia="en-US"/>
        </w:rPr>
        <w:t>e</w:t>
      </w:r>
      <w:r>
        <w:rPr>
          <w:rFonts w:eastAsia="Calibri" w:cstheme="majorHAnsi"/>
          <w:szCs w:val="24"/>
          <w:lang w:eastAsia="en-US"/>
        </w:rPr>
        <w:t>ntrevista indicam que, apesar de haver uma predominância do direcionamento dos dedos ao longo das cordas,</w:t>
      </w:r>
      <w:r>
        <w:rPr>
          <w:rFonts w:eastAsia="Calibri" w:cstheme="majorHAnsi"/>
          <w:b/>
          <w:szCs w:val="24"/>
          <w:lang w:eastAsia="en-US"/>
        </w:rPr>
        <w:t xml:space="preserve"> </w:t>
      </w:r>
      <w:r>
        <w:rPr>
          <w:rFonts w:eastAsia="Calibri" w:cstheme="majorHAnsi"/>
          <w:szCs w:val="24"/>
          <w:lang w:eastAsia="en-US"/>
        </w:rPr>
        <w:t>ainda se preconiza a relação de perpendicularidade entre os dedos e as cordas. Observamos que a maior parte desse grupo de violinistas não tem estatura elevada – não tendo possivelmente mãos grandes ou dedos longos –, empregando</w:t>
      </w:r>
      <w:r w:rsidR="00667934">
        <w:rPr>
          <w:rFonts w:eastAsia="Calibri" w:cstheme="majorHAnsi"/>
          <w:szCs w:val="24"/>
          <w:lang w:eastAsia="en-US"/>
        </w:rPr>
        <w:t>,</w:t>
      </w:r>
      <w:r>
        <w:rPr>
          <w:rFonts w:eastAsia="Calibri" w:cstheme="majorHAnsi"/>
          <w:szCs w:val="24"/>
          <w:lang w:eastAsia="en-US"/>
        </w:rPr>
        <w:t xml:space="preserve"> então</w:t>
      </w:r>
      <w:r w:rsidR="00667934">
        <w:rPr>
          <w:rFonts w:eastAsia="Calibri" w:cstheme="majorHAnsi"/>
          <w:szCs w:val="24"/>
          <w:lang w:eastAsia="en-US"/>
        </w:rPr>
        <w:t>,</w:t>
      </w:r>
      <w:r>
        <w:rPr>
          <w:rFonts w:eastAsia="Calibri" w:cstheme="majorHAnsi"/>
          <w:szCs w:val="24"/>
          <w:lang w:eastAsia="en-US"/>
        </w:rPr>
        <w:t xml:space="preserve"> esse posicionamento que facilita o alcance dos dedos nas cordas, principalmente o dedo mínimo, como estabelecido por Spohr. Assim</w:t>
      </w:r>
      <w:r w:rsidR="0041386F">
        <w:rPr>
          <w:rFonts w:eastAsia="Calibri" w:cstheme="majorHAnsi"/>
          <w:szCs w:val="24"/>
          <w:lang w:eastAsia="en-US"/>
        </w:rPr>
        <w:t>,</w:t>
      </w:r>
      <w:r>
        <w:rPr>
          <w:rFonts w:eastAsia="Calibri" w:cstheme="majorHAnsi"/>
          <w:szCs w:val="24"/>
          <w:lang w:eastAsia="en-US"/>
        </w:rPr>
        <w:t xml:space="preserve"> concluímos que a característica anatômica tem maior grau de influência para a questão do direcionamento dos dedos em relação ao espelho do que para os demais elementos da técnica de mão esquerda.</w:t>
      </w:r>
    </w:p>
    <w:p w14:paraId="2C553896" w14:textId="700E27A1"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Por fim, verificamos uma conexão direta entre os parâmetros predominantes das </w:t>
      </w:r>
      <w:r w:rsidR="0041386F">
        <w:rPr>
          <w:rFonts w:eastAsia="Calibri" w:cstheme="majorHAnsi"/>
          <w:szCs w:val="24"/>
          <w:lang w:eastAsia="en-US"/>
        </w:rPr>
        <w:t>q</w:t>
      </w:r>
      <w:r>
        <w:rPr>
          <w:rFonts w:eastAsia="Calibri" w:cstheme="majorHAnsi"/>
          <w:szCs w:val="24"/>
          <w:lang w:eastAsia="en-US"/>
        </w:rPr>
        <w:t xml:space="preserve">uestões 9 e 10: a maior parte dos entrevistados que mantém o dedo indicador encostado (ou próximo) </w:t>
      </w:r>
      <w:r w:rsidR="0041386F">
        <w:rPr>
          <w:rFonts w:eastAsia="Calibri" w:cstheme="majorHAnsi"/>
          <w:szCs w:val="24"/>
          <w:lang w:eastAsia="en-US"/>
        </w:rPr>
        <w:t>ao</w:t>
      </w:r>
      <w:r>
        <w:rPr>
          <w:rFonts w:eastAsia="Calibri" w:cstheme="majorHAnsi"/>
          <w:szCs w:val="24"/>
          <w:lang w:eastAsia="en-US"/>
        </w:rPr>
        <w:t xml:space="preserve"> braço do violino aciona os dedos na direção das cordas (34/45), o que vincula ainda mais os dois parâmetros. </w:t>
      </w:r>
    </w:p>
    <w:p w14:paraId="5C6899E6" w14:textId="77777777" w:rsidR="001F49FD" w:rsidRDefault="001F49FD">
      <w:pPr>
        <w:ind w:firstLine="0"/>
        <w:rPr>
          <w:rFonts w:asciiTheme="majorHAnsi" w:eastAsia="Calibri" w:hAnsiTheme="majorHAnsi" w:cstheme="majorHAnsi"/>
          <w:szCs w:val="24"/>
          <w:lang w:eastAsia="en-US"/>
        </w:rPr>
      </w:pPr>
    </w:p>
    <w:p w14:paraId="33E4EA5E" w14:textId="77777777" w:rsidR="001F49FD" w:rsidRDefault="00611419" w:rsidP="00BF6888">
      <w:pPr>
        <w:ind w:firstLine="709"/>
        <w:jc w:val="left"/>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11 - Grau de elevação dos dedos</w:t>
      </w:r>
    </w:p>
    <w:p w14:paraId="6FFFDB82"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As respostas nos indicam que a manutenção dos dedos próximos ao espelho, preconizada ao fim do último século sob o conceito de economia de energia, permanece como a principal premissa em nosso tempo. Não é desprezível, no entanto, o número de violinistas que são contrários a esse paradigma, comprovando que a concepção de uma técnica de mão esquerda onde os dedos devem se articular mais intensamente se faz presente. Nesse grupo, formado majoritariamente por violinistas jovens,</w:t>
      </w:r>
      <w:r>
        <w:rPr>
          <w:rFonts w:eastAsia="Calibri" w:cstheme="majorHAnsi"/>
          <w:b/>
          <w:szCs w:val="24"/>
          <w:lang w:eastAsia="en-US"/>
        </w:rPr>
        <w:t xml:space="preserve"> </w:t>
      </w:r>
      <w:r>
        <w:rPr>
          <w:rFonts w:eastAsia="Calibri" w:cstheme="majorHAnsi"/>
          <w:szCs w:val="24"/>
          <w:lang w:eastAsia="en-US"/>
        </w:rPr>
        <w:t>seis entre os onze têm professores de origem russa em suas formações ou citados em suas genealogias (</w:t>
      </w:r>
      <w:r>
        <w:rPr>
          <w:rFonts w:eastAsia="Calibri" w:cstheme="majorHAnsi"/>
          <w:color w:val="0070C0"/>
          <w:szCs w:val="24"/>
          <w:lang w:eastAsia="en-US"/>
        </w:rPr>
        <w:t>2, 5, 6, 10, 19</w:t>
      </w:r>
      <w:r>
        <w:rPr>
          <w:rFonts w:eastAsia="Calibri" w:cstheme="majorHAnsi"/>
          <w:szCs w:val="24"/>
          <w:lang w:eastAsia="en-US"/>
        </w:rPr>
        <w:t xml:space="preserve">, </w:t>
      </w:r>
      <w:r>
        <w:rPr>
          <w:rFonts w:eastAsia="Calibri" w:cstheme="majorHAnsi"/>
          <w:color w:val="00B050"/>
          <w:szCs w:val="24"/>
          <w:lang w:eastAsia="en-US"/>
        </w:rPr>
        <w:t>21</w:t>
      </w:r>
      <w:r>
        <w:rPr>
          <w:rFonts w:eastAsia="Calibri" w:cstheme="majorHAnsi"/>
          <w:szCs w:val="24"/>
          <w:lang w:eastAsia="en-US"/>
        </w:rPr>
        <w:t>).</w:t>
      </w:r>
    </w:p>
    <w:p w14:paraId="4594EF61" w14:textId="6D93C4E5"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Tivemos a cautela de utilizar o termo </w:t>
      </w:r>
      <w:r w:rsidR="0041386F">
        <w:rPr>
          <w:rFonts w:eastAsia="Calibri" w:cstheme="majorHAnsi"/>
          <w:i/>
          <w:szCs w:val="24"/>
          <w:lang w:eastAsia="en-US"/>
        </w:rPr>
        <w:t>p</w:t>
      </w:r>
      <w:r>
        <w:rPr>
          <w:rFonts w:eastAsia="Calibri" w:cstheme="majorHAnsi"/>
          <w:i/>
          <w:szCs w:val="24"/>
          <w:lang w:eastAsia="en-US"/>
        </w:rPr>
        <w:t xml:space="preserve">rioritariamente </w:t>
      </w:r>
      <w:r>
        <w:rPr>
          <w:rFonts w:eastAsia="Calibri" w:cstheme="majorHAnsi"/>
          <w:szCs w:val="24"/>
          <w:lang w:eastAsia="en-US"/>
        </w:rPr>
        <w:t>para a opção que propõe a proximidade dos dedos para com o espelho, esclarecendo, ao mesmo tempo, que o conceito de variabilidade em função de contextos especiais já estaria implícito. Ainda assim</w:t>
      </w:r>
      <w:r w:rsidR="0041386F">
        <w:rPr>
          <w:rFonts w:eastAsia="Calibri" w:cstheme="majorHAnsi"/>
          <w:szCs w:val="24"/>
          <w:lang w:eastAsia="en-US"/>
        </w:rPr>
        <w:t>,</w:t>
      </w:r>
      <w:r>
        <w:rPr>
          <w:rFonts w:eastAsia="Calibri" w:cstheme="majorHAnsi"/>
          <w:szCs w:val="24"/>
          <w:lang w:eastAsia="en-US"/>
        </w:rPr>
        <w:t xml:space="preserve"> o número de violinistas que se recusou a responder a uma das opções foi expressivo, relatando que alternam conscientemente as duas técnicas. Para esses, a principal justificativa foi:  </w:t>
      </w:r>
    </w:p>
    <w:p w14:paraId="7DB03E77" w14:textId="77777777" w:rsidR="001F49FD" w:rsidRDefault="00611419">
      <w:pPr>
        <w:rPr>
          <w:rFonts w:asciiTheme="majorHAnsi" w:eastAsia="Calibri" w:hAnsiTheme="majorHAnsi" w:cstheme="majorHAnsi"/>
          <w:szCs w:val="24"/>
          <w:lang w:eastAsia="en-US"/>
        </w:rPr>
      </w:pPr>
      <w:r>
        <w:rPr>
          <w:rFonts w:eastAsia="Calibri" w:cstheme="majorHAnsi"/>
          <w:szCs w:val="24"/>
          <w:lang w:eastAsia="en-US"/>
        </w:rPr>
        <w:t>- Trechos técnicos: grau considerável de elevação dos dedos.</w:t>
      </w:r>
    </w:p>
    <w:p w14:paraId="6D596073" w14:textId="77777777" w:rsidR="001F49FD" w:rsidRDefault="00611419">
      <w:pPr>
        <w:rPr>
          <w:rFonts w:asciiTheme="majorHAnsi" w:eastAsia="Calibri" w:hAnsiTheme="majorHAnsi" w:cstheme="majorHAnsi"/>
          <w:szCs w:val="24"/>
          <w:lang w:eastAsia="en-US"/>
        </w:rPr>
      </w:pPr>
      <w:r>
        <w:rPr>
          <w:rFonts w:eastAsia="Calibri" w:cstheme="majorHAnsi"/>
          <w:szCs w:val="24"/>
          <w:lang w:eastAsia="en-US"/>
        </w:rPr>
        <w:t>- Trechos expressivos: dedos prioritariamente próximos ao espelho.</w:t>
      </w:r>
    </w:p>
    <w:p w14:paraId="18D61A7C" w14:textId="77777777" w:rsidR="001F49FD" w:rsidRDefault="00611419">
      <w:pPr>
        <w:rPr>
          <w:rFonts w:asciiTheme="majorHAnsi" w:eastAsia="Calibri" w:hAnsiTheme="majorHAnsi" w:cstheme="majorHAnsi"/>
          <w:szCs w:val="24"/>
          <w:lang w:eastAsia="en-US"/>
        </w:rPr>
      </w:pPr>
      <w:r>
        <w:rPr>
          <w:rFonts w:eastAsia="Calibri" w:cstheme="majorHAnsi"/>
          <w:szCs w:val="24"/>
          <w:lang w:eastAsia="en-US"/>
        </w:rPr>
        <w:t>- Depende da articulação.</w:t>
      </w:r>
    </w:p>
    <w:p w14:paraId="12606E02" w14:textId="5AAD0478" w:rsidR="001F49FD" w:rsidRDefault="00611419" w:rsidP="00BF6888">
      <w:pPr>
        <w:rPr>
          <w:rFonts w:asciiTheme="majorHAnsi" w:eastAsia="Calibri" w:hAnsiTheme="majorHAnsi" w:cstheme="majorHAnsi"/>
          <w:szCs w:val="24"/>
          <w:lang w:eastAsia="en-US"/>
        </w:rPr>
      </w:pPr>
      <w:r>
        <w:rPr>
          <w:rFonts w:eastAsia="Calibri" w:cstheme="majorHAnsi"/>
          <w:szCs w:val="24"/>
          <w:lang w:eastAsia="en-US"/>
        </w:rPr>
        <w:t>- Depende do repertório.</w:t>
      </w:r>
    </w:p>
    <w:p w14:paraId="18690557"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lastRenderedPageBreak/>
        <w:t>Diversos violinistas que preconizam a manutenção dos dedos próximos ao espelho, relataram que procuram elevá-los durante o estudo, mas não necessariamente durante a performance. Por fim, não encontramos conexões evidentes entre o grau de elevação dos dedos e os precedentes parâmetros, o que mostra que esse tema se aparta dos elementos propriamente posturais da técnica de mão esquerda.</w:t>
      </w:r>
    </w:p>
    <w:p w14:paraId="0FFEA071" w14:textId="2E2C81ED" w:rsidR="001F49FD" w:rsidRDefault="00BF6888" w:rsidP="00BF6888">
      <w:pPr>
        <w:pStyle w:val="Ttulo2"/>
      </w:pPr>
      <w:bookmarkStart w:id="135" w:name="_Toc219359054"/>
      <w:r>
        <w:t>4</w:t>
      </w:r>
      <w:r w:rsidR="00611419">
        <w:t>.3    Técnica de arco</w:t>
      </w:r>
      <w:bookmarkEnd w:id="135"/>
    </w:p>
    <w:p w14:paraId="365DCD9E" w14:textId="38B5622D"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Na análise comparativa </w:t>
      </w:r>
      <w:r w:rsidRPr="00667934">
        <w:rPr>
          <w:rFonts w:eastAsia="Calibri" w:cstheme="majorHAnsi"/>
          <w:szCs w:val="24"/>
          <w:lang w:eastAsia="en-US"/>
        </w:rPr>
        <w:t xml:space="preserve">do </w:t>
      </w:r>
      <w:r w:rsidR="0041386F" w:rsidRPr="00667934">
        <w:rPr>
          <w:rFonts w:eastAsia="Calibri" w:cstheme="majorHAnsi"/>
          <w:szCs w:val="24"/>
          <w:lang w:eastAsia="en-US"/>
        </w:rPr>
        <w:t>c</w:t>
      </w:r>
      <w:r w:rsidRPr="00667934">
        <w:rPr>
          <w:rFonts w:eastAsia="Calibri" w:cstheme="majorHAnsi"/>
          <w:szCs w:val="24"/>
          <w:lang w:eastAsia="en-US"/>
        </w:rPr>
        <w:t xml:space="preserve">apítulo </w:t>
      </w:r>
      <w:r w:rsidR="00667934" w:rsidRPr="00667934">
        <w:rPr>
          <w:rFonts w:eastAsia="Calibri" w:cstheme="majorHAnsi"/>
          <w:szCs w:val="24"/>
          <w:lang w:eastAsia="en-US"/>
        </w:rPr>
        <w:t>3,</w:t>
      </w:r>
      <w:r w:rsidRPr="00667934">
        <w:rPr>
          <w:rFonts w:eastAsia="Calibri" w:cstheme="majorHAnsi"/>
          <w:szCs w:val="24"/>
          <w:lang w:eastAsia="en-US"/>
        </w:rPr>
        <w:t xml:space="preserve"> </w:t>
      </w:r>
      <w:r>
        <w:rPr>
          <w:rFonts w:eastAsia="Calibri" w:cstheme="majorHAnsi"/>
          <w:szCs w:val="24"/>
          <w:lang w:eastAsia="en-US"/>
        </w:rPr>
        <w:t xml:space="preserve">o </w:t>
      </w:r>
      <w:r w:rsidR="0041386F">
        <w:rPr>
          <w:rFonts w:eastAsia="Calibri" w:cstheme="majorHAnsi"/>
          <w:szCs w:val="24"/>
          <w:lang w:eastAsia="en-US"/>
        </w:rPr>
        <w:t>q</w:t>
      </w:r>
      <w:r>
        <w:rPr>
          <w:rFonts w:eastAsia="Calibri" w:cstheme="majorHAnsi"/>
          <w:szCs w:val="24"/>
          <w:lang w:eastAsia="en-US"/>
        </w:rPr>
        <w:t xml:space="preserve">uadro 10 reúne dois pontos: a distribuição do espaço entre os dedos e o ponto de contato do dedo indicador. Além de averiguarmos esses dois elementos técnicos junto aos violinistas contemporâneos, adicionamos </w:t>
      </w:r>
      <w:proofErr w:type="spellStart"/>
      <w:r w:rsidR="0041386F">
        <w:rPr>
          <w:rFonts w:eastAsia="Calibri" w:cstheme="majorHAnsi"/>
          <w:szCs w:val="24"/>
          <w:lang w:eastAsia="en-US"/>
        </w:rPr>
        <w:t>á</w:t>
      </w:r>
      <w:proofErr w:type="spellEnd"/>
      <w:r w:rsidR="0041386F">
        <w:rPr>
          <w:rFonts w:eastAsia="Calibri" w:cstheme="majorHAnsi"/>
          <w:szCs w:val="24"/>
          <w:lang w:eastAsia="en-US"/>
        </w:rPr>
        <w:t xml:space="preserve"> e</w:t>
      </w:r>
      <w:r>
        <w:rPr>
          <w:rFonts w:eastAsia="Calibri" w:cstheme="majorHAnsi"/>
          <w:szCs w:val="24"/>
          <w:lang w:eastAsia="en-US"/>
        </w:rPr>
        <w:t xml:space="preserve">ntrevista a pergunta sobre o ponto de contato do dedo médio – </w:t>
      </w:r>
      <w:r w:rsidR="0041386F">
        <w:rPr>
          <w:rFonts w:eastAsia="Calibri" w:cstheme="majorHAnsi"/>
          <w:szCs w:val="24"/>
          <w:lang w:eastAsia="en-US"/>
        </w:rPr>
        <w:t>q</w:t>
      </w:r>
      <w:r>
        <w:rPr>
          <w:rFonts w:eastAsia="Calibri" w:cstheme="majorHAnsi"/>
          <w:szCs w:val="24"/>
          <w:lang w:eastAsia="en-US"/>
        </w:rPr>
        <w:t xml:space="preserve">uestão 13 – buscando uma compreensão mais ampla sobre a posição da mão no arco. </w:t>
      </w:r>
    </w:p>
    <w:p w14:paraId="47A5F393" w14:textId="77777777" w:rsidR="001F49FD" w:rsidRDefault="001F49FD" w:rsidP="00BF6888">
      <w:pPr>
        <w:ind w:firstLine="709"/>
        <w:rPr>
          <w:rFonts w:asciiTheme="majorHAnsi" w:eastAsia="Calibri" w:hAnsiTheme="majorHAnsi" w:cstheme="majorHAnsi"/>
          <w:b/>
          <w:szCs w:val="24"/>
          <w:lang w:eastAsia="en-US"/>
        </w:rPr>
      </w:pPr>
    </w:p>
    <w:p w14:paraId="447E2BB0"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12 - Distribuição do espaço entre os dedos</w:t>
      </w:r>
    </w:p>
    <w:p w14:paraId="375EDE3F"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Grande parte dos entrevistados respondeu prontamente, o que demonstra a atenção a esse elemento técnico. A preferência em empregar a separação equidistante dos dedos, já verificada entre os autores do século XIX e por Flesch, é mantida entre os violinistas do nosso século, para os quais essa é “a posição natural”. Dentre os que preconizam uma leve abdução do dedo indicador, encontramos como os principais motivos “sonoridade” e “controle”. Além disso, alguns relataram conjugar essa posição com a abdução do dedo mínimo. </w:t>
      </w:r>
    </w:p>
    <w:p w14:paraId="4D80F286" w14:textId="745A457F"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Menos de </w:t>
      </w:r>
      <w:r w:rsidR="00BC4FC1">
        <w:rPr>
          <w:rFonts w:eastAsia="Calibri" w:cstheme="majorHAnsi"/>
          <w:szCs w:val="24"/>
          <w:lang w:eastAsia="en-US"/>
        </w:rPr>
        <w:t>um terço</w:t>
      </w:r>
      <w:r>
        <w:rPr>
          <w:rFonts w:eastAsia="Calibri" w:cstheme="majorHAnsi"/>
          <w:szCs w:val="24"/>
          <w:lang w:eastAsia="en-US"/>
        </w:rPr>
        <w:t xml:space="preserve"> dos entrevistados posiciona o dedo indicador mais afastado do dedo médio (opção </w:t>
      </w:r>
      <w:r>
        <w:rPr>
          <w:rFonts w:eastAsia="Calibri" w:cstheme="majorHAnsi"/>
          <w:i/>
          <w:szCs w:val="24"/>
          <w:lang w:eastAsia="en-US"/>
        </w:rPr>
        <w:t>b</w:t>
      </w:r>
      <w:r>
        <w:rPr>
          <w:rFonts w:eastAsia="Calibri" w:cstheme="majorHAnsi"/>
          <w:szCs w:val="24"/>
          <w:lang w:eastAsia="en-US"/>
        </w:rPr>
        <w:t xml:space="preserve">). Ao analisarmos as escolhas das diferentes faixas etárias, essa proporção parece ter se estabelecido nas últimas décadas do século XX e tende a se manter. </w:t>
      </w:r>
    </w:p>
    <w:p w14:paraId="66E4DE23" w14:textId="77777777" w:rsidR="001F49FD" w:rsidRDefault="001F49FD" w:rsidP="00BF6888">
      <w:pPr>
        <w:ind w:firstLine="709"/>
        <w:rPr>
          <w:rFonts w:asciiTheme="majorHAnsi" w:eastAsia="Calibri" w:hAnsiTheme="majorHAnsi" w:cstheme="majorHAnsi"/>
          <w:b/>
          <w:szCs w:val="24"/>
          <w:lang w:eastAsia="en-US"/>
        </w:rPr>
      </w:pPr>
    </w:p>
    <w:p w14:paraId="752ACE49"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 xml:space="preserve">13 - Ponto de contato do dedo indicador </w:t>
      </w:r>
    </w:p>
    <w:p w14:paraId="0638C41A"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Como verificado nos registros dos autores do século XX, o ponto de contato do dedo indicador confirmou-se nas entrevistas como um dos temas que mais fascinam os violinistas.</w:t>
      </w:r>
    </w:p>
    <w:p w14:paraId="4AC7DD68" w14:textId="46290389"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Em todas as faixas etárias</w:t>
      </w:r>
      <w:r w:rsidR="00BC4FC1">
        <w:rPr>
          <w:rFonts w:eastAsia="Calibri" w:cstheme="majorHAnsi"/>
          <w:szCs w:val="24"/>
          <w:lang w:eastAsia="en-US"/>
        </w:rPr>
        <w:t>,</w:t>
      </w:r>
      <w:r>
        <w:rPr>
          <w:rFonts w:eastAsia="Calibri" w:cstheme="majorHAnsi"/>
          <w:szCs w:val="24"/>
          <w:lang w:eastAsia="en-US"/>
        </w:rPr>
        <w:t xml:space="preserve"> há uma grande predileção pelo ponto de contato intermediário, ao centro da falange média do dedo, prevalecendo, portanto, o local indicado por </w:t>
      </w:r>
      <w:proofErr w:type="spellStart"/>
      <w:r>
        <w:rPr>
          <w:rFonts w:eastAsia="Calibri" w:cstheme="majorHAnsi"/>
          <w:szCs w:val="24"/>
          <w:lang w:eastAsia="en-US"/>
        </w:rPr>
        <w:t>Baillot</w:t>
      </w:r>
      <w:proofErr w:type="spellEnd"/>
      <w:r>
        <w:rPr>
          <w:rFonts w:eastAsia="Calibri" w:cstheme="majorHAnsi"/>
          <w:szCs w:val="24"/>
          <w:lang w:eastAsia="en-US"/>
        </w:rPr>
        <w:t xml:space="preserve"> e Flesch sobre os preceitos de Spohr, </w:t>
      </w:r>
      <w:proofErr w:type="spellStart"/>
      <w:r>
        <w:rPr>
          <w:rFonts w:eastAsia="Calibri" w:cstheme="majorHAnsi"/>
          <w:szCs w:val="24"/>
          <w:lang w:eastAsia="en-US"/>
        </w:rPr>
        <w:t>Bériot</w:t>
      </w:r>
      <w:proofErr w:type="spellEnd"/>
      <w:r>
        <w:rPr>
          <w:rFonts w:eastAsia="Calibri" w:cstheme="majorHAnsi"/>
          <w:szCs w:val="24"/>
          <w:lang w:eastAsia="en-US"/>
        </w:rPr>
        <w:t xml:space="preserve"> e </w:t>
      </w:r>
      <w:proofErr w:type="spellStart"/>
      <w:r>
        <w:rPr>
          <w:rFonts w:eastAsia="Calibri" w:cstheme="majorHAnsi"/>
          <w:szCs w:val="24"/>
          <w:lang w:eastAsia="en-US"/>
        </w:rPr>
        <w:t>Galamian</w:t>
      </w:r>
      <w:proofErr w:type="spellEnd"/>
      <w:r>
        <w:rPr>
          <w:rFonts w:eastAsia="Calibri" w:cstheme="majorHAnsi"/>
          <w:szCs w:val="24"/>
          <w:lang w:eastAsia="en-US"/>
        </w:rPr>
        <w:t xml:space="preserve">. </w:t>
      </w:r>
    </w:p>
    <w:p w14:paraId="7085AEF4"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As duas outras possibilidades de ponto de contato (opções </w:t>
      </w:r>
      <w:r>
        <w:rPr>
          <w:rFonts w:eastAsia="Calibri" w:cstheme="majorHAnsi"/>
          <w:i/>
          <w:szCs w:val="24"/>
          <w:lang w:eastAsia="en-US"/>
        </w:rPr>
        <w:t xml:space="preserve">a </w:t>
      </w:r>
      <w:r>
        <w:rPr>
          <w:rFonts w:eastAsia="Calibri" w:cstheme="majorHAnsi"/>
          <w:szCs w:val="24"/>
          <w:lang w:eastAsia="en-US"/>
        </w:rPr>
        <w:t xml:space="preserve">e </w:t>
      </w:r>
      <w:r>
        <w:rPr>
          <w:rFonts w:eastAsia="Calibri" w:cstheme="majorHAnsi"/>
          <w:i/>
          <w:szCs w:val="24"/>
          <w:lang w:eastAsia="en-US"/>
        </w:rPr>
        <w:t>c</w:t>
      </w:r>
      <w:r>
        <w:rPr>
          <w:rFonts w:eastAsia="Calibri" w:cstheme="majorHAnsi"/>
          <w:szCs w:val="24"/>
          <w:lang w:eastAsia="en-US"/>
        </w:rPr>
        <w:t>), mais extremas, se equilibram percentualmente.</w:t>
      </w:r>
    </w:p>
    <w:p w14:paraId="5395AE1E" w14:textId="668EF83B"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Proporcionalmente, o ponto de contato situado na articulação </w:t>
      </w:r>
      <w:r w:rsidR="00667934">
        <w:rPr>
          <w:rFonts w:eastAsia="Calibri" w:cstheme="majorHAnsi"/>
          <w:szCs w:val="24"/>
          <w:lang w:eastAsia="en-US"/>
        </w:rPr>
        <w:t>interfalangiana</w:t>
      </w:r>
      <w:r>
        <w:rPr>
          <w:rFonts w:eastAsia="Calibri" w:cstheme="majorHAnsi"/>
          <w:szCs w:val="24"/>
          <w:lang w:eastAsia="en-US"/>
        </w:rPr>
        <w:t xml:space="preserve"> proximal é mais encontrado na faixa etária acima de 60 anos e é pouco preconizado pelos violinistas </w:t>
      </w:r>
      <w:r>
        <w:rPr>
          <w:rFonts w:eastAsia="Calibri" w:cstheme="majorHAnsi"/>
          <w:szCs w:val="24"/>
          <w:lang w:eastAsia="en-US"/>
        </w:rPr>
        <w:lastRenderedPageBreak/>
        <w:t>mais jovens, o que sugere que esse posicionamento tende a ser menos empregado. Apesar desse ponto de contato ser considerado característico da Escola Russa</w:t>
      </w:r>
      <w:r>
        <w:rPr>
          <w:rStyle w:val="Refdenotaderodap"/>
          <w:rFonts w:eastAsia="Calibri" w:cstheme="majorHAnsi"/>
          <w:szCs w:val="24"/>
          <w:lang w:eastAsia="en-US"/>
        </w:rPr>
        <w:footnoteReference w:id="52"/>
      </w:r>
      <w:r>
        <w:rPr>
          <w:rFonts w:eastAsia="Calibri" w:cstheme="majorHAnsi"/>
          <w:szCs w:val="24"/>
          <w:lang w:eastAsia="en-US"/>
        </w:rPr>
        <w:t>, apenas um violinista desse grupo (</w:t>
      </w:r>
      <w:r>
        <w:rPr>
          <w:rFonts w:eastAsia="Calibri" w:cstheme="majorHAnsi"/>
          <w:color w:val="C00000"/>
          <w:szCs w:val="24"/>
          <w:lang w:eastAsia="en-US"/>
        </w:rPr>
        <w:t>46</w:t>
      </w:r>
      <w:r>
        <w:rPr>
          <w:rFonts w:eastAsia="Calibri" w:cstheme="majorHAnsi"/>
          <w:b/>
          <w:szCs w:val="24"/>
          <w:lang w:eastAsia="en-US"/>
        </w:rPr>
        <w:t xml:space="preserve">) </w:t>
      </w:r>
      <w:r>
        <w:rPr>
          <w:rFonts w:eastAsia="Calibri" w:cstheme="majorHAnsi"/>
          <w:szCs w:val="24"/>
          <w:lang w:eastAsia="en-US"/>
        </w:rPr>
        <w:t>teve professor ou estudou em uma instituição russa.</w:t>
      </w:r>
    </w:p>
    <w:p w14:paraId="304588E5" w14:textId="46E4C51A" w:rsidR="001F49FD" w:rsidRDefault="00611419" w:rsidP="00BF6888">
      <w:pPr>
        <w:ind w:firstLine="709"/>
        <w:rPr>
          <w:rFonts w:asciiTheme="majorHAnsi" w:eastAsia="Times New Roman" w:hAnsiTheme="majorHAnsi" w:cstheme="majorHAnsi"/>
          <w:szCs w:val="24"/>
        </w:rPr>
      </w:pPr>
      <w:r>
        <w:rPr>
          <w:rFonts w:eastAsia="Calibri" w:cstheme="majorHAnsi"/>
          <w:szCs w:val="24"/>
          <w:lang w:eastAsia="en-US"/>
        </w:rPr>
        <w:t xml:space="preserve">Igualmente, aqueles que preconizam o ponto de contato situado na articulação </w:t>
      </w:r>
      <w:r w:rsidR="00667934">
        <w:rPr>
          <w:rFonts w:eastAsia="Times New Roman" w:cstheme="majorHAnsi"/>
          <w:szCs w:val="24"/>
        </w:rPr>
        <w:t>interfalangiana</w:t>
      </w:r>
      <w:r>
        <w:rPr>
          <w:rFonts w:eastAsia="Times New Roman" w:cstheme="majorHAnsi"/>
          <w:szCs w:val="24"/>
        </w:rPr>
        <w:t xml:space="preserve"> distal (opção </w:t>
      </w:r>
      <w:r>
        <w:rPr>
          <w:rFonts w:eastAsia="Times New Roman" w:cstheme="majorHAnsi"/>
          <w:i/>
          <w:szCs w:val="24"/>
        </w:rPr>
        <w:t>c</w:t>
      </w:r>
      <w:r>
        <w:rPr>
          <w:rFonts w:eastAsia="Times New Roman" w:cstheme="majorHAnsi"/>
          <w:szCs w:val="24"/>
        </w:rPr>
        <w:t xml:space="preserve">) – atribuído à Escola Germânica – provêm das mais variadas formações. </w:t>
      </w:r>
    </w:p>
    <w:p w14:paraId="76A1846B" w14:textId="77777777" w:rsidR="001F49FD" w:rsidRDefault="00611419" w:rsidP="00BF6888">
      <w:pPr>
        <w:ind w:firstLine="709"/>
        <w:rPr>
          <w:rFonts w:asciiTheme="majorHAnsi" w:eastAsia="Times New Roman" w:hAnsiTheme="majorHAnsi" w:cstheme="majorHAnsi"/>
          <w:szCs w:val="24"/>
        </w:rPr>
      </w:pPr>
      <w:r>
        <w:rPr>
          <w:rFonts w:eastAsia="Times New Roman" w:cstheme="majorHAnsi"/>
          <w:szCs w:val="24"/>
        </w:rPr>
        <w:t xml:space="preserve">As duas verificações acima comprovam que as eventuais heranças genealógicas não se aplicam sobre nossos parâmetros para o ponto de contato do dedo indicador, ainda que esse seja um elemento técnico tão determinante das Escolas de violino.  </w:t>
      </w:r>
    </w:p>
    <w:p w14:paraId="2D61E4CC" w14:textId="77777777" w:rsidR="001F49FD" w:rsidRDefault="001F49FD" w:rsidP="00BF6888">
      <w:pPr>
        <w:ind w:firstLine="709"/>
        <w:rPr>
          <w:rFonts w:asciiTheme="majorHAnsi" w:eastAsia="Calibri" w:hAnsiTheme="majorHAnsi" w:cstheme="majorHAnsi"/>
          <w:b/>
          <w:szCs w:val="24"/>
          <w:lang w:eastAsia="en-US"/>
        </w:rPr>
      </w:pPr>
    </w:p>
    <w:p w14:paraId="1F933D8E"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14 - Ponto de contato do dedo médio</w:t>
      </w:r>
    </w:p>
    <w:p w14:paraId="6EAD2316" w14:textId="04AD4F01"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À exceção de Spohr, que preconiza o ponto de contato do dedo médio na articulação </w:t>
      </w:r>
      <w:r w:rsidR="00BC4FC1">
        <w:rPr>
          <w:rFonts w:eastAsia="Calibri" w:cstheme="majorHAnsi"/>
          <w:szCs w:val="24"/>
          <w:lang w:eastAsia="en-US"/>
        </w:rPr>
        <w:t>interfalangiana</w:t>
      </w:r>
      <w:r>
        <w:rPr>
          <w:rFonts w:eastAsia="Calibri" w:cstheme="majorHAnsi"/>
          <w:szCs w:val="24"/>
          <w:lang w:eastAsia="en-US"/>
        </w:rPr>
        <w:t xml:space="preserve"> distal, os autores estudados não se referem diretamente ao posicionamento desse dedo. Porém, como mencionado acima, acreditamos na importância da coleta dessa informação para uma completa compreensão dos conceitos atuais sobre a posição da mão no arco. </w:t>
      </w:r>
    </w:p>
    <w:p w14:paraId="0327ED2B" w14:textId="65D260AA"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Notamos uma adesão equilibrada entre os dois principais pontos de contato. Nessa divisão, constatamos junto aos entrevistados que opção </w:t>
      </w:r>
      <w:r>
        <w:rPr>
          <w:rFonts w:eastAsia="Calibri" w:cstheme="majorHAnsi"/>
          <w:i/>
          <w:szCs w:val="24"/>
          <w:lang w:eastAsia="en-US"/>
        </w:rPr>
        <w:t>a</w:t>
      </w:r>
      <w:r>
        <w:rPr>
          <w:rFonts w:eastAsia="Calibri" w:cstheme="majorHAnsi"/>
          <w:szCs w:val="24"/>
          <w:lang w:eastAsia="en-US"/>
        </w:rPr>
        <w:t xml:space="preserve"> – na articulação </w:t>
      </w:r>
      <w:r w:rsidR="00321C24">
        <w:rPr>
          <w:rFonts w:eastAsia="Calibri" w:cstheme="majorHAnsi"/>
          <w:szCs w:val="24"/>
          <w:lang w:eastAsia="en-US"/>
        </w:rPr>
        <w:t>interfalangiana</w:t>
      </w:r>
      <w:r>
        <w:rPr>
          <w:rFonts w:eastAsia="Calibri" w:cstheme="majorHAnsi"/>
          <w:szCs w:val="24"/>
          <w:lang w:eastAsia="en-US"/>
        </w:rPr>
        <w:t xml:space="preserve"> distal – advém de um conceito de ação mais efetiva desse dedo. A opção </w:t>
      </w:r>
      <w:r>
        <w:rPr>
          <w:rFonts w:eastAsia="Calibri" w:cstheme="majorHAnsi"/>
          <w:i/>
          <w:szCs w:val="24"/>
          <w:lang w:eastAsia="en-US"/>
        </w:rPr>
        <w:t>b</w:t>
      </w:r>
      <w:r>
        <w:rPr>
          <w:rFonts w:eastAsia="Calibri" w:cstheme="majorHAnsi"/>
          <w:szCs w:val="24"/>
          <w:lang w:eastAsia="en-US"/>
        </w:rPr>
        <w:t xml:space="preserve"> é norteada pela ideia de naturalidade da posição da mão, que envolve também aqueles cuja resposta foi “não sei; </w:t>
      </w:r>
      <w:r w:rsidR="00321C24">
        <w:rPr>
          <w:rFonts w:eastAsia="Calibri" w:cstheme="majorHAnsi"/>
          <w:szCs w:val="24"/>
          <w:lang w:eastAsia="en-US"/>
        </w:rPr>
        <w:t>onde</w:t>
      </w:r>
      <w:r>
        <w:rPr>
          <w:rFonts w:eastAsia="Calibri" w:cstheme="majorHAnsi"/>
          <w:szCs w:val="24"/>
          <w:lang w:eastAsia="en-US"/>
        </w:rPr>
        <w:t xml:space="preserve"> o dedo cai naturalmente”. </w:t>
      </w:r>
    </w:p>
    <w:p w14:paraId="2DC24CEF" w14:textId="77777777" w:rsidR="001F49FD" w:rsidRDefault="00611419" w:rsidP="00BF6888">
      <w:pPr>
        <w:ind w:firstLine="709"/>
        <w:contextualSpacing/>
        <w:rPr>
          <w:rFonts w:asciiTheme="majorHAnsi" w:eastAsia="Calibri" w:hAnsiTheme="majorHAnsi" w:cstheme="majorHAnsi"/>
          <w:szCs w:val="24"/>
          <w:lang w:eastAsia="en-US"/>
        </w:rPr>
      </w:pPr>
      <w:r>
        <w:rPr>
          <w:rFonts w:eastAsia="Calibri" w:cstheme="majorHAnsi"/>
          <w:szCs w:val="24"/>
          <w:lang w:eastAsia="en-US"/>
        </w:rPr>
        <w:t>Outro dado relevante são as correlações entre os pontos de contato dos dedos indicador e médio:</w:t>
      </w:r>
    </w:p>
    <w:p w14:paraId="120E3D27" w14:textId="77777777" w:rsidR="001F49FD" w:rsidRDefault="00611419" w:rsidP="00BF6888">
      <w:pPr>
        <w:ind w:firstLine="709"/>
        <w:contextualSpacing/>
        <w:rPr>
          <w:rFonts w:asciiTheme="majorHAnsi" w:eastAsia="Calibri" w:hAnsiTheme="majorHAnsi" w:cstheme="majorHAnsi"/>
          <w:szCs w:val="24"/>
          <w:lang w:eastAsia="en-US"/>
        </w:rPr>
      </w:pPr>
      <w:r>
        <w:rPr>
          <w:rFonts w:eastAsia="Calibri" w:cstheme="majorHAnsi"/>
          <w:szCs w:val="24"/>
          <w:lang w:eastAsia="en-US"/>
        </w:rPr>
        <w:t>- Para a ampla maioria dos violinistas que posiciona a falange média do dedo indicador na vareta, o dedo médio acompanha o mesmo ponto de contato.</w:t>
      </w:r>
    </w:p>
    <w:p w14:paraId="474CC0DB" w14:textId="55A7A883" w:rsidR="001F49FD" w:rsidRDefault="00611419" w:rsidP="00BF6888">
      <w:pPr>
        <w:ind w:firstLine="709"/>
        <w:contextualSpacing/>
        <w:rPr>
          <w:rFonts w:asciiTheme="majorHAnsi" w:eastAsia="Times New Roman" w:hAnsiTheme="majorHAnsi" w:cstheme="majorHAnsi"/>
          <w:szCs w:val="24"/>
        </w:rPr>
      </w:pPr>
      <w:r>
        <w:rPr>
          <w:rFonts w:eastAsia="Calibri" w:cstheme="majorHAnsi"/>
          <w:szCs w:val="24"/>
          <w:lang w:eastAsia="en-US"/>
        </w:rPr>
        <w:t xml:space="preserve">- Tal correspondência é menor entre os violinistas que posicionam a vareta na articulação </w:t>
      </w:r>
      <w:r w:rsidR="00BC4FC1">
        <w:rPr>
          <w:rFonts w:eastAsia="Calibri" w:cstheme="majorHAnsi"/>
          <w:szCs w:val="24"/>
          <w:lang w:eastAsia="en-US"/>
        </w:rPr>
        <w:t>interfalangiana</w:t>
      </w:r>
      <w:r>
        <w:rPr>
          <w:rFonts w:eastAsia="Calibri" w:cstheme="majorHAnsi"/>
          <w:szCs w:val="24"/>
          <w:lang w:eastAsia="en-US"/>
        </w:rPr>
        <w:t xml:space="preserve"> distal </w:t>
      </w:r>
      <w:r w:rsidR="00BC4FC1">
        <w:rPr>
          <w:rFonts w:eastAsia="Calibri" w:cstheme="majorHAnsi"/>
          <w:szCs w:val="24"/>
          <w:lang w:eastAsia="en-US"/>
        </w:rPr>
        <w:t xml:space="preserve">do </w:t>
      </w:r>
      <w:r>
        <w:rPr>
          <w:rFonts w:eastAsia="Calibri" w:cstheme="majorHAnsi"/>
          <w:szCs w:val="24"/>
          <w:lang w:eastAsia="en-US"/>
        </w:rPr>
        <w:t>dedo indicador (</w:t>
      </w:r>
      <w:r w:rsidR="00BC4FC1">
        <w:rPr>
          <w:rFonts w:eastAsia="Calibri" w:cstheme="majorHAnsi"/>
          <w:szCs w:val="24"/>
          <w:lang w:eastAsia="en-US"/>
        </w:rPr>
        <w:t>q</w:t>
      </w:r>
      <w:r>
        <w:rPr>
          <w:rFonts w:eastAsia="Calibri" w:cstheme="majorHAnsi"/>
          <w:szCs w:val="24"/>
          <w:lang w:eastAsia="en-US"/>
        </w:rPr>
        <w:t xml:space="preserve">uestão 13, opção </w:t>
      </w:r>
      <w:r>
        <w:rPr>
          <w:rFonts w:eastAsia="Calibri" w:cstheme="majorHAnsi"/>
          <w:i/>
          <w:szCs w:val="24"/>
          <w:lang w:eastAsia="en-US"/>
        </w:rPr>
        <w:t>c</w:t>
      </w:r>
      <w:r>
        <w:rPr>
          <w:rFonts w:eastAsia="Calibri" w:cstheme="majorHAnsi"/>
          <w:szCs w:val="24"/>
          <w:lang w:eastAsia="en-US"/>
        </w:rPr>
        <w:t>), pois pouco mais da metade (</w:t>
      </w:r>
      <w:r>
        <w:rPr>
          <w:rFonts w:eastAsia="Times New Roman" w:cstheme="majorHAnsi"/>
          <w:color w:val="0070C0"/>
          <w:szCs w:val="24"/>
        </w:rPr>
        <w:t>3, 13</w:t>
      </w:r>
      <w:r>
        <w:rPr>
          <w:rFonts w:eastAsia="Times New Roman" w:cstheme="majorHAnsi"/>
          <w:szCs w:val="24"/>
        </w:rPr>
        <w:t xml:space="preserve">, </w:t>
      </w:r>
      <w:r>
        <w:rPr>
          <w:rFonts w:eastAsia="Times New Roman" w:cstheme="majorHAnsi"/>
          <w:color w:val="00B050"/>
          <w:szCs w:val="24"/>
        </w:rPr>
        <w:t xml:space="preserve">25 31, 35, 38, </w:t>
      </w:r>
      <w:r>
        <w:rPr>
          <w:rFonts w:eastAsia="Times New Roman" w:cstheme="majorHAnsi"/>
          <w:color w:val="C00000"/>
          <w:szCs w:val="24"/>
        </w:rPr>
        <w:t>42</w:t>
      </w:r>
      <w:r>
        <w:rPr>
          <w:rFonts w:eastAsia="Times New Roman" w:cstheme="majorHAnsi"/>
          <w:szCs w:val="24"/>
        </w:rPr>
        <w:t xml:space="preserve">) preconiza </w:t>
      </w:r>
      <w:r>
        <w:rPr>
          <w:rFonts w:eastAsia="Calibri" w:cstheme="majorHAnsi"/>
          <w:szCs w:val="24"/>
          <w:lang w:eastAsia="en-US"/>
        </w:rPr>
        <w:t xml:space="preserve">o mesmo ponto de contato para o dedo médio.  </w:t>
      </w:r>
    </w:p>
    <w:p w14:paraId="668F7A88" w14:textId="58F97D34"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 Os violinistas que adotam a chamada </w:t>
      </w:r>
      <w:r>
        <w:rPr>
          <w:rFonts w:eastAsia="Calibri" w:cstheme="majorHAnsi"/>
          <w:i/>
          <w:szCs w:val="24"/>
          <w:lang w:eastAsia="en-US"/>
        </w:rPr>
        <w:t>pega russa</w:t>
      </w:r>
      <w:r>
        <w:rPr>
          <w:rFonts w:eastAsia="Calibri" w:cstheme="majorHAnsi"/>
          <w:szCs w:val="24"/>
          <w:lang w:eastAsia="en-US"/>
        </w:rPr>
        <w:t xml:space="preserve"> para o posicionamento do dedo indicador – na articulação </w:t>
      </w:r>
      <w:r w:rsidR="00BC4FC1">
        <w:rPr>
          <w:rFonts w:eastAsia="Calibri" w:cstheme="majorHAnsi"/>
          <w:szCs w:val="24"/>
          <w:lang w:eastAsia="en-US"/>
        </w:rPr>
        <w:t>interfalangiana</w:t>
      </w:r>
      <w:r>
        <w:rPr>
          <w:rFonts w:eastAsia="Calibri" w:cstheme="majorHAnsi"/>
          <w:szCs w:val="24"/>
          <w:lang w:eastAsia="en-US"/>
        </w:rPr>
        <w:t xml:space="preserve"> proximal</w:t>
      </w:r>
      <w:r>
        <w:rPr>
          <w:rFonts w:eastAsia="Times New Roman" w:cstheme="majorHAnsi"/>
          <w:szCs w:val="24"/>
        </w:rPr>
        <w:t xml:space="preserve"> </w:t>
      </w:r>
      <w:r>
        <w:rPr>
          <w:rFonts w:eastAsia="Calibri" w:cstheme="majorHAnsi"/>
          <w:szCs w:val="24"/>
          <w:lang w:eastAsia="en-US"/>
        </w:rPr>
        <w:t>(</w:t>
      </w:r>
      <w:r w:rsidR="00BC4FC1">
        <w:rPr>
          <w:rFonts w:eastAsia="Calibri" w:cstheme="majorHAnsi"/>
          <w:szCs w:val="24"/>
          <w:lang w:eastAsia="en-US"/>
        </w:rPr>
        <w:t>q</w:t>
      </w:r>
      <w:r>
        <w:rPr>
          <w:rFonts w:eastAsia="Calibri" w:cstheme="majorHAnsi"/>
          <w:szCs w:val="24"/>
          <w:lang w:eastAsia="en-US"/>
        </w:rPr>
        <w:t xml:space="preserve">uestão 13, opção </w:t>
      </w:r>
      <w:r>
        <w:rPr>
          <w:rFonts w:eastAsia="Calibri" w:cstheme="majorHAnsi"/>
          <w:i/>
          <w:szCs w:val="24"/>
          <w:lang w:eastAsia="en-US"/>
        </w:rPr>
        <w:t>a</w:t>
      </w:r>
      <w:r>
        <w:rPr>
          <w:rFonts w:eastAsia="Calibri" w:cstheme="majorHAnsi"/>
          <w:szCs w:val="24"/>
          <w:lang w:eastAsia="en-US"/>
        </w:rPr>
        <w:t xml:space="preserve">) –, dividem-se entre as alternativas de ponto de contato do dedo médio, confirmando que nesse posicionamento o dedo indicador tem mais importância do que os demais na ação do arco. </w:t>
      </w:r>
    </w:p>
    <w:p w14:paraId="295C9F9B"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lastRenderedPageBreak/>
        <w:t xml:space="preserve">Não é tarefa fácil obter conclusões sobre as correlações acima, mas pelo fato </w:t>
      </w:r>
      <w:proofErr w:type="gramStart"/>
      <w:r>
        <w:rPr>
          <w:rFonts w:eastAsia="Calibri" w:cstheme="majorHAnsi"/>
          <w:szCs w:val="24"/>
          <w:lang w:eastAsia="en-US"/>
        </w:rPr>
        <w:t>do</w:t>
      </w:r>
      <w:proofErr w:type="gramEnd"/>
      <w:r>
        <w:rPr>
          <w:rFonts w:eastAsia="Calibri" w:cstheme="majorHAnsi"/>
          <w:szCs w:val="24"/>
          <w:lang w:eastAsia="en-US"/>
        </w:rPr>
        <w:t xml:space="preserve"> centro da falange média ser o ponto de contato predominante para o dedo indicador e de haver uma alta correspondência do mesmo local para o dedo médio, consideramos que esse parâmetro para o posicionamento dos dois dedos está, em nossos dias, mais consolidado do que os demais. </w:t>
      </w:r>
    </w:p>
    <w:p w14:paraId="6163BBDF" w14:textId="77777777" w:rsidR="001F49FD" w:rsidRDefault="001F49FD" w:rsidP="00BF6888">
      <w:pPr>
        <w:ind w:firstLine="709"/>
        <w:rPr>
          <w:rFonts w:asciiTheme="majorHAnsi" w:eastAsia="Calibri" w:hAnsiTheme="majorHAnsi" w:cstheme="majorHAnsi"/>
          <w:szCs w:val="24"/>
          <w:lang w:eastAsia="en-US"/>
        </w:rPr>
      </w:pPr>
    </w:p>
    <w:p w14:paraId="4A2B4D8D" w14:textId="1BF89DCE"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15 - Mobilidade do dedo indicador</w:t>
      </w:r>
    </w:p>
    <w:p w14:paraId="7A4AF781" w14:textId="52D33638"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O número de violinistas que preconiza uma mobilidade mínima ou moderada do dedo indicador é aproximado, ainda que a segunda opção prevaleça. A escassez de registros sobre esse elemento técnico entre os autores estudados do século XX dificulta a observação de suas transformações, mas caso tenha havido uma mobilidade mínima do dedo indicador no século XX – como supomos na análise comparativa </w:t>
      </w:r>
      <w:proofErr w:type="gramStart"/>
      <w:r>
        <w:rPr>
          <w:rFonts w:eastAsia="Calibri" w:cstheme="majorHAnsi"/>
          <w:szCs w:val="24"/>
          <w:lang w:eastAsia="en-US"/>
        </w:rPr>
        <w:t>–</w:t>
      </w:r>
      <w:r w:rsidR="00BC4FC1">
        <w:rPr>
          <w:rFonts w:eastAsia="Calibri" w:cstheme="majorHAnsi"/>
          <w:szCs w:val="24"/>
          <w:lang w:eastAsia="en-US"/>
        </w:rPr>
        <w:t>,</w:t>
      </w:r>
      <w:proofErr w:type="spellStart"/>
      <w:r w:rsidR="00C25CA0">
        <w:rPr>
          <w:rFonts w:eastAsia="Calibri" w:cstheme="majorHAnsi"/>
          <w:szCs w:val="24"/>
          <w:lang w:eastAsia="en-US"/>
        </w:rPr>
        <w:t>any</w:t>
      </w:r>
      <w:proofErr w:type="spellEnd"/>
      <w:proofErr w:type="gramEnd"/>
      <w:r w:rsidR="00C25CA0">
        <w:rPr>
          <w:rFonts w:eastAsia="Calibri" w:cstheme="majorHAnsi"/>
          <w:szCs w:val="24"/>
          <w:lang w:eastAsia="en-US"/>
        </w:rPr>
        <w:t xml:space="preserve"> </w:t>
      </w:r>
      <w:proofErr w:type="spellStart"/>
      <w:r w:rsidR="00C25CA0">
        <w:rPr>
          <w:rFonts w:eastAsia="Calibri" w:cstheme="majorHAnsi"/>
          <w:szCs w:val="24"/>
          <w:lang w:eastAsia="en-US"/>
        </w:rPr>
        <w:t>des</w:t>
      </w:r>
      <w:proofErr w:type="spellEnd"/>
      <w:r>
        <w:rPr>
          <w:rFonts w:eastAsia="Calibri" w:cstheme="majorHAnsi"/>
          <w:szCs w:val="24"/>
          <w:lang w:eastAsia="en-US"/>
        </w:rPr>
        <w:t xml:space="preserve"> verificamos que esse parâmetro não é tão predominante atualmente. Porém, no grupo que move moderadamente o dedo indicador, grande parte relatou que se trata apenas de uma constatação durante as diferentes ações do arco e não de uma intenção ou princípio, similarmente aos apontamentos de Fis</w:t>
      </w:r>
      <w:r w:rsidR="00321C24">
        <w:rPr>
          <w:rFonts w:eastAsia="Calibri" w:cstheme="majorHAnsi"/>
          <w:szCs w:val="24"/>
          <w:lang w:eastAsia="en-US"/>
        </w:rPr>
        <w:t>c</w:t>
      </w:r>
      <w:r>
        <w:rPr>
          <w:rFonts w:eastAsia="Calibri" w:cstheme="majorHAnsi"/>
          <w:szCs w:val="24"/>
          <w:lang w:eastAsia="en-US"/>
        </w:rPr>
        <w:t xml:space="preserve">her em </w:t>
      </w:r>
      <w:proofErr w:type="spellStart"/>
      <w:r>
        <w:rPr>
          <w:rFonts w:eastAsia="Calibri" w:cstheme="majorHAnsi"/>
          <w:i/>
          <w:szCs w:val="24"/>
          <w:lang w:eastAsia="en-US"/>
        </w:rPr>
        <w:t>Basics</w:t>
      </w:r>
      <w:proofErr w:type="spellEnd"/>
      <w:r>
        <w:rPr>
          <w:rFonts w:eastAsia="Calibri" w:cstheme="majorHAnsi"/>
          <w:i/>
          <w:szCs w:val="24"/>
          <w:lang w:eastAsia="en-US"/>
        </w:rPr>
        <w:t>.</w:t>
      </w:r>
      <w:r>
        <w:rPr>
          <w:rFonts w:eastAsia="Calibri" w:cstheme="majorHAnsi"/>
          <w:szCs w:val="24"/>
          <w:lang w:eastAsia="en-US"/>
        </w:rPr>
        <w:t xml:space="preserve"> Nesse sentido, as opções </w:t>
      </w:r>
      <w:r>
        <w:rPr>
          <w:rFonts w:eastAsia="Calibri" w:cstheme="majorHAnsi"/>
          <w:i/>
          <w:szCs w:val="24"/>
          <w:lang w:eastAsia="en-US"/>
        </w:rPr>
        <w:t>b</w:t>
      </w:r>
      <w:r>
        <w:rPr>
          <w:rFonts w:eastAsia="Calibri" w:cstheme="majorHAnsi"/>
          <w:szCs w:val="24"/>
          <w:lang w:eastAsia="en-US"/>
        </w:rPr>
        <w:t xml:space="preserve"> (moderada) e </w:t>
      </w:r>
      <w:r>
        <w:rPr>
          <w:rFonts w:eastAsia="Calibri" w:cstheme="majorHAnsi"/>
          <w:i/>
          <w:szCs w:val="24"/>
          <w:lang w:eastAsia="en-US"/>
        </w:rPr>
        <w:t xml:space="preserve">c </w:t>
      </w:r>
      <w:r>
        <w:rPr>
          <w:rFonts w:eastAsia="Calibri" w:cstheme="majorHAnsi"/>
          <w:szCs w:val="24"/>
          <w:lang w:eastAsia="en-US"/>
        </w:rPr>
        <w:t xml:space="preserve">(mínima) se aproximam conceitualmente. </w:t>
      </w:r>
    </w:p>
    <w:p w14:paraId="29061589" w14:textId="5A877F2D"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 respeito da mobilidade acentuada (opção </w:t>
      </w:r>
      <w:r>
        <w:rPr>
          <w:rFonts w:eastAsia="Calibri" w:cstheme="majorHAnsi"/>
          <w:i/>
          <w:szCs w:val="24"/>
          <w:lang w:eastAsia="en-US"/>
        </w:rPr>
        <w:t>a</w:t>
      </w:r>
      <w:r>
        <w:rPr>
          <w:rFonts w:eastAsia="Calibri" w:cstheme="majorHAnsi"/>
          <w:szCs w:val="24"/>
          <w:lang w:eastAsia="en-US"/>
        </w:rPr>
        <w:t>), notamos que ela não é preconizada por nenhum violinista entre 20 e 40 anos de idade. Observamos também que quatro dentre os cinco entrevistados desse grupo, posicionam os dedos inclinadamente sobre a vareta (</w:t>
      </w:r>
      <w:r w:rsidR="00321C24">
        <w:rPr>
          <w:rFonts w:eastAsia="Calibri" w:cstheme="majorHAnsi"/>
          <w:szCs w:val="24"/>
          <w:lang w:eastAsia="en-US"/>
        </w:rPr>
        <w:t>q</w:t>
      </w:r>
      <w:r>
        <w:rPr>
          <w:rFonts w:eastAsia="Calibri" w:cstheme="majorHAnsi"/>
          <w:szCs w:val="24"/>
          <w:lang w:eastAsia="en-US"/>
        </w:rPr>
        <w:t xml:space="preserve">uestão 16, opção </w:t>
      </w:r>
      <w:r>
        <w:rPr>
          <w:rFonts w:eastAsia="Calibri" w:cstheme="majorHAnsi"/>
          <w:i/>
          <w:szCs w:val="24"/>
          <w:lang w:eastAsia="en-US"/>
        </w:rPr>
        <w:t>a</w:t>
      </w:r>
      <w:r>
        <w:rPr>
          <w:rFonts w:eastAsia="Calibri" w:cstheme="majorHAnsi"/>
          <w:szCs w:val="24"/>
          <w:lang w:eastAsia="en-US"/>
        </w:rPr>
        <w:t>), o que nos leva a concluir que a mobilidade do dedo indicador é mais propícia quando a mão e os dedos estão inclinados sobre a vareta.</w:t>
      </w:r>
    </w:p>
    <w:p w14:paraId="69750468" w14:textId="77777777" w:rsidR="001F49FD" w:rsidRDefault="001F49FD" w:rsidP="00BF6888">
      <w:pPr>
        <w:ind w:firstLine="709"/>
        <w:rPr>
          <w:rFonts w:asciiTheme="majorHAnsi" w:eastAsia="Calibri" w:hAnsiTheme="majorHAnsi" w:cstheme="majorHAnsi"/>
          <w:i/>
          <w:szCs w:val="24"/>
          <w:lang w:eastAsia="en-US"/>
        </w:rPr>
      </w:pPr>
    </w:p>
    <w:p w14:paraId="4936E93D" w14:textId="77777777" w:rsidR="001F49FD" w:rsidRDefault="00611419" w:rsidP="00BF6888">
      <w:pPr>
        <w:ind w:firstLine="709"/>
        <w:contextualSpacing/>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16 - Posição dos dedos sobre a vareta</w:t>
      </w:r>
    </w:p>
    <w:p w14:paraId="5A9EB2BC"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 posição inclinada dos dedos sobre a vareta – resultante da pronação do antebraço direito – é amplamente empregada. Os entrevistados justificaram tal escolha devido à ação mais efetiva do dedo indicador para produção do som. </w:t>
      </w:r>
    </w:p>
    <w:p w14:paraId="153BAD84"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No grupo que posiciona os dedos perpendicularmente (opção </w:t>
      </w:r>
      <w:r>
        <w:rPr>
          <w:rFonts w:eastAsia="Calibri" w:cstheme="majorHAnsi"/>
          <w:i/>
          <w:szCs w:val="24"/>
          <w:lang w:eastAsia="en-US"/>
        </w:rPr>
        <w:t>b</w:t>
      </w:r>
      <w:r>
        <w:rPr>
          <w:rFonts w:eastAsia="Calibri" w:cstheme="majorHAnsi"/>
          <w:szCs w:val="24"/>
          <w:lang w:eastAsia="en-US"/>
        </w:rPr>
        <w:t xml:space="preserve">) – que corresponde a menos da metade do primeiro –, grande parte relatou que esse princípio técnico contribui para o controle do arco. </w:t>
      </w:r>
    </w:p>
    <w:p w14:paraId="2D7C64EA" w14:textId="38216F86"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Notamos a equivalência numérica das duas alternativas na faixa etária entre 40 e 60 anos. Porém, a opção do posicionamento perpendicular é pouco usual entre violinistas jovens (apenas dois entre vinte), o que indica que a predominância do posicionamento inclinado dos dedos sobre a vareta tende a se ampliar. Cabe ressaltar que esse grupo de violinistas na faixa </w:t>
      </w:r>
      <w:r>
        <w:rPr>
          <w:rFonts w:eastAsia="Calibri" w:cstheme="majorHAnsi"/>
          <w:szCs w:val="24"/>
          <w:lang w:eastAsia="en-US"/>
        </w:rPr>
        <w:lastRenderedPageBreak/>
        <w:t xml:space="preserve">etária entre 20 e 40 anos também registrou o maior número de respostas </w:t>
      </w:r>
      <w:r w:rsidR="00321C24">
        <w:rPr>
          <w:rFonts w:eastAsia="Calibri" w:cstheme="majorHAnsi"/>
          <w:i/>
          <w:szCs w:val="24"/>
          <w:lang w:eastAsia="en-US"/>
        </w:rPr>
        <w:t>v</w:t>
      </w:r>
      <w:r>
        <w:rPr>
          <w:rFonts w:eastAsia="Calibri" w:cstheme="majorHAnsi"/>
          <w:i/>
          <w:szCs w:val="24"/>
          <w:lang w:eastAsia="en-US"/>
        </w:rPr>
        <w:t>ariável</w:t>
      </w:r>
      <w:r>
        <w:rPr>
          <w:rFonts w:eastAsia="Calibri" w:cstheme="majorHAnsi"/>
          <w:szCs w:val="24"/>
          <w:lang w:eastAsia="en-US"/>
        </w:rPr>
        <w:t xml:space="preserve">, justificando tal posicionamento em função da região do arco – dedos perpendiculares no talão e transversais na ponta –, perenizando, assim como Fischer, a ideia de Spohr e </w:t>
      </w:r>
      <w:proofErr w:type="spellStart"/>
      <w:r>
        <w:rPr>
          <w:rFonts w:eastAsia="Calibri" w:cstheme="majorHAnsi"/>
          <w:szCs w:val="24"/>
          <w:lang w:eastAsia="en-US"/>
        </w:rPr>
        <w:t>Baillot</w:t>
      </w:r>
      <w:proofErr w:type="spellEnd"/>
      <w:r>
        <w:rPr>
          <w:rFonts w:eastAsia="Calibri" w:cstheme="majorHAnsi"/>
          <w:szCs w:val="24"/>
          <w:lang w:eastAsia="en-US"/>
        </w:rPr>
        <w:t xml:space="preserve"> de constante mobilidade da mão.</w:t>
      </w:r>
    </w:p>
    <w:p w14:paraId="1838352F" w14:textId="2D1ADACF"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Constatamos</w:t>
      </w:r>
      <w:r w:rsidR="00321C24">
        <w:rPr>
          <w:rFonts w:eastAsia="Calibri" w:cstheme="majorHAnsi"/>
          <w:szCs w:val="24"/>
          <w:lang w:eastAsia="en-US"/>
        </w:rPr>
        <w:t>,</w:t>
      </w:r>
      <w:r>
        <w:rPr>
          <w:rFonts w:eastAsia="Calibri" w:cstheme="majorHAnsi"/>
          <w:szCs w:val="24"/>
          <w:lang w:eastAsia="en-US"/>
        </w:rPr>
        <w:t xml:space="preserve"> ainda</w:t>
      </w:r>
      <w:r w:rsidR="00321C24">
        <w:rPr>
          <w:rFonts w:eastAsia="Calibri" w:cstheme="majorHAnsi"/>
          <w:szCs w:val="24"/>
          <w:lang w:eastAsia="en-US"/>
        </w:rPr>
        <w:t>,</w:t>
      </w:r>
      <w:r>
        <w:rPr>
          <w:rFonts w:eastAsia="Calibri" w:cstheme="majorHAnsi"/>
          <w:szCs w:val="24"/>
          <w:lang w:eastAsia="en-US"/>
        </w:rPr>
        <w:t xml:space="preserve"> que nenhum dentre os violinistas que posicionam a mão perpendicularmente contata o dedo indicador pela articulação </w:t>
      </w:r>
      <w:r w:rsidR="00321C24">
        <w:rPr>
          <w:rFonts w:eastAsia="Calibri" w:cstheme="majorHAnsi"/>
          <w:szCs w:val="24"/>
          <w:lang w:eastAsia="en-US"/>
        </w:rPr>
        <w:t>interfalangiana</w:t>
      </w:r>
      <w:r>
        <w:rPr>
          <w:rFonts w:eastAsia="Calibri" w:cstheme="majorHAnsi"/>
          <w:szCs w:val="24"/>
          <w:lang w:eastAsia="en-US"/>
        </w:rPr>
        <w:t xml:space="preserve"> proximal (</w:t>
      </w:r>
      <w:r w:rsidR="00321C24">
        <w:rPr>
          <w:rFonts w:eastAsia="Calibri" w:cstheme="majorHAnsi"/>
          <w:szCs w:val="24"/>
          <w:lang w:eastAsia="en-US"/>
        </w:rPr>
        <w:t>q</w:t>
      </w:r>
      <w:r>
        <w:rPr>
          <w:rFonts w:eastAsia="Calibri" w:cstheme="majorHAnsi"/>
          <w:szCs w:val="24"/>
          <w:lang w:eastAsia="en-US"/>
        </w:rPr>
        <w:t xml:space="preserve">uestão 13, opção </w:t>
      </w:r>
      <w:r>
        <w:rPr>
          <w:rFonts w:eastAsia="Calibri" w:cstheme="majorHAnsi"/>
          <w:i/>
          <w:szCs w:val="24"/>
          <w:lang w:eastAsia="en-US"/>
        </w:rPr>
        <w:t>a</w:t>
      </w:r>
      <w:r>
        <w:rPr>
          <w:rFonts w:eastAsia="Calibri" w:cstheme="majorHAnsi"/>
          <w:szCs w:val="24"/>
          <w:lang w:eastAsia="en-US"/>
        </w:rPr>
        <w:t xml:space="preserve">), evidenciando que essas duas opções técnicas não são associáveis. </w:t>
      </w:r>
    </w:p>
    <w:p w14:paraId="3F5D0D30" w14:textId="77777777" w:rsidR="001F49FD" w:rsidRDefault="001F49FD" w:rsidP="00BF6888">
      <w:pPr>
        <w:ind w:firstLine="709"/>
        <w:rPr>
          <w:rFonts w:asciiTheme="majorHAnsi" w:eastAsia="Calibri" w:hAnsiTheme="majorHAnsi" w:cstheme="majorHAnsi"/>
          <w:szCs w:val="24"/>
          <w:lang w:eastAsia="en-US"/>
        </w:rPr>
      </w:pPr>
    </w:p>
    <w:p w14:paraId="6FCFBE5B"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t xml:space="preserve">Questão </w:t>
      </w:r>
      <w:r>
        <w:rPr>
          <w:rFonts w:eastAsia="Calibri" w:cstheme="majorHAnsi"/>
          <w:b/>
          <w:szCs w:val="24"/>
          <w:lang w:eastAsia="en-US"/>
        </w:rPr>
        <w:t>17 - Grau de elevação do punho ao se aproximar do talão</w:t>
      </w:r>
    </w:p>
    <w:p w14:paraId="0FC693AF"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Como verificamos no capítulo anterior</w:t>
      </w:r>
      <w:r>
        <w:rPr>
          <w:rFonts w:eastAsia="Calibri" w:cstheme="majorHAnsi"/>
          <w:b/>
          <w:szCs w:val="24"/>
          <w:lang w:eastAsia="en-US"/>
        </w:rPr>
        <w:t>,</w:t>
      </w:r>
      <w:r>
        <w:rPr>
          <w:rFonts w:eastAsia="Calibri" w:cstheme="majorHAnsi"/>
          <w:szCs w:val="24"/>
          <w:lang w:eastAsia="en-US"/>
        </w:rPr>
        <w:t xml:space="preserve"> a elevação progressiva do braço refletiu em uma nova forma de ação do punho, principalmente quando o arco está próximo do talão.  Nessa região do arco, a convergência para uma elevação moderada na segunda metade do século XX, constatada através dos preceitos de </w:t>
      </w:r>
      <w:proofErr w:type="spellStart"/>
      <w:r>
        <w:rPr>
          <w:rFonts w:eastAsia="Calibri" w:cstheme="majorHAnsi"/>
          <w:szCs w:val="24"/>
          <w:lang w:eastAsia="en-US"/>
        </w:rPr>
        <w:t>Galamian</w:t>
      </w:r>
      <w:proofErr w:type="spellEnd"/>
      <w:r>
        <w:rPr>
          <w:rFonts w:eastAsia="Calibri" w:cstheme="majorHAnsi"/>
          <w:szCs w:val="24"/>
          <w:lang w:eastAsia="en-US"/>
        </w:rPr>
        <w:t xml:space="preserve"> e Fischer, confirmou-se entre os violinistas contemporâneos. </w:t>
      </w:r>
    </w:p>
    <w:p w14:paraId="501C6655"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Sobre as demais alternativas, a elevação acentuada (opção </w:t>
      </w:r>
      <w:r>
        <w:rPr>
          <w:rFonts w:eastAsia="Calibri" w:cstheme="majorHAnsi"/>
          <w:i/>
          <w:szCs w:val="24"/>
          <w:lang w:eastAsia="en-US"/>
        </w:rPr>
        <w:t>a</w:t>
      </w:r>
      <w:r>
        <w:rPr>
          <w:rFonts w:eastAsia="Calibri" w:cstheme="majorHAnsi"/>
          <w:szCs w:val="24"/>
          <w:lang w:eastAsia="en-US"/>
        </w:rPr>
        <w:t xml:space="preserve">), preconizada por </w:t>
      </w:r>
      <w:proofErr w:type="spellStart"/>
      <w:r>
        <w:rPr>
          <w:rFonts w:eastAsia="Calibri" w:cstheme="majorHAnsi"/>
          <w:szCs w:val="24"/>
          <w:lang w:eastAsia="en-US"/>
        </w:rPr>
        <w:t>Bériot</w:t>
      </w:r>
      <w:proofErr w:type="spellEnd"/>
      <w:r>
        <w:rPr>
          <w:rFonts w:eastAsia="Calibri" w:cstheme="majorHAnsi"/>
          <w:szCs w:val="24"/>
          <w:lang w:eastAsia="en-US"/>
        </w:rPr>
        <w:t xml:space="preserve">, é menos difundida em nossos dias. Entre os violinistas desse grupo não foram encontradas similitudes em suas formações violinísticas ou em suas características anatômicas, nem significativas desproporções percentuais entre as diferentes faixas etárias, o que aponta que esse parâmetro provém de decisões subjetivas. </w:t>
      </w:r>
    </w:p>
    <w:p w14:paraId="6C8EA8D6" w14:textId="2C6A80DF" w:rsidR="001F49FD" w:rsidRDefault="00611419" w:rsidP="00BF6888">
      <w:pPr>
        <w:ind w:firstLine="709"/>
        <w:contextualSpacing/>
        <w:rPr>
          <w:rFonts w:asciiTheme="majorHAnsi" w:eastAsia="Calibri" w:hAnsiTheme="majorHAnsi" w:cstheme="majorHAnsi"/>
          <w:szCs w:val="24"/>
          <w:lang w:eastAsia="en-US"/>
        </w:rPr>
      </w:pPr>
      <w:r>
        <w:rPr>
          <w:rFonts w:eastAsia="Calibri" w:cstheme="majorHAnsi"/>
          <w:szCs w:val="24"/>
          <w:lang w:eastAsia="en-US"/>
        </w:rPr>
        <w:t xml:space="preserve"> Em seguida, é possível que a elevação mínima do punho (opção </w:t>
      </w:r>
      <w:r>
        <w:rPr>
          <w:rFonts w:eastAsia="Calibri" w:cstheme="majorHAnsi"/>
          <w:i/>
          <w:szCs w:val="24"/>
          <w:lang w:eastAsia="en-US"/>
        </w:rPr>
        <w:t>c</w:t>
      </w:r>
      <w:r>
        <w:rPr>
          <w:rFonts w:eastAsia="Calibri" w:cstheme="majorHAnsi"/>
          <w:szCs w:val="24"/>
          <w:lang w:eastAsia="en-US"/>
        </w:rPr>
        <w:t>)</w:t>
      </w:r>
      <w:r>
        <w:rPr>
          <w:rFonts w:eastAsia="Calibri" w:cstheme="majorHAnsi"/>
          <w:i/>
          <w:szCs w:val="24"/>
          <w:lang w:eastAsia="en-US"/>
        </w:rPr>
        <w:t xml:space="preserve"> </w:t>
      </w:r>
      <w:r>
        <w:rPr>
          <w:rFonts w:eastAsia="Calibri" w:cstheme="majorHAnsi"/>
          <w:szCs w:val="24"/>
          <w:lang w:eastAsia="en-US"/>
        </w:rPr>
        <w:t>seja uma alternativa técnica relativamente recente, pois tem pouca adesão entre os violinistas de 60 anos. Essa forma de ação do punho é preconizada</w:t>
      </w:r>
      <w:r w:rsidR="00321C24">
        <w:rPr>
          <w:rFonts w:eastAsia="Calibri" w:cstheme="majorHAnsi"/>
          <w:szCs w:val="24"/>
          <w:lang w:eastAsia="en-US"/>
        </w:rPr>
        <w:t>,</w:t>
      </w:r>
      <w:r>
        <w:rPr>
          <w:rFonts w:eastAsia="Calibri" w:cstheme="majorHAnsi"/>
          <w:szCs w:val="24"/>
          <w:lang w:eastAsia="en-US"/>
        </w:rPr>
        <w:t xml:space="preserve"> em sua maioria</w:t>
      </w:r>
      <w:r w:rsidR="00321C24">
        <w:rPr>
          <w:rFonts w:eastAsia="Calibri" w:cstheme="majorHAnsi"/>
          <w:szCs w:val="24"/>
          <w:lang w:eastAsia="en-US"/>
        </w:rPr>
        <w:t>,</w:t>
      </w:r>
      <w:r>
        <w:rPr>
          <w:rFonts w:eastAsia="Calibri" w:cstheme="majorHAnsi"/>
          <w:szCs w:val="24"/>
          <w:lang w:eastAsia="en-US"/>
        </w:rPr>
        <w:t xml:space="preserve"> pelo grupo entre 40 e 60 anos de </w:t>
      </w:r>
      <w:r w:rsidR="00393CC4">
        <w:rPr>
          <w:rFonts w:eastAsia="Calibri" w:cstheme="majorHAnsi"/>
          <w:szCs w:val="24"/>
          <w:lang w:eastAsia="en-US"/>
        </w:rPr>
        <w:t>idade, no</w:t>
      </w:r>
      <w:r w:rsidR="00321C24">
        <w:rPr>
          <w:rFonts w:eastAsia="Calibri" w:cstheme="majorHAnsi"/>
          <w:szCs w:val="24"/>
          <w:lang w:eastAsia="en-US"/>
        </w:rPr>
        <w:t xml:space="preserve"> qual</w:t>
      </w:r>
      <w:r>
        <w:rPr>
          <w:rFonts w:eastAsia="Calibri" w:cstheme="majorHAnsi"/>
          <w:szCs w:val="24"/>
          <w:lang w:eastAsia="en-US"/>
        </w:rPr>
        <w:t xml:space="preserve"> quatro (</w:t>
      </w:r>
      <w:r>
        <w:rPr>
          <w:rFonts w:eastAsia="Times New Roman" w:cstheme="majorHAnsi"/>
          <w:color w:val="00B050"/>
          <w:szCs w:val="24"/>
        </w:rPr>
        <w:t>25, 34, 36, 38</w:t>
      </w:r>
      <w:r>
        <w:rPr>
          <w:rFonts w:eastAsia="Times New Roman" w:cstheme="majorHAnsi"/>
          <w:szCs w:val="24"/>
        </w:rPr>
        <w:t>)</w:t>
      </w:r>
      <w:r>
        <w:rPr>
          <w:rFonts w:eastAsia="Times New Roman" w:cstheme="majorHAnsi"/>
          <w:color w:val="00B050"/>
          <w:szCs w:val="24"/>
        </w:rPr>
        <w:t xml:space="preserve"> </w:t>
      </w:r>
      <w:r>
        <w:rPr>
          <w:rFonts w:eastAsia="Calibri" w:cstheme="majorHAnsi"/>
          <w:szCs w:val="24"/>
          <w:lang w:eastAsia="en-US"/>
        </w:rPr>
        <w:t>entre os cinco violinistas dessa faixa etária posicionam perpendicularmente os dedos sobre a vareta (</w:t>
      </w:r>
      <w:r w:rsidR="00321C24">
        <w:rPr>
          <w:rFonts w:eastAsia="Calibri" w:cstheme="majorHAnsi"/>
          <w:szCs w:val="24"/>
          <w:lang w:eastAsia="en-US"/>
        </w:rPr>
        <w:t>q</w:t>
      </w:r>
      <w:r>
        <w:rPr>
          <w:rFonts w:eastAsia="Calibri" w:cstheme="majorHAnsi"/>
          <w:szCs w:val="24"/>
          <w:lang w:eastAsia="en-US"/>
        </w:rPr>
        <w:t>uestão 16), indicando uma relação entre esses dois parâmetros: a posição perpendicular dos dedos favorece a elevação mínima do punho.</w:t>
      </w:r>
    </w:p>
    <w:p w14:paraId="37F01167" w14:textId="1CE085B7" w:rsidR="001F49FD" w:rsidRDefault="00611419" w:rsidP="00BF6888">
      <w:pPr>
        <w:ind w:firstLine="709"/>
        <w:contextualSpacing/>
        <w:rPr>
          <w:rFonts w:asciiTheme="majorHAnsi" w:eastAsia="Calibri" w:hAnsiTheme="majorHAnsi" w:cstheme="majorHAnsi"/>
          <w:szCs w:val="24"/>
          <w:lang w:eastAsia="en-US"/>
        </w:rPr>
      </w:pPr>
      <w:r>
        <w:rPr>
          <w:rFonts w:eastAsia="Calibri" w:cstheme="majorHAnsi"/>
          <w:szCs w:val="24"/>
          <w:lang w:eastAsia="en-US"/>
        </w:rPr>
        <w:t>O grupo predominante, que opta pela elevação moderada do punho</w:t>
      </w:r>
      <w:r w:rsidR="00321C24">
        <w:rPr>
          <w:rFonts w:eastAsia="Calibri" w:cstheme="majorHAnsi"/>
          <w:szCs w:val="24"/>
          <w:lang w:eastAsia="en-US"/>
        </w:rPr>
        <w:t>,</w:t>
      </w:r>
      <w:r>
        <w:rPr>
          <w:rFonts w:eastAsia="Calibri" w:cstheme="majorHAnsi"/>
          <w:szCs w:val="24"/>
          <w:lang w:eastAsia="en-US"/>
        </w:rPr>
        <w:t xml:space="preserve"> é representado maciçamente por todas as faixas etárias. Notamos</w:t>
      </w:r>
      <w:r w:rsidR="00321C24">
        <w:rPr>
          <w:rFonts w:eastAsia="Calibri" w:cstheme="majorHAnsi"/>
          <w:szCs w:val="24"/>
          <w:lang w:eastAsia="en-US"/>
        </w:rPr>
        <w:t>,</w:t>
      </w:r>
      <w:r>
        <w:rPr>
          <w:rFonts w:eastAsia="Calibri" w:cstheme="majorHAnsi"/>
          <w:szCs w:val="24"/>
          <w:lang w:eastAsia="en-US"/>
        </w:rPr>
        <w:t xml:space="preserve"> ainda</w:t>
      </w:r>
      <w:r w:rsidR="00321C24">
        <w:rPr>
          <w:rFonts w:eastAsia="Calibri" w:cstheme="majorHAnsi"/>
          <w:szCs w:val="24"/>
          <w:lang w:eastAsia="en-US"/>
        </w:rPr>
        <w:t>,</w:t>
      </w:r>
      <w:r>
        <w:rPr>
          <w:rFonts w:eastAsia="Calibri" w:cstheme="majorHAnsi"/>
          <w:szCs w:val="24"/>
          <w:lang w:eastAsia="en-US"/>
        </w:rPr>
        <w:t xml:space="preserve"> que mais da metade dos entrevistados congrega essa opção técnica com a abertura moderada do ângulo do violino com relação ao corpo (</w:t>
      </w:r>
      <w:r w:rsidR="00321C24">
        <w:rPr>
          <w:rFonts w:eastAsia="Calibri" w:cstheme="majorHAnsi"/>
          <w:szCs w:val="24"/>
          <w:lang w:eastAsia="en-US"/>
        </w:rPr>
        <w:t>q</w:t>
      </w:r>
      <w:r>
        <w:rPr>
          <w:rFonts w:eastAsia="Calibri" w:cstheme="majorHAnsi"/>
          <w:szCs w:val="24"/>
          <w:lang w:eastAsia="en-US"/>
        </w:rPr>
        <w:t xml:space="preserve">uestão 6, opção </w:t>
      </w:r>
      <w:r>
        <w:rPr>
          <w:rFonts w:eastAsia="Calibri" w:cstheme="majorHAnsi"/>
          <w:i/>
          <w:szCs w:val="24"/>
          <w:lang w:eastAsia="en-US"/>
        </w:rPr>
        <w:t>b</w:t>
      </w:r>
      <w:r>
        <w:rPr>
          <w:rFonts w:eastAsia="Calibri" w:cstheme="majorHAnsi"/>
          <w:szCs w:val="24"/>
          <w:lang w:eastAsia="en-US"/>
        </w:rPr>
        <w:t xml:space="preserve">), levando-nos ao entendimento de que os dois parâmetros estão relacionados e consolidados. </w:t>
      </w:r>
    </w:p>
    <w:p w14:paraId="0FD87968" w14:textId="77777777" w:rsidR="001F49FD" w:rsidRDefault="001F49FD">
      <w:pPr>
        <w:rPr>
          <w:rFonts w:asciiTheme="majorHAnsi" w:eastAsia="Calibri" w:hAnsiTheme="majorHAnsi" w:cstheme="majorHAnsi"/>
          <w:b/>
          <w:szCs w:val="24"/>
          <w:lang w:eastAsia="en-US"/>
        </w:rPr>
      </w:pPr>
    </w:p>
    <w:p w14:paraId="05B2D1A2" w14:textId="77777777" w:rsidR="00BF6888" w:rsidRDefault="00BF6888">
      <w:pPr>
        <w:rPr>
          <w:rFonts w:asciiTheme="majorHAnsi" w:eastAsia="Calibri" w:hAnsiTheme="majorHAnsi" w:cstheme="majorHAnsi"/>
          <w:b/>
          <w:szCs w:val="24"/>
          <w:lang w:eastAsia="en-US"/>
        </w:rPr>
      </w:pPr>
    </w:p>
    <w:p w14:paraId="7EB64E37" w14:textId="77777777" w:rsidR="001F49FD" w:rsidRDefault="00611419" w:rsidP="00BF6888">
      <w:pPr>
        <w:ind w:firstLine="709"/>
        <w:rPr>
          <w:rFonts w:asciiTheme="majorHAnsi" w:eastAsia="Calibri" w:hAnsiTheme="majorHAnsi" w:cstheme="majorHAnsi"/>
          <w:b/>
          <w:szCs w:val="24"/>
          <w:lang w:eastAsia="en-US"/>
        </w:rPr>
      </w:pPr>
      <w:r>
        <w:rPr>
          <w:rFonts w:eastAsia="Times New Roman" w:cstheme="majorHAnsi"/>
          <w:b/>
          <w:bCs/>
          <w:szCs w:val="24"/>
          <w:lang w:eastAsia="en-US"/>
        </w:rPr>
        <w:lastRenderedPageBreak/>
        <w:t xml:space="preserve">Questão </w:t>
      </w:r>
      <w:r>
        <w:rPr>
          <w:rFonts w:eastAsia="Calibri" w:cstheme="majorHAnsi"/>
          <w:b/>
          <w:szCs w:val="24"/>
          <w:lang w:eastAsia="en-US"/>
        </w:rPr>
        <w:t>18 - Grau de inclinação do arco</w:t>
      </w:r>
    </w:p>
    <w:p w14:paraId="32E3801A" w14:textId="0E1096E8"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Pelo fato desse tema não ser unicamente postural, a </w:t>
      </w:r>
      <w:r w:rsidR="00F616AF">
        <w:rPr>
          <w:rFonts w:eastAsia="Calibri" w:cstheme="majorHAnsi"/>
          <w:szCs w:val="24"/>
          <w:lang w:eastAsia="en-US"/>
        </w:rPr>
        <w:t>q</w:t>
      </w:r>
      <w:r>
        <w:rPr>
          <w:rFonts w:eastAsia="Calibri" w:cstheme="majorHAnsi"/>
          <w:szCs w:val="24"/>
          <w:lang w:eastAsia="en-US"/>
        </w:rPr>
        <w:t>uestão sobre o grau de inclinação do arco teve a maior incidência de recusa às opções oferecidas, quando alguns violinistas o vincularam a aspectos sonoros e estilísticos, ou seja, ao texto musical, como preconizado por Fischer.</w:t>
      </w:r>
    </w:p>
    <w:p w14:paraId="5CB6437B" w14:textId="77777777" w:rsidR="001F49FD" w:rsidRDefault="00611419" w:rsidP="00BF6888">
      <w:pPr>
        <w:ind w:firstLine="709"/>
        <w:rPr>
          <w:rFonts w:asciiTheme="majorHAnsi" w:eastAsia="Calibri" w:hAnsiTheme="majorHAnsi" w:cstheme="majorHAnsi"/>
          <w:szCs w:val="24"/>
          <w:lang w:eastAsia="en-US"/>
        </w:rPr>
      </w:pPr>
      <w:r>
        <w:rPr>
          <w:rFonts w:eastAsia="Calibri" w:cstheme="majorHAnsi"/>
          <w:szCs w:val="24"/>
          <w:lang w:eastAsia="en-US"/>
        </w:rPr>
        <w:t xml:space="preserve">Ainda assim pudemos observar a maior tendência à utilização do arco inclinado em direção ao espelho, seguido pelos violinistas que inclinam o arco somente ao se aproximar do talão. Esse último recurso revelou-se bastante utilizado por violinistas jovens das mais variadas formações violinísticas, confirmando a perenidade do preceito de </w:t>
      </w:r>
      <w:proofErr w:type="spellStart"/>
      <w:r>
        <w:rPr>
          <w:rFonts w:eastAsia="Calibri" w:cstheme="majorHAnsi"/>
          <w:szCs w:val="24"/>
          <w:lang w:eastAsia="en-US"/>
        </w:rPr>
        <w:t>Auer</w:t>
      </w:r>
      <w:proofErr w:type="spellEnd"/>
      <w:r>
        <w:rPr>
          <w:rFonts w:eastAsia="Calibri" w:cstheme="majorHAnsi"/>
          <w:szCs w:val="24"/>
          <w:lang w:eastAsia="en-US"/>
        </w:rPr>
        <w:t xml:space="preserve">. </w:t>
      </w:r>
    </w:p>
    <w:p w14:paraId="57479DF3" w14:textId="77777777" w:rsidR="001F49FD" w:rsidRDefault="00611419" w:rsidP="00BF6888">
      <w:pPr>
        <w:tabs>
          <w:tab w:val="left" w:pos="567"/>
        </w:tabs>
        <w:ind w:firstLine="709"/>
        <w:rPr>
          <w:rFonts w:asciiTheme="majorHAnsi" w:eastAsia="Calibri" w:hAnsiTheme="majorHAnsi" w:cstheme="majorHAnsi"/>
          <w:szCs w:val="24"/>
          <w:lang w:eastAsia="en-US"/>
        </w:rPr>
      </w:pPr>
      <w:r>
        <w:rPr>
          <w:rFonts w:eastAsia="Calibri" w:cstheme="majorHAnsi"/>
          <w:szCs w:val="24"/>
          <w:lang w:eastAsia="en-US"/>
        </w:rPr>
        <w:t xml:space="preserve">Enfim, verificamos que a ideia de arco plano através do uso de toda a crina (opção </w:t>
      </w:r>
      <w:r>
        <w:rPr>
          <w:rFonts w:eastAsia="Calibri" w:cstheme="majorHAnsi"/>
          <w:i/>
          <w:szCs w:val="24"/>
          <w:lang w:eastAsia="en-US"/>
        </w:rPr>
        <w:t>a</w:t>
      </w:r>
      <w:r>
        <w:rPr>
          <w:rFonts w:eastAsia="Calibri" w:cstheme="majorHAnsi"/>
          <w:szCs w:val="24"/>
          <w:lang w:eastAsia="en-US"/>
        </w:rPr>
        <w:t>), como recomendado por Flesch, é aplicada apenas por um a cada cinco violinistas. Porém apresenta uma divisão etária equilibrada, indicando que esse parâmetro deverá manter essa proporção futuramente.</w:t>
      </w:r>
    </w:p>
    <w:p w14:paraId="71834C11" w14:textId="565ADB99" w:rsidR="001F49FD" w:rsidRDefault="000A6E65" w:rsidP="00E25EBD">
      <w:pPr>
        <w:pStyle w:val="Ttulo2"/>
      </w:pPr>
      <w:bookmarkStart w:id="136" w:name="_Toc14331053"/>
      <w:bookmarkStart w:id="137" w:name="_Toc219359055"/>
      <w:r>
        <w:t>4</w:t>
      </w:r>
      <w:r w:rsidR="00611419">
        <w:t xml:space="preserve">.4    Considerações </w:t>
      </w:r>
      <w:bookmarkEnd w:id="136"/>
      <w:r w:rsidR="00611419">
        <w:t>principais</w:t>
      </w:r>
      <w:bookmarkEnd w:id="137"/>
    </w:p>
    <w:p w14:paraId="550A0B61" w14:textId="77777777" w:rsidR="001F49FD" w:rsidRDefault="00611419" w:rsidP="00BF6888">
      <w:pPr>
        <w:ind w:firstLine="709"/>
      </w:pPr>
      <w:r>
        <w:t>Em primeira instância, a análise dos resultados das entrevistas nos fez compreender o estágio atual dos elementos técnicos, que podem possuir:</w:t>
      </w:r>
    </w:p>
    <w:p w14:paraId="7D6374F5" w14:textId="77777777" w:rsidR="001F49FD" w:rsidRDefault="00611419" w:rsidP="00BF6888">
      <w:pPr>
        <w:ind w:firstLine="709"/>
      </w:pPr>
      <w:r>
        <w:t xml:space="preserve">a) Um parâmetro consolidado – quando este é amplamente adotado pelos violinistas. Nesse caso, o consideramos como paradigma, e as demais alternativas como exceções individuais. </w:t>
      </w:r>
      <w:proofErr w:type="spellStart"/>
      <w:r>
        <w:t>Ex</w:t>
      </w:r>
      <w:proofErr w:type="spellEnd"/>
      <w:r>
        <w:t xml:space="preserve">: o equilíbrio sobre as duas pernas afirma-se como o parâmetro padrão para o elemento técnico Equilíbrio do corpo. </w:t>
      </w:r>
    </w:p>
    <w:p w14:paraId="6B8ACA58" w14:textId="77777777" w:rsidR="001F49FD" w:rsidRDefault="00611419" w:rsidP="00BF6888">
      <w:pPr>
        <w:ind w:firstLine="709"/>
      </w:pPr>
      <w:r>
        <w:t xml:space="preserve">b) Um parâmetro predominante – quando </w:t>
      </w:r>
      <w:proofErr w:type="gramStart"/>
      <w:r>
        <w:t>outras alternativas</w:t>
      </w:r>
      <w:proofErr w:type="gramEnd"/>
      <w:r>
        <w:t xml:space="preserve"> técnicas são empregadas por uma quantidade expressiva de violinistas. Nesse caso, foi importante verificar as proporções entre as diferentes faixas etárias. </w:t>
      </w:r>
      <w:proofErr w:type="spellStart"/>
      <w:r>
        <w:t>Ex</w:t>
      </w:r>
      <w:proofErr w:type="spellEnd"/>
      <w:r>
        <w:t>: a direção das cordas é o parâmetro predominante da Questão do Direcionamento dos dedos, mas a relação de perpendicularidade com o braço do violino ainda é significativamente empregada. No entanto, entre os vinte entrevistados, apenas três violinistas jovens optaram por essa alternativa técnica, o que gera dúvidas sobre sua perenidade.</w:t>
      </w:r>
    </w:p>
    <w:p w14:paraId="46818F2D" w14:textId="77777777" w:rsidR="001F49FD" w:rsidRDefault="00611419" w:rsidP="00E25EBD">
      <w:pPr>
        <w:ind w:firstLine="709"/>
      </w:pPr>
      <w:r>
        <w:t xml:space="preserve">c) Parâmetros indefinidos – quando um elemento técnico apresenta um resultado similar em dois ou mais parâmetros. </w:t>
      </w:r>
      <w:proofErr w:type="spellStart"/>
      <w:r>
        <w:t>Ex</w:t>
      </w:r>
      <w:proofErr w:type="spellEnd"/>
      <w:r>
        <w:t>: para o elemento técnico Suporte,</w:t>
      </w:r>
      <w:r>
        <w:rPr>
          <w:b/>
        </w:rPr>
        <w:t xml:space="preserve"> </w:t>
      </w:r>
      <w:r>
        <w:t xml:space="preserve">a opção </w:t>
      </w:r>
      <w:r>
        <w:rPr>
          <w:i/>
        </w:rPr>
        <w:t>a</w:t>
      </w:r>
      <w:r>
        <w:t xml:space="preserve">) </w:t>
      </w:r>
      <w:r w:rsidRPr="00F616AF">
        <w:rPr>
          <w:i/>
          <w:iCs/>
        </w:rPr>
        <w:t>Prioritariamente com o apoio da cabeça e com pouco auxílio da mão esquerda</w:t>
      </w:r>
      <w:r>
        <w:rPr>
          <w:i/>
        </w:rPr>
        <w:t xml:space="preserve"> </w:t>
      </w:r>
      <w:r>
        <w:t>é preconizada por 18 violinistas e</w:t>
      </w:r>
      <w:r>
        <w:rPr>
          <w:i/>
        </w:rPr>
        <w:t xml:space="preserve"> </w:t>
      </w:r>
      <w:r>
        <w:t xml:space="preserve">a opção </w:t>
      </w:r>
      <w:r>
        <w:rPr>
          <w:i/>
        </w:rPr>
        <w:t>c</w:t>
      </w:r>
      <w:r>
        <w:t xml:space="preserve">) </w:t>
      </w:r>
      <w:r w:rsidRPr="00F616AF">
        <w:rPr>
          <w:i/>
          <w:iCs/>
        </w:rPr>
        <w:t>Prioritariamente equilibrado entre a cabeça e a mão esquerda</w:t>
      </w:r>
      <w:r>
        <w:t xml:space="preserve"> é preconizada por 24 violinistas. </w:t>
      </w:r>
    </w:p>
    <w:p w14:paraId="735E78E7" w14:textId="77777777" w:rsidR="001F49FD" w:rsidRDefault="00611419" w:rsidP="00E25EBD">
      <w:pPr>
        <w:ind w:firstLine="709"/>
      </w:pPr>
      <w:r>
        <w:lastRenderedPageBreak/>
        <w:t>Iniciando nossas conclusões pela classificação acima, verificamos o estágio dos elementos técnicos do nosso objeto de estudo:</w:t>
      </w:r>
    </w:p>
    <w:p w14:paraId="0A5121AB" w14:textId="77777777" w:rsidR="001F49FD" w:rsidRDefault="001F49FD"/>
    <w:p w14:paraId="65855863" w14:textId="77777777" w:rsidR="001F49FD" w:rsidRDefault="00611419">
      <w:pPr>
        <w:pStyle w:val="PargrafodaLista"/>
        <w:numPr>
          <w:ilvl w:val="0"/>
          <w:numId w:val="5"/>
        </w:numPr>
        <w:rPr>
          <w:b/>
        </w:rPr>
      </w:pPr>
      <w:r>
        <w:rPr>
          <w:b/>
        </w:rPr>
        <w:t>Postura corporal e sustentação do violino:</w:t>
      </w:r>
    </w:p>
    <w:p w14:paraId="479CC1CE" w14:textId="77777777" w:rsidR="001F49FD" w:rsidRDefault="00611419">
      <w:pPr>
        <w:pStyle w:val="PargrafodaLista"/>
        <w:numPr>
          <w:ilvl w:val="0"/>
          <w:numId w:val="6"/>
        </w:numPr>
      </w:pPr>
      <w:r>
        <w:t>Com parâmetros consolidados: Equilíbrio do corpo; Nível; Ângulo de abertura do violino; Movimentação corporal.</w:t>
      </w:r>
    </w:p>
    <w:p w14:paraId="63C3CEA1" w14:textId="77777777" w:rsidR="001F49FD" w:rsidRDefault="00611419">
      <w:pPr>
        <w:pStyle w:val="PargrafodaLista"/>
        <w:numPr>
          <w:ilvl w:val="0"/>
          <w:numId w:val="6"/>
        </w:numPr>
      </w:pPr>
      <w:r>
        <w:t xml:space="preserve"> Com parâmetros predominantes: Local de colocação do queixo; Direcionamento da cabeça.</w:t>
      </w:r>
    </w:p>
    <w:p w14:paraId="69DAEBAD" w14:textId="77777777" w:rsidR="001F49FD" w:rsidRDefault="00611419">
      <w:pPr>
        <w:pStyle w:val="PargrafodaLista"/>
        <w:numPr>
          <w:ilvl w:val="0"/>
          <w:numId w:val="6"/>
        </w:numPr>
      </w:pPr>
      <w:r>
        <w:t>Com parâmetros indefinidos: Suporte.</w:t>
      </w:r>
    </w:p>
    <w:p w14:paraId="0E9028FD" w14:textId="77777777" w:rsidR="001F49FD" w:rsidRDefault="001F49FD">
      <w:pPr>
        <w:pStyle w:val="PargrafodaLista"/>
        <w:ind w:left="1494" w:firstLine="0"/>
      </w:pPr>
    </w:p>
    <w:p w14:paraId="4B811CEB" w14:textId="77777777" w:rsidR="001F49FD" w:rsidRDefault="00611419">
      <w:pPr>
        <w:pStyle w:val="PargrafodaLista"/>
        <w:numPr>
          <w:ilvl w:val="0"/>
          <w:numId w:val="5"/>
        </w:numPr>
        <w:rPr>
          <w:b/>
        </w:rPr>
      </w:pPr>
      <w:r>
        <w:rPr>
          <w:b/>
        </w:rPr>
        <w:t>Técnica de mão esquerda:</w:t>
      </w:r>
    </w:p>
    <w:p w14:paraId="333F4740" w14:textId="77777777" w:rsidR="001F49FD" w:rsidRDefault="00611419">
      <w:pPr>
        <w:pStyle w:val="PargrafodaLista"/>
        <w:numPr>
          <w:ilvl w:val="0"/>
          <w:numId w:val="7"/>
        </w:numPr>
      </w:pPr>
      <w:r>
        <w:t xml:space="preserve">Com parâmetros consolidados: Posicionamento do dedo indicador; </w:t>
      </w:r>
    </w:p>
    <w:p w14:paraId="1D9D40F6" w14:textId="77777777" w:rsidR="001F49FD" w:rsidRDefault="00611419">
      <w:pPr>
        <w:pStyle w:val="PargrafodaLista"/>
        <w:numPr>
          <w:ilvl w:val="0"/>
          <w:numId w:val="7"/>
        </w:numPr>
        <w:rPr>
          <w:b/>
        </w:rPr>
      </w:pPr>
      <w:r>
        <w:t>Com parâmetros predominantes: Direcionamento dos dedos em relação ao espelho; Grau de elevação dos dedos.</w:t>
      </w:r>
    </w:p>
    <w:p w14:paraId="34D1E79F" w14:textId="77777777" w:rsidR="001F49FD" w:rsidRDefault="00611419">
      <w:pPr>
        <w:pStyle w:val="PargrafodaLista"/>
        <w:numPr>
          <w:ilvl w:val="0"/>
          <w:numId w:val="7"/>
        </w:numPr>
      </w:pPr>
      <w:r>
        <w:t>Com parâmetros indefinidos: Ponto de contato no braço do violino dos dedos polegar e indicador na 1ª posição.</w:t>
      </w:r>
    </w:p>
    <w:p w14:paraId="73AF98D3" w14:textId="77777777" w:rsidR="001F49FD" w:rsidRDefault="001F49FD">
      <w:pPr>
        <w:pStyle w:val="PargrafodaLista"/>
        <w:ind w:left="1494" w:firstLine="0"/>
      </w:pPr>
    </w:p>
    <w:p w14:paraId="3286BD3B" w14:textId="77777777" w:rsidR="001F49FD" w:rsidRDefault="00611419">
      <w:pPr>
        <w:pStyle w:val="PargrafodaLista"/>
        <w:numPr>
          <w:ilvl w:val="0"/>
          <w:numId w:val="5"/>
        </w:numPr>
      </w:pPr>
      <w:r>
        <w:rPr>
          <w:b/>
        </w:rPr>
        <w:t>Técnica de arco:</w:t>
      </w:r>
    </w:p>
    <w:p w14:paraId="76164D88" w14:textId="77777777" w:rsidR="001F49FD" w:rsidRDefault="00611419">
      <w:pPr>
        <w:pStyle w:val="PargrafodaLista"/>
        <w:numPr>
          <w:ilvl w:val="0"/>
          <w:numId w:val="8"/>
        </w:numPr>
      </w:pPr>
      <w:r>
        <w:t>Com parâmetros consolidados: Mobilidade do dedo indicador</w:t>
      </w:r>
      <w:r>
        <w:rPr>
          <w:rStyle w:val="Refdenotaderodap"/>
        </w:rPr>
        <w:footnoteReference w:id="53"/>
      </w:r>
      <w:r>
        <w:t>; Grau de elevação do punho ao se aproximar do talão.</w:t>
      </w:r>
    </w:p>
    <w:p w14:paraId="50A95716" w14:textId="77777777" w:rsidR="001F49FD" w:rsidRDefault="00611419">
      <w:pPr>
        <w:pStyle w:val="PargrafodaLista"/>
        <w:numPr>
          <w:ilvl w:val="0"/>
          <w:numId w:val="8"/>
        </w:numPr>
        <w:rPr>
          <w:b/>
        </w:rPr>
      </w:pPr>
      <w:r>
        <w:t>Com parâmetros predominantes: Distribuição do espaço entre os dedos; Posição dos dedos sobre a vareta.</w:t>
      </w:r>
    </w:p>
    <w:p w14:paraId="0B7ECA6D" w14:textId="77777777" w:rsidR="001F49FD" w:rsidRDefault="00611419">
      <w:pPr>
        <w:pStyle w:val="PargrafodaLista"/>
        <w:numPr>
          <w:ilvl w:val="0"/>
          <w:numId w:val="8"/>
        </w:numPr>
        <w:rPr>
          <w:b/>
        </w:rPr>
      </w:pPr>
      <w:r>
        <w:t>Com parâmetros indefinidos: Ponto de contato do dedo indicador; Ponto de contato do dedo médio; Grau de inclinação do arco.</w:t>
      </w:r>
    </w:p>
    <w:p w14:paraId="1A286C80" w14:textId="77777777" w:rsidR="001F49FD" w:rsidRDefault="001F49FD">
      <w:pPr>
        <w:pStyle w:val="PargrafodaLista"/>
        <w:ind w:left="1494" w:firstLine="0"/>
        <w:rPr>
          <w:b/>
        </w:rPr>
      </w:pPr>
    </w:p>
    <w:p w14:paraId="1BD7271F" w14:textId="0B4CA610" w:rsidR="001F49FD" w:rsidRDefault="00611419" w:rsidP="00E25EBD">
      <w:pPr>
        <w:ind w:firstLine="709"/>
      </w:pPr>
      <w:r>
        <w:t>As informações complementares dos entrevistados – espontâneas ou induzidas pelo entrevistador – transcritas em itálico ao lado da opção selecionada</w:t>
      </w:r>
      <w:r>
        <w:rPr>
          <w:rStyle w:val="Refdenotaderodap"/>
        </w:rPr>
        <w:footnoteReference w:id="54"/>
      </w:r>
      <w:r>
        <w:t xml:space="preserve"> –</w:t>
      </w:r>
      <w:r w:rsidR="00F616AF">
        <w:t>,</w:t>
      </w:r>
      <w:r>
        <w:t xml:space="preserve"> nos fornecem dados sobre os principais conceitos que norteiam os princípios técnicos dos violinistas. Verificamos que a ideia de </w:t>
      </w:r>
      <w:r>
        <w:rPr>
          <w:i/>
        </w:rPr>
        <w:t>preservação física</w:t>
      </w:r>
      <w:r>
        <w:t xml:space="preserve">, desenvolvida ao longo do século XX, está consolidada em nossos dias. Do mesmo modo, os conceitos de </w:t>
      </w:r>
      <w:r>
        <w:rPr>
          <w:i/>
        </w:rPr>
        <w:t>controle</w:t>
      </w:r>
      <w:r>
        <w:t>,</w:t>
      </w:r>
      <w:r>
        <w:rPr>
          <w:i/>
        </w:rPr>
        <w:t xml:space="preserve"> equilíbrio</w:t>
      </w:r>
      <w:r>
        <w:t xml:space="preserve"> e </w:t>
      </w:r>
      <w:r>
        <w:rPr>
          <w:i/>
        </w:rPr>
        <w:t>moderação</w:t>
      </w:r>
      <w:r>
        <w:t xml:space="preserve"> são frequentemente utilizados para justificar as escolhas de parâmetros técnicos. </w:t>
      </w:r>
    </w:p>
    <w:p w14:paraId="280481B7" w14:textId="3BAB0C51" w:rsidR="001F49FD" w:rsidRDefault="00611419" w:rsidP="00E25EBD">
      <w:pPr>
        <w:ind w:firstLine="709"/>
      </w:pPr>
      <w:r>
        <w:lastRenderedPageBreak/>
        <w:t>Enfim, procuramos averiguar a conexão dos princípios técnicos dos violinistas com o eixo genealógico de suas formações. De fato, assinalamos algumas identificações entre aqueles cujos parâmetros são pouco usuais (</w:t>
      </w:r>
      <w:r w:rsidR="00F616AF">
        <w:t>tais como</w:t>
      </w:r>
      <w:r>
        <w:t>: professores russos</w:t>
      </w:r>
      <w:r w:rsidR="00F616AF">
        <w:t>,</w:t>
      </w:r>
      <w:r>
        <w:t xml:space="preserve"> entre os violinistas que preconizam a elevação da voluta). Porém, não consideramos que esse tipo de aproximação seja plausível cientificamente, tratando-se, portanto, de mera curiosidade. </w:t>
      </w:r>
    </w:p>
    <w:p w14:paraId="4FF11ED3" w14:textId="77777777" w:rsidR="001F49FD" w:rsidRDefault="001F49FD">
      <w:pPr>
        <w:rPr>
          <w:lang w:eastAsia="en-US"/>
        </w:rPr>
      </w:pPr>
    </w:p>
    <w:p w14:paraId="70385A38" w14:textId="77777777" w:rsidR="001F49FD" w:rsidRDefault="001F49FD">
      <w:pPr>
        <w:rPr>
          <w:lang w:eastAsia="en-US"/>
        </w:rPr>
      </w:pPr>
    </w:p>
    <w:p w14:paraId="3CEA00D1" w14:textId="77777777" w:rsidR="001F49FD" w:rsidRDefault="001F49FD">
      <w:pPr>
        <w:rPr>
          <w:lang w:eastAsia="en-US"/>
        </w:rPr>
      </w:pPr>
    </w:p>
    <w:p w14:paraId="782E301C" w14:textId="77777777" w:rsidR="001F49FD" w:rsidRDefault="001F49FD">
      <w:pPr>
        <w:rPr>
          <w:lang w:eastAsia="en-US"/>
        </w:rPr>
      </w:pPr>
    </w:p>
    <w:p w14:paraId="1EF88860" w14:textId="77777777" w:rsidR="001F49FD" w:rsidRDefault="001F49FD">
      <w:pPr>
        <w:rPr>
          <w:lang w:eastAsia="en-US"/>
        </w:rPr>
      </w:pPr>
    </w:p>
    <w:p w14:paraId="3F949B6C" w14:textId="77777777" w:rsidR="001F49FD" w:rsidRDefault="001F49FD">
      <w:pPr>
        <w:rPr>
          <w:lang w:eastAsia="en-US"/>
        </w:rPr>
      </w:pPr>
    </w:p>
    <w:p w14:paraId="431B6230" w14:textId="77777777" w:rsidR="001F49FD" w:rsidRDefault="001F49FD">
      <w:pPr>
        <w:rPr>
          <w:lang w:eastAsia="en-US"/>
        </w:rPr>
      </w:pPr>
    </w:p>
    <w:p w14:paraId="0C92B11E" w14:textId="77777777" w:rsidR="001F49FD" w:rsidRDefault="001F49FD">
      <w:pPr>
        <w:rPr>
          <w:lang w:eastAsia="en-US"/>
        </w:rPr>
      </w:pPr>
    </w:p>
    <w:p w14:paraId="5E1B2D25" w14:textId="77777777" w:rsidR="00E25EBD" w:rsidRDefault="00E25EBD">
      <w:pPr>
        <w:rPr>
          <w:lang w:eastAsia="en-US"/>
        </w:rPr>
      </w:pPr>
    </w:p>
    <w:p w14:paraId="3697F0AF" w14:textId="77777777" w:rsidR="00E25EBD" w:rsidRDefault="00E25EBD">
      <w:pPr>
        <w:rPr>
          <w:lang w:eastAsia="en-US"/>
        </w:rPr>
      </w:pPr>
    </w:p>
    <w:p w14:paraId="5F93400E" w14:textId="77777777" w:rsidR="00E25EBD" w:rsidRDefault="00E25EBD">
      <w:pPr>
        <w:rPr>
          <w:lang w:eastAsia="en-US"/>
        </w:rPr>
      </w:pPr>
    </w:p>
    <w:p w14:paraId="2CB74E1C" w14:textId="77777777" w:rsidR="00E25EBD" w:rsidRDefault="00E25EBD">
      <w:pPr>
        <w:rPr>
          <w:lang w:eastAsia="en-US"/>
        </w:rPr>
      </w:pPr>
    </w:p>
    <w:p w14:paraId="1907B018" w14:textId="77777777" w:rsidR="00E25EBD" w:rsidRDefault="00E25EBD">
      <w:pPr>
        <w:rPr>
          <w:lang w:eastAsia="en-US"/>
        </w:rPr>
      </w:pPr>
    </w:p>
    <w:p w14:paraId="0174827E" w14:textId="77777777" w:rsidR="00E25EBD" w:rsidRDefault="00E25EBD">
      <w:pPr>
        <w:rPr>
          <w:lang w:eastAsia="en-US"/>
        </w:rPr>
      </w:pPr>
    </w:p>
    <w:p w14:paraId="4BBFE052" w14:textId="77777777" w:rsidR="00E25EBD" w:rsidRDefault="00E25EBD">
      <w:pPr>
        <w:rPr>
          <w:lang w:eastAsia="en-US"/>
        </w:rPr>
      </w:pPr>
    </w:p>
    <w:p w14:paraId="70294D0A" w14:textId="77777777" w:rsidR="00E25EBD" w:rsidRDefault="00E25EBD">
      <w:pPr>
        <w:rPr>
          <w:lang w:eastAsia="en-US"/>
        </w:rPr>
      </w:pPr>
    </w:p>
    <w:p w14:paraId="13082FBD" w14:textId="77777777" w:rsidR="00E25EBD" w:rsidRDefault="00E25EBD">
      <w:pPr>
        <w:rPr>
          <w:lang w:eastAsia="en-US"/>
        </w:rPr>
      </w:pPr>
    </w:p>
    <w:p w14:paraId="20447FA0" w14:textId="77777777" w:rsidR="00E25EBD" w:rsidRDefault="00E25EBD">
      <w:pPr>
        <w:rPr>
          <w:lang w:eastAsia="en-US"/>
        </w:rPr>
      </w:pPr>
    </w:p>
    <w:p w14:paraId="15418C7F" w14:textId="77777777" w:rsidR="00E25EBD" w:rsidRDefault="00E25EBD">
      <w:pPr>
        <w:rPr>
          <w:lang w:eastAsia="en-US"/>
        </w:rPr>
      </w:pPr>
    </w:p>
    <w:p w14:paraId="33433F17" w14:textId="77777777" w:rsidR="00E25EBD" w:rsidRDefault="00E25EBD">
      <w:pPr>
        <w:rPr>
          <w:lang w:eastAsia="en-US"/>
        </w:rPr>
      </w:pPr>
    </w:p>
    <w:p w14:paraId="3E6147D3" w14:textId="77777777" w:rsidR="00E25EBD" w:rsidRDefault="00E25EBD">
      <w:pPr>
        <w:rPr>
          <w:lang w:eastAsia="en-US"/>
        </w:rPr>
      </w:pPr>
    </w:p>
    <w:p w14:paraId="57399D96" w14:textId="77777777" w:rsidR="00E25EBD" w:rsidRDefault="00E25EBD">
      <w:pPr>
        <w:rPr>
          <w:lang w:eastAsia="en-US"/>
        </w:rPr>
      </w:pPr>
    </w:p>
    <w:p w14:paraId="5CE59F0D" w14:textId="77777777" w:rsidR="00E25EBD" w:rsidRDefault="00E25EBD">
      <w:pPr>
        <w:rPr>
          <w:lang w:eastAsia="en-US"/>
        </w:rPr>
      </w:pPr>
    </w:p>
    <w:p w14:paraId="3AB94A80" w14:textId="77777777" w:rsidR="00E25EBD" w:rsidRDefault="00E25EBD">
      <w:pPr>
        <w:rPr>
          <w:lang w:eastAsia="en-US"/>
        </w:rPr>
      </w:pPr>
    </w:p>
    <w:p w14:paraId="53D05FDD" w14:textId="77777777" w:rsidR="00E25EBD" w:rsidRDefault="00E25EBD">
      <w:pPr>
        <w:rPr>
          <w:lang w:eastAsia="en-US"/>
        </w:rPr>
      </w:pPr>
    </w:p>
    <w:p w14:paraId="542142FC" w14:textId="77777777" w:rsidR="00E25EBD" w:rsidRDefault="00E25EBD">
      <w:pPr>
        <w:rPr>
          <w:lang w:eastAsia="en-US"/>
        </w:rPr>
      </w:pPr>
    </w:p>
    <w:p w14:paraId="5B1EF190" w14:textId="77777777" w:rsidR="00E25EBD" w:rsidRDefault="00E25EBD">
      <w:pPr>
        <w:rPr>
          <w:lang w:eastAsia="en-US"/>
        </w:rPr>
      </w:pPr>
    </w:p>
    <w:p w14:paraId="3B6C1758" w14:textId="77777777" w:rsidR="001F49FD" w:rsidRDefault="001F49FD">
      <w:pPr>
        <w:rPr>
          <w:lang w:eastAsia="en-US"/>
        </w:rPr>
      </w:pPr>
    </w:p>
    <w:p w14:paraId="3CC86E19" w14:textId="57B46211" w:rsidR="001F49FD" w:rsidRDefault="00611419" w:rsidP="000A6E65">
      <w:pPr>
        <w:pStyle w:val="Ttulo1"/>
      </w:pPr>
      <w:bookmarkStart w:id="138" w:name="_Toc14331054"/>
      <w:bookmarkStart w:id="139" w:name="_Toc219359056"/>
      <w:r>
        <w:lastRenderedPageBreak/>
        <w:t>CONCLUSÃO</w:t>
      </w:r>
      <w:bookmarkEnd w:id="138"/>
      <w:bookmarkEnd w:id="139"/>
    </w:p>
    <w:p w14:paraId="70349AD5" w14:textId="581946C9" w:rsidR="001F49FD" w:rsidRDefault="005A76AF" w:rsidP="00E25EBD">
      <w:pPr>
        <w:ind w:firstLine="709"/>
      </w:pPr>
      <w:r>
        <w:t xml:space="preserve">Primeiramente, </w:t>
      </w:r>
      <w:r w:rsidRPr="005A76AF">
        <w:t>apresentamos a pesquisa histórica dos registros escritos de violinistas que influenciaram a prática violinística.</w:t>
      </w:r>
      <w:r w:rsidR="00611419">
        <w:t xml:space="preserve"> A compreensão das características e das transformações dos elementos técnicos foi aprofundada através de obras contemporâneas aos métodos selecionados – principalmente para o período do século XIX, com a profusão de fontes que pudemos acessar na Biblioteca da Universidade de Música de Viena</w:t>
      </w:r>
      <w:r>
        <w:t xml:space="preserve">. </w:t>
      </w:r>
      <w:r w:rsidR="00611419">
        <w:t xml:space="preserve">Ter uma gama de fontes primárias como pilar da pesquisa foi essencial para uma maior capacidade de análise dos preceitos dos autores selecionados sobre cada elemento técnico.  </w:t>
      </w:r>
    </w:p>
    <w:p w14:paraId="2D24D0D8" w14:textId="570F3AA8" w:rsidR="001F49FD" w:rsidRDefault="00611419" w:rsidP="00E25EBD">
      <w:pPr>
        <w:ind w:firstLine="709"/>
      </w:pPr>
      <w:r>
        <w:t xml:space="preserve">Nos </w:t>
      </w:r>
      <w:r w:rsidR="00817B85">
        <w:t>q</w:t>
      </w:r>
      <w:r>
        <w:t xml:space="preserve">uadros da análise comparativa, além de uma clara visualização dos parâmetros e de suas transformações, pudemos verificar se as características técnicas atribuídas pela posteridade a determinada Escola de Violino condizem com as normas registradas pelos seus maiores representantes. Essa indagação remete também aos escritos e ilustrações de Flesch, que tanto influenciaram nosso entendimento sobre as Escolas Francesa, Germânica, Franco-belga e Russa. Teria sido ele assertivo em suas definições? Verificamos que em grande parte sim, principalmente a respeito do </w:t>
      </w:r>
      <w:r>
        <w:rPr>
          <w:i/>
        </w:rPr>
        <w:t xml:space="preserve">Ponto de contato do dedo indicador </w:t>
      </w:r>
      <w:r w:rsidRPr="005A76AF">
        <w:rPr>
          <w:i/>
          <w:iCs/>
        </w:rPr>
        <w:t>direito</w:t>
      </w:r>
      <w:r>
        <w:t xml:space="preserve">, um dos elementos técnicos que mais simbolizam uma Escola no imaginário de um violinista. Em seguida, a análise nos permitiu conferir as relações entre os preceitos dos autores do século XX e seus antepassados – muitos com vínculos diretos, tais como </w:t>
      </w:r>
      <w:proofErr w:type="spellStart"/>
      <w:r>
        <w:t>Auer</w:t>
      </w:r>
      <w:proofErr w:type="spellEnd"/>
      <w:r>
        <w:t xml:space="preserve"> para Joachim, ou indiretos, como </w:t>
      </w:r>
      <w:proofErr w:type="spellStart"/>
      <w:r>
        <w:t>Galamian</w:t>
      </w:r>
      <w:proofErr w:type="spellEnd"/>
      <w:r>
        <w:t xml:space="preserve"> para </w:t>
      </w:r>
      <w:proofErr w:type="spellStart"/>
      <w:r>
        <w:t>Auer</w:t>
      </w:r>
      <w:proofErr w:type="spellEnd"/>
      <w:r>
        <w:t xml:space="preserve"> e Fis</w:t>
      </w:r>
      <w:r w:rsidR="005775A0">
        <w:t>c</w:t>
      </w:r>
      <w:r>
        <w:t xml:space="preserve">her para </w:t>
      </w:r>
      <w:proofErr w:type="spellStart"/>
      <w:r>
        <w:t>Galamian</w:t>
      </w:r>
      <w:proofErr w:type="spellEnd"/>
      <w:r>
        <w:t>.  Aqui conferimos que os processos de transformação de certos parâmetros técnicos não obedecem necessariamente a uma lógica temporal linear, possuindo uma dinâmica própria: um parâmetro de Fis</w:t>
      </w:r>
      <w:r w:rsidR="005775A0">
        <w:t>c</w:t>
      </w:r>
      <w:r>
        <w:t xml:space="preserve">her, do fim do século XX, pode estar mais próximo dos preceitos de Spohr ou </w:t>
      </w:r>
      <w:proofErr w:type="spellStart"/>
      <w:r>
        <w:t>Baillot</w:t>
      </w:r>
      <w:proofErr w:type="spellEnd"/>
      <w:r>
        <w:t xml:space="preserve"> do que de seus antepassados imediatos. Ao fim da análise, compreendendo de que modo desembarcarmos no século XXI, constituímos o conteúdo da </w:t>
      </w:r>
      <w:r w:rsidR="005775A0">
        <w:t>e</w:t>
      </w:r>
      <w:r>
        <w:t xml:space="preserve">ntrevista submetida aos violinistas contemporâneos. </w:t>
      </w:r>
    </w:p>
    <w:p w14:paraId="786CC4DC" w14:textId="77777777" w:rsidR="001F49FD" w:rsidRDefault="00611419" w:rsidP="00E25EBD">
      <w:pPr>
        <w:ind w:firstLine="709"/>
      </w:pPr>
      <w:r>
        <w:t xml:space="preserve">O caráter presencial das entrevistas foi o fator principal para que o material tenha sido plenamente explorado. Além da necessidade de esclarecer terminologias e definições, tanto nas questões como nas respostas, foi necessário explicar que as opções fechadas de resposta não excluem os conceitos de flexibilidade e mobilidade, pois se </w:t>
      </w:r>
      <w:proofErr w:type="gramStart"/>
      <w:r>
        <w:t>tratam</w:t>
      </w:r>
      <w:proofErr w:type="gramEnd"/>
      <w:r>
        <w:t xml:space="preserve"> de princípios técnicos primordiais, podendo se alterar em casos específicos. Do contrário, as respostas: “depende do texto musical” ou “depende de cada um” corriam o risco de ser onipresentes.  </w:t>
      </w:r>
    </w:p>
    <w:p w14:paraId="7FC91651" w14:textId="77777777" w:rsidR="001F49FD" w:rsidRDefault="00611419" w:rsidP="00E25EBD">
      <w:pPr>
        <w:ind w:firstLine="709"/>
      </w:pPr>
      <w:r>
        <w:t>Uma vez estabelecida essa abordagem, os resultados obtidos trouxeram uma série de constatações, dentre as quais destacamos:</w:t>
      </w:r>
    </w:p>
    <w:p w14:paraId="606A1EEE" w14:textId="77777777" w:rsidR="001F49FD" w:rsidRDefault="00611419" w:rsidP="00E25EBD">
      <w:pPr>
        <w:ind w:firstLine="709"/>
      </w:pPr>
      <w:r>
        <w:lastRenderedPageBreak/>
        <w:t xml:space="preserve">. A maioria dos elementos técnicos relativos à Postura corporal e sustentação do violino possui um parâmetro consolidado. </w:t>
      </w:r>
    </w:p>
    <w:p w14:paraId="623173E4" w14:textId="77777777" w:rsidR="001F49FD" w:rsidRDefault="00611419" w:rsidP="00E25EBD">
      <w:pPr>
        <w:ind w:firstLine="709"/>
      </w:pPr>
      <w:r>
        <w:t>. Similarmente, os elementos técnicos relativos à Técnica de mão esquerda e Técnica de arco possuem majoritariamente parâmetros consolidados ou predominantes.</w:t>
      </w:r>
    </w:p>
    <w:p w14:paraId="1E37CD18" w14:textId="7E4A2D79" w:rsidR="001F49FD" w:rsidRDefault="00611419" w:rsidP="00E25EBD">
      <w:pPr>
        <w:ind w:firstLine="709"/>
      </w:pPr>
      <w:r>
        <w:t xml:space="preserve">. Os elementos técnicos indefinidos em nossos dias são: o Suporte do violino; o Ponto de contato dos dedos polegar e indicador na 1ª posição (ou seja, a mão elevada ou baixa sobre o braço do violino); os Pontos de contato dos dedos médio e indicador sobre a vareta; o Grau de inclinação do arco. </w:t>
      </w:r>
    </w:p>
    <w:p w14:paraId="5DC3CE56" w14:textId="77777777" w:rsidR="001F49FD" w:rsidRDefault="00611419" w:rsidP="00E25EBD">
      <w:pPr>
        <w:ind w:firstLine="709"/>
        <w:rPr>
          <w:rFonts w:asciiTheme="majorHAnsi" w:eastAsia="Calibri" w:hAnsiTheme="majorHAnsi" w:cstheme="majorHAnsi"/>
        </w:rPr>
      </w:pPr>
      <w:r>
        <w:rPr>
          <w:rFonts w:eastAsia="Calibri" w:cstheme="majorHAnsi"/>
        </w:rPr>
        <w:t>. Contrariamente aos comentários de diversos violinistas, a vinculação de certos elementos técnicos – a exemplo do Ângulo de abertura do violino – com as características anatômicas é encontrada apenas nos parâmetros mais extremos. Os parâmetros moderados abrangem diversos tipos físicos.</w:t>
      </w:r>
    </w:p>
    <w:p w14:paraId="3BCF910F" w14:textId="7EBF711E" w:rsidR="001F49FD" w:rsidRDefault="00611419" w:rsidP="00E25EBD">
      <w:pPr>
        <w:ind w:firstLine="709"/>
        <w:rPr>
          <w:rFonts w:asciiTheme="majorHAnsi" w:eastAsia="Calibri" w:hAnsiTheme="majorHAnsi" w:cstheme="majorHAnsi"/>
        </w:rPr>
      </w:pPr>
      <w:r>
        <w:rPr>
          <w:rFonts w:eastAsia="Calibri" w:cstheme="majorHAnsi"/>
        </w:rPr>
        <w:t>Diante dessas considerações</w:t>
      </w:r>
      <w:r w:rsidR="005775A0">
        <w:rPr>
          <w:rFonts w:eastAsia="Calibri" w:cstheme="majorHAnsi"/>
        </w:rPr>
        <w:t>,</w:t>
      </w:r>
      <w:r>
        <w:rPr>
          <w:rFonts w:eastAsia="Calibri" w:cstheme="majorHAnsi"/>
        </w:rPr>
        <w:t xml:space="preserve"> podemos delinear o violinista padrão do século XXI:</w:t>
      </w:r>
    </w:p>
    <w:p w14:paraId="24FCC1CB" w14:textId="77777777" w:rsidR="001F49FD" w:rsidRDefault="001F49FD"/>
    <w:p w14:paraId="0FA35E51" w14:textId="77777777" w:rsidR="001F49FD" w:rsidRDefault="00611419">
      <w:pPr>
        <w:pStyle w:val="SemEspaamento"/>
        <w:spacing w:line="360" w:lineRule="auto"/>
        <w:rPr>
          <w:rFonts w:ascii="Times New Roman" w:hAnsi="Times New Roman" w:cs="Times New Roman"/>
          <w:b/>
          <w:szCs w:val="24"/>
        </w:rPr>
      </w:pPr>
      <w:r>
        <w:rPr>
          <w:rFonts w:cs="Times New Roman"/>
          <w:b/>
          <w:szCs w:val="24"/>
        </w:rPr>
        <w:t xml:space="preserve">I. POSTURA CORPORAL E SUSTENTAÇÃO DO VIOLINO  </w:t>
      </w:r>
    </w:p>
    <w:p w14:paraId="09660D8A" w14:textId="116376F9" w:rsidR="001F49FD" w:rsidRDefault="00611419">
      <w:pPr>
        <w:pStyle w:val="Commarcadores4"/>
        <w:ind w:left="0" w:firstLine="1134"/>
        <w:rPr>
          <w:rFonts w:ascii="Times New Roman" w:hAnsi="Times New Roman" w:cs="Times New Roman"/>
          <w:b/>
          <w:szCs w:val="24"/>
        </w:rPr>
      </w:pPr>
      <w:r>
        <w:rPr>
          <w:rFonts w:cs="Times New Roman"/>
          <w:b/>
          <w:szCs w:val="24"/>
        </w:rPr>
        <w:t>1.Equilíbrio do corpo</w:t>
      </w:r>
    </w:p>
    <w:p w14:paraId="2B221EE2" w14:textId="77777777" w:rsidR="001F49FD" w:rsidRDefault="00611419">
      <w:pPr>
        <w:pStyle w:val="Commarcadores5"/>
        <w:ind w:left="1134" w:firstLine="0"/>
        <w:rPr>
          <w:rFonts w:ascii="Times New Roman" w:hAnsi="Times New Roman" w:cs="Times New Roman"/>
          <w:i/>
          <w:szCs w:val="24"/>
        </w:rPr>
      </w:pPr>
      <w:r>
        <w:rPr>
          <w:rFonts w:cs="Times New Roman"/>
          <w:szCs w:val="24"/>
        </w:rPr>
        <w:t xml:space="preserve">a) Sobre as duas pernas. </w:t>
      </w:r>
      <w:r>
        <w:rPr>
          <w:rFonts w:ascii="Wingdings" w:eastAsia="Wingdings" w:hAnsi="Wingdings" w:cs="Wingdings"/>
          <w:szCs w:val="24"/>
        </w:rPr>
        <w:t></w:t>
      </w:r>
      <w:r>
        <w:rPr>
          <w:rFonts w:cs="Times New Roman"/>
          <w:szCs w:val="24"/>
        </w:rPr>
        <w:t xml:space="preserve"> </w:t>
      </w:r>
      <w:r>
        <w:rPr>
          <w:rFonts w:cs="Times New Roman"/>
          <w:i/>
          <w:szCs w:val="24"/>
        </w:rPr>
        <w:t>Preservação física</w:t>
      </w:r>
      <w:r>
        <w:rPr>
          <w:rFonts w:cs="Times New Roman"/>
          <w:szCs w:val="24"/>
        </w:rPr>
        <w:t xml:space="preserve">; </w:t>
      </w:r>
      <w:r>
        <w:rPr>
          <w:rFonts w:cs="Times New Roman"/>
          <w:i/>
          <w:szCs w:val="24"/>
        </w:rPr>
        <w:t>Equilíbrio.</w:t>
      </w:r>
    </w:p>
    <w:p w14:paraId="57077CF9" w14:textId="77777777" w:rsidR="001F49FD" w:rsidRDefault="00611419">
      <w:pPr>
        <w:pStyle w:val="SemEspaamento"/>
        <w:spacing w:line="360" w:lineRule="auto"/>
        <w:rPr>
          <w:rFonts w:ascii="Times New Roman" w:hAnsi="Times New Roman" w:cs="Times New Roman"/>
          <w:szCs w:val="24"/>
        </w:rPr>
      </w:pPr>
      <w:r>
        <w:rPr>
          <w:rFonts w:cs="Times New Roman"/>
          <w:szCs w:val="24"/>
        </w:rPr>
        <w:t>b) Sobre a perna esquerda.</w:t>
      </w:r>
    </w:p>
    <w:p w14:paraId="55523120" w14:textId="77777777" w:rsidR="001F49FD" w:rsidRDefault="001F49FD">
      <w:pPr>
        <w:pStyle w:val="SemEspaamento"/>
        <w:spacing w:line="240" w:lineRule="atLeast"/>
        <w:rPr>
          <w:rFonts w:ascii="Times New Roman" w:hAnsi="Times New Roman" w:cs="Times New Roman"/>
          <w:color w:val="244061" w:themeColor="accent1" w:themeShade="80"/>
          <w:szCs w:val="24"/>
        </w:rPr>
      </w:pPr>
    </w:p>
    <w:p w14:paraId="4D337C34" w14:textId="2FD7F7AA" w:rsidR="001F49FD" w:rsidRDefault="00611419">
      <w:pPr>
        <w:pStyle w:val="Commarcadores4"/>
        <w:ind w:left="0" w:firstLine="1134"/>
        <w:rPr>
          <w:rFonts w:ascii="Times New Roman" w:hAnsi="Times New Roman" w:cs="Times New Roman"/>
          <w:b/>
          <w:szCs w:val="24"/>
        </w:rPr>
      </w:pPr>
      <w:r>
        <w:rPr>
          <w:rFonts w:cs="Times New Roman"/>
          <w:b/>
          <w:szCs w:val="24"/>
        </w:rPr>
        <w:t xml:space="preserve">2.Suporte </w:t>
      </w:r>
    </w:p>
    <w:p w14:paraId="4B30C017" w14:textId="77777777" w:rsidR="001F49FD" w:rsidRDefault="00611419">
      <w:pPr>
        <w:pStyle w:val="Commarcadores5"/>
        <w:ind w:left="1134" w:right="-427" w:firstLine="0"/>
        <w:rPr>
          <w:rFonts w:ascii="Times New Roman" w:hAnsi="Times New Roman" w:cs="Times New Roman"/>
          <w:szCs w:val="24"/>
        </w:rPr>
      </w:pPr>
      <w:r>
        <w:rPr>
          <w:rFonts w:cs="Times New Roman"/>
          <w:szCs w:val="24"/>
        </w:rPr>
        <w:t xml:space="preserve">a) Prioritariamente com o apoio da cabeça e com pouco auxílio da mão esquerda. </w:t>
      </w:r>
      <w:r>
        <w:rPr>
          <w:rFonts w:ascii="Wingdings" w:eastAsia="Wingdings" w:hAnsi="Wingdings" w:cs="Wingdings"/>
          <w:szCs w:val="24"/>
        </w:rPr>
        <w:t></w:t>
      </w:r>
    </w:p>
    <w:p w14:paraId="28460D18" w14:textId="77777777" w:rsidR="001F49FD" w:rsidRDefault="00611419">
      <w:pPr>
        <w:pStyle w:val="Commarcadores5"/>
        <w:ind w:left="0" w:firstLine="1134"/>
        <w:rPr>
          <w:rFonts w:ascii="Times New Roman" w:hAnsi="Times New Roman" w:cs="Times New Roman"/>
          <w:szCs w:val="24"/>
        </w:rPr>
      </w:pPr>
      <w:r>
        <w:rPr>
          <w:rFonts w:cs="Times New Roman"/>
          <w:szCs w:val="24"/>
        </w:rPr>
        <w:t xml:space="preserve">b) Prioritariamente com a mão esquerda e com pouco auxílio da cabeça. </w:t>
      </w:r>
    </w:p>
    <w:p w14:paraId="22712A49" w14:textId="77777777" w:rsidR="001F49FD" w:rsidRDefault="00611419">
      <w:pPr>
        <w:pStyle w:val="Commarcadores5"/>
        <w:ind w:left="0" w:firstLine="1134"/>
        <w:rPr>
          <w:rFonts w:ascii="Times New Roman" w:hAnsi="Times New Roman" w:cs="Times New Roman"/>
          <w:szCs w:val="24"/>
        </w:rPr>
      </w:pPr>
      <w:r>
        <w:rPr>
          <w:rFonts w:cs="Times New Roman"/>
          <w:szCs w:val="24"/>
        </w:rPr>
        <w:t xml:space="preserve">c) Com suporte equilibrado entre a cabeça e a mão esquerda. </w:t>
      </w:r>
      <w:r>
        <w:rPr>
          <w:rFonts w:ascii="Wingdings" w:eastAsia="Wingdings" w:hAnsi="Wingdings" w:cs="Wingdings"/>
          <w:szCs w:val="24"/>
        </w:rPr>
        <w:t></w:t>
      </w:r>
      <w:r>
        <w:rPr>
          <w:rFonts w:cs="Times New Roman"/>
          <w:szCs w:val="24"/>
        </w:rPr>
        <w:t xml:space="preserve"> </w:t>
      </w:r>
    </w:p>
    <w:p w14:paraId="6A7000D1" w14:textId="77777777" w:rsidR="001F49FD" w:rsidRDefault="001F49FD">
      <w:pPr>
        <w:pStyle w:val="SemEspaamento"/>
        <w:spacing w:line="240" w:lineRule="atLeast"/>
        <w:rPr>
          <w:rFonts w:ascii="Times New Roman" w:hAnsi="Times New Roman" w:cs="Times New Roman"/>
          <w:szCs w:val="24"/>
        </w:rPr>
      </w:pPr>
    </w:p>
    <w:p w14:paraId="65DC4B02" w14:textId="0B44F9FF" w:rsidR="001F49FD" w:rsidRDefault="00611419">
      <w:pPr>
        <w:pStyle w:val="SemEspaamento"/>
        <w:spacing w:line="360" w:lineRule="auto"/>
        <w:rPr>
          <w:rFonts w:ascii="Times New Roman" w:hAnsi="Times New Roman" w:cs="Times New Roman"/>
          <w:b/>
          <w:szCs w:val="24"/>
        </w:rPr>
      </w:pPr>
      <w:r>
        <w:rPr>
          <w:rFonts w:cs="Times New Roman"/>
          <w:b/>
          <w:szCs w:val="24"/>
        </w:rPr>
        <w:t>3. Nível</w:t>
      </w:r>
    </w:p>
    <w:p w14:paraId="4F3679F2" w14:textId="77777777" w:rsidR="001F49FD" w:rsidRDefault="00611419">
      <w:pPr>
        <w:pStyle w:val="SemEspaamento"/>
        <w:spacing w:line="360" w:lineRule="auto"/>
        <w:rPr>
          <w:rFonts w:ascii="Times New Roman" w:hAnsi="Times New Roman" w:cs="Times New Roman"/>
          <w:szCs w:val="24"/>
        </w:rPr>
      </w:pPr>
      <w:r>
        <w:rPr>
          <w:rFonts w:cs="Times New Roman"/>
          <w:szCs w:val="24"/>
        </w:rPr>
        <w:t xml:space="preserve">a) Voluta mais baixa do que o plano horizontal. </w:t>
      </w:r>
    </w:p>
    <w:p w14:paraId="77F11A2B" w14:textId="77777777" w:rsidR="001F49FD" w:rsidRDefault="00611419">
      <w:pPr>
        <w:pStyle w:val="SemEspaamento"/>
        <w:spacing w:line="360" w:lineRule="auto"/>
        <w:rPr>
          <w:rFonts w:ascii="Times New Roman" w:hAnsi="Times New Roman" w:cs="Times New Roman"/>
          <w:i/>
          <w:szCs w:val="24"/>
        </w:rPr>
      </w:pPr>
      <w:r>
        <w:rPr>
          <w:rFonts w:cs="Times New Roman"/>
          <w:szCs w:val="24"/>
        </w:rPr>
        <w:t xml:space="preserve">b) Horizontal (paralelo em relação ao solo). </w:t>
      </w:r>
      <w:r>
        <w:rPr>
          <w:rFonts w:ascii="Wingdings" w:eastAsia="Wingdings" w:hAnsi="Wingdings" w:cs="Wingdings"/>
          <w:szCs w:val="24"/>
        </w:rPr>
        <w:t></w:t>
      </w:r>
      <w:r>
        <w:rPr>
          <w:rFonts w:cs="Times New Roman"/>
          <w:szCs w:val="24"/>
        </w:rPr>
        <w:t xml:space="preserve"> </w:t>
      </w:r>
      <w:r>
        <w:rPr>
          <w:rFonts w:cs="Times New Roman"/>
          <w:i/>
          <w:szCs w:val="24"/>
        </w:rPr>
        <w:t>Controle.</w:t>
      </w:r>
    </w:p>
    <w:p w14:paraId="7785DAFB" w14:textId="77777777" w:rsidR="001F49FD" w:rsidRDefault="00611419">
      <w:pPr>
        <w:pStyle w:val="SemEspaamento"/>
        <w:spacing w:line="360" w:lineRule="auto"/>
        <w:rPr>
          <w:rFonts w:ascii="Times New Roman" w:hAnsi="Times New Roman" w:cs="Times New Roman"/>
          <w:szCs w:val="24"/>
        </w:rPr>
      </w:pPr>
      <w:r>
        <w:rPr>
          <w:rFonts w:cs="Times New Roman"/>
          <w:szCs w:val="24"/>
        </w:rPr>
        <w:t xml:space="preserve">c) Voluta mais elevada do que o plano horizontal. </w:t>
      </w:r>
    </w:p>
    <w:p w14:paraId="652EB6A8" w14:textId="77777777" w:rsidR="001F49FD" w:rsidRDefault="001F49FD">
      <w:pPr>
        <w:pStyle w:val="SemEspaamento"/>
        <w:rPr>
          <w:rFonts w:ascii="Times New Roman" w:hAnsi="Times New Roman" w:cs="Times New Roman"/>
          <w:szCs w:val="24"/>
        </w:rPr>
      </w:pPr>
    </w:p>
    <w:p w14:paraId="4C224564" w14:textId="703758D1" w:rsidR="001F49FD" w:rsidRDefault="00611419">
      <w:pPr>
        <w:pStyle w:val="SemEspaamento"/>
        <w:spacing w:line="360" w:lineRule="auto"/>
        <w:rPr>
          <w:rFonts w:ascii="Times New Roman" w:hAnsi="Times New Roman" w:cs="Times New Roman"/>
          <w:b/>
          <w:szCs w:val="24"/>
        </w:rPr>
      </w:pPr>
      <w:r>
        <w:rPr>
          <w:rFonts w:cs="Times New Roman"/>
          <w:b/>
          <w:szCs w:val="24"/>
        </w:rPr>
        <w:t>4. Local de posicionamento do queixo</w:t>
      </w:r>
    </w:p>
    <w:p w14:paraId="59CCD88E" w14:textId="77777777" w:rsidR="001F49FD" w:rsidRDefault="00611419">
      <w:pPr>
        <w:pStyle w:val="SemEspaamento"/>
        <w:spacing w:line="360" w:lineRule="auto"/>
        <w:ind w:left="1134" w:firstLine="0"/>
        <w:rPr>
          <w:rFonts w:ascii="Times New Roman" w:hAnsi="Times New Roman" w:cs="Times New Roman"/>
          <w:szCs w:val="24"/>
        </w:rPr>
      </w:pPr>
      <w:r>
        <w:rPr>
          <w:rFonts w:cs="Times New Roman"/>
          <w:szCs w:val="24"/>
        </w:rPr>
        <w:t>a) Ao lado do estandarte (</w:t>
      </w:r>
      <w:proofErr w:type="spellStart"/>
      <w:r>
        <w:rPr>
          <w:rFonts w:cs="Times New Roman"/>
          <w:szCs w:val="24"/>
        </w:rPr>
        <w:t>queixeira</w:t>
      </w:r>
      <w:proofErr w:type="spellEnd"/>
      <w:r>
        <w:rPr>
          <w:rFonts w:cs="Times New Roman"/>
          <w:szCs w:val="24"/>
        </w:rPr>
        <w:t xml:space="preserve"> que não possui estrutura de ponte sobre o estandarte). </w:t>
      </w:r>
    </w:p>
    <w:p w14:paraId="229CA783" w14:textId="77777777" w:rsidR="001F49FD" w:rsidRDefault="00611419">
      <w:pPr>
        <w:pStyle w:val="SemEspaamento"/>
        <w:spacing w:line="360" w:lineRule="auto"/>
        <w:rPr>
          <w:rFonts w:ascii="Times New Roman" w:hAnsi="Times New Roman" w:cs="Times New Roman"/>
          <w:szCs w:val="24"/>
        </w:rPr>
      </w:pPr>
      <w:r>
        <w:rPr>
          <w:rFonts w:cs="Times New Roman"/>
          <w:szCs w:val="24"/>
        </w:rPr>
        <w:t xml:space="preserve">b) Entre o lado esquerdo e o estandarte. </w:t>
      </w:r>
      <w:r>
        <w:rPr>
          <w:rFonts w:ascii="Wingdings" w:eastAsia="Wingdings" w:hAnsi="Wingdings" w:cs="Wingdings"/>
          <w:szCs w:val="24"/>
        </w:rPr>
        <w:t></w:t>
      </w:r>
      <w:r>
        <w:rPr>
          <w:rFonts w:cs="Times New Roman"/>
          <w:szCs w:val="24"/>
        </w:rPr>
        <w:t xml:space="preserve"> </w:t>
      </w:r>
      <w:r>
        <w:rPr>
          <w:rFonts w:cs="Times New Roman"/>
          <w:i/>
          <w:szCs w:val="24"/>
        </w:rPr>
        <w:t>Moderação.</w:t>
      </w:r>
    </w:p>
    <w:p w14:paraId="6ED323F4" w14:textId="77777777" w:rsidR="001F49FD" w:rsidRDefault="00611419">
      <w:pPr>
        <w:pStyle w:val="SemEspaamento"/>
        <w:spacing w:line="360" w:lineRule="auto"/>
        <w:rPr>
          <w:rFonts w:cs="Times New Roman"/>
          <w:szCs w:val="24"/>
        </w:rPr>
      </w:pPr>
      <w:r>
        <w:rPr>
          <w:rFonts w:cs="Times New Roman"/>
          <w:szCs w:val="24"/>
        </w:rPr>
        <w:t>c) Ao centro (</w:t>
      </w:r>
      <w:proofErr w:type="spellStart"/>
      <w:r>
        <w:rPr>
          <w:rFonts w:cs="Times New Roman"/>
          <w:szCs w:val="24"/>
        </w:rPr>
        <w:t>queixeira</w:t>
      </w:r>
      <w:proofErr w:type="spellEnd"/>
      <w:r>
        <w:rPr>
          <w:rFonts w:cs="Times New Roman"/>
          <w:szCs w:val="24"/>
        </w:rPr>
        <w:t xml:space="preserve"> central).</w:t>
      </w:r>
    </w:p>
    <w:p w14:paraId="57DB93FF" w14:textId="77777777" w:rsidR="005775A0" w:rsidRDefault="005775A0">
      <w:pPr>
        <w:pStyle w:val="SemEspaamento"/>
        <w:spacing w:line="360" w:lineRule="auto"/>
        <w:rPr>
          <w:rFonts w:ascii="Times New Roman" w:hAnsi="Times New Roman" w:cs="Times New Roman"/>
          <w:szCs w:val="24"/>
        </w:rPr>
      </w:pPr>
    </w:p>
    <w:p w14:paraId="35173FE7" w14:textId="1DC97E99" w:rsidR="001F49FD" w:rsidRDefault="00611419">
      <w:pPr>
        <w:rPr>
          <w:b/>
        </w:rPr>
      </w:pPr>
      <w:r>
        <w:rPr>
          <w:b/>
        </w:rPr>
        <w:t xml:space="preserve">5. Direcionamento da cabeça </w:t>
      </w:r>
    </w:p>
    <w:p w14:paraId="57FB48EC" w14:textId="77777777" w:rsidR="001F49FD" w:rsidRDefault="00611419">
      <w:r>
        <w:lastRenderedPageBreak/>
        <w:t xml:space="preserve">a) Voltada para frente. </w:t>
      </w:r>
    </w:p>
    <w:p w14:paraId="5E2974ED" w14:textId="77777777" w:rsidR="001F49FD" w:rsidRDefault="00611419">
      <w:r>
        <w:t xml:space="preserve">b) Entre o centro e o espelho. </w:t>
      </w:r>
      <w:r>
        <w:rPr>
          <w:rFonts w:ascii="Wingdings" w:eastAsia="Wingdings" w:hAnsi="Wingdings" w:cs="Wingdings"/>
        </w:rPr>
        <w:t></w:t>
      </w:r>
      <w:r>
        <w:t xml:space="preserve"> </w:t>
      </w:r>
      <w:r>
        <w:rPr>
          <w:rFonts w:cs="Times New Roman"/>
          <w:i/>
          <w:szCs w:val="24"/>
        </w:rPr>
        <w:t>Moderação.</w:t>
      </w:r>
    </w:p>
    <w:p w14:paraId="77779737" w14:textId="77777777" w:rsidR="001F49FD" w:rsidRDefault="00611419">
      <w:r>
        <w:t xml:space="preserve">c) Voltada para a direção do espelho. </w:t>
      </w:r>
    </w:p>
    <w:p w14:paraId="41F10122" w14:textId="77777777" w:rsidR="001F49FD" w:rsidRDefault="001F49FD">
      <w:pPr>
        <w:spacing w:line="240" w:lineRule="auto"/>
        <w:rPr>
          <w:b/>
        </w:rPr>
      </w:pPr>
    </w:p>
    <w:p w14:paraId="55C53B69" w14:textId="560A68B5" w:rsidR="001F49FD" w:rsidRDefault="00611419">
      <w:pPr>
        <w:rPr>
          <w:b/>
        </w:rPr>
      </w:pPr>
      <w:r>
        <w:rPr>
          <w:b/>
        </w:rPr>
        <w:t>6. Ângulo de abertura do violino</w:t>
      </w:r>
    </w:p>
    <w:p w14:paraId="0A84FE9E" w14:textId="77777777" w:rsidR="001F49FD" w:rsidRDefault="00611419">
      <w:r>
        <w:t>a) Mínimo (em frente ao ombro).</w:t>
      </w:r>
    </w:p>
    <w:p w14:paraId="2B28B437" w14:textId="77777777" w:rsidR="001F49FD" w:rsidRDefault="00611419">
      <w:r>
        <w:t xml:space="preserve">b) Moderado. </w:t>
      </w:r>
      <w:r>
        <w:rPr>
          <w:rFonts w:ascii="Wingdings" w:eastAsia="Wingdings" w:hAnsi="Wingdings" w:cs="Wingdings"/>
        </w:rPr>
        <w:t></w:t>
      </w:r>
      <w:r>
        <w:t xml:space="preserve"> </w:t>
      </w:r>
      <w:r>
        <w:rPr>
          <w:rFonts w:cs="Times New Roman"/>
          <w:i/>
          <w:szCs w:val="24"/>
        </w:rPr>
        <w:t>Moderação.</w:t>
      </w:r>
    </w:p>
    <w:p w14:paraId="53965A07" w14:textId="77777777" w:rsidR="001F49FD" w:rsidRDefault="00611419">
      <w:pPr>
        <w:rPr>
          <w:i/>
        </w:rPr>
      </w:pPr>
      <w:r>
        <w:t xml:space="preserve">c) Acentuado para a esquerda. </w:t>
      </w:r>
    </w:p>
    <w:p w14:paraId="4A089349" w14:textId="77777777" w:rsidR="001F49FD" w:rsidRDefault="001F49FD">
      <w:pPr>
        <w:spacing w:line="240" w:lineRule="auto"/>
        <w:contextualSpacing/>
        <w:rPr>
          <w:b/>
        </w:rPr>
      </w:pPr>
    </w:p>
    <w:p w14:paraId="46074211" w14:textId="00711EF3" w:rsidR="001F49FD" w:rsidRDefault="00611419">
      <w:pPr>
        <w:contextualSpacing/>
        <w:rPr>
          <w:b/>
        </w:rPr>
      </w:pPr>
      <w:r>
        <w:rPr>
          <w:b/>
        </w:rPr>
        <w:t>7. Movimentação corporal</w:t>
      </w:r>
    </w:p>
    <w:p w14:paraId="1F7E6B42" w14:textId="77777777" w:rsidR="001F49FD" w:rsidRDefault="00611419">
      <w:pPr>
        <w:contextualSpacing/>
        <w:rPr>
          <w:i/>
        </w:rPr>
      </w:pPr>
      <w:r>
        <w:t xml:space="preserve">a) Restrita. </w:t>
      </w:r>
      <w:r>
        <w:rPr>
          <w:rFonts w:ascii="Wingdings" w:eastAsia="Wingdings" w:hAnsi="Wingdings" w:cs="Wingdings"/>
        </w:rPr>
        <w:t></w:t>
      </w:r>
      <w:r>
        <w:t xml:space="preserve"> </w:t>
      </w:r>
      <w:r>
        <w:rPr>
          <w:i/>
        </w:rPr>
        <w:t>Controle.</w:t>
      </w:r>
    </w:p>
    <w:p w14:paraId="4FE577BA" w14:textId="77777777" w:rsidR="001F49FD" w:rsidRDefault="00611419">
      <w:pPr>
        <w:contextualSpacing/>
      </w:pPr>
      <w:r>
        <w:t>b) Considerável.</w:t>
      </w:r>
    </w:p>
    <w:p w14:paraId="312EEF9D" w14:textId="77777777" w:rsidR="001F49FD" w:rsidRDefault="001F49FD"/>
    <w:p w14:paraId="70AB3A17" w14:textId="77777777" w:rsidR="001F49FD" w:rsidRDefault="00611419">
      <w:pPr>
        <w:contextualSpacing/>
        <w:rPr>
          <w:b/>
        </w:rPr>
      </w:pPr>
      <w:r>
        <w:rPr>
          <w:b/>
        </w:rPr>
        <w:t>II. TÉCNICA DE MÃO ESQUERDA</w:t>
      </w:r>
    </w:p>
    <w:p w14:paraId="73E07F4F" w14:textId="1926CC1C" w:rsidR="001F49FD" w:rsidRDefault="00611419">
      <w:pPr>
        <w:ind w:left="1134" w:firstLine="0"/>
        <w:contextualSpacing/>
        <w:rPr>
          <w:b/>
        </w:rPr>
      </w:pPr>
      <w:r>
        <w:rPr>
          <w:b/>
        </w:rPr>
        <w:t>8. Ponto de contato no braço do violino dos dedos polegar e indicador na 1ª posição</w:t>
      </w:r>
    </w:p>
    <w:p w14:paraId="0680FCC1" w14:textId="3CA821D5" w:rsidR="001F49FD" w:rsidRDefault="00611419">
      <w:pPr>
        <w:contextualSpacing/>
        <w:rPr>
          <w:b/>
        </w:rPr>
      </w:pPr>
      <w:r>
        <w:rPr>
          <w:b/>
        </w:rPr>
        <w:t xml:space="preserve">8.1. Ponto de contato do dedo polegar </w:t>
      </w:r>
    </w:p>
    <w:p w14:paraId="1D6D1FC1" w14:textId="77777777" w:rsidR="001F49FD" w:rsidRDefault="00611419">
      <w:pPr>
        <w:rPr>
          <w:rFonts w:ascii="Times New Roman" w:hAnsi="Times New Roman" w:cs="Times New Roman"/>
          <w:szCs w:val="24"/>
        </w:rPr>
      </w:pPr>
      <w:r>
        <w:rPr>
          <w:rFonts w:cs="Times New Roman"/>
          <w:szCs w:val="24"/>
        </w:rPr>
        <w:t xml:space="preserve">a) Falange proximal. </w:t>
      </w:r>
    </w:p>
    <w:p w14:paraId="7E67E5F5" w14:textId="3B53A43F" w:rsidR="001F49FD" w:rsidRDefault="00611419">
      <w:pPr>
        <w:pStyle w:val="PargrafodaLista"/>
        <w:ind w:left="1134" w:firstLine="0"/>
        <w:rPr>
          <w:rFonts w:ascii="Times New Roman" w:hAnsi="Times New Roman" w:cs="Times New Roman"/>
          <w:szCs w:val="24"/>
        </w:rPr>
      </w:pPr>
      <w:r>
        <w:rPr>
          <w:rFonts w:cs="Times New Roman"/>
          <w:szCs w:val="24"/>
        </w:rPr>
        <w:t xml:space="preserve">b) Articulação </w:t>
      </w:r>
      <w:r w:rsidR="005775A0">
        <w:rPr>
          <w:rFonts w:cs="Times New Roman"/>
          <w:szCs w:val="24"/>
        </w:rPr>
        <w:t>interfalangiana</w:t>
      </w:r>
      <w:r>
        <w:rPr>
          <w:rFonts w:cs="Times New Roman"/>
          <w:szCs w:val="24"/>
        </w:rPr>
        <w:t xml:space="preserve"> proximal. </w:t>
      </w:r>
      <w:r>
        <w:rPr>
          <w:rFonts w:ascii="Wingdings" w:eastAsia="Wingdings" w:hAnsi="Wingdings" w:cs="Wingdings"/>
          <w:szCs w:val="24"/>
        </w:rPr>
        <w:t></w:t>
      </w:r>
    </w:p>
    <w:p w14:paraId="72EDE6B4" w14:textId="77777777" w:rsidR="001F49FD" w:rsidRDefault="00611419">
      <w:pPr>
        <w:pStyle w:val="PargrafodaLista"/>
        <w:ind w:left="1134" w:firstLine="0"/>
        <w:rPr>
          <w:rFonts w:ascii="Times New Roman" w:hAnsi="Times New Roman" w:cs="Times New Roman"/>
          <w:szCs w:val="24"/>
        </w:rPr>
      </w:pPr>
      <w:r>
        <w:rPr>
          <w:rFonts w:cs="Times New Roman"/>
          <w:szCs w:val="24"/>
        </w:rPr>
        <w:t xml:space="preserve">c) Falange distal. </w:t>
      </w:r>
      <w:r>
        <w:rPr>
          <w:rFonts w:ascii="Wingdings" w:eastAsia="Wingdings" w:hAnsi="Wingdings" w:cs="Wingdings"/>
          <w:szCs w:val="24"/>
        </w:rPr>
        <w:t></w:t>
      </w:r>
    </w:p>
    <w:p w14:paraId="2BB88D97" w14:textId="77777777" w:rsidR="001F49FD" w:rsidRDefault="001F49FD">
      <w:pPr>
        <w:pStyle w:val="PargrafodaLista"/>
        <w:spacing w:line="240" w:lineRule="auto"/>
        <w:ind w:left="1134"/>
        <w:rPr>
          <w:rFonts w:ascii="Times New Roman" w:hAnsi="Times New Roman" w:cs="Times New Roman"/>
          <w:szCs w:val="24"/>
        </w:rPr>
      </w:pPr>
    </w:p>
    <w:p w14:paraId="621C999E" w14:textId="12D0DB5B" w:rsidR="001F49FD" w:rsidRDefault="00611419">
      <w:pPr>
        <w:contextualSpacing/>
        <w:rPr>
          <w:b/>
        </w:rPr>
      </w:pPr>
      <w:r>
        <w:rPr>
          <w:b/>
        </w:rPr>
        <w:t xml:space="preserve">8.2. Ponto de contato do dedo indicador </w:t>
      </w:r>
    </w:p>
    <w:p w14:paraId="7E3E3256" w14:textId="77777777" w:rsidR="001F49FD" w:rsidRDefault="00611419">
      <w:pPr>
        <w:rPr>
          <w:rFonts w:ascii="Times New Roman" w:hAnsi="Times New Roman" w:cs="Times New Roman"/>
          <w:szCs w:val="24"/>
        </w:rPr>
      </w:pPr>
      <w:r>
        <w:rPr>
          <w:rFonts w:cs="Times New Roman"/>
          <w:szCs w:val="24"/>
        </w:rPr>
        <w:t xml:space="preserve">a) Falange proximal – base. </w:t>
      </w:r>
      <w:r>
        <w:rPr>
          <w:rFonts w:ascii="Wingdings" w:eastAsia="Wingdings" w:hAnsi="Wingdings" w:cs="Wingdings"/>
        </w:rPr>
        <w:t></w:t>
      </w:r>
    </w:p>
    <w:p w14:paraId="331E1BAF" w14:textId="77777777" w:rsidR="001F49FD" w:rsidRDefault="00611419">
      <w:pPr>
        <w:pStyle w:val="PargrafodaLista"/>
        <w:ind w:left="1134" w:firstLine="0"/>
        <w:rPr>
          <w:rFonts w:ascii="Times New Roman" w:hAnsi="Times New Roman" w:cs="Times New Roman"/>
          <w:szCs w:val="24"/>
        </w:rPr>
      </w:pPr>
      <w:r>
        <w:rPr>
          <w:rFonts w:cs="Times New Roman"/>
          <w:szCs w:val="24"/>
        </w:rPr>
        <w:t>b) Falange proximal</w:t>
      </w:r>
      <w:r>
        <w:rPr>
          <w:rFonts w:cs="Times New Roman"/>
          <w:color w:val="0070C0"/>
          <w:szCs w:val="24"/>
        </w:rPr>
        <w:t xml:space="preserve">. </w:t>
      </w:r>
      <w:r>
        <w:rPr>
          <w:rFonts w:ascii="Wingdings" w:eastAsia="Wingdings" w:hAnsi="Wingdings" w:cs="Wingdings"/>
          <w:szCs w:val="24"/>
        </w:rPr>
        <w:t></w:t>
      </w:r>
    </w:p>
    <w:p w14:paraId="2518C797" w14:textId="77777777" w:rsidR="001F49FD" w:rsidRDefault="00611419">
      <w:pPr>
        <w:rPr>
          <w:rFonts w:ascii="Times New Roman" w:hAnsi="Times New Roman" w:cs="Times New Roman"/>
          <w:szCs w:val="24"/>
        </w:rPr>
      </w:pPr>
      <w:r>
        <w:rPr>
          <w:rFonts w:cs="Times New Roman"/>
          <w:szCs w:val="24"/>
        </w:rPr>
        <w:t xml:space="preserve">c) Articulação entre as falanges proximal e média. </w:t>
      </w:r>
    </w:p>
    <w:p w14:paraId="42ADBC7A" w14:textId="77777777" w:rsidR="001F49FD" w:rsidRDefault="00611419">
      <w:pPr>
        <w:rPr>
          <w:rFonts w:ascii="Times New Roman" w:hAnsi="Times New Roman" w:cs="Times New Roman"/>
          <w:szCs w:val="24"/>
        </w:rPr>
      </w:pPr>
      <w:r>
        <w:rPr>
          <w:rFonts w:cs="Times New Roman"/>
          <w:szCs w:val="24"/>
        </w:rPr>
        <w:t xml:space="preserve">d) Falange média. </w:t>
      </w:r>
    </w:p>
    <w:p w14:paraId="1E247F3F" w14:textId="77777777" w:rsidR="001F49FD" w:rsidRDefault="001F49FD">
      <w:pPr>
        <w:pStyle w:val="PargrafodaLista"/>
        <w:spacing w:line="240" w:lineRule="auto"/>
        <w:ind w:left="1491"/>
        <w:rPr>
          <w:rFonts w:ascii="Times New Roman" w:hAnsi="Times New Roman" w:cs="Times New Roman"/>
          <w:szCs w:val="24"/>
        </w:rPr>
      </w:pPr>
    </w:p>
    <w:p w14:paraId="79324F14" w14:textId="717BFD0F" w:rsidR="001F49FD" w:rsidRDefault="00611419">
      <w:pPr>
        <w:contextualSpacing/>
        <w:rPr>
          <w:b/>
        </w:rPr>
      </w:pPr>
      <w:r>
        <w:rPr>
          <w:b/>
        </w:rPr>
        <w:t>9.Posicionamento do dedo indicador</w:t>
      </w:r>
    </w:p>
    <w:p w14:paraId="1A109F24" w14:textId="77777777" w:rsidR="001F49FD" w:rsidRDefault="00611419">
      <w:pPr>
        <w:contextualSpacing/>
        <w:rPr>
          <w:i/>
        </w:rPr>
      </w:pPr>
      <w:r>
        <w:t xml:space="preserve">a) Encostado ao braço do violino. </w:t>
      </w:r>
      <w:r>
        <w:rPr>
          <w:rFonts w:ascii="Wingdings" w:eastAsia="Wingdings" w:hAnsi="Wingdings" w:cs="Wingdings"/>
        </w:rPr>
        <w:t></w:t>
      </w:r>
      <w:r>
        <w:t xml:space="preserve"> </w:t>
      </w:r>
      <w:r>
        <w:rPr>
          <w:i/>
        </w:rPr>
        <w:t>Referência tátil.</w:t>
      </w:r>
    </w:p>
    <w:p w14:paraId="0AB5D8B6" w14:textId="77777777" w:rsidR="001F49FD" w:rsidRDefault="00611419">
      <w:pPr>
        <w:contextualSpacing/>
      </w:pPr>
      <w:r>
        <w:t xml:space="preserve">b) Próximo ao braço do violino. </w:t>
      </w:r>
    </w:p>
    <w:p w14:paraId="3FF78DBE" w14:textId="723A7558" w:rsidR="001F49FD" w:rsidRDefault="00611419" w:rsidP="00E25EBD">
      <w:pPr>
        <w:contextualSpacing/>
      </w:pPr>
      <w:r>
        <w:t>c) Distanciado do braço do violino.</w:t>
      </w:r>
    </w:p>
    <w:p w14:paraId="1705977B" w14:textId="77777777" w:rsidR="001F49FD" w:rsidRDefault="001F49FD">
      <w:pPr>
        <w:ind w:firstLine="0"/>
      </w:pPr>
    </w:p>
    <w:p w14:paraId="4C90FAE9" w14:textId="0EBCFC6A" w:rsidR="001F49FD" w:rsidRDefault="00611419">
      <w:pPr>
        <w:contextualSpacing/>
        <w:rPr>
          <w:b/>
        </w:rPr>
      </w:pPr>
      <w:r>
        <w:rPr>
          <w:b/>
        </w:rPr>
        <w:t>10. Direcionamento dos dedos em relação ao espelho</w:t>
      </w:r>
    </w:p>
    <w:p w14:paraId="70F6A372" w14:textId="77777777" w:rsidR="001F49FD" w:rsidRDefault="00611419">
      <w:pPr>
        <w:contextualSpacing/>
      </w:pPr>
      <w:r>
        <w:t>a) Perpendiculares.</w:t>
      </w:r>
    </w:p>
    <w:p w14:paraId="4CA3CF64" w14:textId="47B4A9AE" w:rsidR="001F49FD" w:rsidRPr="00E25EBD" w:rsidRDefault="00611419" w:rsidP="00E25EBD">
      <w:pPr>
        <w:contextualSpacing/>
        <w:rPr>
          <w:i/>
        </w:rPr>
      </w:pPr>
      <w:r>
        <w:t xml:space="preserve">b) Na direção das cordas. </w:t>
      </w:r>
      <w:r>
        <w:rPr>
          <w:rFonts w:ascii="Wingdings" w:eastAsia="Wingdings" w:hAnsi="Wingdings" w:cs="Wingdings"/>
        </w:rPr>
        <w:t></w:t>
      </w:r>
      <w:r>
        <w:t xml:space="preserve"> </w:t>
      </w:r>
      <w:r>
        <w:rPr>
          <w:i/>
        </w:rPr>
        <w:t>Sem conceito definido.</w:t>
      </w:r>
    </w:p>
    <w:p w14:paraId="43581EF9" w14:textId="032C2177" w:rsidR="001F49FD" w:rsidRDefault="00611419">
      <w:pPr>
        <w:contextualSpacing/>
        <w:rPr>
          <w:b/>
        </w:rPr>
      </w:pPr>
      <w:r>
        <w:rPr>
          <w:b/>
        </w:rPr>
        <w:lastRenderedPageBreak/>
        <w:t>11. Grau de elevação dos dedos</w:t>
      </w:r>
    </w:p>
    <w:p w14:paraId="26A902A9" w14:textId="77777777" w:rsidR="001F49FD" w:rsidRDefault="00611419">
      <w:pPr>
        <w:contextualSpacing/>
        <w:rPr>
          <w:i/>
        </w:rPr>
      </w:pPr>
      <w:r>
        <w:t xml:space="preserve">a) Prioritariamente próximos ao espelho. </w:t>
      </w:r>
      <w:r>
        <w:rPr>
          <w:rFonts w:ascii="Wingdings" w:eastAsia="Wingdings" w:hAnsi="Wingdings" w:cs="Wingdings"/>
        </w:rPr>
        <w:t></w:t>
      </w:r>
      <w:r>
        <w:t xml:space="preserve"> </w:t>
      </w:r>
      <w:r>
        <w:rPr>
          <w:i/>
        </w:rPr>
        <w:t>Controle.</w:t>
      </w:r>
    </w:p>
    <w:p w14:paraId="3CD7DCD2" w14:textId="77777777" w:rsidR="001F49FD" w:rsidRDefault="00611419">
      <w:pPr>
        <w:contextualSpacing/>
      </w:pPr>
      <w:r>
        <w:t>b) Se elevam consideravelmente do espelho.</w:t>
      </w:r>
    </w:p>
    <w:p w14:paraId="403F2C72" w14:textId="77777777" w:rsidR="001F49FD" w:rsidRDefault="001F49FD">
      <w:pPr>
        <w:contextualSpacing/>
        <w:rPr>
          <w:i/>
        </w:rPr>
      </w:pPr>
    </w:p>
    <w:p w14:paraId="5298E82E" w14:textId="77777777" w:rsidR="001F49FD" w:rsidRDefault="00611419">
      <w:pPr>
        <w:contextualSpacing/>
        <w:rPr>
          <w:b/>
        </w:rPr>
      </w:pPr>
      <w:r>
        <w:rPr>
          <w:b/>
        </w:rPr>
        <w:t>III. TÉCNICA DE ARCO</w:t>
      </w:r>
    </w:p>
    <w:p w14:paraId="4F101396" w14:textId="4F0C7EA0" w:rsidR="001F49FD" w:rsidRDefault="00611419">
      <w:pPr>
        <w:contextualSpacing/>
        <w:rPr>
          <w:b/>
        </w:rPr>
      </w:pPr>
      <w:r>
        <w:rPr>
          <w:b/>
        </w:rPr>
        <w:t>12. Distribuição do espaço entre os dedos</w:t>
      </w:r>
    </w:p>
    <w:p w14:paraId="36CC4A65" w14:textId="77777777" w:rsidR="001F49FD" w:rsidRDefault="00611419">
      <w:pPr>
        <w:tabs>
          <w:tab w:val="left" w:pos="708"/>
          <w:tab w:val="left" w:pos="1416"/>
          <w:tab w:val="left" w:pos="2124"/>
          <w:tab w:val="left" w:pos="2832"/>
          <w:tab w:val="left" w:pos="3540"/>
          <w:tab w:val="left" w:pos="4248"/>
          <w:tab w:val="left" w:pos="4956"/>
          <w:tab w:val="left" w:pos="5664"/>
          <w:tab w:val="left" w:pos="6120"/>
        </w:tabs>
        <w:contextualSpacing/>
        <w:rPr>
          <w:i/>
        </w:rPr>
      </w:pPr>
      <w:r>
        <w:t>a)</w:t>
      </w:r>
      <w:r>
        <w:tab/>
        <w:t xml:space="preserve">Separação equidistante de todos os dedos. </w:t>
      </w:r>
      <w:r>
        <w:rPr>
          <w:rFonts w:ascii="Wingdings" w:eastAsia="Wingdings" w:hAnsi="Wingdings" w:cs="Wingdings"/>
        </w:rPr>
        <w:t></w:t>
      </w:r>
      <w:r>
        <w:t xml:space="preserve"> </w:t>
      </w:r>
      <w:r>
        <w:rPr>
          <w:i/>
        </w:rPr>
        <w:t>Moderação.</w:t>
      </w:r>
    </w:p>
    <w:p w14:paraId="564EC38E" w14:textId="77777777" w:rsidR="001F49FD" w:rsidRDefault="00611419">
      <w:pPr>
        <w:contextualSpacing/>
      </w:pPr>
      <w:r>
        <w:t xml:space="preserve">b) Dedo indicador um pouco mais distante do dedo médio. </w:t>
      </w:r>
    </w:p>
    <w:p w14:paraId="26B107A3" w14:textId="77777777" w:rsidR="001F49FD" w:rsidRDefault="001F49FD">
      <w:pPr>
        <w:spacing w:line="240" w:lineRule="auto"/>
        <w:contextualSpacing/>
      </w:pPr>
    </w:p>
    <w:p w14:paraId="707EC504" w14:textId="2D629EA7" w:rsidR="001F49FD" w:rsidRDefault="00611419">
      <w:pPr>
        <w:contextualSpacing/>
        <w:rPr>
          <w:b/>
        </w:rPr>
      </w:pPr>
      <w:r>
        <w:rPr>
          <w:b/>
        </w:rPr>
        <w:t>13. Ponto de contato do dedo indicador</w:t>
      </w:r>
    </w:p>
    <w:p w14:paraId="4A590B43" w14:textId="77777777" w:rsidR="001F49FD" w:rsidRDefault="00611419">
      <w:pPr>
        <w:contextualSpacing/>
      </w:pPr>
      <w:r>
        <w:t xml:space="preserve">a) Na articulação situada entre as falanges proximal e média. </w:t>
      </w:r>
    </w:p>
    <w:p w14:paraId="5511D6E4" w14:textId="77777777" w:rsidR="001F49FD" w:rsidRDefault="00611419">
      <w:pPr>
        <w:contextualSpacing/>
      </w:pPr>
      <w:r>
        <w:t xml:space="preserve">b) Ao centro da falange média. </w:t>
      </w:r>
      <w:r>
        <w:rPr>
          <w:rFonts w:ascii="Wingdings" w:eastAsia="Wingdings" w:hAnsi="Wingdings" w:cs="Wingdings"/>
        </w:rPr>
        <w:t></w:t>
      </w:r>
    </w:p>
    <w:p w14:paraId="286DC298" w14:textId="77777777" w:rsidR="001F49FD" w:rsidRDefault="00611419">
      <w:pPr>
        <w:contextualSpacing/>
      </w:pPr>
      <w:r>
        <w:t xml:space="preserve">c) Na articulação situada entre as falanges média e distal. </w:t>
      </w:r>
      <w:r>
        <w:rPr>
          <w:rFonts w:ascii="Wingdings" w:eastAsia="Wingdings" w:hAnsi="Wingdings" w:cs="Wingdings"/>
        </w:rPr>
        <w:t></w:t>
      </w:r>
    </w:p>
    <w:p w14:paraId="15CF0BED" w14:textId="77777777" w:rsidR="001F49FD" w:rsidRDefault="001F49FD">
      <w:pPr>
        <w:spacing w:line="240" w:lineRule="auto"/>
        <w:contextualSpacing/>
      </w:pPr>
    </w:p>
    <w:p w14:paraId="43093A3F" w14:textId="3B6D2949" w:rsidR="001F49FD" w:rsidRDefault="00611419">
      <w:pPr>
        <w:contextualSpacing/>
        <w:rPr>
          <w:b/>
        </w:rPr>
      </w:pPr>
      <w:r>
        <w:rPr>
          <w:b/>
        </w:rPr>
        <w:t xml:space="preserve">14. Ponto de contato do dedo médio  </w:t>
      </w:r>
    </w:p>
    <w:p w14:paraId="540C50BC" w14:textId="77777777" w:rsidR="001F49FD" w:rsidRDefault="00611419">
      <w:pPr>
        <w:contextualSpacing/>
      </w:pPr>
      <w:r>
        <w:t xml:space="preserve">a) Ao centro da falange média. </w:t>
      </w:r>
      <w:r>
        <w:rPr>
          <w:rFonts w:ascii="Wingdings" w:eastAsia="Wingdings" w:hAnsi="Wingdings" w:cs="Wingdings"/>
        </w:rPr>
        <w:t></w:t>
      </w:r>
    </w:p>
    <w:p w14:paraId="778231EE" w14:textId="77777777" w:rsidR="001F49FD" w:rsidRDefault="00611419">
      <w:pPr>
        <w:contextualSpacing/>
      </w:pPr>
      <w:r>
        <w:t xml:space="preserve">b) Na articulação situada entre as falanges média e distal. </w:t>
      </w:r>
      <w:r>
        <w:rPr>
          <w:rFonts w:ascii="Wingdings" w:eastAsia="Wingdings" w:hAnsi="Wingdings" w:cs="Wingdings"/>
        </w:rPr>
        <w:t></w:t>
      </w:r>
    </w:p>
    <w:p w14:paraId="58C27E68" w14:textId="77777777" w:rsidR="001F49FD" w:rsidRDefault="001F49FD">
      <w:pPr>
        <w:spacing w:line="240" w:lineRule="auto"/>
        <w:contextualSpacing/>
      </w:pPr>
    </w:p>
    <w:p w14:paraId="38783ADE" w14:textId="65D5AD55" w:rsidR="001F49FD" w:rsidRDefault="00611419">
      <w:pPr>
        <w:contextualSpacing/>
        <w:rPr>
          <w:b/>
        </w:rPr>
      </w:pPr>
      <w:r>
        <w:rPr>
          <w:b/>
        </w:rPr>
        <w:t>15. Mobilidade do dedo indicador</w:t>
      </w:r>
    </w:p>
    <w:p w14:paraId="77771D61" w14:textId="77777777" w:rsidR="001F49FD" w:rsidRDefault="00611419">
      <w:pPr>
        <w:contextualSpacing/>
      </w:pPr>
      <w:r>
        <w:t xml:space="preserve">a) Acentuada. </w:t>
      </w:r>
    </w:p>
    <w:p w14:paraId="2FAEFE10" w14:textId="77777777" w:rsidR="001F49FD" w:rsidRDefault="00611419">
      <w:pPr>
        <w:contextualSpacing/>
      </w:pPr>
      <w:r>
        <w:t xml:space="preserve">b) Moderada. </w:t>
      </w:r>
      <w:r>
        <w:rPr>
          <w:rFonts w:ascii="Wingdings" w:eastAsia="Wingdings" w:hAnsi="Wingdings" w:cs="Wingdings"/>
        </w:rPr>
        <w:t></w:t>
      </w:r>
      <w:r>
        <w:t xml:space="preserve"> </w:t>
      </w:r>
      <w:r>
        <w:rPr>
          <w:i/>
        </w:rPr>
        <w:t>Moderação.</w:t>
      </w:r>
    </w:p>
    <w:p w14:paraId="67556DF9" w14:textId="77777777" w:rsidR="001F49FD" w:rsidRDefault="00611419">
      <w:pPr>
        <w:contextualSpacing/>
      </w:pPr>
      <w:r>
        <w:t xml:space="preserve">c) Mínima. </w:t>
      </w:r>
    </w:p>
    <w:p w14:paraId="5368D235" w14:textId="77777777" w:rsidR="001F49FD" w:rsidRDefault="001F49FD">
      <w:pPr>
        <w:spacing w:line="240" w:lineRule="auto"/>
        <w:contextualSpacing/>
      </w:pPr>
    </w:p>
    <w:p w14:paraId="7755128B" w14:textId="51679196" w:rsidR="001F49FD" w:rsidRDefault="00611419">
      <w:pPr>
        <w:contextualSpacing/>
        <w:rPr>
          <w:b/>
        </w:rPr>
      </w:pPr>
      <w:r>
        <w:rPr>
          <w:b/>
        </w:rPr>
        <w:t>16. Posição dos dedos sobre a vareta</w:t>
      </w:r>
    </w:p>
    <w:p w14:paraId="15B54FCA" w14:textId="77777777" w:rsidR="001F49FD" w:rsidRDefault="00611419">
      <w:pPr>
        <w:contextualSpacing/>
        <w:rPr>
          <w:i/>
        </w:rPr>
      </w:pPr>
      <w:r>
        <w:t>a) Prioritariamente inclinados.</w:t>
      </w:r>
      <w:r>
        <w:rPr>
          <w:rFonts w:ascii="Wingdings" w:eastAsia="Wingdings" w:hAnsi="Wingdings" w:cs="Wingdings"/>
        </w:rPr>
        <w:t></w:t>
      </w:r>
      <w:r>
        <w:t xml:space="preserve"> </w:t>
      </w:r>
      <w:r>
        <w:rPr>
          <w:i/>
        </w:rPr>
        <w:t>Sem conceito definido.</w:t>
      </w:r>
    </w:p>
    <w:p w14:paraId="67C2C46F" w14:textId="77777777" w:rsidR="001F49FD" w:rsidRDefault="00611419">
      <w:pPr>
        <w:contextualSpacing/>
      </w:pPr>
      <w:r>
        <w:t>b) Prioritariamente perpendiculares.</w:t>
      </w:r>
    </w:p>
    <w:p w14:paraId="35F6BE2D" w14:textId="77777777" w:rsidR="001F49FD" w:rsidRDefault="001F49FD">
      <w:pPr>
        <w:spacing w:line="240" w:lineRule="auto"/>
        <w:contextualSpacing/>
      </w:pPr>
    </w:p>
    <w:p w14:paraId="55EA94BF" w14:textId="0D48FD10" w:rsidR="001F49FD" w:rsidRDefault="00611419">
      <w:pPr>
        <w:contextualSpacing/>
        <w:rPr>
          <w:b/>
        </w:rPr>
      </w:pPr>
      <w:r>
        <w:rPr>
          <w:b/>
        </w:rPr>
        <w:t>17. Grau de elevação do punho ao se aproximar do talão</w:t>
      </w:r>
    </w:p>
    <w:p w14:paraId="23593968" w14:textId="77777777" w:rsidR="001F49FD" w:rsidRDefault="00611419">
      <w:pPr>
        <w:contextualSpacing/>
      </w:pPr>
      <w:r>
        <w:t xml:space="preserve">a) Acentuado. Consideravelmente acima da altura do cotovelo. </w:t>
      </w:r>
    </w:p>
    <w:p w14:paraId="30FC1257" w14:textId="77777777" w:rsidR="001F49FD" w:rsidRDefault="00611419">
      <w:pPr>
        <w:contextualSpacing/>
        <w:rPr>
          <w:i/>
        </w:rPr>
      </w:pPr>
      <w:r>
        <w:t xml:space="preserve">b) Moderado. </w:t>
      </w:r>
      <w:r>
        <w:rPr>
          <w:rFonts w:ascii="Wingdings" w:eastAsia="Wingdings" w:hAnsi="Wingdings" w:cs="Wingdings"/>
        </w:rPr>
        <w:t></w:t>
      </w:r>
      <w:r>
        <w:t xml:space="preserve"> </w:t>
      </w:r>
      <w:r>
        <w:rPr>
          <w:i/>
        </w:rPr>
        <w:t>Moderação.</w:t>
      </w:r>
    </w:p>
    <w:p w14:paraId="515858FD" w14:textId="77777777" w:rsidR="001F49FD" w:rsidRDefault="00611419">
      <w:pPr>
        <w:contextualSpacing/>
      </w:pPr>
      <w:r>
        <w:t xml:space="preserve">c) Mínimo. Manutenção do pulso no eixo do braço e da mão. </w:t>
      </w:r>
    </w:p>
    <w:p w14:paraId="43DFC5D8" w14:textId="77777777" w:rsidR="005775A0" w:rsidRDefault="005775A0">
      <w:pPr>
        <w:contextualSpacing/>
      </w:pPr>
    </w:p>
    <w:p w14:paraId="455AC364" w14:textId="7AB5CEB3" w:rsidR="001F49FD" w:rsidRDefault="00611419">
      <w:pPr>
        <w:contextualSpacing/>
        <w:rPr>
          <w:b/>
        </w:rPr>
      </w:pPr>
      <w:r>
        <w:rPr>
          <w:b/>
        </w:rPr>
        <w:t>18. Grau de inclinação do arco</w:t>
      </w:r>
    </w:p>
    <w:p w14:paraId="4606B93B" w14:textId="77777777" w:rsidR="001F49FD" w:rsidRDefault="00611419">
      <w:pPr>
        <w:contextualSpacing/>
        <w:rPr>
          <w:i/>
        </w:rPr>
      </w:pPr>
      <w:r>
        <w:t xml:space="preserve">a) Prioritariamente plano. </w:t>
      </w:r>
    </w:p>
    <w:p w14:paraId="0AFCE77A" w14:textId="77777777" w:rsidR="001F49FD" w:rsidRDefault="00611419">
      <w:pPr>
        <w:pStyle w:val="Commarcadores5"/>
        <w:ind w:left="0" w:firstLine="1134"/>
        <w:rPr>
          <w:rFonts w:ascii="Times New Roman" w:hAnsi="Times New Roman" w:cs="Times New Roman"/>
          <w:szCs w:val="24"/>
        </w:rPr>
      </w:pPr>
      <w:r>
        <w:rPr>
          <w:rFonts w:cs="Times New Roman"/>
          <w:szCs w:val="24"/>
        </w:rPr>
        <w:t xml:space="preserve">b) Prioritariamente inclinado. </w:t>
      </w:r>
      <w:r>
        <w:rPr>
          <w:rFonts w:ascii="Wingdings" w:eastAsia="Wingdings" w:hAnsi="Wingdings" w:cs="Wingdings"/>
          <w:szCs w:val="24"/>
        </w:rPr>
        <w:t></w:t>
      </w:r>
      <w:r>
        <w:rPr>
          <w:rFonts w:cs="Times New Roman"/>
          <w:szCs w:val="24"/>
        </w:rPr>
        <w:t xml:space="preserve"> </w:t>
      </w:r>
    </w:p>
    <w:p w14:paraId="2348DB09" w14:textId="77777777" w:rsidR="001F49FD" w:rsidRDefault="00611419">
      <w:pPr>
        <w:contextualSpacing/>
      </w:pPr>
      <w:r>
        <w:lastRenderedPageBreak/>
        <w:t xml:space="preserve">c) Inclinado ao se aproximar do talão. </w:t>
      </w:r>
      <w:r>
        <w:rPr>
          <w:rFonts w:ascii="Wingdings" w:eastAsia="Wingdings" w:hAnsi="Wingdings" w:cs="Wingdings"/>
          <w:szCs w:val="24"/>
        </w:rPr>
        <w:t></w:t>
      </w:r>
    </w:p>
    <w:p w14:paraId="3D07A616" w14:textId="77777777" w:rsidR="001F49FD" w:rsidRDefault="001F49FD">
      <w:pPr>
        <w:ind w:firstLine="0"/>
      </w:pPr>
    </w:p>
    <w:p w14:paraId="697B6E36" w14:textId="2BC7A410" w:rsidR="001F49FD" w:rsidRDefault="00611419" w:rsidP="00E25EBD">
      <w:pPr>
        <w:ind w:firstLine="709"/>
      </w:pPr>
      <w:r>
        <w:t>Nesse protótipo do violinista do século XXI</w:t>
      </w:r>
      <w:r w:rsidR="005775A0">
        <w:t>,</w:t>
      </w:r>
      <w:r>
        <w:t xml:space="preserve"> procuramos apontar, com base nos relatos dos entrevistados, os principais conceitos que norteiam cada parâmetro. A dificuldade encontrada nos faz ponderar que nem sempre há um conceito por detrás de um preceito, ou, caso haja, ele pode ser impreciso. Essa ideia foi reforçada pela frequência dos termos moderação, equilíbrio e controle, suscitando dúvidas se essas respostas têm um viés estereotipado (COMBESSIE) ou representam efetivamente sólidos conceitos.</w:t>
      </w:r>
    </w:p>
    <w:p w14:paraId="3F3FEDC0" w14:textId="65E5D78A" w:rsidR="001F49FD" w:rsidRDefault="00611419" w:rsidP="00E25EBD">
      <w:pPr>
        <w:ind w:firstLine="709"/>
      </w:pPr>
      <w:r>
        <w:t>Cabe a cada violinista avaliar as correspondências entre seus princípios técnicos e aqueles de seu eixo genealógico, ou mesmo de sua formação direta. De nossa parte, entendemos</w:t>
      </w:r>
      <w:r w:rsidR="005775A0">
        <w:t>,</w:t>
      </w:r>
      <w:r>
        <w:t xml:space="preserve"> através dos relatos das entrevistas, que a maior parte dos violinistas recebe informações tão diversas em seu percurso de aprendizagem</w:t>
      </w:r>
      <w:r w:rsidR="005775A0">
        <w:t>,</w:t>
      </w:r>
      <w:r>
        <w:t xml:space="preserve"> que é a experiência pessoal que finda por filtrá-los e selecioná-los, estabelecendo então os parâmetros técnicos. Isso ao longo de toda a sua trajetória, o que contribui para um segundo fator, resumido por um dos entrevistados</w:t>
      </w:r>
      <w:r w:rsidR="005775A0">
        <w:t>:</w:t>
      </w:r>
      <w:r>
        <w:t xml:space="preserve"> “Não conseguimos escapar de nossa época!”</w:t>
      </w:r>
      <w:r>
        <w:rPr>
          <w:rStyle w:val="Refdenotaderodap"/>
        </w:rPr>
        <w:footnoteReference w:id="55"/>
      </w:r>
      <w:r>
        <w:t xml:space="preserve"> Em acordo com essa ideia, consideramos que os violinistas acompanham a tendência contemporânea que, como verificamos na pesquisa, consolidou parâmetros técnicos dos séculos precedentes e caminha para uma padronização.</w:t>
      </w:r>
    </w:p>
    <w:p w14:paraId="1290BA51" w14:textId="5AAE6ECA" w:rsidR="001F49FD" w:rsidRDefault="00611419" w:rsidP="00E25EBD">
      <w:pPr>
        <w:ind w:firstLine="709"/>
      </w:pPr>
      <w:r>
        <w:t>Esperamos que est</w:t>
      </w:r>
      <w:r w:rsidR="005775A0">
        <w:t xml:space="preserve">e livro estimule </w:t>
      </w:r>
      <w:r>
        <w:t>outros trabalhos sobre a prática violinística, buscando responder à série de questões que as considerações acima provocam:</w:t>
      </w:r>
    </w:p>
    <w:p w14:paraId="5548678D" w14:textId="541BB6CF" w:rsidR="001F49FD" w:rsidRDefault="00611419" w:rsidP="00E25EBD">
      <w:pPr>
        <w:ind w:firstLine="709"/>
      </w:pPr>
      <w:r>
        <w:t xml:space="preserve">Essa padronização é a razão do estágio atual de domínio instrumental? </w:t>
      </w:r>
      <w:r w:rsidR="005775A0" w:rsidRPr="005775A0">
        <w:t>Dela advêm consequências estilísticas? E se sim, seriam elas artisticamente nefastas?</w:t>
      </w:r>
    </w:p>
    <w:p w14:paraId="55B979EB" w14:textId="77777777" w:rsidR="001F49FD" w:rsidRDefault="00611419" w:rsidP="00E25EBD">
      <w:pPr>
        <w:ind w:firstLine="709"/>
      </w:pPr>
      <w:r>
        <w:t xml:space="preserve">Em resumo: os parâmetros técnicos atuais reduzem ou ampliam a capacidade artística? </w:t>
      </w:r>
    </w:p>
    <w:p w14:paraId="47870336" w14:textId="3DD39BDB" w:rsidR="001F49FD" w:rsidRDefault="00611419" w:rsidP="00E25EBD">
      <w:pPr>
        <w:ind w:firstLine="709"/>
      </w:pPr>
      <w:r>
        <w:t>Nosso trabalho não pretende responder a essa</w:t>
      </w:r>
      <w:r w:rsidR="005775A0">
        <w:t>s questões</w:t>
      </w:r>
      <w:r>
        <w:t xml:space="preserve">, mas não podemos </w:t>
      </w:r>
      <w:r w:rsidR="00F40D34">
        <w:t>findá</w:t>
      </w:r>
      <w:r>
        <w:t xml:space="preserve">-lo sem manifestar nosso pensamento. A ideia (usual) de que a estandardização incorre na perda de individualidade “como havia no passado” não é equivocada. Porém, sabemos que as singularidades cultivadas pelos violinistas antepassados ofereciam obstáculos à interpretação dos diversos estilos musicais. Acreditamos que os violinistas de hoje preocupam-se mais em se metamorfosear em função do texto musical do que seus antepassados – e talvez seus parâmetros técnicos sejam definidos por essa intenção. </w:t>
      </w:r>
    </w:p>
    <w:p w14:paraId="21931C77" w14:textId="77777777" w:rsidR="001F49FD" w:rsidRDefault="00611419">
      <w:r>
        <w:t xml:space="preserve">O ápice do domínio instrumental é aquele capaz de exprimir todas as exigências musicais, os diversos estilos, nos diversos ambientes. Por isso consideramos que a tendência </w:t>
      </w:r>
      <w:r>
        <w:lastRenderedPageBreak/>
        <w:t>padronizadora dos parâmetros técnicos atuais não seja um fator de limitação, pois é regida pelo conceito de liberdade.</w:t>
      </w:r>
      <w:bookmarkStart w:id="140" w:name="_Toc14331055"/>
      <w:bookmarkStart w:id="141" w:name="_Toc14331056"/>
      <w:bookmarkStart w:id="142" w:name="_Toc14331057"/>
      <w:bookmarkStart w:id="143" w:name="_Toc14331058"/>
      <w:bookmarkStart w:id="144" w:name="_Toc14331059"/>
      <w:bookmarkStart w:id="145" w:name="_Toc14331060"/>
      <w:bookmarkStart w:id="146" w:name="_Toc14331061"/>
      <w:bookmarkStart w:id="147" w:name="_Toc14331062"/>
      <w:bookmarkStart w:id="148" w:name="_Toc14331063"/>
      <w:bookmarkStart w:id="149" w:name="_Toc14331064"/>
      <w:bookmarkStart w:id="150" w:name="_Toc14331065"/>
      <w:bookmarkStart w:id="151" w:name="_Toc14331066"/>
      <w:bookmarkStart w:id="152" w:name="_Toc14331067"/>
      <w:bookmarkStart w:id="153" w:name="_Toc14331068"/>
      <w:bookmarkStart w:id="154" w:name="_Toc14331069"/>
      <w:bookmarkStart w:id="155" w:name="_Toc14331070"/>
      <w:bookmarkStart w:id="156" w:name="_Toc14331071"/>
      <w:bookmarkStart w:id="157" w:name="_Toc14331072"/>
      <w:bookmarkStart w:id="158" w:name="_Toc14331073"/>
      <w:bookmarkStart w:id="159" w:name="_Toc1433107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23B7BFA6" w14:textId="77777777" w:rsidR="001F49FD" w:rsidRDefault="001F49FD"/>
    <w:p w14:paraId="5B40028B" w14:textId="77777777" w:rsidR="001F49FD" w:rsidRDefault="001F49FD"/>
    <w:p w14:paraId="41AE7406" w14:textId="77777777" w:rsidR="001F49FD" w:rsidRDefault="001F49FD"/>
    <w:p w14:paraId="5CA5E8BD" w14:textId="77777777" w:rsidR="001F49FD" w:rsidRDefault="001F49FD"/>
    <w:p w14:paraId="63DE7D57" w14:textId="77777777" w:rsidR="001F49FD" w:rsidRDefault="001F49FD"/>
    <w:p w14:paraId="697B54E9" w14:textId="77777777" w:rsidR="001F49FD" w:rsidRDefault="001F49FD"/>
    <w:p w14:paraId="3B755479" w14:textId="77777777" w:rsidR="001F49FD" w:rsidRDefault="001F49FD"/>
    <w:p w14:paraId="1F367A07" w14:textId="77777777" w:rsidR="001F49FD" w:rsidRDefault="001F49FD"/>
    <w:p w14:paraId="07F430BE" w14:textId="77777777" w:rsidR="001F49FD" w:rsidRDefault="001F49FD"/>
    <w:p w14:paraId="3DFEA677" w14:textId="77777777" w:rsidR="001F49FD" w:rsidRDefault="001F49FD"/>
    <w:p w14:paraId="6D44FAF8" w14:textId="77777777" w:rsidR="001F49FD" w:rsidRDefault="001F49FD"/>
    <w:p w14:paraId="0A5CF0D6" w14:textId="77777777" w:rsidR="001F49FD" w:rsidRDefault="001F49FD"/>
    <w:p w14:paraId="2A8FF538" w14:textId="77777777" w:rsidR="001F49FD" w:rsidRDefault="001F49FD"/>
    <w:p w14:paraId="6FBF3703" w14:textId="77777777" w:rsidR="001F49FD" w:rsidRDefault="001F49FD"/>
    <w:p w14:paraId="15AE6DD8" w14:textId="77777777" w:rsidR="001F49FD" w:rsidRDefault="001F49FD"/>
    <w:p w14:paraId="5FB8C5C4" w14:textId="77777777" w:rsidR="001F49FD" w:rsidRDefault="001F49FD"/>
    <w:p w14:paraId="4E87E949" w14:textId="77777777" w:rsidR="001F49FD" w:rsidRDefault="001F49FD"/>
    <w:p w14:paraId="4F0D83BD" w14:textId="77777777" w:rsidR="001F49FD" w:rsidRDefault="001F49FD"/>
    <w:p w14:paraId="5483CAEB" w14:textId="77777777" w:rsidR="001F49FD" w:rsidRDefault="001F49FD"/>
    <w:p w14:paraId="5F0C6A5E" w14:textId="77777777" w:rsidR="001F49FD" w:rsidRDefault="001F49FD"/>
    <w:p w14:paraId="7A597F8C" w14:textId="77777777" w:rsidR="001F49FD" w:rsidRDefault="001F49FD"/>
    <w:p w14:paraId="567F112C" w14:textId="77777777" w:rsidR="001F49FD" w:rsidRDefault="001F49FD"/>
    <w:p w14:paraId="63C2B3CD" w14:textId="77777777" w:rsidR="001F49FD" w:rsidRDefault="001F49FD"/>
    <w:p w14:paraId="3F78B21D" w14:textId="77777777" w:rsidR="001F49FD" w:rsidRDefault="001F49FD"/>
    <w:p w14:paraId="1455D8EE" w14:textId="77777777" w:rsidR="001F49FD" w:rsidRDefault="001F49FD"/>
    <w:p w14:paraId="3C6FE67F" w14:textId="77777777" w:rsidR="001F49FD" w:rsidRDefault="001F49FD"/>
    <w:p w14:paraId="2BEA6D48" w14:textId="77777777" w:rsidR="001F49FD" w:rsidRDefault="001F49FD">
      <w:pPr>
        <w:ind w:firstLine="0"/>
      </w:pPr>
    </w:p>
    <w:p w14:paraId="3AC89A60" w14:textId="77777777" w:rsidR="00E25EBD" w:rsidRDefault="00E25EBD">
      <w:pPr>
        <w:ind w:firstLine="0"/>
      </w:pPr>
    </w:p>
    <w:p w14:paraId="269DCEDA" w14:textId="77777777" w:rsidR="00E25EBD" w:rsidRDefault="00E25EBD">
      <w:pPr>
        <w:ind w:firstLine="0"/>
      </w:pPr>
    </w:p>
    <w:p w14:paraId="5B6F2026" w14:textId="7ED0C283" w:rsidR="001F49FD" w:rsidRDefault="00611419" w:rsidP="000A6E65">
      <w:pPr>
        <w:pStyle w:val="Ttulo1"/>
        <w:rPr>
          <w:rFonts w:asciiTheme="minorHAnsi" w:eastAsiaTheme="minorEastAsia" w:hAnsiTheme="minorHAnsi" w:cstheme="minorBidi"/>
          <w:szCs w:val="22"/>
          <w:lang w:eastAsia="pt-BR"/>
        </w:rPr>
      </w:pPr>
      <w:bookmarkStart w:id="160" w:name="_Toc219359057"/>
      <w:r>
        <w:lastRenderedPageBreak/>
        <w:t>REFERÊNCIAS</w:t>
      </w:r>
      <w:bookmarkEnd w:id="129"/>
      <w:bookmarkEnd w:id="159"/>
      <w:bookmarkEnd w:id="160"/>
      <w:r>
        <w:tab/>
      </w:r>
    </w:p>
    <w:p w14:paraId="51312619"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 xml:space="preserve">AMARAL, Vinicius. </w:t>
      </w:r>
      <w:r w:rsidRPr="00B07116">
        <w:rPr>
          <w:rFonts w:eastAsia="Calibri" w:cstheme="majorHAnsi"/>
          <w:bCs/>
          <w:i/>
          <w:iCs/>
          <w:szCs w:val="24"/>
          <w:lang w:eastAsia="en-US"/>
        </w:rPr>
        <w:t xml:space="preserve">A tradição Flesch – </w:t>
      </w:r>
      <w:proofErr w:type="spellStart"/>
      <w:r w:rsidRPr="00B07116">
        <w:rPr>
          <w:rFonts w:eastAsia="Calibri" w:cstheme="majorHAnsi"/>
          <w:bCs/>
          <w:i/>
          <w:iCs/>
          <w:szCs w:val="24"/>
          <w:lang w:eastAsia="en-US"/>
        </w:rPr>
        <w:t>Rostal</w:t>
      </w:r>
      <w:proofErr w:type="spellEnd"/>
      <w:r w:rsidRPr="00B07116">
        <w:rPr>
          <w:rFonts w:eastAsia="Calibri" w:cstheme="majorHAnsi"/>
          <w:bCs/>
          <w:i/>
          <w:iCs/>
          <w:szCs w:val="24"/>
          <w:lang w:eastAsia="en-US"/>
        </w:rPr>
        <w:t xml:space="preserve"> - Bosisio no Brasil.</w:t>
      </w:r>
      <w:r>
        <w:rPr>
          <w:rFonts w:eastAsia="Calibri" w:cstheme="majorHAnsi"/>
          <w:b/>
          <w:szCs w:val="24"/>
          <w:lang w:eastAsia="en-US"/>
        </w:rPr>
        <w:t xml:space="preserve"> </w:t>
      </w:r>
      <w:r>
        <w:rPr>
          <w:rFonts w:eastAsia="Calibri" w:cstheme="majorHAnsi"/>
          <w:szCs w:val="24"/>
          <w:lang w:eastAsia="en-US"/>
        </w:rPr>
        <w:t>Dissertação (Mestrado em Música) – Universidade Federal do Rio de Janeiro, Rio de Janeiro, 2013.</w:t>
      </w:r>
    </w:p>
    <w:p w14:paraId="658F742E" w14:textId="77777777" w:rsidR="001F49FD" w:rsidRDefault="001F49FD" w:rsidP="004133A6">
      <w:pPr>
        <w:spacing w:line="240" w:lineRule="auto"/>
        <w:ind w:firstLine="0"/>
        <w:rPr>
          <w:rFonts w:asciiTheme="majorHAnsi" w:eastAsia="Calibri" w:hAnsiTheme="majorHAnsi" w:cstheme="majorHAnsi"/>
          <w:szCs w:val="24"/>
          <w:lang w:eastAsia="en-US"/>
        </w:rPr>
      </w:pPr>
    </w:p>
    <w:p w14:paraId="4B690684" w14:textId="77777777"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lang w:val="en-US" w:eastAsia="en-US"/>
        </w:rPr>
        <w:t xml:space="preserve">ARNEY, Kelley M. </w:t>
      </w:r>
      <w:r w:rsidRPr="00B07116">
        <w:rPr>
          <w:rFonts w:eastAsia="Calibri" w:cstheme="majorHAnsi"/>
          <w:bCs/>
          <w:i/>
          <w:iCs/>
          <w:szCs w:val="24"/>
          <w:lang w:val="en-US" w:eastAsia="en-US"/>
        </w:rPr>
        <w:t>A comparison of the violin pedagogy of Auer, Flesch and Galamian: improving accessibility and use through characterization and indexing</w:t>
      </w:r>
      <w:r w:rsidRPr="00B07116">
        <w:rPr>
          <w:rFonts w:eastAsia="Calibri" w:cstheme="majorHAnsi"/>
          <w:i/>
          <w:iCs/>
          <w:szCs w:val="24"/>
          <w:lang w:val="en-US" w:eastAsia="en-US"/>
        </w:rPr>
        <w:t>.</w:t>
      </w:r>
      <w:r>
        <w:rPr>
          <w:rFonts w:eastAsia="Calibri" w:cstheme="majorHAnsi"/>
          <w:szCs w:val="24"/>
          <w:lang w:val="en-US" w:eastAsia="en-US"/>
        </w:rPr>
        <w:t xml:space="preserve"> </w:t>
      </w:r>
      <w:proofErr w:type="spellStart"/>
      <w:r>
        <w:rPr>
          <w:rFonts w:eastAsia="Calibri" w:cstheme="majorHAnsi"/>
          <w:szCs w:val="24"/>
          <w:lang w:val="en-US" w:eastAsia="en-US"/>
        </w:rPr>
        <w:t>Tese</w:t>
      </w:r>
      <w:proofErr w:type="spellEnd"/>
      <w:r>
        <w:rPr>
          <w:rFonts w:eastAsia="Calibri" w:cstheme="majorHAnsi"/>
          <w:szCs w:val="24"/>
          <w:lang w:val="en-US" w:eastAsia="en-US"/>
        </w:rPr>
        <w:t xml:space="preserve"> (</w:t>
      </w:r>
      <w:proofErr w:type="spellStart"/>
      <w:r>
        <w:rPr>
          <w:rFonts w:eastAsia="Calibri" w:cstheme="majorHAnsi"/>
          <w:szCs w:val="24"/>
          <w:lang w:val="en-US" w:eastAsia="en-US"/>
        </w:rPr>
        <w:t>Doutorado</w:t>
      </w:r>
      <w:proofErr w:type="spellEnd"/>
      <w:r>
        <w:rPr>
          <w:rFonts w:eastAsia="Calibri" w:cstheme="majorHAnsi"/>
          <w:szCs w:val="24"/>
          <w:lang w:val="en-US" w:eastAsia="en-US"/>
        </w:rPr>
        <w:t xml:space="preserve"> </w:t>
      </w:r>
      <w:proofErr w:type="spellStart"/>
      <w:r>
        <w:rPr>
          <w:rFonts w:eastAsia="Calibri" w:cstheme="majorHAnsi"/>
          <w:szCs w:val="24"/>
          <w:lang w:val="en-US" w:eastAsia="en-US"/>
        </w:rPr>
        <w:t>em</w:t>
      </w:r>
      <w:proofErr w:type="spellEnd"/>
      <w:r>
        <w:rPr>
          <w:rFonts w:eastAsia="Calibri" w:cstheme="majorHAnsi"/>
          <w:szCs w:val="24"/>
          <w:lang w:val="en-US" w:eastAsia="en-US"/>
        </w:rPr>
        <w:t xml:space="preserve"> Música) – University of Texas, Arlington, 2007.</w:t>
      </w:r>
    </w:p>
    <w:p w14:paraId="172BCED2" w14:textId="77777777" w:rsidR="001F49FD" w:rsidRDefault="001F49FD" w:rsidP="004133A6">
      <w:pPr>
        <w:spacing w:line="240" w:lineRule="auto"/>
        <w:ind w:firstLine="0"/>
        <w:rPr>
          <w:rFonts w:asciiTheme="majorHAnsi" w:eastAsia="Calibri" w:hAnsiTheme="majorHAnsi" w:cstheme="majorHAnsi"/>
          <w:szCs w:val="24"/>
          <w:lang w:val="en-US" w:eastAsia="en-US"/>
        </w:rPr>
      </w:pPr>
    </w:p>
    <w:p w14:paraId="06AA121A"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US" w:eastAsia="en-US"/>
        </w:rPr>
        <w:t xml:space="preserve">AUER, Leopold (1921). </w:t>
      </w:r>
      <w:r w:rsidRPr="00B07116">
        <w:rPr>
          <w:rFonts w:eastAsia="Calibri" w:cstheme="majorHAnsi"/>
          <w:bCs/>
          <w:i/>
          <w:iCs/>
          <w:szCs w:val="24"/>
          <w:lang w:val="en-US" w:eastAsia="en-US"/>
        </w:rPr>
        <w:t>Violin playing as I teach it.</w:t>
      </w:r>
      <w:r>
        <w:rPr>
          <w:rFonts w:eastAsia="Calibri" w:cstheme="majorHAnsi"/>
          <w:szCs w:val="24"/>
          <w:lang w:val="en-US" w:eastAsia="en-US"/>
        </w:rPr>
        <w:t xml:space="preserve"> </w:t>
      </w:r>
      <w:r>
        <w:rPr>
          <w:rFonts w:eastAsia="Calibri" w:cstheme="majorHAnsi"/>
          <w:szCs w:val="24"/>
          <w:lang w:val="en-GB" w:eastAsia="en-US"/>
        </w:rPr>
        <w:t>New York: Dover Publications, 1980.</w:t>
      </w:r>
    </w:p>
    <w:p w14:paraId="458531AF"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21CFCFEE"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___________________ (1923). </w:t>
      </w:r>
      <w:r w:rsidRPr="00B07116">
        <w:rPr>
          <w:rFonts w:eastAsia="Calibri" w:cstheme="majorHAnsi"/>
          <w:bCs/>
          <w:i/>
          <w:iCs/>
          <w:szCs w:val="24"/>
          <w:lang w:val="en-GB" w:eastAsia="en-US"/>
        </w:rPr>
        <w:t>My long life in music.</w:t>
      </w:r>
      <w:r>
        <w:rPr>
          <w:rFonts w:eastAsia="Calibri" w:cstheme="majorHAnsi"/>
          <w:szCs w:val="24"/>
          <w:lang w:val="en-GB" w:eastAsia="en-US"/>
        </w:rPr>
        <w:t xml:space="preserve"> New York: Best Books, 2001.</w:t>
      </w:r>
    </w:p>
    <w:p w14:paraId="3C68B0A2" w14:textId="77777777" w:rsidR="001F49FD" w:rsidRDefault="001F49FD" w:rsidP="004133A6">
      <w:pPr>
        <w:spacing w:line="240" w:lineRule="auto"/>
        <w:ind w:firstLine="0"/>
        <w:rPr>
          <w:rFonts w:asciiTheme="majorHAnsi" w:hAnsiTheme="majorHAnsi" w:cstheme="majorHAnsi"/>
          <w:szCs w:val="24"/>
          <w:lang w:val="en-GB"/>
        </w:rPr>
      </w:pPr>
    </w:p>
    <w:p w14:paraId="174D0228"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BACHMANN, Alberto. </w:t>
      </w:r>
      <w:r w:rsidRPr="00B07116">
        <w:rPr>
          <w:rFonts w:eastAsia="Calibri" w:cstheme="majorHAnsi"/>
          <w:bCs/>
          <w:i/>
          <w:iCs/>
          <w:szCs w:val="24"/>
          <w:lang w:val="en-GB" w:eastAsia="en-US"/>
        </w:rPr>
        <w:t xml:space="preserve">An </w:t>
      </w:r>
      <w:proofErr w:type="spellStart"/>
      <w:r w:rsidRPr="00B07116">
        <w:rPr>
          <w:rFonts w:eastAsia="Calibri" w:cstheme="majorHAnsi"/>
          <w:bCs/>
          <w:i/>
          <w:iCs/>
          <w:szCs w:val="24"/>
          <w:lang w:val="en-GB" w:eastAsia="en-US"/>
        </w:rPr>
        <w:t>Encyclopedia</w:t>
      </w:r>
      <w:proofErr w:type="spellEnd"/>
      <w:r w:rsidRPr="00B07116">
        <w:rPr>
          <w:rFonts w:eastAsia="Calibri" w:cstheme="majorHAnsi"/>
          <w:bCs/>
          <w:i/>
          <w:iCs/>
          <w:szCs w:val="24"/>
          <w:lang w:val="en-GB" w:eastAsia="en-US"/>
        </w:rPr>
        <w:t xml:space="preserve"> of the violin</w:t>
      </w:r>
      <w:r w:rsidRPr="00B07116">
        <w:rPr>
          <w:rFonts w:eastAsia="Calibri" w:cstheme="majorHAnsi"/>
          <w:i/>
          <w:iCs/>
          <w:szCs w:val="24"/>
          <w:lang w:val="en-GB" w:eastAsia="en-US"/>
        </w:rPr>
        <w:t>.</w:t>
      </w:r>
      <w:r>
        <w:rPr>
          <w:rFonts w:eastAsia="Calibri" w:cstheme="majorHAnsi"/>
          <w:szCs w:val="24"/>
          <w:lang w:val="en-GB" w:eastAsia="en-US"/>
        </w:rPr>
        <w:t xml:space="preserve"> New York: Da Capo Press, 1975.</w:t>
      </w:r>
    </w:p>
    <w:p w14:paraId="00588111"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5E5C160E" w14:textId="7D6648D5"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 xml:space="preserve">BORÉM, Fausto; RAY, Sonia. “Pesquisa em performance musical no Brasil: problemas, tendências e alternativas”. </w:t>
      </w:r>
      <w:r w:rsidRPr="00C231F8">
        <w:rPr>
          <w:rFonts w:eastAsia="Calibri" w:cstheme="majorHAnsi"/>
          <w:i/>
          <w:iCs/>
          <w:szCs w:val="24"/>
          <w:lang w:eastAsia="en-US"/>
        </w:rPr>
        <w:t>In</w:t>
      </w:r>
      <w:r>
        <w:rPr>
          <w:rFonts w:eastAsia="Calibri" w:cstheme="majorHAnsi"/>
          <w:szCs w:val="24"/>
          <w:lang w:eastAsia="en-US"/>
        </w:rPr>
        <w:t xml:space="preserve">: </w:t>
      </w:r>
      <w:r w:rsidRPr="00B07116">
        <w:rPr>
          <w:rFonts w:eastAsia="Calibri" w:cstheme="majorHAnsi"/>
          <w:bCs/>
          <w:i/>
          <w:iCs/>
          <w:szCs w:val="24"/>
          <w:lang w:eastAsia="en-US"/>
        </w:rPr>
        <w:t>Anais do Simpósio Brasileiro de Pós-graduandos em Música</w:t>
      </w:r>
      <w:r>
        <w:rPr>
          <w:rFonts w:eastAsia="Calibri" w:cstheme="majorHAnsi"/>
          <w:szCs w:val="24"/>
          <w:lang w:eastAsia="en-US"/>
        </w:rPr>
        <w:t xml:space="preserve">, pp. 121-168, </w:t>
      </w:r>
      <w:r w:rsidR="00C231F8">
        <w:rPr>
          <w:rFonts w:eastAsia="Calibri" w:cstheme="majorHAnsi"/>
          <w:szCs w:val="24"/>
          <w:lang w:eastAsia="en-US"/>
        </w:rPr>
        <w:t>R</w:t>
      </w:r>
      <w:r>
        <w:rPr>
          <w:rFonts w:eastAsia="Calibri" w:cstheme="majorHAnsi"/>
          <w:szCs w:val="24"/>
          <w:lang w:eastAsia="en-US"/>
        </w:rPr>
        <w:t>io de Janeiro, 2012.</w:t>
      </w:r>
    </w:p>
    <w:p w14:paraId="0DC70FBA" w14:textId="77777777" w:rsidR="001F49FD" w:rsidRDefault="001F49FD" w:rsidP="004133A6">
      <w:pPr>
        <w:spacing w:line="240" w:lineRule="auto"/>
        <w:ind w:firstLine="0"/>
        <w:rPr>
          <w:rFonts w:asciiTheme="majorHAnsi" w:eastAsia="Calibri" w:hAnsiTheme="majorHAnsi" w:cstheme="majorHAnsi"/>
          <w:szCs w:val="24"/>
          <w:lang w:eastAsia="en-US"/>
        </w:rPr>
      </w:pPr>
    </w:p>
    <w:p w14:paraId="28B2FF01"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 xml:space="preserve">BOSISIO, Paulo. </w:t>
      </w:r>
      <w:r w:rsidRPr="00B07116">
        <w:rPr>
          <w:rFonts w:eastAsia="Calibri" w:cstheme="majorHAnsi"/>
          <w:bCs/>
          <w:i/>
          <w:iCs/>
          <w:szCs w:val="24"/>
          <w:lang w:eastAsia="en-US"/>
        </w:rPr>
        <w:t>Paulina d’</w:t>
      </w:r>
      <w:proofErr w:type="spellStart"/>
      <w:r w:rsidRPr="00B07116">
        <w:rPr>
          <w:rFonts w:eastAsia="Calibri" w:cstheme="majorHAnsi"/>
          <w:bCs/>
          <w:i/>
          <w:iCs/>
          <w:szCs w:val="24"/>
          <w:lang w:eastAsia="en-US"/>
        </w:rPr>
        <w:t>Ambrosio</w:t>
      </w:r>
      <w:proofErr w:type="spellEnd"/>
      <w:r w:rsidRPr="00B07116">
        <w:rPr>
          <w:rFonts w:eastAsia="Calibri" w:cstheme="majorHAnsi"/>
          <w:bCs/>
          <w:i/>
          <w:iCs/>
          <w:szCs w:val="24"/>
          <w:lang w:eastAsia="en-US"/>
        </w:rPr>
        <w:t xml:space="preserve"> e a modernidade violinística no Brasil.</w:t>
      </w:r>
      <w:r>
        <w:rPr>
          <w:rFonts w:eastAsia="Calibri" w:cstheme="majorHAnsi"/>
          <w:szCs w:val="24"/>
          <w:lang w:eastAsia="en-US"/>
        </w:rPr>
        <w:t xml:space="preserve"> Dissertação (Mestrado em Música) – Universidade do Rio de Janeiro, Rio de Janeiro, 1996.</w:t>
      </w:r>
    </w:p>
    <w:p w14:paraId="75ED982F" w14:textId="77777777" w:rsidR="001F49FD" w:rsidRDefault="001F49FD" w:rsidP="004133A6">
      <w:pPr>
        <w:spacing w:line="240" w:lineRule="auto"/>
        <w:ind w:firstLine="0"/>
        <w:rPr>
          <w:rFonts w:asciiTheme="majorHAnsi" w:eastAsia="Calibri" w:hAnsiTheme="majorHAnsi" w:cstheme="majorHAnsi"/>
          <w:szCs w:val="24"/>
          <w:lang w:eastAsia="en-US"/>
        </w:rPr>
      </w:pPr>
    </w:p>
    <w:p w14:paraId="36F44693" w14:textId="77777777" w:rsidR="001F49FD" w:rsidRDefault="00611419" w:rsidP="004133A6">
      <w:pPr>
        <w:spacing w:line="240" w:lineRule="auto"/>
        <w:ind w:firstLine="0"/>
        <w:rPr>
          <w:rFonts w:asciiTheme="majorHAnsi" w:eastAsia="Times New Roman" w:hAnsiTheme="majorHAnsi" w:cstheme="majorHAnsi"/>
          <w:szCs w:val="24"/>
          <w:lang w:val="en-GB"/>
        </w:rPr>
      </w:pPr>
      <w:r>
        <w:rPr>
          <w:rFonts w:eastAsia="Calibri" w:cstheme="majorHAnsi"/>
          <w:szCs w:val="24"/>
          <w:lang w:val="en-GB" w:eastAsia="en-US"/>
        </w:rPr>
        <w:t xml:space="preserve">BOYDEN, David. </w:t>
      </w:r>
      <w:r w:rsidRPr="00B07116">
        <w:rPr>
          <w:rFonts w:eastAsia="Times New Roman" w:cstheme="majorHAnsi"/>
          <w:bCs/>
          <w:i/>
          <w:iCs/>
          <w:szCs w:val="24"/>
          <w:lang w:val="en-GB"/>
        </w:rPr>
        <w:t>The History of violin playing, from its origins to 1761 and its relationship to the violin and violin music</w:t>
      </w:r>
      <w:r>
        <w:rPr>
          <w:rFonts w:eastAsia="Times New Roman" w:cstheme="majorHAnsi"/>
          <w:szCs w:val="24"/>
          <w:lang w:val="en-GB"/>
        </w:rPr>
        <w:t xml:space="preserve">. </w:t>
      </w:r>
      <w:r>
        <w:rPr>
          <w:rFonts w:eastAsia="Calibri" w:cstheme="majorHAnsi"/>
          <w:szCs w:val="24"/>
          <w:shd w:val="clear" w:color="auto" w:fill="FFFFFF"/>
          <w:lang w:val="en-GB" w:eastAsia="en-US"/>
        </w:rPr>
        <w:t>Oxford: Oxford University Press</w:t>
      </w:r>
      <w:r>
        <w:rPr>
          <w:rFonts w:eastAsia="Times New Roman" w:cstheme="majorHAnsi"/>
          <w:szCs w:val="24"/>
          <w:lang w:val="en-GB"/>
        </w:rPr>
        <w:t>, 1965.</w:t>
      </w:r>
    </w:p>
    <w:p w14:paraId="544446D9"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5A5EDDAE" w14:textId="77777777"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lang w:val="en-GB" w:eastAsia="en-US"/>
        </w:rPr>
        <w:t xml:space="preserve">BROWN, Clive. </w:t>
      </w:r>
      <w:r w:rsidRPr="00B07116">
        <w:rPr>
          <w:rFonts w:eastAsia="Calibri" w:cstheme="majorHAnsi"/>
          <w:bCs/>
          <w:i/>
          <w:iCs/>
          <w:szCs w:val="24"/>
          <w:lang w:val="en-US" w:eastAsia="en-US"/>
        </w:rPr>
        <w:t>Louis Spohr, a critical biography.</w:t>
      </w:r>
      <w:r>
        <w:rPr>
          <w:rFonts w:eastAsia="Calibri" w:cstheme="majorHAnsi"/>
          <w:szCs w:val="24"/>
          <w:lang w:val="en-US" w:eastAsia="en-US"/>
        </w:rPr>
        <w:t xml:space="preserve"> New York: Cambridge University Press, 1984.</w:t>
      </w:r>
    </w:p>
    <w:p w14:paraId="046B36CE" w14:textId="77777777" w:rsidR="001F49FD" w:rsidRDefault="001F49FD" w:rsidP="004133A6">
      <w:pPr>
        <w:spacing w:line="240" w:lineRule="auto"/>
        <w:ind w:firstLine="0"/>
        <w:rPr>
          <w:rFonts w:asciiTheme="majorHAnsi" w:eastAsia="Calibri" w:hAnsiTheme="majorHAnsi" w:cstheme="majorHAnsi"/>
          <w:szCs w:val="24"/>
          <w:lang w:val="en-US" w:eastAsia="en-US"/>
        </w:rPr>
      </w:pPr>
    </w:p>
    <w:p w14:paraId="2022211A"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u w:val="single"/>
          <w:lang w:val="en-US" w:eastAsia="en-US"/>
        </w:rPr>
        <w:t>_____________</w:t>
      </w:r>
      <w:r>
        <w:rPr>
          <w:rFonts w:eastAsia="Calibri" w:cstheme="majorHAnsi"/>
          <w:szCs w:val="24"/>
          <w:lang w:val="en-US" w:eastAsia="en-US"/>
        </w:rPr>
        <w:t>.</w:t>
      </w:r>
      <w:r>
        <w:rPr>
          <w:rFonts w:eastAsiaTheme="minorHAnsi" w:cstheme="majorHAnsi"/>
          <w:b/>
          <w:iCs/>
          <w:szCs w:val="24"/>
          <w:shd w:val="clear" w:color="auto" w:fill="FFFFFF"/>
          <w:lang w:val="en-GB" w:eastAsia="en-US"/>
        </w:rPr>
        <w:t xml:space="preserve"> </w:t>
      </w:r>
      <w:r w:rsidRPr="00B07116">
        <w:rPr>
          <w:rFonts w:eastAsia="Calibri" w:cstheme="majorHAnsi"/>
          <w:bCs/>
          <w:i/>
          <w:szCs w:val="24"/>
          <w:lang w:val="en-GB" w:eastAsia="en-US"/>
        </w:rPr>
        <w:t>Classical and romantic performing practice 1750-1900</w:t>
      </w:r>
      <w:r>
        <w:rPr>
          <w:rFonts w:eastAsia="Calibri" w:cstheme="majorHAnsi"/>
          <w:i/>
          <w:iCs/>
          <w:szCs w:val="24"/>
          <w:lang w:val="en-GB" w:eastAsia="en-US"/>
        </w:rPr>
        <w:t>.</w:t>
      </w:r>
      <w:r>
        <w:rPr>
          <w:rFonts w:eastAsia="Calibri" w:cstheme="majorHAnsi"/>
          <w:szCs w:val="24"/>
          <w:lang w:val="en-GB" w:eastAsia="en-US"/>
        </w:rPr>
        <w:t> Oxford: OUP, 1999.</w:t>
      </w:r>
    </w:p>
    <w:p w14:paraId="585CB8FD" w14:textId="5C6967EB"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u w:val="single"/>
          <w:lang w:val="en-US" w:eastAsia="en-US"/>
        </w:rPr>
        <w:t>_____________</w:t>
      </w:r>
      <w:r>
        <w:rPr>
          <w:rFonts w:eastAsia="Calibri" w:cstheme="majorHAnsi"/>
          <w:szCs w:val="24"/>
          <w:lang w:val="en-US" w:eastAsia="en-US"/>
        </w:rPr>
        <w:t>.</w:t>
      </w:r>
      <w:r>
        <w:rPr>
          <w:rFonts w:eastAsiaTheme="minorHAnsi" w:cstheme="majorHAnsi"/>
          <w:b/>
          <w:iCs/>
          <w:szCs w:val="24"/>
          <w:shd w:val="clear" w:color="auto" w:fill="FFFFFF"/>
          <w:lang w:val="en-GB" w:eastAsia="en-US"/>
        </w:rPr>
        <w:t xml:space="preserve"> </w:t>
      </w:r>
      <w:r w:rsidRPr="00B07116">
        <w:rPr>
          <w:rFonts w:eastAsia="Calibri" w:cstheme="majorHAnsi"/>
          <w:bCs/>
          <w:i/>
          <w:szCs w:val="24"/>
          <w:lang w:val="en-GB" w:eastAsia="en-US"/>
        </w:rPr>
        <w:t>Physical parameters of 19</w:t>
      </w:r>
      <w:r w:rsidRPr="00B07116">
        <w:rPr>
          <w:rFonts w:eastAsia="Calibri" w:cstheme="majorHAnsi"/>
          <w:bCs/>
          <w:i/>
          <w:szCs w:val="24"/>
          <w:vertAlign w:val="superscript"/>
          <w:lang w:val="en-GB" w:eastAsia="en-US"/>
        </w:rPr>
        <w:t>th</w:t>
      </w:r>
      <w:r w:rsidRPr="00B07116">
        <w:rPr>
          <w:rFonts w:eastAsia="Calibri" w:cstheme="majorHAnsi"/>
          <w:bCs/>
          <w:i/>
          <w:szCs w:val="24"/>
          <w:lang w:val="en-GB" w:eastAsia="en-US"/>
        </w:rPr>
        <w:t xml:space="preserve"> and early 20</w:t>
      </w:r>
      <w:r w:rsidRPr="00B07116">
        <w:rPr>
          <w:rFonts w:eastAsia="Calibri" w:cstheme="majorHAnsi"/>
          <w:bCs/>
          <w:i/>
          <w:szCs w:val="24"/>
          <w:vertAlign w:val="superscript"/>
          <w:lang w:val="en-GB" w:eastAsia="en-US"/>
        </w:rPr>
        <w:t>th</w:t>
      </w:r>
      <w:r w:rsidRPr="00B07116">
        <w:rPr>
          <w:rFonts w:eastAsia="Calibri" w:cstheme="majorHAnsi"/>
          <w:bCs/>
          <w:i/>
          <w:szCs w:val="24"/>
          <w:lang w:val="en-GB" w:eastAsia="en-US"/>
        </w:rPr>
        <w:t xml:space="preserve"> century violin playing.</w:t>
      </w:r>
      <w:r>
        <w:rPr>
          <w:rFonts w:eastAsia="Calibri" w:cstheme="majorHAnsi"/>
          <w:szCs w:val="24"/>
          <w:lang w:val="en-GB" w:eastAsia="en-US"/>
        </w:rPr>
        <w:t xml:space="preserve"> Huddersfield</w:t>
      </w:r>
      <w:r>
        <w:rPr>
          <w:rFonts w:eastAsia="Times New Roman" w:cstheme="majorHAnsi"/>
          <w:bCs/>
          <w:szCs w:val="24"/>
          <w:lang w:val="en-US" w:eastAsia="en-US"/>
        </w:rPr>
        <w:t xml:space="preserve">: University of </w:t>
      </w:r>
      <w:r>
        <w:rPr>
          <w:rFonts w:eastAsia="Calibri" w:cstheme="majorHAnsi"/>
          <w:szCs w:val="24"/>
          <w:lang w:val="en-GB" w:eastAsia="en-US"/>
        </w:rPr>
        <w:t>Huddersfield</w:t>
      </w:r>
      <w:r>
        <w:rPr>
          <w:rFonts w:eastAsia="Times New Roman" w:cstheme="majorHAnsi"/>
          <w:bCs/>
          <w:szCs w:val="24"/>
          <w:lang w:val="en-US" w:eastAsia="en-US"/>
        </w:rPr>
        <w:t>, 2013.</w:t>
      </w:r>
      <w:r>
        <w:rPr>
          <w:rFonts w:eastAsia="Calibri" w:cstheme="majorHAnsi"/>
          <w:szCs w:val="24"/>
          <w:lang w:val="en-US" w:eastAsia="en-US"/>
        </w:rPr>
        <w:t xml:space="preserve"> </w:t>
      </w:r>
      <w:proofErr w:type="spellStart"/>
      <w:r>
        <w:rPr>
          <w:rFonts w:eastAsia="Calibri" w:cstheme="majorHAnsi"/>
          <w:szCs w:val="24"/>
          <w:lang w:val="en-US" w:eastAsia="en-US"/>
        </w:rPr>
        <w:t>Disponível</w:t>
      </w:r>
      <w:proofErr w:type="spellEnd"/>
      <w:r>
        <w:rPr>
          <w:rFonts w:eastAsia="Calibri" w:cstheme="majorHAnsi"/>
          <w:szCs w:val="24"/>
          <w:lang w:val="en-US" w:eastAsia="en-US"/>
        </w:rPr>
        <w:t xml:space="preserve"> </w:t>
      </w:r>
      <w:proofErr w:type="spellStart"/>
      <w:r>
        <w:rPr>
          <w:rFonts w:eastAsia="Calibri" w:cstheme="majorHAnsi"/>
          <w:szCs w:val="24"/>
          <w:lang w:val="en-US" w:eastAsia="en-US"/>
        </w:rPr>
        <w:t>em</w:t>
      </w:r>
      <w:proofErr w:type="spellEnd"/>
      <w:r>
        <w:rPr>
          <w:rFonts w:eastAsia="Calibri" w:cstheme="majorHAnsi"/>
          <w:szCs w:val="24"/>
          <w:lang w:val="en-US" w:eastAsia="en-US"/>
        </w:rPr>
        <w:t xml:space="preserve">: </w:t>
      </w:r>
      <w:hyperlink r:id="rId25">
        <w:r w:rsidR="001F49FD">
          <w:rPr>
            <w:rFonts w:eastAsia="Calibri" w:cstheme="majorHAnsi"/>
            <w:color w:val="0000FF"/>
            <w:szCs w:val="24"/>
            <w:u w:val="single"/>
            <w:lang w:val="en-GB" w:eastAsia="en-US"/>
          </w:rPr>
          <w:t>http://mhm.hud.ac.uk</w:t>
        </w:r>
      </w:hyperlink>
      <w:r>
        <w:rPr>
          <w:rFonts w:eastAsia="Calibri" w:cstheme="majorHAnsi"/>
          <w:szCs w:val="24"/>
          <w:lang w:val="en-GB" w:eastAsia="en-US"/>
        </w:rPr>
        <w:t xml:space="preserve">. </w:t>
      </w:r>
      <w:proofErr w:type="spellStart"/>
      <w:r>
        <w:rPr>
          <w:rFonts w:eastAsia="Calibri" w:cstheme="majorHAnsi"/>
          <w:szCs w:val="24"/>
          <w:lang w:val="en-GB" w:eastAsia="en-US"/>
        </w:rPr>
        <w:t>Acesso</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em</w:t>
      </w:r>
      <w:proofErr w:type="spellEnd"/>
      <w:r>
        <w:rPr>
          <w:rFonts w:eastAsia="Calibri" w:cstheme="majorHAnsi"/>
          <w:szCs w:val="24"/>
          <w:lang w:val="en-GB" w:eastAsia="en-US"/>
        </w:rPr>
        <w:t>: 2</w:t>
      </w:r>
      <w:r w:rsidR="00C231F8">
        <w:rPr>
          <w:rFonts w:eastAsia="Calibri" w:cstheme="majorHAnsi"/>
          <w:szCs w:val="24"/>
          <w:lang w:val="en-GB" w:eastAsia="en-US"/>
        </w:rPr>
        <w:t xml:space="preserve"> ago. </w:t>
      </w:r>
      <w:r>
        <w:rPr>
          <w:rFonts w:eastAsia="Calibri" w:cstheme="majorHAnsi"/>
          <w:szCs w:val="24"/>
          <w:lang w:val="en-GB" w:eastAsia="en-US"/>
        </w:rPr>
        <w:t>2016.</w:t>
      </w:r>
    </w:p>
    <w:p w14:paraId="783193E1" w14:textId="77777777" w:rsidR="001F49FD" w:rsidRDefault="001F49FD" w:rsidP="004133A6">
      <w:pPr>
        <w:spacing w:line="240" w:lineRule="auto"/>
        <w:ind w:firstLine="0"/>
        <w:rPr>
          <w:rFonts w:asciiTheme="majorHAnsi" w:eastAsia="Calibri" w:hAnsiTheme="majorHAnsi" w:cstheme="majorHAnsi"/>
          <w:szCs w:val="24"/>
          <w:lang w:val="en-US" w:eastAsia="en-US"/>
        </w:rPr>
      </w:pPr>
    </w:p>
    <w:p w14:paraId="21031401" w14:textId="0B46C525"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u w:val="single"/>
          <w:lang w:val="en-US" w:eastAsia="en-US"/>
        </w:rPr>
        <w:t xml:space="preserve"> _____________</w:t>
      </w:r>
      <w:r>
        <w:rPr>
          <w:rFonts w:eastAsia="Calibri" w:cstheme="majorHAnsi"/>
          <w:szCs w:val="24"/>
          <w:lang w:val="en-US" w:eastAsia="en-US"/>
        </w:rPr>
        <w:t xml:space="preserve">. </w:t>
      </w:r>
      <w:r w:rsidRPr="00B07116">
        <w:rPr>
          <w:rFonts w:eastAsia="Times New Roman" w:cstheme="majorHAnsi"/>
          <w:i/>
          <w:iCs/>
          <w:szCs w:val="24"/>
          <w:lang w:val="en-US" w:eastAsia="en-US"/>
        </w:rPr>
        <w:t>The Decline of the 19</w:t>
      </w:r>
      <w:r w:rsidRPr="00B07116">
        <w:rPr>
          <w:rFonts w:eastAsia="Times New Roman" w:cstheme="majorHAnsi"/>
          <w:i/>
          <w:iCs/>
          <w:szCs w:val="24"/>
          <w:vertAlign w:val="superscript"/>
          <w:lang w:val="en-US" w:eastAsia="en-US"/>
        </w:rPr>
        <w:t>th</w:t>
      </w:r>
      <w:r w:rsidRPr="00B07116">
        <w:rPr>
          <w:rFonts w:eastAsia="Times New Roman" w:cstheme="majorHAnsi"/>
          <w:i/>
          <w:iCs/>
          <w:szCs w:val="24"/>
          <w:lang w:val="en-US" w:eastAsia="en-US"/>
        </w:rPr>
        <w:t>- century German school of violin playing.</w:t>
      </w:r>
      <w:r>
        <w:rPr>
          <w:rFonts w:eastAsia="Times New Roman" w:cstheme="majorHAnsi"/>
          <w:bCs/>
          <w:i/>
          <w:szCs w:val="24"/>
          <w:lang w:val="en-US" w:eastAsia="en-US"/>
        </w:rPr>
        <w:t xml:space="preserve"> </w:t>
      </w:r>
      <w:r>
        <w:rPr>
          <w:rFonts w:eastAsia="Times New Roman" w:cstheme="majorHAnsi"/>
          <w:bCs/>
          <w:szCs w:val="24"/>
          <w:lang w:val="en-US" w:eastAsia="en-US"/>
        </w:rPr>
        <w:t>Leeds: University of Leeds, 2013.</w:t>
      </w:r>
      <w:r>
        <w:rPr>
          <w:rFonts w:eastAsia="Calibri" w:cstheme="majorHAnsi"/>
          <w:szCs w:val="24"/>
          <w:lang w:val="en-US" w:eastAsia="en-US"/>
        </w:rPr>
        <w:t xml:space="preserve"> </w:t>
      </w:r>
      <w:proofErr w:type="spellStart"/>
      <w:r>
        <w:rPr>
          <w:rFonts w:eastAsia="Calibri" w:cstheme="majorHAnsi"/>
          <w:szCs w:val="24"/>
          <w:lang w:val="en-US" w:eastAsia="en-US"/>
        </w:rPr>
        <w:t>Disponível</w:t>
      </w:r>
      <w:proofErr w:type="spellEnd"/>
      <w:r>
        <w:rPr>
          <w:rFonts w:eastAsia="Calibri" w:cstheme="majorHAnsi"/>
          <w:szCs w:val="24"/>
          <w:lang w:val="en-US" w:eastAsia="en-US"/>
        </w:rPr>
        <w:t xml:space="preserve"> </w:t>
      </w:r>
      <w:proofErr w:type="spellStart"/>
      <w:r>
        <w:rPr>
          <w:rFonts w:eastAsia="Calibri" w:cstheme="majorHAnsi"/>
          <w:szCs w:val="24"/>
          <w:lang w:val="en-US" w:eastAsia="en-US"/>
        </w:rPr>
        <w:t>em</w:t>
      </w:r>
      <w:proofErr w:type="spellEnd"/>
      <w:r>
        <w:rPr>
          <w:rFonts w:eastAsia="Calibri" w:cstheme="majorHAnsi"/>
          <w:szCs w:val="24"/>
          <w:lang w:val="en-US" w:eastAsia="en-US"/>
        </w:rPr>
        <w:t xml:space="preserve">: </w:t>
      </w:r>
      <w:hyperlink r:id="rId26">
        <w:r w:rsidR="001F49FD">
          <w:rPr>
            <w:rFonts w:eastAsia="Calibri" w:cstheme="majorHAnsi"/>
            <w:color w:val="0000FF"/>
            <w:szCs w:val="24"/>
            <w:u w:val="single"/>
            <w:lang w:val="en-US" w:eastAsia="en-US"/>
          </w:rPr>
          <w:t>http://chase.leeds.ac.uk</w:t>
        </w:r>
      </w:hyperlink>
      <w:r>
        <w:rPr>
          <w:rFonts w:eastAsia="Calibri" w:cstheme="majorHAnsi"/>
          <w:szCs w:val="24"/>
          <w:lang w:val="en-US" w:eastAsia="en-US"/>
        </w:rPr>
        <w:t xml:space="preserve">. </w:t>
      </w:r>
      <w:proofErr w:type="spellStart"/>
      <w:r>
        <w:rPr>
          <w:rFonts w:eastAsia="Calibri" w:cstheme="majorHAnsi"/>
          <w:szCs w:val="24"/>
          <w:lang w:val="en-GB" w:eastAsia="en-US"/>
        </w:rPr>
        <w:t>Acesso</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em</w:t>
      </w:r>
      <w:proofErr w:type="spellEnd"/>
      <w:r>
        <w:rPr>
          <w:rFonts w:eastAsia="Calibri" w:cstheme="majorHAnsi"/>
          <w:szCs w:val="24"/>
          <w:lang w:val="en-GB" w:eastAsia="en-US"/>
        </w:rPr>
        <w:t>: 2</w:t>
      </w:r>
      <w:r w:rsidR="00C231F8">
        <w:rPr>
          <w:rFonts w:eastAsia="Calibri" w:cstheme="majorHAnsi"/>
          <w:szCs w:val="24"/>
          <w:lang w:val="en-GB" w:eastAsia="en-US"/>
        </w:rPr>
        <w:t xml:space="preserve"> </w:t>
      </w:r>
      <w:proofErr w:type="spellStart"/>
      <w:r w:rsidR="00C231F8">
        <w:rPr>
          <w:rFonts w:eastAsia="Calibri" w:cstheme="majorHAnsi"/>
          <w:szCs w:val="24"/>
          <w:lang w:val="en-GB" w:eastAsia="en-US"/>
        </w:rPr>
        <w:t>mai</w:t>
      </w:r>
      <w:proofErr w:type="spellEnd"/>
      <w:r w:rsidR="00C231F8">
        <w:rPr>
          <w:rFonts w:eastAsia="Calibri" w:cstheme="majorHAnsi"/>
          <w:szCs w:val="24"/>
          <w:lang w:val="en-GB" w:eastAsia="en-US"/>
        </w:rPr>
        <w:t xml:space="preserve">. </w:t>
      </w:r>
      <w:r>
        <w:rPr>
          <w:rFonts w:eastAsia="Calibri" w:cstheme="majorHAnsi"/>
          <w:szCs w:val="24"/>
          <w:lang w:val="en-GB" w:eastAsia="en-US"/>
        </w:rPr>
        <w:t>2017</w:t>
      </w:r>
    </w:p>
    <w:p w14:paraId="0E23282F"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75C940ED" w14:textId="77777777"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val="en-GB" w:eastAsia="en-US"/>
        </w:rPr>
        <w:t xml:space="preserve">BROWN, Clive; MILSOM, David. “The 19th-Century legacy of the Viotti School: editions of the Violin Concerto no. 22”. </w:t>
      </w:r>
      <w:r w:rsidRPr="00C231F8">
        <w:rPr>
          <w:rFonts w:eastAsia="Calibri" w:cstheme="majorHAnsi"/>
          <w:i/>
          <w:iCs/>
          <w:szCs w:val="24"/>
          <w:lang w:val="en-GB" w:eastAsia="en-US"/>
        </w:rPr>
        <w:t>In</w:t>
      </w:r>
      <w:r>
        <w:rPr>
          <w:rFonts w:eastAsia="Calibri" w:cstheme="majorHAnsi"/>
          <w:b/>
          <w:szCs w:val="24"/>
          <w:lang w:val="en-GB" w:eastAsia="en-US"/>
        </w:rPr>
        <w:t xml:space="preserve">: </w:t>
      </w:r>
      <w:r w:rsidRPr="00B07116">
        <w:rPr>
          <w:rFonts w:eastAsia="Calibri" w:cstheme="majorHAnsi"/>
          <w:bCs/>
          <w:i/>
          <w:iCs/>
          <w:szCs w:val="24"/>
          <w:lang w:val="en-GB" w:eastAsia="en-US"/>
        </w:rPr>
        <w:t xml:space="preserve">Giovanni Battista Viotti: a composer between the two revolutions. </w:t>
      </w:r>
      <w:r>
        <w:rPr>
          <w:rFonts w:eastAsia="Calibri" w:cstheme="majorHAnsi"/>
          <w:szCs w:val="24"/>
          <w:lang w:val="fr-FR" w:eastAsia="en-US"/>
        </w:rPr>
        <w:t>Bologna: UT Orpheus, pp. 157-197, 2006.</w:t>
      </w:r>
    </w:p>
    <w:p w14:paraId="44CCCA98"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7F8504DA" w14:textId="77777777"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 xml:space="preserve">COMBESSIE, Jean-Claude. </w:t>
      </w:r>
      <w:r w:rsidRPr="00B07116">
        <w:rPr>
          <w:rFonts w:eastAsia="Calibri" w:cstheme="majorHAnsi"/>
          <w:bCs/>
          <w:i/>
          <w:szCs w:val="24"/>
          <w:lang w:val="fr-FR" w:eastAsia="en-US"/>
        </w:rPr>
        <w:t>La méthode en sociologie.</w:t>
      </w:r>
      <w:r>
        <w:rPr>
          <w:rFonts w:eastAsia="Calibri" w:cstheme="majorHAnsi"/>
          <w:iCs/>
          <w:szCs w:val="24"/>
          <w:lang w:val="fr-FR" w:eastAsia="en-US"/>
        </w:rPr>
        <w:t xml:space="preserve"> Paris: </w:t>
      </w:r>
      <w:r>
        <w:rPr>
          <w:rFonts w:eastAsia="Calibri" w:cstheme="majorHAnsi"/>
          <w:szCs w:val="24"/>
          <w:lang w:val="fr-FR" w:eastAsia="en-US"/>
        </w:rPr>
        <w:t>La Découverte, 2007.</w:t>
      </w:r>
    </w:p>
    <w:p w14:paraId="2D182505"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1250F42E"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COURCY, G.Y.C. de. </w:t>
      </w:r>
      <w:r w:rsidRPr="00B07116">
        <w:rPr>
          <w:rFonts w:eastAsia="Calibri" w:cstheme="majorHAnsi"/>
          <w:bCs/>
          <w:i/>
          <w:iCs/>
          <w:szCs w:val="24"/>
          <w:lang w:val="en-GB" w:eastAsia="en-US"/>
        </w:rPr>
        <w:t xml:space="preserve">Paganini, the </w:t>
      </w:r>
      <w:proofErr w:type="spellStart"/>
      <w:r w:rsidRPr="00B07116">
        <w:rPr>
          <w:rFonts w:eastAsia="Calibri" w:cstheme="majorHAnsi"/>
          <w:bCs/>
          <w:i/>
          <w:iCs/>
          <w:szCs w:val="24"/>
          <w:lang w:val="en-GB" w:eastAsia="en-US"/>
        </w:rPr>
        <w:t>genovese</w:t>
      </w:r>
      <w:proofErr w:type="spellEnd"/>
      <w:r w:rsidRPr="00B07116">
        <w:rPr>
          <w:rFonts w:eastAsia="Calibri" w:cstheme="majorHAnsi"/>
          <w:bCs/>
          <w:i/>
          <w:iCs/>
          <w:szCs w:val="24"/>
          <w:lang w:val="en-GB" w:eastAsia="en-US"/>
        </w:rPr>
        <w:t>.</w:t>
      </w:r>
      <w:r>
        <w:rPr>
          <w:rFonts w:eastAsia="Calibri" w:cstheme="majorHAnsi"/>
          <w:b/>
          <w:szCs w:val="24"/>
          <w:lang w:val="en-GB" w:eastAsia="en-US"/>
        </w:rPr>
        <w:t xml:space="preserve"> </w:t>
      </w:r>
      <w:r>
        <w:rPr>
          <w:rFonts w:eastAsia="Calibri" w:cstheme="majorHAnsi"/>
          <w:szCs w:val="24"/>
          <w:lang w:val="en-GB" w:eastAsia="en-US"/>
        </w:rPr>
        <w:t>Norman: University of Oklahoma Press, 1957.</w:t>
      </w:r>
    </w:p>
    <w:p w14:paraId="46B44780" w14:textId="77777777" w:rsidR="001F49FD" w:rsidRDefault="001F49FD" w:rsidP="004133A6">
      <w:pPr>
        <w:spacing w:line="240" w:lineRule="auto"/>
        <w:ind w:firstLine="0"/>
        <w:rPr>
          <w:rFonts w:asciiTheme="majorHAnsi" w:eastAsiaTheme="majorEastAsia" w:hAnsiTheme="majorHAnsi" w:cstheme="majorHAnsi"/>
          <w:bCs/>
          <w:szCs w:val="24"/>
          <w:lang w:val="en-GB" w:eastAsia="en-US"/>
        </w:rPr>
      </w:pPr>
      <w:bookmarkStart w:id="161" w:name="_Toc13693895"/>
      <w:bookmarkStart w:id="162" w:name="_Toc14331077"/>
    </w:p>
    <w:p w14:paraId="0D27DB96" w14:textId="77777777" w:rsidR="001F49FD" w:rsidRDefault="00611419" w:rsidP="004133A6">
      <w:pPr>
        <w:spacing w:line="240" w:lineRule="auto"/>
        <w:ind w:firstLine="0"/>
        <w:rPr>
          <w:rFonts w:asciiTheme="majorHAnsi" w:eastAsiaTheme="majorEastAsia" w:hAnsiTheme="majorHAnsi" w:cstheme="majorHAnsi"/>
          <w:bCs/>
          <w:szCs w:val="24"/>
          <w:lang w:eastAsia="en-US"/>
        </w:rPr>
      </w:pPr>
      <w:r>
        <w:rPr>
          <w:rFonts w:eastAsiaTheme="majorEastAsia" w:cstheme="majorHAnsi"/>
          <w:bCs/>
          <w:szCs w:val="24"/>
          <w:lang w:val="en-GB" w:eastAsia="en-US"/>
        </w:rPr>
        <w:t xml:space="preserve">CURTIS, M. </w:t>
      </w:r>
      <w:r w:rsidRPr="00B07116">
        <w:rPr>
          <w:rFonts w:eastAsiaTheme="majorEastAsia" w:cstheme="majorHAnsi"/>
          <w:i/>
          <w:iCs/>
          <w:szCs w:val="24"/>
          <w:lang w:val="en-GB" w:eastAsia="en-US"/>
        </w:rPr>
        <w:t>Analysis and comparative review of “Principles of Violin Playing and Teaching” by Ivan Galamian.</w:t>
      </w:r>
      <w:r>
        <w:rPr>
          <w:rFonts w:eastAsiaTheme="majorEastAsia" w:cstheme="majorHAnsi"/>
          <w:bCs/>
          <w:szCs w:val="24"/>
          <w:lang w:val="en-GB" w:eastAsia="en-US"/>
        </w:rPr>
        <w:t xml:space="preserve"> </w:t>
      </w:r>
      <w:r>
        <w:rPr>
          <w:rFonts w:eastAsiaTheme="majorEastAsia" w:cstheme="majorHAnsi"/>
          <w:bCs/>
          <w:szCs w:val="24"/>
          <w:lang w:eastAsia="en-US"/>
        </w:rPr>
        <w:t xml:space="preserve">Dissertação (Mestrado em Música) – </w:t>
      </w:r>
      <w:proofErr w:type="spellStart"/>
      <w:r>
        <w:rPr>
          <w:rFonts w:eastAsiaTheme="majorEastAsia" w:cstheme="majorHAnsi"/>
          <w:bCs/>
          <w:szCs w:val="24"/>
          <w:lang w:eastAsia="en-US"/>
        </w:rPr>
        <w:t>University</w:t>
      </w:r>
      <w:proofErr w:type="spellEnd"/>
      <w:r>
        <w:rPr>
          <w:rFonts w:eastAsiaTheme="majorEastAsia" w:cstheme="majorHAnsi"/>
          <w:bCs/>
          <w:szCs w:val="24"/>
          <w:lang w:eastAsia="en-US"/>
        </w:rPr>
        <w:t xml:space="preserve"> of Washington, Washington, 1997.</w:t>
      </w:r>
      <w:bookmarkEnd w:id="161"/>
      <w:bookmarkEnd w:id="162"/>
    </w:p>
    <w:p w14:paraId="4D1FB40D" w14:textId="77777777" w:rsidR="001F49FD" w:rsidRDefault="00611419" w:rsidP="004133A6">
      <w:pPr>
        <w:spacing w:line="240" w:lineRule="auto"/>
        <w:ind w:firstLine="0"/>
        <w:rPr>
          <w:rFonts w:asciiTheme="majorHAnsi" w:eastAsiaTheme="majorEastAsia" w:hAnsiTheme="majorHAnsi" w:cstheme="majorHAnsi"/>
          <w:bCs/>
          <w:szCs w:val="24"/>
          <w:lang w:eastAsia="en-US"/>
        </w:rPr>
      </w:pPr>
      <w:r>
        <w:rPr>
          <w:rFonts w:eastAsiaTheme="majorEastAsia" w:cstheme="majorHAnsi"/>
          <w:bCs/>
          <w:szCs w:val="24"/>
          <w:lang w:eastAsia="en-US"/>
        </w:rPr>
        <w:t xml:space="preserve">DANGELO, José Geraldo; FATTINI, Carlo Americo. </w:t>
      </w:r>
      <w:r w:rsidRPr="00B07116">
        <w:rPr>
          <w:rFonts w:eastAsiaTheme="majorEastAsia" w:cstheme="majorHAnsi"/>
          <w:i/>
          <w:iCs/>
          <w:szCs w:val="24"/>
          <w:lang w:eastAsia="en-US"/>
        </w:rPr>
        <w:t>Anatomia Humana Básica.</w:t>
      </w:r>
      <w:r>
        <w:rPr>
          <w:rFonts w:eastAsiaTheme="majorEastAsia" w:cstheme="majorHAnsi"/>
          <w:bCs/>
          <w:szCs w:val="24"/>
          <w:lang w:eastAsia="en-US"/>
        </w:rPr>
        <w:t xml:space="preserve"> São Paulo: Editora Atheneu, 2006.</w:t>
      </w:r>
    </w:p>
    <w:p w14:paraId="544B3728" w14:textId="77777777" w:rsidR="001F49FD" w:rsidRDefault="001F49FD" w:rsidP="004133A6">
      <w:pPr>
        <w:spacing w:line="240" w:lineRule="auto"/>
        <w:ind w:firstLine="0"/>
        <w:rPr>
          <w:rFonts w:asciiTheme="majorHAnsi" w:eastAsia="Calibri" w:hAnsiTheme="majorHAnsi" w:cstheme="majorHAnsi"/>
          <w:szCs w:val="24"/>
          <w:lang w:eastAsia="en-US"/>
        </w:rPr>
      </w:pPr>
      <w:bookmarkStart w:id="163" w:name="_Toc13693896"/>
      <w:bookmarkStart w:id="164" w:name="_Toc14331078"/>
    </w:p>
    <w:p w14:paraId="648FCA9A" w14:textId="77777777" w:rsidR="001F49FD" w:rsidRDefault="00611419" w:rsidP="004133A6">
      <w:pPr>
        <w:spacing w:line="240" w:lineRule="auto"/>
        <w:ind w:firstLine="0"/>
        <w:rPr>
          <w:rFonts w:asciiTheme="majorHAnsi" w:eastAsiaTheme="majorEastAsia" w:hAnsiTheme="majorHAnsi" w:cstheme="majorHAnsi"/>
          <w:bCs/>
          <w:szCs w:val="24"/>
          <w:lang w:val="fr-FR" w:eastAsia="en-US"/>
        </w:rPr>
      </w:pPr>
      <w:r>
        <w:rPr>
          <w:rFonts w:eastAsia="Calibri" w:cstheme="majorHAnsi"/>
          <w:szCs w:val="24"/>
          <w:lang w:val="fr-FR" w:eastAsia="en-US"/>
        </w:rPr>
        <w:t xml:space="preserve">FÉTIS, François-Joseph. </w:t>
      </w:r>
      <w:r w:rsidRPr="00B07116">
        <w:rPr>
          <w:rFonts w:eastAsia="Calibri" w:cstheme="majorHAnsi"/>
          <w:bCs/>
          <w:i/>
          <w:iCs/>
          <w:szCs w:val="24"/>
          <w:lang w:val="fr-FR" w:eastAsia="en-US"/>
        </w:rPr>
        <w:t>Biographie Universelle des musiciens.</w:t>
      </w:r>
      <w:r>
        <w:rPr>
          <w:rFonts w:eastAsia="Calibri" w:cstheme="majorHAnsi"/>
          <w:szCs w:val="24"/>
          <w:lang w:val="fr-FR" w:eastAsia="en-US"/>
        </w:rPr>
        <w:t xml:space="preserve"> Paris: H. Fournier, 1835-1844.</w:t>
      </w:r>
      <w:bookmarkEnd w:id="163"/>
      <w:bookmarkEnd w:id="164"/>
    </w:p>
    <w:p w14:paraId="7B5C6450" w14:textId="77777777"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 xml:space="preserve">___________________. </w:t>
      </w:r>
      <w:r w:rsidRPr="00B07116">
        <w:rPr>
          <w:rFonts w:eastAsia="Calibri" w:cstheme="majorHAnsi"/>
          <w:bCs/>
          <w:i/>
          <w:iCs/>
          <w:szCs w:val="24"/>
          <w:lang w:val="fr-FR" w:eastAsia="en-US"/>
        </w:rPr>
        <w:t>Revue Musicale</w:t>
      </w:r>
      <w:r>
        <w:rPr>
          <w:rFonts w:eastAsia="Calibri" w:cstheme="majorHAnsi"/>
          <w:szCs w:val="24"/>
          <w:lang w:val="fr-FR" w:eastAsia="en-US"/>
        </w:rPr>
        <w:t>, Ano 5, n. 9, p. 71, 1831.</w:t>
      </w:r>
    </w:p>
    <w:p w14:paraId="22814042"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538AECBB" w14:textId="77777777"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lang w:val="en-US" w:eastAsia="en-US"/>
        </w:rPr>
        <w:t xml:space="preserve">GILL, Dominique. </w:t>
      </w:r>
      <w:r w:rsidRPr="00B07116">
        <w:rPr>
          <w:rFonts w:eastAsia="Calibri" w:cstheme="majorHAnsi"/>
          <w:bCs/>
          <w:i/>
          <w:iCs/>
          <w:szCs w:val="24"/>
          <w:lang w:val="en-US" w:eastAsia="en-US"/>
        </w:rPr>
        <w:t>The book of the violin.</w:t>
      </w:r>
      <w:r>
        <w:rPr>
          <w:rFonts w:eastAsia="Calibri" w:cstheme="majorHAnsi"/>
          <w:szCs w:val="24"/>
          <w:lang w:val="en-US" w:eastAsia="en-US"/>
        </w:rPr>
        <w:t xml:space="preserve"> Oxford: Phaidon. 1984.</w:t>
      </w:r>
    </w:p>
    <w:p w14:paraId="13A8AA16"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4891D3E6"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GOLDSMITH, Pamela. “First violin methods using the Tourte bow”, </w:t>
      </w:r>
      <w:r w:rsidRPr="00B07116">
        <w:rPr>
          <w:rFonts w:eastAsia="Calibri" w:cstheme="majorHAnsi"/>
          <w:bCs/>
          <w:i/>
          <w:iCs/>
          <w:szCs w:val="24"/>
          <w:lang w:val="en-GB" w:eastAsia="en-US"/>
        </w:rPr>
        <w:t>The Strad</w:t>
      </w:r>
      <w:r>
        <w:rPr>
          <w:rFonts w:eastAsia="Calibri" w:cstheme="majorHAnsi"/>
          <w:szCs w:val="24"/>
          <w:lang w:val="en-GB" w:eastAsia="en-US"/>
        </w:rPr>
        <w:t xml:space="preserve"> v. 91, pp.  729-30, 1981. </w:t>
      </w:r>
    </w:p>
    <w:p w14:paraId="1D7B0A74"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144CCD33"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GUHR, Carl.</w:t>
      </w:r>
      <w:r>
        <w:rPr>
          <w:rFonts w:eastAsia="Calibri" w:cstheme="majorHAnsi"/>
          <w:i/>
          <w:szCs w:val="24"/>
          <w:lang w:val="en-GB" w:eastAsia="en-US"/>
        </w:rPr>
        <w:t xml:space="preserve"> </w:t>
      </w:r>
      <w:proofErr w:type="spellStart"/>
      <w:r w:rsidRPr="00B07116">
        <w:rPr>
          <w:rFonts w:eastAsia="Calibri" w:cstheme="majorHAnsi"/>
          <w:bCs/>
          <w:i/>
          <w:iCs/>
          <w:szCs w:val="24"/>
          <w:lang w:val="en-GB" w:eastAsia="en-US"/>
        </w:rPr>
        <w:t>Über</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Paganinis</w:t>
      </w:r>
      <w:proofErr w:type="spellEnd"/>
      <w:r w:rsidRPr="00B07116">
        <w:rPr>
          <w:rFonts w:eastAsia="Calibri" w:cstheme="majorHAnsi"/>
          <w:bCs/>
          <w:i/>
          <w:iCs/>
          <w:szCs w:val="24"/>
          <w:lang w:val="en-GB" w:eastAsia="en-US"/>
        </w:rPr>
        <w:t xml:space="preserve"> Kunst die </w:t>
      </w:r>
      <w:proofErr w:type="spellStart"/>
      <w:r w:rsidRPr="00B07116">
        <w:rPr>
          <w:rFonts w:eastAsia="Calibri" w:cstheme="majorHAnsi"/>
          <w:bCs/>
          <w:i/>
          <w:iCs/>
          <w:szCs w:val="24"/>
          <w:lang w:val="en-GB" w:eastAsia="en-US"/>
        </w:rPr>
        <w:t>violinen</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zu</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spielen</w:t>
      </w:r>
      <w:proofErr w:type="spellEnd"/>
      <w:r w:rsidRPr="00B07116">
        <w:rPr>
          <w:rFonts w:eastAsia="Calibri" w:cstheme="majorHAnsi"/>
          <w:bCs/>
          <w:i/>
          <w:iCs/>
          <w:szCs w:val="24"/>
          <w:lang w:val="en-GB" w:eastAsia="en-US"/>
        </w:rPr>
        <w:t>.</w:t>
      </w:r>
      <w:r>
        <w:rPr>
          <w:rFonts w:eastAsia="Calibri" w:cstheme="majorHAnsi"/>
          <w:szCs w:val="24"/>
          <w:lang w:val="en-GB" w:eastAsia="en-US"/>
        </w:rPr>
        <w:t xml:space="preserve"> Mainz: </w:t>
      </w:r>
      <w:hyperlink r:id="rId27" w:tgtFrame="Schott">
        <w:r w:rsidR="001F49FD">
          <w:rPr>
            <w:rFonts w:eastAsia="Calibri" w:cstheme="majorHAnsi"/>
            <w:szCs w:val="24"/>
            <w:lang w:val="en-GB" w:eastAsia="en-US"/>
          </w:rPr>
          <w:t xml:space="preserve">B. Schott's </w:t>
        </w:r>
        <w:proofErr w:type="spellStart"/>
        <w:r w:rsidR="001F49FD">
          <w:rPr>
            <w:rFonts w:eastAsia="Calibri" w:cstheme="majorHAnsi"/>
            <w:szCs w:val="24"/>
            <w:lang w:val="en-GB" w:eastAsia="en-US"/>
          </w:rPr>
          <w:t>Söhnen</w:t>
        </w:r>
        <w:proofErr w:type="spellEnd"/>
      </w:hyperlink>
      <w:r>
        <w:rPr>
          <w:rFonts w:eastAsia="Calibri" w:cstheme="majorHAnsi"/>
          <w:szCs w:val="24"/>
          <w:lang w:val="en-GB" w:eastAsia="en-US"/>
        </w:rPr>
        <w:t>, 1830.</w:t>
      </w:r>
    </w:p>
    <w:p w14:paraId="6168D4D3"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0DB97E71" w14:textId="77777777"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lang w:val="en-GB" w:eastAsia="en-US"/>
        </w:rPr>
        <w:t xml:space="preserve">HAYNES, Bruce. </w:t>
      </w:r>
      <w:r w:rsidRPr="00B07116">
        <w:rPr>
          <w:rFonts w:eastAsia="Calibri" w:cstheme="majorHAnsi"/>
          <w:bCs/>
          <w:i/>
          <w:iCs/>
          <w:szCs w:val="24"/>
          <w:lang w:val="en-GB" w:eastAsia="en-US"/>
        </w:rPr>
        <w:t>The end of earl</w:t>
      </w:r>
      <w:r w:rsidRPr="00B07116">
        <w:rPr>
          <w:rFonts w:eastAsia="Calibri" w:cstheme="majorHAnsi"/>
          <w:bCs/>
          <w:i/>
          <w:iCs/>
          <w:szCs w:val="24"/>
          <w:lang w:val="en-US" w:eastAsia="en-US"/>
        </w:rPr>
        <w:t xml:space="preserve">y music: a period performer’s history of music for the twenty-first century. </w:t>
      </w:r>
      <w:r>
        <w:rPr>
          <w:rFonts w:eastAsia="Calibri" w:cstheme="majorHAnsi"/>
          <w:szCs w:val="24"/>
          <w:lang w:val="en-US" w:eastAsia="en-US"/>
        </w:rPr>
        <w:t>Oxford: Oxford University Press, 2007.</w:t>
      </w:r>
    </w:p>
    <w:p w14:paraId="20347C16" w14:textId="77777777" w:rsidR="001F49FD" w:rsidRDefault="001F49FD" w:rsidP="004133A6">
      <w:pPr>
        <w:spacing w:line="240" w:lineRule="auto"/>
        <w:ind w:firstLine="0"/>
        <w:rPr>
          <w:rFonts w:asciiTheme="majorHAnsi" w:eastAsia="Calibri" w:hAnsiTheme="majorHAnsi" w:cstheme="majorHAnsi"/>
          <w:szCs w:val="24"/>
          <w:lang w:val="en-US" w:eastAsia="en-US"/>
        </w:rPr>
      </w:pPr>
    </w:p>
    <w:p w14:paraId="188912F7" w14:textId="77777777" w:rsidR="001F49FD" w:rsidRDefault="00611419" w:rsidP="004133A6">
      <w:pPr>
        <w:spacing w:line="240" w:lineRule="auto"/>
        <w:ind w:firstLine="0"/>
        <w:rPr>
          <w:rFonts w:asciiTheme="majorHAnsi" w:eastAsia="Calibri" w:hAnsiTheme="majorHAnsi" w:cstheme="majorHAnsi"/>
          <w:szCs w:val="24"/>
          <w:lang w:val="en-GB" w:eastAsia="en-US"/>
        </w:rPr>
      </w:pPr>
      <w:proofErr w:type="gramStart"/>
      <w:r>
        <w:rPr>
          <w:rFonts w:eastAsia="Calibri" w:cstheme="majorHAnsi"/>
          <w:szCs w:val="24"/>
          <w:lang w:val="en-US" w:eastAsia="en-US"/>
        </w:rPr>
        <w:t>HE</w:t>
      </w:r>
      <w:proofErr w:type="gramEnd"/>
      <w:r>
        <w:rPr>
          <w:rFonts w:eastAsia="Calibri" w:cstheme="majorHAnsi"/>
          <w:szCs w:val="24"/>
          <w:lang w:val="en-US" w:eastAsia="en-US"/>
        </w:rPr>
        <w:t xml:space="preserve">, Jun. </w:t>
      </w:r>
      <w:r w:rsidRPr="00B07116">
        <w:rPr>
          <w:rFonts w:eastAsia="Calibri" w:cstheme="majorHAnsi"/>
          <w:bCs/>
          <w:i/>
          <w:iCs/>
          <w:szCs w:val="24"/>
          <w:lang w:val="en-GB" w:eastAsia="en-US"/>
        </w:rPr>
        <w:t>Contemporary and historical performance practice in late eighteenth-century violin repertoire - observations on articulation, bow strokes, and interpretation.</w:t>
      </w:r>
      <w:r>
        <w:rPr>
          <w:rFonts w:eastAsia="Calibri" w:cstheme="majorHAnsi"/>
          <w:szCs w:val="24"/>
          <w:lang w:val="en-GB" w:eastAsia="en-US"/>
        </w:rPr>
        <w:t xml:space="preserve"> </w:t>
      </w:r>
      <w:proofErr w:type="spellStart"/>
      <w:r>
        <w:rPr>
          <w:rFonts w:eastAsia="Calibri" w:cstheme="majorHAnsi"/>
          <w:szCs w:val="24"/>
          <w:lang w:val="en-GB" w:eastAsia="en-US"/>
        </w:rPr>
        <w:t>Tese</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Doutorado</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em</w:t>
      </w:r>
      <w:proofErr w:type="spellEnd"/>
      <w:r>
        <w:rPr>
          <w:rFonts w:eastAsia="Calibri" w:cstheme="majorHAnsi"/>
          <w:szCs w:val="24"/>
          <w:lang w:val="en-GB" w:eastAsia="en-US"/>
        </w:rPr>
        <w:t xml:space="preserve"> Arte Musical) – New Zealand School of Music, 2014. </w:t>
      </w:r>
    </w:p>
    <w:p w14:paraId="5DA93F55"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40EF8329"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JONG, Cameo. </w:t>
      </w:r>
      <w:r w:rsidRPr="00B07116">
        <w:rPr>
          <w:rFonts w:eastAsia="Calibri" w:cstheme="majorHAnsi"/>
          <w:bCs/>
          <w:i/>
          <w:iCs/>
          <w:szCs w:val="24"/>
          <w:lang w:val="en-GB" w:eastAsia="en-US"/>
        </w:rPr>
        <w:t xml:space="preserve">Rediscovering Ferdinand David’s violin pedagogy through his </w:t>
      </w:r>
      <w:proofErr w:type="spellStart"/>
      <w:r w:rsidRPr="00B07116">
        <w:rPr>
          <w:rFonts w:eastAsia="Calibri" w:cstheme="majorHAnsi"/>
          <w:bCs/>
          <w:i/>
          <w:iCs/>
          <w:szCs w:val="24"/>
          <w:lang w:val="en-GB" w:eastAsia="en-US"/>
        </w:rPr>
        <w:t>Violinschule</w:t>
      </w:r>
      <w:proofErr w:type="spellEnd"/>
      <w:r w:rsidRPr="00B07116">
        <w:rPr>
          <w:rFonts w:eastAsia="Calibri" w:cstheme="majorHAnsi"/>
          <w:bCs/>
          <w:i/>
          <w:iCs/>
          <w:szCs w:val="24"/>
          <w:lang w:val="en-GB" w:eastAsia="en-US"/>
        </w:rPr>
        <w:t xml:space="preserve"> and </w:t>
      </w:r>
      <w:proofErr w:type="spellStart"/>
      <w:r w:rsidRPr="00B07116">
        <w:rPr>
          <w:rFonts w:eastAsia="Calibri" w:cstheme="majorHAnsi"/>
          <w:bCs/>
          <w:i/>
          <w:iCs/>
          <w:szCs w:val="24"/>
          <w:lang w:val="en-GB" w:eastAsia="en-US"/>
        </w:rPr>
        <w:t>zur</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Violinschule</w:t>
      </w:r>
      <w:proofErr w:type="spellEnd"/>
      <w:r w:rsidRPr="00B07116">
        <w:rPr>
          <w:rFonts w:eastAsia="Calibri" w:cstheme="majorHAnsi"/>
          <w:bCs/>
          <w:i/>
          <w:iCs/>
          <w:szCs w:val="24"/>
          <w:lang w:val="en-GB" w:eastAsia="en-US"/>
        </w:rPr>
        <w:t>.</w:t>
      </w:r>
      <w:r>
        <w:rPr>
          <w:rFonts w:eastAsia="Calibri" w:cstheme="majorHAnsi"/>
          <w:szCs w:val="24"/>
          <w:lang w:val="en-GB" w:eastAsia="en-US"/>
        </w:rPr>
        <w:t xml:space="preserve"> </w:t>
      </w:r>
      <w:proofErr w:type="spellStart"/>
      <w:r>
        <w:rPr>
          <w:rFonts w:eastAsia="Calibri" w:cstheme="majorHAnsi"/>
          <w:szCs w:val="24"/>
          <w:lang w:val="en-GB" w:eastAsia="en-US"/>
        </w:rPr>
        <w:t>Tese</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Doutorado</w:t>
      </w:r>
      <w:proofErr w:type="spellEnd"/>
      <w:r>
        <w:rPr>
          <w:rFonts w:eastAsia="Calibri" w:cstheme="majorHAnsi"/>
          <w:szCs w:val="24"/>
          <w:lang w:val="en-GB" w:eastAsia="en-US"/>
        </w:rPr>
        <w:t xml:space="preserve"> </w:t>
      </w:r>
      <w:proofErr w:type="spellStart"/>
      <w:r>
        <w:rPr>
          <w:rFonts w:eastAsia="Calibri" w:cstheme="majorHAnsi"/>
          <w:szCs w:val="24"/>
          <w:lang w:val="en-GB" w:eastAsia="en-US"/>
        </w:rPr>
        <w:t>em</w:t>
      </w:r>
      <w:proofErr w:type="spellEnd"/>
      <w:r>
        <w:rPr>
          <w:rFonts w:eastAsia="Calibri" w:cstheme="majorHAnsi"/>
          <w:szCs w:val="24"/>
          <w:lang w:val="en-GB" w:eastAsia="en-US"/>
        </w:rPr>
        <w:t xml:space="preserve"> Arte Musical) – University of Iowa, Iowa City, 2012.</w:t>
      </w:r>
    </w:p>
    <w:p w14:paraId="3F878939"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4DA81491"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val="en-US" w:eastAsia="en-US"/>
        </w:rPr>
        <w:t xml:space="preserve">JOUSSE, John. </w:t>
      </w:r>
      <w:r w:rsidRPr="00B07116">
        <w:rPr>
          <w:rFonts w:eastAsia="Calibri" w:cstheme="majorHAnsi"/>
          <w:bCs/>
          <w:i/>
          <w:iCs/>
          <w:szCs w:val="24"/>
          <w:lang w:val="en-US" w:eastAsia="en-US"/>
        </w:rPr>
        <w:t>The theory and practice of the violin</w:t>
      </w:r>
      <w:r>
        <w:rPr>
          <w:rFonts w:eastAsia="Calibri" w:cstheme="majorHAnsi"/>
          <w:szCs w:val="24"/>
          <w:lang w:val="en-US" w:eastAsia="en-US"/>
        </w:rPr>
        <w:t xml:space="preserve">. </w:t>
      </w:r>
      <w:r>
        <w:rPr>
          <w:rFonts w:eastAsia="Calibri" w:cstheme="majorHAnsi"/>
          <w:szCs w:val="24"/>
          <w:lang w:eastAsia="en-US"/>
        </w:rPr>
        <w:t>London: [o autor], 1811.</w:t>
      </w:r>
    </w:p>
    <w:p w14:paraId="4429D5BE" w14:textId="77777777" w:rsidR="001F49FD" w:rsidRDefault="001F49FD" w:rsidP="004133A6">
      <w:pPr>
        <w:spacing w:line="240" w:lineRule="auto"/>
        <w:ind w:firstLine="0"/>
        <w:rPr>
          <w:rFonts w:asciiTheme="majorHAnsi" w:eastAsia="Calibri" w:hAnsiTheme="majorHAnsi" w:cstheme="majorHAnsi"/>
          <w:szCs w:val="24"/>
        </w:rPr>
      </w:pPr>
    </w:p>
    <w:p w14:paraId="13F9B66A"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rPr>
        <w:t xml:space="preserve">KAKIZAKI, Valter </w:t>
      </w:r>
      <w:proofErr w:type="spellStart"/>
      <w:r>
        <w:rPr>
          <w:rFonts w:eastAsia="Calibri" w:cstheme="majorHAnsi"/>
          <w:szCs w:val="24"/>
        </w:rPr>
        <w:t>Eiji</w:t>
      </w:r>
      <w:proofErr w:type="spellEnd"/>
      <w:r>
        <w:rPr>
          <w:rFonts w:eastAsia="Calibri" w:cstheme="majorHAnsi"/>
          <w:szCs w:val="24"/>
        </w:rPr>
        <w:t xml:space="preserve">. </w:t>
      </w:r>
      <w:r w:rsidRPr="00B07116">
        <w:rPr>
          <w:rFonts w:cstheme="majorHAnsi"/>
          <w:bCs/>
          <w:i/>
          <w:iCs/>
          <w:szCs w:val="24"/>
        </w:rPr>
        <w:t xml:space="preserve">Aspectos gerais e técnicos do violino/viola sob a perspectiva de Carl Flesch e Ivan </w:t>
      </w:r>
      <w:proofErr w:type="spellStart"/>
      <w:r w:rsidRPr="00B07116">
        <w:rPr>
          <w:rFonts w:cstheme="majorHAnsi"/>
          <w:bCs/>
          <w:i/>
          <w:iCs/>
          <w:szCs w:val="24"/>
        </w:rPr>
        <w:t>Galamian</w:t>
      </w:r>
      <w:proofErr w:type="spellEnd"/>
      <w:r w:rsidRPr="00B07116">
        <w:rPr>
          <w:rFonts w:cstheme="majorHAnsi"/>
          <w:bCs/>
          <w:i/>
          <w:iCs/>
          <w:szCs w:val="24"/>
        </w:rPr>
        <w:t>: suas influências na era digital</w:t>
      </w:r>
      <w:r>
        <w:rPr>
          <w:rFonts w:cstheme="majorHAnsi"/>
          <w:b/>
          <w:szCs w:val="24"/>
        </w:rPr>
        <w:t>.</w:t>
      </w:r>
      <w:r>
        <w:rPr>
          <w:rFonts w:cstheme="majorHAnsi"/>
          <w:szCs w:val="24"/>
        </w:rPr>
        <w:t xml:space="preserve"> Dissertação (Mestrado em Música – </w:t>
      </w:r>
      <w:r>
        <w:rPr>
          <w:rFonts w:eastAsia="Calibri" w:cstheme="majorHAnsi"/>
          <w:szCs w:val="24"/>
        </w:rPr>
        <w:t>Universidade Estadual de Campinas, São Paulo, 2014.</w:t>
      </w:r>
    </w:p>
    <w:p w14:paraId="6DD7B28F" w14:textId="77777777" w:rsidR="001F49FD" w:rsidRDefault="001F49FD" w:rsidP="004133A6">
      <w:pPr>
        <w:spacing w:line="240" w:lineRule="auto"/>
        <w:ind w:firstLine="0"/>
        <w:rPr>
          <w:rFonts w:asciiTheme="majorHAnsi" w:eastAsia="Calibri" w:hAnsiTheme="majorHAnsi" w:cstheme="majorHAnsi"/>
          <w:szCs w:val="24"/>
          <w:lang w:eastAsia="en-US"/>
        </w:rPr>
      </w:pPr>
    </w:p>
    <w:p w14:paraId="06E9FEAE" w14:textId="77777777" w:rsidR="001F49FD" w:rsidRDefault="00611419" w:rsidP="004133A6">
      <w:pPr>
        <w:spacing w:line="240" w:lineRule="auto"/>
        <w:ind w:firstLine="0"/>
        <w:rPr>
          <w:rFonts w:asciiTheme="majorHAnsi" w:eastAsia="Calibri" w:hAnsiTheme="majorHAnsi" w:cstheme="majorHAnsi"/>
          <w:bCs/>
          <w:color w:val="0070C0"/>
          <w:szCs w:val="24"/>
          <w:u w:val="single"/>
          <w:lang w:eastAsia="en-US"/>
        </w:rPr>
      </w:pPr>
      <w:r>
        <w:rPr>
          <w:rFonts w:eastAsia="Calibri" w:cstheme="majorHAnsi"/>
          <w:szCs w:val="24"/>
          <w:lang w:val="en-GB" w:eastAsia="en-US"/>
        </w:rPr>
        <w:t>KÖPP, Kai</w:t>
      </w:r>
      <w:r>
        <w:rPr>
          <w:rFonts w:eastAsia="Calibri" w:cstheme="majorHAnsi"/>
          <w:bCs/>
          <w:szCs w:val="24"/>
          <w:lang w:val="en-GB" w:eastAsia="en-US"/>
        </w:rPr>
        <w:t>. French or German bows for Beethoven; a political choice.</w:t>
      </w:r>
      <w:r>
        <w:rPr>
          <w:rFonts w:eastAsia="Calibri" w:cstheme="majorHAnsi"/>
          <w:b/>
          <w:bCs/>
          <w:szCs w:val="24"/>
          <w:lang w:val="en-GB" w:eastAsia="en-US"/>
        </w:rPr>
        <w:t xml:space="preserve"> </w:t>
      </w:r>
      <w:r>
        <w:rPr>
          <w:rFonts w:eastAsia="Calibri" w:cstheme="majorHAnsi"/>
          <w:bCs/>
          <w:szCs w:val="24"/>
          <w:lang w:val="en-GB" w:eastAsia="en-US"/>
        </w:rPr>
        <w:t>In</w:t>
      </w:r>
      <w:r>
        <w:rPr>
          <w:rFonts w:eastAsia="Calibri" w:cstheme="majorHAnsi"/>
          <w:b/>
          <w:bCs/>
          <w:szCs w:val="24"/>
          <w:lang w:val="en-GB" w:eastAsia="en-US"/>
        </w:rPr>
        <w:t xml:space="preserve">: </w:t>
      </w:r>
      <w:proofErr w:type="spellStart"/>
      <w:r w:rsidRPr="00B07116">
        <w:rPr>
          <w:rFonts w:eastAsia="Calibri" w:cstheme="majorHAnsi"/>
          <w:i/>
          <w:iCs/>
          <w:szCs w:val="24"/>
          <w:lang w:val="en-GB" w:eastAsia="en-US"/>
        </w:rPr>
        <w:t>L’Archet</w:t>
      </w:r>
      <w:proofErr w:type="spellEnd"/>
      <w:r w:rsidRPr="00B07116">
        <w:rPr>
          <w:rFonts w:eastAsia="Calibri" w:cstheme="majorHAnsi"/>
          <w:i/>
          <w:iCs/>
          <w:szCs w:val="24"/>
          <w:lang w:val="en-GB" w:eastAsia="en-US"/>
        </w:rPr>
        <w:t xml:space="preserve"> </w:t>
      </w:r>
      <w:proofErr w:type="spellStart"/>
      <w:r w:rsidRPr="00B07116">
        <w:rPr>
          <w:rFonts w:eastAsia="Calibri" w:cstheme="majorHAnsi"/>
          <w:i/>
          <w:iCs/>
          <w:szCs w:val="24"/>
          <w:lang w:val="en-GB" w:eastAsia="en-US"/>
        </w:rPr>
        <w:t>révolucionnaire</w:t>
      </w:r>
      <w:proofErr w:type="spellEnd"/>
      <w:r w:rsidRPr="00B07116">
        <w:rPr>
          <w:rFonts w:eastAsia="Calibri" w:cstheme="majorHAnsi"/>
          <w:i/>
          <w:iCs/>
          <w:szCs w:val="24"/>
          <w:lang w:val="en-GB" w:eastAsia="en-US"/>
        </w:rPr>
        <w:t xml:space="preserve"> – violin, viola &amp; cello bows of the 18</w:t>
      </w:r>
      <w:r w:rsidRPr="00B07116">
        <w:rPr>
          <w:rFonts w:eastAsia="Calibri" w:cstheme="majorHAnsi"/>
          <w:i/>
          <w:iCs/>
          <w:szCs w:val="24"/>
          <w:vertAlign w:val="superscript"/>
          <w:lang w:val="en-GB" w:eastAsia="en-US"/>
        </w:rPr>
        <w:t>th</w:t>
      </w:r>
      <w:r w:rsidRPr="00B07116">
        <w:rPr>
          <w:rFonts w:eastAsia="Calibri" w:cstheme="majorHAnsi"/>
          <w:i/>
          <w:iCs/>
          <w:szCs w:val="24"/>
          <w:lang w:val="en-GB" w:eastAsia="en-US"/>
        </w:rPr>
        <w:t xml:space="preserve"> century,</w:t>
      </w:r>
      <w:r>
        <w:rPr>
          <w:rFonts w:eastAsia="Calibri" w:cstheme="majorHAnsi"/>
          <w:bCs/>
          <w:szCs w:val="24"/>
          <w:lang w:val="en-GB" w:eastAsia="en-US"/>
        </w:rPr>
        <w:t xml:space="preserve"> 2015, </w:t>
      </w:r>
      <w:proofErr w:type="spellStart"/>
      <w:r>
        <w:rPr>
          <w:rFonts w:eastAsia="Calibri" w:cstheme="majorHAnsi"/>
          <w:bCs/>
          <w:szCs w:val="24"/>
          <w:lang w:val="en-GB" w:eastAsia="en-US"/>
        </w:rPr>
        <w:t>Londres</w:t>
      </w:r>
      <w:proofErr w:type="spellEnd"/>
      <w:r>
        <w:rPr>
          <w:rFonts w:eastAsia="Calibri" w:cstheme="majorHAnsi"/>
          <w:bCs/>
          <w:szCs w:val="24"/>
          <w:lang w:val="en-GB" w:eastAsia="en-US"/>
        </w:rPr>
        <w:t xml:space="preserve">. </w:t>
      </w:r>
      <w:r>
        <w:rPr>
          <w:rFonts w:eastAsia="Calibri" w:cstheme="majorHAnsi"/>
          <w:bCs/>
          <w:szCs w:val="24"/>
          <w:lang w:eastAsia="en-US"/>
        </w:rPr>
        <w:t xml:space="preserve">Disponível em: </w:t>
      </w:r>
      <w:hyperlink r:id="rId28">
        <w:r w:rsidR="001F49FD">
          <w:rPr>
            <w:rStyle w:val="Hyperlink"/>
            <w:rFonts w:eastAsia="Calibri" w:cstheme="majorHAnsi"/>
            <w:bCs/>
            <w:szCs w:val="24"/>
            <w:lang w:eastAsia="en-US"/>
          </w:rPr>
          <w:t>https://www.youtube.com/watch?v=uD3NgOB91fg</w:t>
        </w:r>
      </w:hyperlink>
      <w:r>
        <w:rPr>
          <w:rFonts w:eastAsia="Calibri" w:cstheme="majorHAnsi"/>
          <w:bCs/>
          <w:color w:val="0070C0"/>
          <w:szCs w:val="24"/>
          <w:u w:val="single"/>
          <w:lang w:eastAsia="en-US"/>
        </w:rPr>
        <w:t>.</w:t>
      </w:r>
    </w:p>
    <w:p w14:paraId="59DC0DE2" w14:textId="77777777" w:rsidR="001F49FD" w:rsidRDefault="001F49FD" w:rsidP="004133A6">
      <w:pPr>
        <w:spacing w:line="240" w:lineRule="auto"/>
        <w:ind w:firstLine="0"/>
        <w:rPr>
          <w:rFonts w:asciiTheme="majorHAnsi" w:eastAsia="Calibri" w:hAnsiTheme="majorHAnsi" w:cstheme="majorHAnsi"/>
          <w:szCs w:val="24"/>
          <w:lang w:eastAsia="en-US"/>
        </w:rPr>
      </w:pPr>
    </w:p>
    <w:p w14:paraId="6A0D8B8A"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eastAsia="en-US"/>
        </w:rPr>
        <w:t xml:space="preserve">LEECH-WILKINSON, Daniel. </w:t>
      </w:r>
      <w:r>
        <w:rPr>
          <w:rFonts w:eastAsia="Calibri" w:cstheme="majorHAnsi"/>
          <w:szCs w:val="24"/>
          <w:lang w:val="en-GB" w:eastAsia="en-US"/>
        </w:rPr>
        <w:t xml:space="preserve">“Early recorded violin playing: evidence for what?” </w:t>
      </w:r>
      <w:proofErr w:type="spellStart"/>
      <w:r w:rsidRPr="00B07116">
        <w:rPr>
          <w:rFonts w:eastAsia="Calibri" w:cstheme="majorHAnsi"/>
          <w:bCs/>
          <w:i/>
          <w:iCs/>
          <w:szCs w:val="24"/>
          <w:lang w:val="en-GB" w:eastAsia="en-US"/>
        </w:rPr>
        <w:t>Spielpraxis</w:t>
      </w:r>
      <w:proofErr w:type="spellEnd"/>
      <w:r w:rsidRPr="00B07116">
        <w:rPr>
          <w:rFonts w:eastAsia="Calibri" w:cstheme="majorHAnsi"/>
          <w:bCs/>
          <w:i/>
          <w:iCs/>
          <w:szCs w:val="24"/>
          <w:lang w:val="en-GB" w:eastAsia="en-US"/>
        </w:rPr>
        <w:t xml:space="preserve"> der </w:t>
      </w:r>
      <w:proofErr w:type="spellStart"/>
      <w:r w:rsidRPr="00B07116">
        <w:rPr>
          <w:rFonts w:eastAsia="Calibri" w:cstheme="majorHAnsi"/>
          <w:bCs/>
          <w:i/>
          <w:iCs/>
          <w:szCs w:val="24"/>
          <w:lang w:val="en-GB" w:eastAsia="en-US"/>
        </w:rPr>
        <w:t>Saiteninstrumente</w:t>
      </w:r>
      <w:proofErr w:type="spellEnd"/>
      <w:r w:rsidRPr="00B07116">
        <w:rPr>
          <w:rFonts w:eastAsia="Calibri" w:cstheme="majorHAnsi"/>
          <w:bCs/>
          <w:i/>
          <w:iCs/>
          <w:szCs w:val="24"/>
          <w:lang w:val="en-GB" w:eastAsia="en-US"/>
        </w:rPr>
        <w:t xml:space="preserve"> in der </w:t>
      </w:r>
      <w:proofErr w:type="spellStart"/>
      <w:r w:rsidRPr="00B07116">
        <w:rPr>
          <w:rFonts w:eastAsia="Calibri" w:cstheme="majorHAnsi"/>
          <w:bCs/>
          <w:i/>
          <w:iCs/>
          <w:szCs w:val="24"/>
          <w:lang w:val="en-GB" w:eastAsia="en-US"/>
        </w:rPr>
        <w:t>Romantik</w:t>
      </w:r>
      <w:proofErr w:type="spellEnd"/>
      <w:r w:rsidRPr="00B07116">
        <w:rPr>
          <w:rFonts w:eastAsia="Calibri" w:cstheme="majorHAnsi"/>
          <w:bCs/>
          <w:i/>
          <w:iCs/>
          <w:szCs w:val="24"/>
          <w:lang w:val="en-GB" w:eastAsia="en-US"/>
        </w:rPr>
        <w:t xml:space="preserve">: </w:t>
      </w:r>
      <w:proofErr w:type="spellStart"/>
      <w:r w:rsidRPr="00B07116">
        <w:rPr>
          <w:rFonts w:eastAsia="Calibri" w:cstheme="majorHAnsi"/>
          <w:bCs/>
          <w:i/>
          <w:iCs/>
          <w:szCs w:val="24"/>
          <w:lang w:val="en-GB" w:eastAsia="en-US"/>
        </w:rPr>
        <w:t>Bericht</w:t>
      </w:r>
      <w:proofErr w:type="spellEnd"/>
      <w:r w:rsidRPr="00B07116">
        <w:rPr>
          <w:rFonts w:eastAsia="Calibri" w:cstheme="majorHAnsi"/>
          <w:bCs/>
          <w:i/>
          <w:iCs/>
          <w:szCs w:val="24"/>
          <w:lang w:val="en-GB" w:eastAsia="en-US"/>
        </w:rPr>
        <w:t xml:space="preserve"> des </w:t>
      </w:r>
      <w:proofErr w:type="spellStart"/>
      <w:r w:rsidRPr="00B07116">
        <w:rPr>
          <w:rFonts w:eastAsia="Calibri" w:cstheme="majorHAnsi"/>
          <w:bCs/>
          <w:i/>
          <w:iCs/>
          <w:szCs w:val="24"/>
          <w:lang w:val="en-GB" w:eastAsia="en-US"/>
        </w:rPr>
        <w:t>Syposiums</w:t>
      </w:r>
      <w:proofErr w:type="spellEnd"/>
      <w:r w:rsidRPr="00B07116">
        <w:rPr>
          <w:rFonts w:eastAsia="Calibri" w:cstheme="majorHAnsi"/>
          <w:bCs/>
          <w:i/>
          <w:iCs/>
          <w:szCs w:val="24"/>
          <w:lang w:val="en-GB" w:eastAsia="en-US"/>
        </w:rPr>
        <w:t xml:space="preserve"> in Bern</w:t>
      </w:r>
      <w:r>
        <w:rPr>
          <w:rFonts w:eastAsia="Calibri" w:cstheme="majorHAnsi"/>
          <w:szCs w:val="24"/>
          <w:lang w:val="en-GB" w:eastAsia="en-US"/>
        </w:rPr>
        <w:t xml:space="preserve">, pp. 9-22, </w:t>
      </w:r>
      <w:proofErr w:type="spellStart"/>
      <w:r>
        <w:rPr>
          <w:rFonts w:eastAsia="Calibri" w:cstheme="majorHAnsi"/>
          <w:szCs w:val="24"/>
          <w:lang w:val="en-GB" w:eastAsia="en-US"/>
        </w:rPr>
        <w:t>Novembro</w:t>
      </w:r>
      <w:proofErr w:type="spellEnd"/>
      <w:r>
        <w:rPr>
          <w:rFonts w:eastAsia="Calibri" w:cstheme="majorHAnsi"/>
          <w:szCs w:val="24"/>
          <w:lang w:val="en-GB" w:eastAsia="en-US"/>
        </w:rPr>
        <w:t xml:space="preserve">, 2006. </w:t>
      </w:r>
    </w:p>
    <w:p w14:paraId="24AF1150"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6B37FE48"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MANN, William. “The </w:t>
      </w:r>
      <w:proofErr w:type="spellStart"/>
      <w:r>
        <w:rPr>
          <w:rFonts w:eastAsia="Calibri" w:cstheme="majorHAnsi"/>
          <w:szCs w:val="24"/>
          <w:lang w:val="en-GB" w:eastAsia="en-US"/>
        </w:rPr>
        <w:t>Ninetheenth</w:t>
      </w:r>
      <w:proofErr w:type="spellEnd"/>
      <w:r>
        <w:rPr>
          <w:rFonts w:eastAsia="Calibri" w:cstheme="majorHAnsi"/>
          <w:szCs w:val="24"/>
          <w:lang w:val="en-GB" w:eastAsia="en-US"/>
        </w:rPr>
        <w:t xml:space="preserve"> Century”. In: </w:t>
      </w:r>
      <w:r w:rsidRPr="00B07116">
        <w:rPr>
          <w:rFonts w:eastAsia="Calibri" w:cstheme="majorHAnsi"/>
          <w:bCs/>
          <w:i/>
          <w:iCs/>
          <w:szCs w:val="24"/>
          <w:lang w:val="en-GB" w:eastAsia="en-US"/>
        </w:rPr>
        <w:t>The book of the violin.</w:t>
      </w:r>
      <w:r>
        <w:rPr>
          <w:rFonts w:eastAsia="Calibri" w:cstheme="majorHAnsi"/>
          <w:szCs w:val="24"/>
          <w:lang w:val="en-GB" w:eastAsia="en-US"/>
        </w:rPr>
        <w:t xml:space="preserve"> </w:t>
      </w:r>
      <w:r>
        <w:rPr>
          <w:rFonts w:eastAsia="Calibri" w:cstheme="majorHAnsi"/>
          <w:szCs w:val="24"/>
          <w:lang w:val="en-US" w:eastAsia="en-US"/>
        </w:rPr>
        <w:t>Oxford: Phaidon. 1984.</w:t>
      </w:r>
    </w:p>
    <w:p w14:paraId="5E22F04A"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7D692284" w14:textId="77777777"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lang w:val="en-GB" w:eastAsia="en-US"/>
        </w:rPr>
        <w:t xml:space="preserve">MILSOM, David. </w:t>
      </w:r>
      <w:hyperlink r:id="rId29">
        <w:r w:rsidR="001F49FD" w:rsidRPr="00B07116">
          <w:rPr>
            <w:rFonts w:eastAsia="Calibri" w:cstheme="majorHAnsi"/>
            <w:szCs w:val="24"/>
            <w:lang w:val="en-US" w:eastAsia="en-US"/>
          </w:rPr>
          <w:t xml:space="preserve">The Franco-Belgian school of violin </w:t>
        </w:r>
        <w:proofErr w:type="gramStart"/>
        <w:r w:rsidR="001F49FD" w:rsidRPr="00B07116">
          <w:rPr>
            <w:rFonts w:eastAsia="Calibri" w:cstheme="majorHAnsi"/>
            <w:szCs w:val="24"/>
            <w:lang w:val="en-US" w:eastAsia="en-US"/>
          </w:rPr>
          <w:t>playing:</w:t>
        </w:r>
        <w:proofErr w:type="gramEnd"/>
        <w:r w:rsidR="001F49FD" w:rsidRPr="00B07116">
          <w:rPr>
            <w:rFonts w:eastAsia="Calibri" w:cstheme="majorHAnsi"/>
            <w:szCs w:val="24"/>
            <w:lang w:val="en-US" w:eastAsia="en-US"/>
          </w:rPr>
          <w:t xml:space="preserve"> towards an understanding of chronology and </w:t>
        </w:r>
        <w:proofErr w:type="spellStart"/>
        <w:r w:rsidR="001F49FD" w:rsidRPr="00B07116">
          <w:rPr>
            <w:rFonts w:eastAsia="Calibri" w:cstheme="majorHAnsi"/>
            <w:szCs w:val="24"/>
            <w:lang w:val="en-US" w:eastAsia="en-US"/>
          </w:rPr>
          <w:t>carachteristics</w:t>
        </w:r>
        <w:proofErr w:type="spellEnd"/>
        <w:r w:rsidR="001F49FD" w:rsidRPr="00B07116">
          <w:rPr>
            <w:rFonts w:eastAsia="Calibri" w:cstheme="majorHAnsi"/>
            <w:szCs w:val="24"/>
            <w:lang w:val="en-US" w:eastAsia="en-US"/>
          </w:rPr>
          <w:t>, 1850-1925</w:t>
        </w:r>
      </w:hyperlink>
      <w:r>
        <w:rPr>
          <w:rFonts w:eastAsia="Calibri" w:cstheme="majorHAnsi"/>
          <w:szCs w:val="24"/>
          <w:lang w:val="en-US" w:eastAsia="en-US"/>
        </w:rPr>
        <w:t>. Bologna: Ut Orpheus Edizioni, </w:t>
      </w:r>
      <w:r>
        <w:rPr>
          <w:rFonts w:eastAsia="Calibri" w:cstheme="majorHAnsi"/>
          <w:i/>
          <w:szCs w:val="24"/>
          <w:lang w:val="en-US" w:eastAsia="en-US"/>
        </w:rPr>
        <w:t>Ad Parnassum</w:t>
      </w:r>
      <w:r>
        <w:rPr>
          <w:rFonts w:eastAsia="Calibri" w:cstheme="majorHAnsi"/>
          <w:szCs w:val="24"/>
          <w:lang w:val="en-US" w:eastAsia="en-US"/>
        </w:rPr>
        <w:t xml:space="preserve">, v. 11, n. 21, 2013. </w:t>
      </w:r>
    </w:p>
    <w:p w14:paraId="455E27C6" w14:textId="77777777" w:rsidR="001F49FD" w:rsidRDefault="001F49FD" w:rsidP="004133A6">
      <w:pPr>
        <w:spacing w:line="240" w:lineRule="auto"/>
        <w:ind w:firstLine="0"/>
        <w:rPr>
          <w:rFonts w:asciiTheme="majorHAnsi" w:eastAsia="Calibri" w:hAnsiTheme="majorHAnsi" w:cstheme="majorHAnsi"/>
          <w:szCs w:val="24"/>
          <w:lang w:val="en-US" w:eastAsia="en-US"/>
        </w:rPr>
      </w:pPr>
    </w:p>
    <w:p w14:paraId="4828C0A7" w14:textId="77777777"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lang w:val="en-US" w:eastAsia="en-US"/>
        </w:rPr>
        <w:t xml:space="preserve">______________. </w:t>
      </w:r>
      <w:r w:rsidRPr="00B07116">
        <w:rPr>
          <w:rFonts w:eastAsia="Calibri" w:cstheme="majorHAnsi"/>
          <w:bCs/>
          <w:i/>
          <w:iCs/>
          <w:szCs w:val="24"/>
          <w:lang w:val="en-US" w:eastAsia="en-US"/>
        </w:rPr>
        <w:t>Theory and practice in late nineteenth century violin performance: an examination of style in performance 1850-1900</w:t>
      </w:r>
      <w:r>
        <w:rPr>
          <w:rFonts w:eastAsia="Calibri" w:cstheme="majorHAnsi"/>
          <w:szCs w:val="24"/>
          <w:lang w:val="en-US" w:eastAsia="en-US"/>
        </w:rPr>
        <w:t>. Aldershot: Ashgate Publishing Limited, 2003.</w:t>
      </w:r>
    </w:p>
    <w:p w14:paraId="5E73ABD2" w14:textId="77777777" w:rsidR="001F49FD" w:rsidRDefault="00611419" w:rsidP="004133A6">
      <w:pPr>
        <w:spacing w:line="240" w:lineRule="auto"/>
        <w:ind w:firstLine="0"/>
        <w:rPr>
          <w:rFonts w:asciiTheme="majorHAnsi" w:eastAsia="Calibri" w:hAnsiTheme="majorHAnsi" w:cstheme="majorHAnsi"/>
          <w:bCs/>
          <w:szCs w:val="24"/>
          <w:lang w:val="en-GB" w:eastAsia="en-US"/>
        </w:rPr>
      </w:pPr>
      <w:r>
        <w:rPr>
          <w:rFonts w:eastAsia="Calibri" w:cstheme="majorHAnsi"/>
          <w:bCs/>
          <w:iCs/>
          <w:szCs w:val="24"/>
          <w:lang w:val="en-GB" w:eastAsia="en-US"/>
        </w:rPr>
        <w:t>METZNER, Paul.</w:t>
      </w:r>
      <w:r>
        <w:rPr>
          <w:rFonts w:eastAsia="Calibri" w:cstheme="majorHAnsi"/>
          <w:b/>
          <w:bCs/>
          <w:i/>
          <w:iCs/>
          <w:szCs w:val="24"/>
          <w:lang w:val="en-GB" w:eastAsia="en-US"/>
        </w:rPr>
        <w:t xml:space="preserve"> </w:t>
      </w:r>
      <w:r w:rsidRPr="00B07116">
        <w:rPr>
          <w:rFonts w:eastAsia="Calibri" w:cstheme="majorHAnsi"/>
          <w:i/>
          <w:szCs w:val="24"/>
          <w:lang w:val="en-GB" w:eastAsia="en-US"/>
        </w:rPr>
        <w:t>Crescendo of the virtuoso – spectacle, skill, and self-promotion in Paris during the Age of Revolution.</w:t>
      </w:r>
      <w:r>
        <w:rPr>
          <w:rFonts w:eastAsia="Calibri" w:cstheme="majorHAnsi"/>
          <w:b/>
          <w:bCs/>
          <w:szCs w:val="24"/>
          <w:lang w:val="en-GB" w:eastAsia="en-US"/>
        </w:rPr>
        <w:t xml:space="preserve"> </w:t>
      </w:r>
      <w:r>
        <w:rPr>
          <w:rFonts w:eastAsia="Calibri" w:cstheme="majorHAnsi"/>
          <w:bCs/>
          <w:szCs w:val="24"/>
          <w:lang w:val="en-GB" w:eastAsia="en-US"/>
        </w:rPr>
        <w:t xml:space="preserve">Berkeley, Los Angeles, London: University of California Press, 1998. </w:t>
      </w:r>
    </w:p>
    <w:p w14:paraId="16937960" w14:textId="77777777" w:rsidR="001F49FD" w:rsidRDefault="001F49FD">
      <w:pPr>
        <w:spacing w:line="240" w:lineRule="auto"/>
        <w:ind w:firstLine="0"/>
        <w:jc w:val="left"/>
        <w:rPr>
          <w:rFonts w:asciiTheme="majorHAnsi" w:eastAsia="Calibri" w:hAnsiTheme="majorHAnsi" w:cstheme="majorHAnsi"/>
          <w:szCs w:val="24"/>
          <w:lang w:val="en-GB" w:eastAsia="en-US"/>
        </w:rPr>
      </w:pPr>
    </w:p>
    <w:p w14:paraId="32A4026F"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val="en-GB" w:eastAsia="en-US"/>
        </w:rPr>
        <w:t xml:space="preserve">NELSON, Suzanne. </w:t>
      </w:r>
      <w:r w:rsidRPr="00B07116">
        <w:rPr>
          <w:rFonts w:eastAsia="Calibri" w:cstheme="majorHAnsi"/>
          <w:bCs/>
          <w:i/>
          <w:iCs/>
          <w:szCs w:val="24"/>
          <w:lang w:val="en-US" w:eastAsia="en-US"/>
        </w:rPr>
        <w:t xml:space="preserve">Twentieth-century violin technique: the contributions of six major pedagogues. </w:t>
      </w:r>
      <w:r>
        <w:rPr>
          <w:rFonts w:eastAsia="Calibri" w:cstheme="majorHAnsi"/>
          <w:szCs w:val="24"/>
          <w:lang w:eastAsia="en-US"/>
        </w:rPr>
        <w:t xml:space="preserve">Tese (Doutorado em Música) – </w:t>
      </w:r>
      <w:proofErr w:type="spellStart"/>
      <w:r>
        <w:rPr>
          <w:rFonts w:eastAsia="Calibri" w:cstheme="majorHAnsi"/>
          <w:szCs w:val="24"/>
          <w:lang w:eastAsia="en-US"/>
        </w:rPr>
        <w:t>University</w:t>
      </w:r>
      <w:proofErr w:type="spellEnd"/>
      <w:r>
        <w:rPr>
          <w:rFonts w:eastAsia="Calibri" w:cstheme="majorHAnsi"/>
          <w:szCs w:val="24"/>
          <w:lang w:eastAsia="en-US"/>
        </w:rPr>
        <w:t xml:space="preserve"> </w:t>
      </w:r>
      <w:proofErr w:type="spellStart"/>
      <w:r>
        <w:rPr>
          <w:rFonts w:eastAsia="Calibri" w:cstheme="majorHAnsi"/>
          <w:szCs w:val="24"/>
          <w:lang w:eastAsia="en-US"/>
        </w:rPr>
        <w:t>of</w:t>
      </w:r>
      <w:proofErr w:type="spellEnd"/>
      <w:r>
        <w:rPr>
          <w:rFonts w:eastAsia="Calibri" w:cstheme="majorHAnsi"/>
          <w:szCs w:val="24"/>
          <w:lang w:eastAsia="en-US"/>
        </w:rPr>
        <w:t xml:space="preserve"> South Carolina, South Carolina, 1994.</w:t>
      </w:r>
    </w:p>
    <w:p w14:paraId="58FE3CC1" w14:textId="77777777" w:rsidR="001F49FD" w:rsidRDefault="001F49FD" w:rsidP="004133A6">
      <w:pPr>
        <w:spacing w:line="240" w:lineRule="auto"/>
        <w:ind w:firstLine="0"/>
        <w:rPr>
          <w:rFonts w:asciiTheme="majorHAnsi" w:eastAsia="Calibri" w:hAnsiTheme="majorHAnsi" w:cstheme="majorHAnsi"/>
          <w:szCs w:val="24"/>
          <w:lang w:eastAsia="en-US"/>
        </w:rPr>
      </w:pPr>
    </w:p>
    <w:p w14:paraId="2C6DAF8D" w14:textId="77777777" w:rsidR="001F49FD" w:rsidRDefault="00611419" w:rsidP="004133A6">
      <w:pPr>
        <w:spacing w:line="240" w:lineRule="auto"/>
        <w:ind w:firstLine="0"/>
        <w:rPr>
          <w:rFonts w:asciiTheme="majorHAnsi" w:eastAsia="Calibri" w:hAnsiTheme="majorHAnsi" w:cstheme="majorHAnsi"/>
          <w:b/>
          <w:szCs w:val="24"/>
          <w:lang w:eastAsia="en-US"/>
        </w:rPr>
      </w:pPr>
      <w:r>
        <w:rPr>
          <w:rFonts w:eastAsia="Calibri" w:cstheme="majorHAnsi"/>
          <w:szCs w:val="24"/>
          <w:lang w:eastAsia="en-US"/>
        </w:rPr>
        <w:t xml:space="preserve">REIS, </w:t>
      </w:r>
      <w:proofErr w:type="spellStart"/>
      <w:r>
        <w:rPr>
          <w:rFonts w:eastAsia="Calibri" w:cstheme="majorHAnsi"/>
          <w:szCs w:val="24"/>
          <w:lang w:eastAsia="en-US"/>
        </w:rPr>
        <w:t>Adonhiran</w:t>
      </w:r>
      <w:proofErr w:type="spellEnd"/>
      <w:r>
        <w:rPr>
          <w:rFonts w:eastAsia="Calibri" w:cstheme="majorHAnsi"/>
          <w:szCs w:val="24"/>
          <w:lang w:eastAsia="en-US"/>
        </w:rPr>
        <w:t>.</w:t>
      </w:r>
      <w:r>
        <w:rPr>
          <w:rFonts w:eastAsia="Calibri" w:cstheme="majorHAnsi"/>
          <w:b/>
          <w:szCs w:val="24"/>
          <w:lang w:eastAsia="en-US"/>
        </w:rPr>
        <w:t xml:space="preserve"> </w:t>
      </w:r>
      <w:r>
        <w:rPr>
          <w:rFonts w:eastAsia="Calibri" w:cstheme="majorHAnsi"/>
          <w:szCs w:val="24"/>
          <w:lang w:eastAsia="en-US"/>
        </w:rPr>
        <w:t xml:space="preserve">“Manoel Joaquim de Macedo, de músico de destaque a compositor esquecido”. In: </w:t>
      </w:r>
      <w:r w:rsidRPr="00B07116">
        <w:rPr>
          <w:rFonts w:eastAsia="Calibri" w:cstheme="majorHAnsi"/>
          <w:bCs/>
          <w:i/>
          <w:iCs/>
          <w:szCs w:val="24"/>
          <w:lang w:eastAsia="en-US"/>
        </w:rPr>
        <w:t>Pesquisa e Música,</w:t>
      </w:r>
      <w:r>
        <w:rPr>
          <w:rFonts w:eastAsia="Calibri" w:cstheme="majorHAnsi"/>
          <w:szCs w:val="24"/>
          <w:lang w:eastAsia="en-US"/>
        </w:rPr>
        <w:t xml:space="preserve"> v. 13, pp. 33-56, 2014.</w:t>
      </w:r>
    </w:p>
    <w:p w14:paraId="06F47C3C" w14:textId="77777777" w:rsidR="001F49FD" w:rsidRDefault="001F49FD" w:rsidP="004133A6">
      <w:pPr>
        <w:spacing w:line="240" w:lineRule="auto"/>
        <w:ind w:firstLine="0"/>
        <w:rPr>
          <w:rFonts w:asciiTheme="majorHAnsi" w:eastAsia="Calibri" w:hAnsiTheme="majorHAnsi" w:cstheme="majorHAnsi"/>
          <w:szCs w:val="24"/>
          <w:lang w:eastAsia="en-US"/>
        </w:rPr>
      </w:pPr>
    </w:p>
    <w:p w14:paraId="6C4EAC43"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val="en-GB" w:eastAsia="en-US"/>
        </w:rPr>
        <w:t xml:space="preserve">RODRIGUEZ, Elizabeth. </w:t>
      </w:r>
      <w:r w:rsidRPr="00B07116">
        <w:rPr>
          <w:rFonts w:eastAsia="Calibri" w:cstheme="majorHAnsi"/>
          <w:bCs/>
          <w:i/>
          <w:iCs/>
          <w:szCs w:val="24"/>
          <w:lang w:val="en-GB" w:eastAsia="en-US"/>
        </w:rPr>
        <w:t>A study in violin performance practice.</w:t>
      </w:r>
      <w:r>
        <w:rPr>
          <w:rFonts w:eastAsia="Calibri" w:cstheme="majorHAnsi"/>
          <w:szCs w:val="24"/>
          <w:lang w:val="en-GB" w:eastAsia="en-US"/>
        </w:rPr>
        <w:t xml:space="preserve"> </w:t>
      </w:r>
      <w:r>
        <w:rPr>
          <w:rFonts w:eastAsia="Calibri" w:cstheme="majorHAnsi"/>
          <w:szCs w:val="24"/>
          <w:lang w:eastAsia="en-US"/>
        </w:rPr>
        <w:t xml:space="preserve">Tese (Doutorado em Música) – </w:t>
      </w:r>
      <w:proofErr w:type="spellStart"/>
      <w:r>
        <w:rPr>
          <w:rFonts w:eastAsia="Calibri" w:cstheme="majorHAnsi"/>
          <w:szCs w:val="24"/>
          <w:lang w:eastAsia="en-US"/>
        </w:rPr>
        <w:t>University</w:t>
      </w:r>
      <w:proofErr w:type="spellEnd"/>
      <w:r>
        <w:rPr>
          <w:rFonts w:eastAsia="Calibri" w:cstheme="majorHAnsi"/>
          <w:szCs w:val="24"/>
          <w:lang w:eastAsia="en-US"/>
        </w:rPr>
        <w:t xml:space="preserve"> </w:t>
      </w:r>
      <w:proofErr w:type="spellStart"/>
      <w:r>
        <w:rPr>
          <w:rFonts w:eastAsia="Calibri" w:cstheme="majorHAnsi"/>
          <w:szCs w:val="24"/>
          <w:lang w:eastAsia="en-US"/>
        </w:rPr>
        <w:t>of</w:t>
      </w:r>
      <w:proofErr w:type="spellEnd"/>
      <w:r>
        <w:rPr>
          <w:rFonts w:eastAsia="Calibri" w:cstheme="majorHAnsi"/>
          <w:szCs w:val="24"/>
          <w:lang w:eastAsia="en-US"/>
        </w:rPr>
        <w:t xml:space="preserve"> Birmingham, Birmingham, 2009.</w:t>
      </w:r>
    </w:p>
    <w:p w14:paraId="21337576" w14:textId="77777777" w:rsidR="001F49FD" w:rsidRDefault="001F49FD" w:rsidP="004133A6">
      <w:pPr>
        <w:spacing w:line="240" w:lineRule="auto"/>
        <w:ind w:firstLine="0"/>
        <w:rPr>
          <w:rFonts w:asciiTheme="majorHAnsi" w:eastAsia="Calibri" w:hAnsiTheme="majorHAnsi" w:cstheme="majorHAnsi"/>
          <w:szCs w:val="24"/>
          <w:lang w:eastAsia="en-US"/>
        </w:rPr>
      </w:pPr>
    </w:p>
    <w:p w14:paraId="4E2DF1BB"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 xml:space="preserve">SANTOS, Luís Otavio. </w:t>
      </w:r>
      <w:r w:rsidRPr="00B07116">
        <w:rPr>
          <w:rFonts w:eastAsia="Calibri" w:cstheme="majorHAnsi"/>
          <w:bCs/>
          <w:i/>
          <w:iCs/>
          <w:szCs w:val="24"/>
          <w:lang w:eastAsia="en-US"/>
        </w:rPr>
        <w:t>A chave do artesão – um olhar sobre o paradoxo da relação mestre/aprendiz e o ensino metodizado do violino barroco</w:t>
      </w:r>
      <w:r>
        <w:rPr>
          <w:rFonts w:eastAsia="Calibri" w:cstheme="majorHAnsi"/>
          <w:szCs w:val="24"/>
          <w:lang w:eastAsia="en-US"/>
        </w:rPr>
        <w:t xml:space="preserve">. Tese (Doutorado em Música) – Universidade Estadual de Campinas, São Paulo, 2011. </w:t>
      </w:r>
    </w:p>
    <w:p w14:paraId="539F5FCF" w14:textId="77777777" w:rsidR="001F49FD" w:rsidRDefault="001F49FD" w:rsidP="004133A6">
      <w:pPr>
        <w:spacing w:line="240" w:lineRule="auto"/>
        <w:ind w:firstLine="0"/>
        <w:rPr>
          <w:rFonts w:asciiTheme="majorHAnsi" w:eastAsia="Calibri" w:hAnsiTheme="majorHAnsi" w:cstheme="majorHAnsi"/>
          <w:szCs w:val="24"/>
          <w:lang w:eastAsia="en-US"/>
        </w:rPr>
      </w:pPr>
    </w:p>
    <w:p w14:paraId="242B6FFA"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SAINT-ARROMAN, Jean. </w:t>
      </w:r>
      <w:r w:rsidRPr="00B07116">
        <w:rPr>
          <w:rFonts w:eastAsia="Calibri" w:cstheme="majorHAnsi"/>
          <w:bCs/>
          <w:i/>
          <w:iCs/>
          <w:szCs w:val="24"/>
          <w:lang w:val="fr-FR" w:eastAsia="en-US"/>
        </w:rPr>
        <w:t>Méthodes &amp; Traités.</w:t>
      </w:r>
      <w:r>
        <w:rPr>
          <w:rFonts w:eastAsia="Calibri" w:cstheme="majorHAnsi"/>
          <w:szCs w:val="24"/>
          <w:lang w:val="fr-FR" w:eastAsia="en-US"/>
        </w:rPr>
        <w:t xml:space="preserve"> </w:t>
      </w:r>
      <w:r>
        <w:rPr>
          <w:rFonts w:eastAsia="Calibri" w:cstheme="majorHAnsi"/>
          <w:szCs w:val="24"/>
          <w:lang w:eastAsia="en-US"/>
        </w:rPr>
        <w:t xml:space="preserve">Editado por Jean-Marc </w:t>
      </w:r>
      <w:proofErr w:type="spellStart"/>
      <w:r>
        <w:rPr>
          <w:rFonts w:eastAsia="Calibri" w:cstheme="majorHAnsi"/>
          <w:szCs w:val="24"/>
          <w:lang w:eastAsia="en-US"/>
        </w:rPr>
        <w:t>Fuzeau</w:t>
      </w:r>
      <w:proofErr w:type="spellEnd"/>
      <w:r>
        <w:rPr>
          <w:rFonts w:eastAsia="Calibri" w:cstheme="majorHAnsi"/>
          <w:szCs w:val="24"/>
          <w:lang w:eastAsia="en-US"/>
        </w:rPr>
        <w:t xml:space="preserve">. </w:t>
      </w:r>
      <w:proofErr w:type="spellStart"/>
      <w:r>
        <w:rPr>
          <w:rFonts w:eastAsia="Calibri" w:cstheme="majorHAnsi"/>
          <w:szCs w:val="24"/>
          <w:lang w:val="en-GB" w:eastAsia="en-US"/>
        </w:rPr>
        <w:t>Courlay</w:t>
      </w:r>
      <w:proofErr w:type="spellEnd"/>
      <w:r>
        <w:rPr>
          <w:rFonts w:eastAsia="Calibri" w:cstheme="majorHAnsi"/>
          <w:szCs w:val="24"/>
          <w:lang w:val="en-GB" w:eastAsia="en-US"/>
        </w:rPr>
        <w:t>: Editions J.M. Fuzeau, 2001.</w:t>
      </w:r>
    </w:p>
    <w:p w14:paraId="31739340"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39E4D864" w14:textId="77777777" w:rsidR="001F49FD" w:rsidRDefault="00611419" w:rsidP="004133A6">
      <w:pPr>
        <w:spacing w:line="240" w:lineRule="auto"/>
        <w:ind w:firstLine="0"/>
        <w:rPr>
          <w:rFonts w:asciiTheme="majorHAnsi" w:eastAsia="Calibri" w:hAnsiTheme="majorHAnsi" w:cstheme="majorHAnsi"/>
          <w:b/>
          <w:szCs w:val="24"/>
          <w:lang w:val="en-GB" w:eastAsia="en-US"/>
        </w:rPr>
      </w:pPr>
      <w:r>
        <w:rPr>
          <w:rFonts w:eastAsia="Calibri" w:cstheme="majorHAnsi"/>
          <w:szCs w:val="24"/>
          <w:lang w:val="en-GB" w:eastAsia="en-US"/>
        </w:rPr>
        <w:t>SCHROEDER, Carl.</w:t>
      </w:r>
      <w:r>
        <w:rPr>
          <w:rFonts w:eastAsia="Calibri" w:cstheme="majorHAnsi"/>
          <w:b/>
          <w:szCs w:val="24"/>
          <w:lang w:val="en-GB" w:eastAsia="en-US"/>
        </w:rPr>
        <w:t xml:space="preserve"> </w:t>
      </w:r>
      <w:r w:rsidRPr="00B07116">
        <w:rPr>
          <w:rFonts w:eastAsia="Calibri" w:cstheme="majorHAnsi"/>
          <w:bCs/>
          <w:i/>
          <w:iCs/>
          <w:szCs w:val="24"/>
          <w:lang w:val="en-GB" w:eastAsia="en-US"/>
        </w:rPr>
        <w:t>Handbook of violin playing</w:t>
      </w:r>
      <w:r>
        <w:rPr>
          <w:rFonts w:eastAsia="Calibri" w:cstheme="majorHAnsi"/>
          <w:szCs w:val="24"/>
          <w:lang w:val="en-GB" w:eastAsia="en-US"/>
        </w:rPr>
        <w:t xml:space="preserve">. London: </w:t>
      </w:r>
      <w:proofErr w:type="spellStart"/>
      <w:r>
        <w:rPr>
          <w:rFonts w:eastAsia="Calibri" w:cstheme="majorHAnsi"/>
          <w:szCs w:val="24"/>
          <w:lang w:val="en-GB" w:eastAsia="en-US"/>
        </w:rPr>
        <w:t>Augener</w:t>
      </w:r>
      <w:proofErr w:type="spellEnd"/>
      <w:r>
        <w:rPr>
          <w:rFonts w:eastAsia="Calibri" w:cstheme="majorHAnsi"/>
          <w:szCs w:val="24"/>
          <w:lang w:val="en-GB" w:eastAsia="en-US"/>
        </w:rPr>
        <w:t>, 1903.</w:t>
      </w:r>
      <w:r>
        <w:rPr>
          <w:rFonts w:eastAsia="Calibri" w:cstheme="majorHAnsi"/>
          <w:b/>
          <w:szCs w:val="24"/>
          <w:lang w:val="en-GB" w:eastAsia="en-US"/>
        </w:rPr>
        <w:t xml:space="preserve"> </w:t>
      </w:r>
    </w:p>
    <w:p w14:paraId="1B4E3B83"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234DD97F"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SCHUENEMAN, Bruce R. </w:t>
      </w:r>
      <w:r w:rsidRPr="00B07116">
        <w:rPr>
          <w:rFonts w:eastAsia="Calibri" w:cstheme="majorHAnsi"/>
          <w:bCs/>
          <w:i/>
          <w:iCs/>
          <w:szCs w:val="24"/>
          <w:lang w:val="en-GB" w:eastAsia="en-US"/>
        </w:rPr>
        <w:t xml:space="preserve">The French violin school: Viotti, Rode, Kreutzer, Baillot and their contemporaries. </w:t>
      </w:r>
      <w:r>
        <w:rPr>
          <w:rFonts w:eastAsia="Calibri" w:cstheme="majorHAnsi"/>
          <w:szCs w:val="24"/>
          <w:lang w:val="en-GB" w:eastAsia="en-US"/>
        </w:rPr>
        <w:t>Texas: The Lyre of Orpheus Press, 2005.</w:t>
      </w:r>
    </w:p>
    <w:p w14:paraId="7C9DACDB"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47FD57F3" w14:textId="77777777" w:rsidR="001F49FD" w:rsidRDefault="00611419" w:rsidP="004133A6">
      <w:pPr>
        <w:spacing w:line="240" w:lineRule="auto"/>
        <w:ind w:firstLine="0"/>
        <w:rPr>
          <w:rFonts w:asciiTheme="majorHAnsi" w:hAnsiTheme="majorHAnsi" w:cstheme="majorHAnsi"/>
          <w:szCs w:val="24"/>
        </w:rPr>
      </w:pPr>
      <w:r>
        <w:rPr>
          <w:rFonts w:eastAsia="Calibri" w:cstheme="majorHAnsi"/>
          <w:szCs w:val="24"/>
          <w:lang w:val="en-GB" w:eastAsia="en-US"/>
        </w:rPr>
        <w:t xml:space="preserve">SEEGMILLER, </w:t>
      </w:r>
      <w:r>
        <w:rPr>
          <w:rFonts w:cstheme="majorHAnsi"/>
          <w:szCs w:val="24"/>
          <w:lang w:val="en-US"/>
        </w:rPr>
        <w:t xml:space="preserve">Brynn. </w:t>
      </w:r>
      <w:r w:rsidRPr="00B07116">
        <w:rPr>
          <w:rFonts w:cstheme="majorHAnsi"/>
          <w:bCs/>
          <w:i/>
          <w:iCs/>
          <w:szCs w:val="24"/>
          <w:lang w:val="en-US"/>
        </w:rPr>
        <w:t>Tone production, violin positioning, and practice techniques to Carl Flesch (1873–1944) and Ivan Galamian (1903–1981).</w:t>
      </w:r>
      <w:r>
        <w:rPr>
          <w:rFonts w:cstheme="majorHAnsi"/>
          <w:i/>
          <w:szCs w:val="24"/>
          <w:lang w:val="en-US"/>
        </w:rPr>
        <w:t xml:space="preserve"> </w:t>
      </w:r>
      <w:r>
        <w:rPr>
          <w:rFonts w:cstheme="majorHAnsi"/>
          <w:szCs w:val="24"/>
        </w:rPr>
        <w:t xml:space="preserve">Dissertação (Mestrado em Música) – Utah </w:t>
      </w:r>
      <w:proofErr w:type="spellStart"/>
      <w:r>
        <w:rPr>
          <w:rFonts w:cstheme="majorHAnsi"/>
          <w:szCs w:val="24"/>
        </w:rPr>
        <w:t>State</w:t>
      </w:r>
      <w:proofErr w:type="spellEnd"/>
      <w:r>
        <w:rPr>
          <w:rFonts w:cstheme="majorHAnsi"/>
          <w:szCs w:val="24"/>
        </w:rPr>
        <w:t xml:space="preserve"> </w:t>
      </w:r>
      <w:proofErr w:type="spellStart"/>
      <w:r>
        <w:rPr>
          <w:rFonts w:cstheme="majorHAnsi"/>
          <w:szCs w:val="24"/>
        </w:rPr>
        <w:t>University</w:t>
      </w:r>
      <w:proofErr w:type="spellEnd"/>
      <w:r>
        <w:rPr>
          <w:rFonts w:cstheme="majorHAnsi"/>
          <w:szCs w:val="24"/>
        </w:rPr>
        <w:t>, Utah, 2014.</w:t>
      </w:r>
    </w:p>
    <w:p w14:paraId="5D23F1FF" w14:textId="77777777" w:rsidR="001F49FD" w:rsidRDefault="001F49FD" w:rsidP="004133A6">
      <w:pPr>
        <w:spacing w:line="240" w:lineRule="auto"/>
        <w:ind w:firstLine="0"/>
        <w:rPr>
          <w:rFonts w:asciiTheme="majorHAnsi" w:eastAsia="Calibri" w:hAnsiTheme="majorHAnsi" w:cstheme="majorHAnsi"/>
          <w:szCs w:val="24"/>
          <w:lang w:eastAsia="en-US"/>
        </w:rPr>
      </w:pPr>
    </w:p>
    <w:p w14:paraId="4707B2FB" w14:textId="338073D9"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STOWELL, Robin. </w:t>
      </w:r>
      <w:r w:rsidRPr="00B07116">
        <w:rPr>
          <w:rFonts w:eastAsia="Calibri" w:cstheme="majorHAnsi"/>
          <w:bCs/>
          <w:i/>
          <w:iCs/>
          <w:szCs w:val="24"/>
          <w:lang w:val="en-US" w:eastAsia="en-US"/>
        </w:rPr>
        <w:t>The Cambridge companion to the violin</w:t>
      </w:r>
      <w:r>
        <w:rPr>
          <w:rFonts w:eastAsia="Calibri" w:cstheme="majorHAnsi"/>
          <w:i/>
          <w:szCs w:val="24"/>
          <w:lang w:val="en-US" w:eastAsia="en-US"/>
        </w:rPr>
        <w:t xml:space="preserve">. </w:t>
      </w:r>
      <w:r>
        <w:rPr>
          <w:rFonts w:eastAsia="Calibri" w:cstheme="majorHAnsi"/>
          <w:szCs w:val="24"/>
          <w:lang w:val="en-GB" w:eastAsia="en-US"/>
        </w:rPr>
        <w:t>New York: Cambridge University, 1992.</w:t>
      </w:r>
    </w:p>
    <w:p w14:paraId="0D6A1DE1"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3B08FA49"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_______________. “Violin bowing in transition: a survey of technique as related in instruction books c.1790-c.1830”, </w:t>
      </w:r>
      <w:r w:rsidRPr="00B07116">
        <w:rPr>
          <w:rFonts w:eastAsia="Calibri" w:cstheme="majorHAnsi"/>
          <w:bCs/>
          <w:i/>
          <w:iCs/>
          <w:szCs w:val="24"/>
          <w:lang w:val="en-GB" w:eastAsia="en-US"/>
        </w:rPr>
        <w:t>Early music</w:t>
      </w:r>
      <w:r>
        <w:rPr>
          <w:rFonts w:eastAsia="Calibri" w:cstheme="majorHAnsi"/>
          <w:szCs w:val="24"/>
          <w:lang w:val="en-GB" w:eastAsia="en-US"/>
        </w:rPr>
        <w:t xml:space="preserve"> v. 12, pp. 317-27, 1984.</w:t>
      </w:r>
    </w:p>
    <w:p w14:paraId="6276892D"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78796833" w14:textId="3708CC88"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______________</w:t>
      </w:r>
      <w:r w:rsidR="00B07116">
        <w:rPr>
          <w:rFonts w:eastAsia="Calibri" w:cstheme="majorHAnsi"/>
          <w:szCs w:val="24"/>
          <w:lang w:val="en-GB" w:eastAsia="en-US"/>
        </w:rPr>
        <w:t>_.</w:t>
      </w:r>
      <w:r w:rsidR="00B07116">
        <w:rPr>
          <w:rFonts w:eastAsia="Calibri" w:cstheme="majorHAnsi"/>
          <w:b/>
          <w:szCs w:val="24"/>
          <w:lang w:val="en-GB" w:eastAsia="en-US"/>
        </w:rPr>
        <w:t xml:space="preserve"> </w:t>
      </w:r>
      <w:r w:rsidR="00B07116" w:rsidRPr="00B07116">
        <w:rPr>
          <w:rFonts w:eastAsia="Calibri" w:cstheme="majorHAnsi"/>
          <w:bCs/>
          <w:i/>
          <w:iCs/>
          <w:szCs w:val="24"/>
          <w:lang w:val="en-GB" w:eastAsia="en-US"/>
        </w:rPr>
        <w:t>Violin</w:t>
      </w:r>
      <w:r w:rsidRPr="00B07116">
        <w:rPr>
          <w:rFonts w:eastAsia="Calibri" w:cstheme="majorHAnsi"/>
          <w:bCs/>
          <w:i/>
          <w:iCs/>
          <w:szCs w:val="24"/>
          <w:lang w:val="en-GB" w:eastAsia="en-US"/>
        </w:rPr>
        <w:t xml:space="preserve"> technique and performance practice in the late eighteenth and early nineteenth centuries</w:t>
      </w:r>
      <w:r>
        <w:rPr>
          <w:rFonts w:eastAsia="Calibri" w:cstheme="majorHAnsi"/>
          <w:szCs w:val="24"/>
          <w:lang w:val="en-GB" w:eastAsia="en-US"/>
        </w:rPr>
        <w:t>. New York: Cambridge University Press, 1985.</w:t>
      </w:r>
    </w:p>
    <w:p w14:paraId="649F5919"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5029F590"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_______________. </w:t>
      </w:r>
      <w:r w:rsidRPr="009E74D6">
        <w:rPr>
          <w:rFonts w:eastAsia="Calibri" w:cstheme="majorHAnsi"/>
          <w:bCs/>
          <w:i/>
          <w:iCs/>
          <w:szCs w:val="24"/>
          <w:lang w:val="en-GB" w:eastAsia="en-US"/>
        </w:rPr>
        <w:t>The early violin and viola: a practical guide.</w:t>
      </w:r>
      <w:r>
        <w:rPr>
          <w:rFonts w:eastAsia="Calibri" w:cstheme="majorHAnsi"/>
          <w:szCs w:val="24"/>
          <w:lang w:val="en-GB" w:eastAsia="en-US"/>
        </w:rPr>
        <w:t xml:space="preserve"> New York: Cambridge University Press, 2001.</w:t>
      </w:r>
    </w:p>
    <w:p w14:paraId="74BE7B36"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4A89C805"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val="en-GB" w:eastAsia="en-US"/>
        </w:rPr>
        <w:t xml:space="preserve">SWARTZ, Jonathan. </w:t>
      </w:r>
      <w:r w:rsidRPr="009E74D6">
        <w:rPr>
          <w:rFonts w:eastAsia="Calibri" w:cstheme="majorHAnsi"/>
          <w:bCs/>
          <w:i/>
          <w:iCs/>
          <w:szCs w:val="24"/>
          <w:lang w:val="en-GB" w:eastAsia="en-US"/>
        </w:rPr>
        <w:t xml:space="preserve">Perspectives of violin pedagogy: a study of the treatises of Francesco Geminiani, Pierre Baillot, and Ivan Galamian, and a working manual by Jonathan Swartz. </w:t>
      </w:r>
      <w:r>
        <w:rPr>
          <w:rFonts w:eastAsia="Calibri" w:cstheme="majorHAnsi"/>
          <w:szCs w:val="24"/>
          <w:lang w:eastAsia="en-US"/>
        </w:rPr>
        <w:t xml:space="preserve">Tese (Doutorado em Artes Musicais) – Rice </w:t>
      </w:r>
      <w:proofErr w:type="spellStart"/>
      <w:r>
        <w:rPr>
          <w:rFonts w:eastAsia="Calibri" w:cstheme="majorHAnsi"/>
          <w:szCs w:val="24"/>
          <w:lang w:eastAsia="en-US"/>
        </w:rPr>
        <w:t>University</w:t>
      </w:r>
      <w:proofErr w:type="spellEnd"/>
      <w:r>
        <w:rPr>
          <w:rFonts w:eastAsia="Calibri" w:cstheme="majorHAnsi"/>
          <w:szCs w:val="24"/>
          <w:lang w:eastAsia="en-US"/>
        </w:rPr>
        <w:t>, Houston, 2003.</w:t>
      </w:r>
    </w:p>
    <w:p w14:paraId="22CB35F8" w14:textId="77777777" w:rsidR="001F49FD" w:rsidRDefault="001F49FD" w:rsidP="004133A6">
      <w:pPr>
        <w:spacing w:line="240" w:lineRule="auto"/>
        <w:ind w:firstLine="0"/>
        <w:rPr>
          <w:rFonts w:asciiTheme="majorHAnsi" w:eastAsia="Calibri" w:hAnsiTheme="majorHAnsi" w:cstheme="majorHAnsi"/>
          <w:szCs w:val="24"/>
          <w:lang w:eastAsia="en-US"/>
        </w:rPr>
      </w:pPr>
    </w:p>
    <w:p w14:paraId="68E22FE0"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val="en-GB" w:eastAsia="en-US"/>
        </w:rPr>
        <w:t xml:space="preserve">SZENDE, Otto. </w:t>
      </w:r>
      <w:r w:rsidRPr="009E74D6">
        <w:rPr>
          <w:rFonts w:eastAsia="Calibri" w:cstheme="majorHAnsi"/>
          <w:bCs/>
          <w:i/>
          <w:iCs/>
          <w:szCs w:val="24"/>
          <w:lang w:val="en-GB" w:eastAsia="en-US"/>
        </w:rPr>
        <w:t>The physiology of violin playing</w:t>
      </w:r>
      <w:r>
        <w:rPr>
          <w:rFonts w:eastAsia="Calibri" w:cstheme="majorHAnsi"/>
          <w:szCs w:val="24"/>
          <w:lang w:val="en-GB" w:eastAsia="en-US"/>
        </w:rPr>
        <w:t xml:space="preserve">. </w:t>
      </w:r>
      <w:r>
        <w:rPr>
          <w:rFonts w:eastAsia="Calibri" w:cstheme="majorHAnsi"/>
          <w:szCs w:val="24"/>
          <w:lang w:eastAsia="en-US"/>
        </w:rPr>
        <w:t xml:space="preserve">London: </w:t>
      </w:r>
      <w:proofErr w:type="spellStart"/>
      <w:r>
        <w:rPr>
          <w:rFonts w:eastAsia="Calibri" w:cstheme="majorHAnsi"/>
          <w:szCs w:val="24"/>
          <w:lang w:eastAsia="en-US"/>
        </w:rPr>
        <w:t>Collet’s</w:t>
      </w:r>
      <w:proofErr w:type="spellEnd"/>
      <w:r>
        <w:rPr>
          <w:rFonts w:eastAsia="Calibri" w:cstheme="majorHAnsi"/>
          <w:szCs w:val="24"/>
          <w:lang w:eastAsia="en-US"/>
        </w:rPr>
        <w:t>, 1971.</w:t>
      </w:r>
    </w:p>
    <w:p w14:paraId="48539AD6" w14:textId="77777777" w:rsidR="001F49FD" w:rsidRDefault="001F49FD" w:rsidP="004133A6">
      <w:pPr>
        <w:spacing w:line="240" w:lineRule="auto"/>
        <w:ind w:firstLine="0"/>
        <w:rPr>
          <w:rFonts w:asciiTheme="majorHAnsi" w:eastAsia="Calibri" w:hAnsiTheme="majorHAnsi" w:cstheme="majorHAnsi"/>
          <w:szCs w:val="24"/>
          <w:lang w:eastAsia="en-US"/>
        </w:rPr>
      </w:pPr>
    </w:p>
    <w:p w14:paraId="4A67E440"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eastAsia="en-US"/>
        </w:rPr>
        <w:t>VENTURA FRESCA, Camila.</w:t>
      </w:r>
      <w:r>
        <w:rPr>
          <w:rFonts w:eastAsia="Calibri" w:cstheme="majorHAnsi"/>
          <w:b/>
          <w:szCs w:val="24"/>
          <w:lang w:eastAsia="en-US"/>
        </w:rPr>
        <w:t xml:space="preserve"> </w:t>
      </w:r>
      <w:r w:rsidRPr="009E74D6">
        <w:rPr>
          <w:rFonts w:eastAsia="Calibri" w:cstheme="majorHAnsi"/>
          <w:bCs/>
          <w:i/>
          <w:iCs/>
          <w:szCs w:val="24"/>
          <w:lang w:eastAsia="en-US"/>
        </w:rPr>
        <w:t xml:space="preserve">Luz e sombra: música na trajetória de Manoel Joaquim de Macedo (1845-1925). </w:t>
      </w:r>
      <w:r>
        <w:rPr>
          <w:rFonts w:eastAsia="Calibri" w:cstheme="majorHAnsi"/>
          <w:szCs w:val="24"/>
          <w:lang w:eastAsia="en-US"/>
        </w:rPr>
        <w:t>Tese (Doutorado em Música) – Escola de Comunicações e Artes da Universidade de São Paulo, São Paulo, 2014.</w:t>
      </w:r>
    </w:p>
    <w:p w14:paraId="0EAC434B" w14:textId="77777777" w:rsidR="001F49FD" w:rsidRDefault="001F49FD">
      <w:pPr>
        <w:spacing w:line="240" w:lineRule="auto"/>
        <w:ind w:firstLine="0"/>
        <w:jc w:val="left"/>
        <w:rPr>
          <w:rFonts w:asciiTheme="majorHAnsi" w:eastAsia="Calibri" w:hAnsiTheme="majorHAnsi" w:cstheme="majorHAnsi"/>
          <w:b/>
          <w:szCs w:val="24"/>
          <w:lang w:eastAsia="en-US"/>
        </w:rPr>
      </w:pPr>
    </w:p>
    <w:p w14:paraId="019E5823" w14:textId="77777777" w:rsidR="001F49FD" w:rsidRDefault="00611419" w:rsidP="004133A6">
      <w:pPr>
        <w:spacing w:line="240" w:lineRule="auto"/>
        <w:ind w:firstLine="0"/>
        <w:rPr>
          <w:rFonts w:asciiTheme="majorHAnsi" w:eastAsia="Calibri" w:hAnsiTheme="majorHAnsi" w:cstheme="majorHAnsi"/>
          <w:color w:val="111111"/>
          <w:szCs w:val="24"/>
          <w:lang w:eastAsia="en-US"/>
        </w:rPr>
      </w:pPr>
      <w:r>
        <w:rPr>
          <w:rFonts w:eastAsia="Calibri" w:cstheme="majorHAnsi"/>
          <w:szCs w:val="24"/>
          <w:lang w:eastAsia="en-US"/>
        </w:rPr>
        <w:lastRenderedPageBreak/>
        <w:t>VEZZÁ, Flora Maria Gomide</w:t>
      </w:r>
      <w:r>
        <w:rPr>
          <w:rFonts w:cstheme="majorHAnsi"/>
          <w:szCs w:val="24"/>
        </w:rPr>
        <w:t>.</w:t>
      </w:r>
      <w:r>
        <w:rPr>
          <w:rFonts w:eastAsia="Calibri" w:cstheme="majorHAnsi"/>
          <w:szCs w:val="24"/>
          <w:lang w:eastAsia="en-US"/>
        </w:rPr>
        <w:t xml:space="preserve"> </w:t>
      </w:r>
      <w:r w:rsidRPr="009E74D6">
        <w:rPr>
          <w:rStyle w:val="a-size-extra-large"/>
          <w:rFonts w:cstheme="majorHAnsi"/>
          <w:i/>
          <w:iCs/>
          <w:color w:val="111111"/>
          <w:szCs w:val="24"/>
        </w:rPr>
        <w:t xml:space="preserve">Afinar o movimento: Educação do corpo no ensino de instrumentos musicais. </w:t>
      </w:r>
      <w:r w:rsidRPr="009E74D6">
        <w:rPr>
          <w:rStyle w:val="a-size-extra-large"/>
          <w:rFonts w:cstheme="majorHAnsi"/>
          <w:color w:val="111111"/>
          <w:szCs w:val="24"/>
        </w:rPr>
        <w:t>São Paulo: SESI-SP Editora, 2017.</w:t>
      </w:r>
    </w:p>
    <w:p w14:paraId="32A7D98F" w14:textId="77777777" w:rsidR="001F49FD" w:rsidRDefault="001F49FD" w:rsidP="004133A6">
      <w:pPr>
        <w:spacing w:line="240" w:lineRule="auto"/>
        <w:ind w:firstLine="0"/>
        <w:rPr>
          <w:rFonts w:asciiTheme="majorHAnsi" w:eastAsia="Calibri" w:hAnsiTheme="majorHAnsi" w:cstheme="majorHAnsi"/>
          <w:szCs w:val="24"/>
          <w:lang w:eastAsia="en-US"/>
        </w:rPr>
      </w:pPr>
    </w:p>
    <w:p w14:paraId="6C52082F" w14:textId="77777777" w:rsidR="001F49FD" w:rsidRDefault="00611419" w:rsidP="004133A6">
      <w:pPr>
        <w:spacing w:line="240" w:lineRule="auto"/>
        <w:ind w:firstLine="0"/>
        <w:rPr>
          <w:rFonts w:asciiTheme="majorHAnsi" w:eastAsia="Calibri" w:hAnsiTheme="majorHAnsi" w:cstheme="majorHAnsi"/>
          <w:szCs w:val="24"/>
          <w:u w:val="single"/>
          <w:lang w:eastAsia="en-US"/>
        </w:rPr>
      </w:pPr>
      <w:r>
        <w:rPr>
          <w:rFonts w:eastAsia="Calibri" w:cstheme="majorHAnsi"/>
          <w:szCs w:val="24"/>
          <w:lang w:val="en-GB" w:eastAsia="en-US"/>
        </w:rPr>
        <w:t xml:space="preserve">VISSER, Esther. </w:t>
      </w:r>
      <w:r w:rsidRPr="009E74D6">
        <w:rPr>
          <w:rFonts w:eastAsia="Calibri" w:cstheme="majorHAnsi"/>
          <w:bCs/>
          <w:i/>
          <w:iCs/>
          <w:szCs w:val="24"/>
          <w:lang w:val="en-GB" w:eastAsia="en-US"/>
        </w:rPr>
        <w:t>Vibrato in the Romantic Era</w:t>
      </w:r>
      <w:r>
        <w:rPr>
          <w:rFonts w:eastAsia="Calibri" w:cstheme="majorHAnsi"/>
          <w:szCs w:val="24"/>
          <w:lang w:val="en-GB" w:eastAsia="en-US"/>
        </w:rPr>
        <w:t xml:space="preserve">. </w:t>
      </w:r>
      <w:r>
        <w:rPr>
          <w:rFonts w:eastAsia="Calibri" w:cstheme="majorHAnsi"/>
          <w:szCs w:val="24"/>
          <w:lang w:eastAsia="en-US"/>
        </w:rPr>
        <w:t xml:space="preserve">Disponível em </w:t>
      </w:r>
      <w:proofErr w:type="spellStart"/>
      <w:proofErr w:type="gramStart"/>
      <w:r>
        <w:rPr>
          <w:rFonts w:eastAsia="Calibri" w:cstheme="majorHAnsi"/>
          <w:color w:val="0070C0"/>
          <w:szCs w:val="24"/>
          <w:u w:val="single"/>
          <w:lang w:eastAsia="en-US"/>
        </w:rPr>
        <w:t>htwww.esthervisser</w:t>
      </w:r>
      <w:proofErr w:type="gramEnd"/>
      <w:r>
        <w:rPr>
          <w:rFonts w:eastAsia="Calibri" w:cstheme="majorHAnsi"/>
          <w:color w:val="0070C0"/>
          <w:szCs w:val="24"/>
          <w:u w:val="single"/>
          <w:lang w:eastAsia="en-US"/>
        </w:rPr>
        <w:t>.comtps</w:t>
      </w:r>
      <w:proofErr w:type="spellEnd"/>
      <w:r>
        <w:rPr>
          <w:rFonts w:eastAsia="Calibri" w:cstheme="majorHAnsi"/>
          <w:szCs w:val="24"/>
          <w:u w:val="single"/>
          <w:lang w:eastAsia="en-US"/>
        </w:rPr>
        <w:t>.</w:t>
      </w:r>
      <w:r>
        <w:rPr>
          <w:rFonts w:eastAsia="Calibri" w:cstheme="majorHAnsi"/>
          <w:szCs w:val="24"/>
          <w:lang w:eastAsia="en-US"/>
        </w:rPr>
        <w:t xml:space="preserve"> Acesso em: 03/02/2019.</w:t>
      </w:r>
    </w:p>
    <w:p w14:paraId="2210D21F" w14:textId="77777777" w:rsidR="001F49FD" w:rsidRDefault="001F49FD" w:rsidP="004133A6">
      <w:pPr>
        <w:spacing w:line="240" w:lineRule="auto"/>
        <w:ind w:firstLine="0"/>
        <w:rPr>
          <w:rFonts w:asciiTheme="majorHAnsi" w:eastAsia="Calibri" w:hAnsiTheme="majorHAnsi" w:cstheme="majorHAnsi"/>
          <w:b/>
          <w:bCs/>
          <w:i/>
          <w:iCs/>
          <w:szCs w:val="24"/>
          <w:lang w:eastAsia="en-US"/>
        </w:rPr>
      </w:pPr>
    </w:p>
    <w:p w14:paraId="7A59C5CD" w14:textId="77777777" w:rsidR="001F49FD" w:rsidRDefault="001F49FD" w:rsidP="004133A6">
      <w:pPr>
        <w:spacing w:line="240" w:lineRule="auto"/>
        <w:ind w:firstLine="0"/>
        <w:rPr>
          <w:rFonts w:asciiTheme="majorHAnsi" w:eastAsia="Calibri" w:hAnsiTheme="majorHAnsi" w:cstheme="majorHAnsi"/>
          <w:b/>
          <w:szCs w:val="24"/>
          <w:lang w:eastAsia="en-US"/>
        </w:rPr>
      </w:pPr>
    </w:p>
    <w:p w14:paraId="610641CE" w14:textId="77777777" w:rsidR="001F49FD" w:rsidRDefault="00611419" w:rsidP="004133A6">
      <w:pPr>
        <w:spacing w:line="240" w:lineRule="auto"/>
        <w:ind w:firstLine="0"/>
        <w:rPr>
          <w:rFonts w:asciiTheme="majorHAnsi" w:eastAsia="Calibri" w:hAnsiTheme="majorHAnsi" w:cstheme="majorHAnsi"/>
          <w:b/>
          <w:szCs w:val="24"/>
          <w:lang w:val="fr-FR" w:eastAsia="en-US"/>
        </w:rPr>
      </w:pPr>
      <w:r>
        <w:rPr>
          <w:rFonts w:eastAsia="Calibri" w:cstheme="majorHAnsi"/>
          <w:b/>
          <w:szCs w:val="24"/>
          <w:lang w:val="fr-FR" w:eastAsia="en-US"/>
        </w:rPr>
        <w:t>Métodos de violino:</w:t>
      </w:r>
    </w:p>
    <w:p w14:paraId="48177140"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46606FED" w14:textId="77777777"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 xml:space="preserve">ABBÉ le FILS. </w:t>
      </w:r>
      <w:r w:rsidRPr="009E74D6">
        <w:rPr>
          <w:rFonts w:eastAsia="Calibri" w:cstheme="majorHAnsi"/>
          <w:bCs/>
          <w:i/>
          <w:iCs/>
          <w:szCs w:val="24"/>
          <w:lang w:val="fr-FR" w:eastAsia="en-US"/>
        </w:rPr>
        <w:t>Principes du violon pour apprendre le doigté de cet instrument et les différents agrémens dont il est susceptible</w:t>
      </w:r>
      <w:r>
        <w:rPr>
          <w:rFonts w:eastAsia="Calibri" w:cstheme="majorHAnsi"/>
          <w:szCs w:val="24"/>
          <w:lang w:val="fr-FR" w:eastAsia="en-US"/>
        </w:rPr>
        <w:t xml:space="preserve">. Paris: Des Lauriers, 1761. </w:t>
      </w:r>
    </w:p>
    <w:p w14:paraId="7CB2C277"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70DB5A98"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ALARD, Deplhin. </w:t>
      </w:r>
      <w:r w:rsidRPr="009E74D6">
        <w:rPr>
          <w:rFonts w:eastAsia="Calibri" w:cstheme="majorHAnsi"/>
          <w:bCs/>
          <w:i/>
          <w:iCs/>
          <w:szCs w:val="24"/>
          <w:lang w:val="fr-FR" w:eastAsia="en-US"/>
        </w:rPr>
        <w:t>École du violon – Méthode complète et progressivesive à l'usage du Conservatoire.</w:t>
      </w:r>
      <w:r>
        <w:rPr>
          <w:rFonts w:eastAsia="Calibri" w:cstheme="majorHAnsi"/>
          <w:szCs w:val="24"/>
          <w:lang w:val="fr-FR" w:eastAsia="en-US"/>
        </w:rPr>
        <w:t xml:space="preserve"> </w:t>
      </w:r>
      <w:r>
        <w:rPr>
          <w:rFonts w:eastAsia="Calibri" w:cstheme="majorHAnsi"/>
          <w:szCs w:val="24"/>
          <w:lang w:val="en-GB" w:eastAsia="en-US"/>
        </w:rPr>
        <w:t xml:space="preserve">Paris: </w:t>
      </w:r>
      <w:proofErr w:type="spellStart"/>
      <w:r>
        <w:rPr>
          <w:rFonts w:eastAsia="Calibri" w:cstheme="majorHAnsi"/>
          <w:szCs w:val="24"/>
          <w:lang w:val="en-GB" w:eastAsia="en-US"/>
        </w:rPr>
        <w:t>Schonenberger</w:t>
      </w:r>
      <w:proofErr w:type="spellEnd"/>
      <w:r>
        <w:rPr>
          <w:rFonts w:eastAsia="Calibri" w:cstheme="majorHAnsi"/>
          <w:szCs w:val="24"/>
          <w:lang w:val="en-GB" w:eastAsia="en-US"/>
        </w:rPr>
        <w:t>-Mayence B. Schott, 1844.</w:t>
      </w:r>
    </w:p>
    <w:p w14:paraId="2A2F73BA"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79777FCF" w14:textId="77777777"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val="en-US" w:eastAsia="en-US"/>
        </w:rPr>
        <w:t xml:space="preserve">AUER, Leopold; SAENGER, Gustav. </w:t>
      </w:r>
      <w:r w:rsidRPr="009E74D6">
        <w:rPr>
          <w:rFonts w:eastAsia="Calibri" w:cstheme="majorHAnsi"/>
          <w:bCs/>
          <w:i/>
          <w:iCs/>
          <w:szCs w:val="24"/>
          <w:lang w:val="en-US" w:eastAsia="en-US"/>
        </w:rPr>
        <w:t>Graded course of violin playing.</w:t>
      </w:r>
      <w:r>
        <w:rPr>
          <w:rFonts w:eastAsia="Calibri" w:cstheme="majorHAnsi"/>
          <w:szCs w:val="24"/>
          <w:lang w:val="en-US" w:eastAsia="en-US"/>
        </w:rPr>
        <w:t xml:space="preserve"> </w:t>
      </w:r>
      <w:r>
        <w:rPr>
          <w:rFonts w:eastAsia="Calibri" w:cstheme="majorHAnsi"/>
          <w:szCs w:val="24"/>
          <w:lang w:val="fr-FR" w:eastAsia="en-US"/>
        </w:rPr>
        <w:t>New York: Carl Fisher, 1926.</w:t>
      </w:r>
    </w:p>
    <w:p w14:paraId="786F0ED9" w14:textId="77777777" w:rsidR="001F49FD" w:rsidRDefault="001F49FD" w:rsidP="004133A6">
      <w:pPr>
        <w:spacing w:line="240" w:lineRule="auto"/>
        <w:ind w:firstLine="0"/>
        <w:rPr>
          <w:rFonts w:asciiTheme="majorHAnsi" w:eastAsia="Calibri" w:hAnsiTheme="majorHAnsi" w:cstheme="majorHAnsi"/>
          <w:b/>
          <w:szCs w:val="24"/>
          <w:lang w:val="fr-FR" w:eastAsia="en-US"/>
        </w:rPr>
      </w:pPr>
    </w:p>
    <w:p w14:paraId="57999557" w14:textId="4BEF5C35" w:rsidR="001F49FD" w:rsidRDefault="004F43E7"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BAILLOT</w:t>
      </w:r>
      <w:r w:rsidR="00611419">
        <w:rPr>
          <w:rFonts w:eastAsia="Calibri" w:cstheme="majorHAnsi"/>
          <w:szCs w:val="24"/>
          <w:lang w:val="fr-FR" w:eastAsia="en-US"/>
        </w:rPr>
        <w:t xml:space="preserve">, Pierre. </w:t>
      </w:r>
      <w:r w:rsidR="00611419" w:rsidRPr="009E74D6">
        <w:rPr>
          <w:rFonts w:eastAsia="Calibri" w:cstheme="majorHAnsi"/>
          <w:bCs/>
          <w:i/>
          <w:iCs/>
          <w:szCs w:val="24"/>
          <w:lang w:val="fr-FR" w:eastAsia="en-US"/>
        </w:rPr>
        <w:t>L’Art du Violon</w:t>
      </w:r>
      <w:r w:rsidR="00611419">
        <w:rPr>
          <w:rFonts w:eastAsia="Calibri" w:cstheme="majorHAnsi"/>
          <w:i/>
          <w:szCs w:val="24"/>
          <w:lang w:val="fr-FR" w:eastAsia="en-US"/>
        </w:rPr>
        <w:t xml:space="preserve">. </w:t>
      </w:r>
      <w:r w:rsidR="00611419">
        <w:rPr>
          <w:rFonts w:eastAsia="Calibri" w:cstheme="majorHAnsi"/>
          <w:szCs w:val="24"/>
          <w:lang w:val="fr-FR" w:eastAsia="en-US"/>
        </w:rPr>
        <w:t xml:space="preserve">Paris: Depôt Central de Musique, 1835. </w:t>
      </w:r>
    </w:p>
    <w:p w14:paraId="3A0303D9"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20B75C1F"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u w:val="single"/>
          <w:lang w:val="fr-FR" w:eastAsia="en-US"/>
        </w:rPr>
        <w:t xml:space="preserve">                            </w:t>
      </w:r>
      <w:r>
        <w:rPr>
          <w:rFonts w:eastAsia="Calibri" w:cstheme="majorHAnsi"/>
          <w:szCs w:val="24"/>
          <w:lang w:val="en-GB" w:eastAsia="en-US"/>
        </w:rPr>
        <w:t xml:space="preserve">. </w:t>
      </w:r>
      <w:r w:rsidRPr="009E74D6">
        <w:rPr>
          <w:rFonts w:eastAsia="Calibri" w:cstheme="majorHAnsi"/>
          <w:bCs/>
          <w:i/>
          <w:iCs/>
          <w:szCs w:val="24"/>
          <w:lang w:val="en-US" w:eastAsia="en-US"/>
        </w:rPr>
        <w:t>The Art of violin</w:t>
      </w:r>
      <w:r>
        <w:rPr>
          <w:rFonts w:eastAsia="Calibri" w:cstheme="majorHAnsi"/>
          <w:i/>
          <w:szCs w:val="24"/>
          <w:lang w:val="en-US" w:eastAsia="en-US"/>
        </w:rPr>
        <w:t xml:space="preserve">. </w:t>
      </w:r>
      <w:proofErr w:type="spellStart"/>
      <w:r>
        <w:rPr>
          <w:rFonts w:eastAsia="Calibri" w:cstheme="majorHAnsi"/>
          <w:szCs w:val="24"/>
          <w:lang w:val="en-GB" w:eastAsia="en-US"/>
        </w:rPr>
        <w:t>Tradução</w:t>
      </w:r>
      <w:proofErr w:type="spellEnd"/>
      <w:r>
        <w:rPr>
          <w:rFonts w:eastAsia="Calibri" w:cstheme="majorHAnsi"/>
          <w:szCs w:val="24"/>
          <w:lang w:val="en-GB" w:eastAsia="en-US"/>
        </w:rPr>
        <w:t xml:space="preserve"> de Louise Goldberg. </w:t>
      </w:r>
      <w:r>
        <w:rPr>
          <w:rFonts w:eastAsia="Calibri" w:cstheme="majorHAnsi"/>
          <w:szCs w:val="24"/>
          <w:lang w:val="en-US" w:eastAsia="en-US"/>
        </w:rPr>
        <w:t>Evanston: Northwest University Press, 1991.</w:t>
      </w:r>
    </w:p>
    <w:p w14:paraId="3555E542"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3B48E035" w14:textId="77777777"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val="en-GB" w:eastAsia="en-US"/>
        </w:rPr>
        <w:t xml:space="preserve">BANG, Maia. </w:t>
      </w:r>
      <w:r w:rsidRPr="009E74D6">
        <w:rPr>
          <w:rFonts w:eastAsia="Calibri" w:cstheme="majorHAnsi"/>
          <w:bCs/>
          <w:i/>
          <w:iCs/>
          <w:szCs w:val="24"/>
          <w:lang w:val="en-GB" w:eastAsia="en-US"/>
        </w:rPr>
        <w:t>Maia Bang violin method.</w:t>
      </w:r>
      <w:r>
        <w:rPr>
          <w:rFonts w:eastAsia="Calibri" w:cstheme="majorHAnsi"/>
          <w:szCs w:val="24"/>
          <w:lang w:val="en-GB" w:eastAsia="en-US"/>
        </w:rPr>
        <w:t xml:space="preserve"> </w:t>
      </w:r>
      <w:r>
        <w:rPr>
          <w:rFonts w:eastAsia="Calibri" w:cstheme="majorHAnsi"/>
          <w:szCs w:val="24"/>
          <w:lang w:val="fr-FR" w:eastAsia="en-US"/>
        </w:rPr>
        <w:t>New York, Dover Publications, 1919.</w:t>
      </w:r>
    </w:p>
    <w:p w14:paraId="75CE12D0"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7DB4B34A"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val="fr-FR" w:eastAsia="en-US"/>
        </w:rPr>
        <w:t xml:space="preserve">BÉRIOT, Charles de. </w:t>
      </w:r>
      <w:r w:rsidRPr="009E74D6">
        <w:rPr>
          <w:rFonts w:eastAsia="Calibri" w:cstheme="majorHAnsi"/>
          <w:bCs/>
          <w:i/>
          <w:iCs/>
          <w:szCs w:val="24"/>
          <w:lang w:val="fr-FR" w:eastAsia="en-US"/>
        </w:rPr>
        <w:t>Méthode de violon.</w:t>
      </w:r>
      <w:r>
        <w:rPr>
          <w:rFonts w:eastAsia="Calibri" w:cstheme="majorHAnsi"/>
          <w:szCs w:val="24"/>
          <w:lang w:val="fr-FR" w:eastAsia="en-US"/>
        </w:rPr>
        <w:t xml:space="preserve"> </w:t>
      </w:r>
      <w:r>
        <w:rPr>
          <w:rFonts w:eastAsia="Calibri" w:cstheme="majorHAnsi"/>
          <w:szCs w:val="24"/>
          <w:lang w:eastAsia="en-US"/>
        </w:rPr>
        <w:t>Paris: [o autor], 1870.</w:t>
      </w:r>
    </w:p>
    <w:p w14:paraId="184F164C" w14:textId="77777777" w:rsidR="001F49FD" w:rsidRDefault="001F49FD" w:rsidP="004133A6">
      <w:pPr>
        <w:spacing w:line="240" w:lineRule="auto"/>
        <w:ind w:firstLine="0"/>
        <w:rPr>
          <w:rFonts w:asciiTheme="majorHAnsi" w:eastAsia="Calibri" w:hAnsiTheme="majorHAnsi" w:cstheme="majorHAnsi"/>
          <w:szCs w:val="24"/>
          <w:lang w:eastAsia="en-US"/>
        </w:rPr>
      </w:pPr>
    </w:p>
    <w:p w14:paraId="2D171131" w14:textId="77777777"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eastAsia="en-US"/>
        </w:rPr>
        <w:t xml:space="preserve">CAPET, Lucien. </w:t>
      </w:r>
      <w:r w:rsidRPr="009E74D6">
        <w:rPr>
          <w:rFonts w:eastAsia="Calibri" w:cstheme="majorHAnsi"/>
          <w:bCs/>
          <w:i/>
          <w:iCs/>
          <w:szCs w:val="24"/>
          <w:lang w:val="fr-FR" w:eastAsia="en-US"/>
        </w:rPr>
        <w:t>La technique supérieure de l’archet</w:t>
      </w:r>
      <w:r>
        <w:rPr>
          <w:rFonts w:eastAsia="Calibri" w:cstheme="majorHAnsi"/>
          <w:szCs w:val="24"/>
          <w:lang w:val="fr-FR" w:eastAsia="en-US"/>
        </w:rPr>
        <w:t xml:space="preserve">. Paris: Maurice Senart, 1916. </w:t>
      </w:r>
    </w:p>
    <w:p w14:paraId="68FB4563"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0AA1D6D6"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DAVID, Ferdinand. </w:t>
      </w:r>
      <w:proofErr w:type="spellStart"/>
      <w:r w:rsidRPr="009E74D6">
        <w:rPr>
          <w:rFonts w:eastAsia="Calibri" w:cstheme="majorHAnsi"/>
          <w:bCs/>
          <w:i/>
          <w:iCs/>
          <w:szCs w:val="24"/>
          <w:lang w:val="en-GB" w:eastAsia="en-US"/>
        </w:rPr>
        <w:t>Violinschule</w:t>
      </w:r>
      <w:proofErr w:type="spellEnd"/>
      <w:r w:rsidRPr="009E74D6">
        <w:rPr>
          <w:rFonts w:eastAsia="Calibri" w:cstheme="majorHAnsi"/>
          <w:bCs/>
          <w:i/>
          <w:iCs/>
          <w:szCs w:val="24"/>
          <w:lang w:val="en-GB" w:eastAsia="en-US"/>
        </w:rPr>
        <w:t>.</w:t>
      </w:r>
      <w:r>
        <w:rPr>
          <w:rFonts w:eastAsia="Calibri" w:cstheme="majorHAnsi"/>
          <w:szCs w:val="24"/>
          <w:lang w:val="en-GB" w:eastAsia="en-US"/>
        </w:rPr>
        <w:t xml:space="preserve"> Boston: Oliver Ditson, 1880.</w:t>
      </w:r>
    </w:p>
    <w:p w14:paraId="7DBB8A7C" w14:textId="77777777" w:rsidR="001F49FD" w:rsidRPr="009E74D6" w:rsidRDefault="001F49FD" w:rsidP="004133A6">
      <w:pPr>
        <w:spacing w:line="240" w:lineRule="auto"/>
        <w:ind w:firstLine="0"/>
        <w:rPr>
          <w:rFonts w:asciiTheme="majorHAnsi" w:eastAsia="Calibri" w:hAnsiTheme="majorHAnsi" w:cstheme="majorHAnsi"/>
          <w:b/>
          <w:bCs/>
          <w:i/>
          <w:iCs/>
          <w:szCs w:val="24"/>
          <w:lang w:val="en-GB" w:eastAsia="en-US"/>
        </w:rPr>
      </w:pPr>
    </w:p>
    <w:p w14:paraId="1EBCA079"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FISCHER, Simon. </w:t>
      </w:r>
      <w:r w:rsidRPr="009E74D6">
        <w:rPr>
          <w:rFonts w:eastAsia="Calibri" w:cstheme="majorHAnsi"/>
          <w:bCs/>
          <w:i/>
          <w:iCs/>
          <w:szCs w:val="24"/>
          <w:lang w:val="en-GB" w:eastAsia="en-US"/>
        </w:rPr>
        <w:t>Basics</w:t>
      </w:r>
      <w:r>
        <w:rPr>
          <w:rFonts w:eastAsia="Calibri" w:cstheme="majorHAnsi"/>
          <w:szCs w:val="24"/>
          <w:lang w:val="en-GB" w:eastAsia="en-US"/>
        </w:rPr>
        <w:t>. London: Edition Peters, 1997.</w:t>
      </w:r>
    </w:p>
    <w:p w14:paraId="45650B50"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506FCF3B" w14:textId="562DDD82" w:rsidR="001F49FD" w:rsidRDefault="009E74D6"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_________</w:t>
      </w:r>
      <w:r>
        <w:rPr>
          <w:rFonts w:eastAsia="Calibri" w:cstheme="majorHAnsi"/>
          <w:szCs w:val="24"/>
          <w:u w:val="single"/>
          <w:lang w:val="en-GB" w:eastAsia="en-US"/>
        </w:rPr>
        <w:t xml:space="preserve"> </w:t>
      </w:r>
      <w:r>
        <w:rPr>
          <w:rFonts w:eastAsia="Calibri" w:cstheme="majorHAnsi"/>
          <w:szCs w:val="24"/>
          <w:lang w:val="en-GB" w:eastAsia="en-US"/>
        </w:rPr>
        <w:t xml:space="preserve">__. </w:t>
      </w:r>
      <w:r w:rsidR="00611419" w:rsidRPr="009E74D6">
        <w:rPr>
          <w:rFonts w:eastAsia="Calibri" w:cstheme="majorHAnsi"/>
          <w:b/>
          <w:bCs/>
          <w:i/>
          <w:iCs/>
          <w:szCs w:val="24"/>
          <w:lang w:val="en-US" w:eastAsia="en-US"/>
        </w:rPr>
        <w:t xml:space="preserve"> </w:t>
      </w:r>
      <w:r w:rsidR="00611419" w:rsidRPr="009E74D6">
        <w:rPr>
          <w:rFonts w:eastAsia="Calibri" w:cstheme="majorHAnsi"/>
          <w:i/>
          <w:iCs/>
          <w:szCs w:val="24"/>
          <w:lang w:val="en-GB" w:eastAsia="en-US"/>
        </w:rPr>
        <w:t>Practice</w:t>
      </w:r>
      <w:r w:rsidR="00611419">
        <w:rPr>
          <w:rFonts w:eastAsia="Calibri" w:cstheme="majorHAnsi"/>
          <w:szCs w:val="24"/>
          <w:lang w:val="en-GB" w:eastAsia="en-US"/>
        </w:rPr>
        <w:t>.</w:t>
      </w:r>
      <w:r w:rsidR="00611419">
        <w:rPr>
          <w:rFonts w:eastAsia="Calibri" w:cstheme="majorHAnsi"/>
          <w:b/>
          <w:szCs w:val="24"/>
          <w:lang w:val="en-GB" w:eastAsia="en-US"/>
        </w:rPr>
        <w:t xml:space="preserve"> </w:t>
      </w:r>
      <w:r w:rsidR="00611419">
        <w:rPr>
          <w:rFonts w:eastAsia="Calibri" w:cstheme="majorHAnsi"/>
          <w:szCs w:val="24"/>
          <w:lang w:val="en-GB" w:eastAsia="en-US"/>
        </w:rPr>
        <w:t>London: Edition Peters, 2004.</w:t>
      </w:r>
    </w:p>
    <w:p w14:paraId="6C6DFC19"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526D39FA"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eastAsia="en-US"/>
        </w:rPr>
        <w:t>FLESCH, Carl.</w:t>
      </w:r>
      <w:r>
        <w:rPr>
          <w:rFonts w:eastAsia="Calibri" w:cstheme="majorHAnsi"/>
          <w:b/>
          <w:szCs w:val="24"/>
          <w:lang w:eastAsia="en-US"/>
        </w:rPr>
        <w:t xml:space="preserve"> </w:t>
      </w:r>
      <w:r w:rsidRPr="009E74D6">
        <w:rPr>
          <w:rFonts w:eastAsia="Calibri" w:cstheme="majorHAnsi"/>
          <w:bCs/>
          <w:i/>
          <w:iCs/>
          <w:szCs w:val="24"/>
          <w:lang w:eastAsia="en-US"/>
        </w:rPr>
        <w:t xml:space="preserve">Das </w:t>
      </w:r>
      <w:proofErr w:type="spellStart"/>
      <w:r w:rsidRPr="009E74D6">
        <w:rPr>
          <w:rFonts w:eastAsia="Calibri" w:cstheme="majorHAnsi"/>
          <w:bCs/>
          <w:i/>
          <w:iCs/>
          <w:szCs w:val="24"/>
          <w:lang w:eastAsia="en-US"/>
        </w:rPr>
        <w:t>Skalensystem</w:t>
      </w:r>
      <w:proofErr w:type="spellEnd"/>
      <w:r w:rsidRPr="009E74D6">
        <w:rPr>
          <w:rFonts w:eastAsia="Calibri" w:cstheme="majorHAnsi"/>
          <w:bCs/>
          <w:i/>
          <w:iCs/>
          <w:szCs w:val="24"/>
          <w:lang w:eastAsia="en-US"/>
        </w:rPr>
        <w:t>.</w:t>
      </w:r>
      <w:r>
        <w:rPr>
          <w:rFonts w:eastAsia="Calibri" w:cstheme="majorHAnsi"/>
          <w:szCs w:val="24"/>
          <w:lang w:eastAsia="en-US"/>
        </w:rPr>
        <w:t xml:space="preserve"> Edição de Max </w:t>
      </w:r>
      <w:proofErr w:type="spellStart"/>
      <w:r>
        <w:rPr>
          <w:rFonts w:eastAsia="Calibri" w:cstheme="majorHAnsi"/>
          <w:szCs w:val="24"/>
          <w:lang w:eastAsia="en-US"/>
        </w:rPr>
        <w:t>Rostal</w:t>
      </w:r>
      <w:proofErr w:type="spellEnd"/>
      <w:r>
        <w:rPr>
          <w:rFonts w:eastAsia="Calibri" w:cstheme="majorHAnsi"/>
          <w:szCs w:val="24"/>
          <w:lang w:eastAsia="en-US"/>
        </w:rPr>
        <w:t xml:space="preserve">. </w:t>
      </w:r>
      <w:r>
        <w:rPr>
          <w:rFonts w:eastAsia="Calibri" w:cstheme="majorHAnsi"/>
          <w:szCs w:val="24"/>
          <w:lang w:val="en-GB" w:eastAsia="en-US"/>
        </w:rPr>
        <w:t>Berlin: Ries &amp; Erler, 1987.</w:t>
      </w:r>
    </w:p>
    <w:p w14:paraId="4355FF11" w14:textId="77777777" w:rsidR="001F49FD" w:rsidRDefault="001F49FD" w:rsidP="004133A6">
      <w:pPr>
        <w:spacing w:line="240" w:lineRule="auto"/>
        <w:ind w:firstLine="0"/>
        <w:rPr>
          <w:rFonts w:asciiTheme="majorHAnsi" w:eastAsia="Calibri" w:hAnsiTheme="majorHAnsi" w:cstheme="majorHAnsi"/>
          <w:szCs w:val="24"/>
          <w:lang w:val="en-GB" w:eastAsia="en-US"/>
        </w:rPr>
      </w:pPr>
    </w:p>
    <w:p w14:paraId="55270172"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_________</w:t>
      </w:r>
      <w:r>
        <w:rPr>
          <w:rFonts w:eastAsia="Calibri" w:cstheme="majorHAnsi"/>
          <w:szCs w:val="24"/>
          <w:u w:val="single"/>
          <w:lang w:val="en-GB" w:eastAsia="en-US"/>
        </w:rPr>
        <w:t xml:space="preserve"> </w:t>
      </w:r>
      <w:r>
        <w:rPr>
          <w:rFonts w:eastAsia="Calibri" w:cstheme="majorHAnsi"/>
          <w:szCs w:val="24"/>
          <w:lang w:val="en-GB" w:eastAsia="en-US"/>
        </w:rPr>
        <w:t>__</w:t>
      </w:r>
      <w:r w:rsidRPr="009E74D6">
        <w:rPr>
          <w:rFonts w:eastAsia="Calibri" w:cstheme="majorHAnsi"/>
          <w:i/>
          <w:iCs/>
          <w:szCs w:val="24"/>
          <w:lang w:val="en-GB" w:eastAsia="en-US"/>
        </w:rPr>
        <w:t>. The art of violin playing</w:t>
      </w:r>
      <w:r>
        <w:rPr>
          <w:rFonts w:eastAsia="Calibri" w:cstheme="majorHAnsi"/>
          <w:szCs w:val="24"/>
          <w:lang w:val="en-GB" w:eastAsia="en-US"/>
        </w:rPr>
        <w:t xml:space="preserve">. </w:t>
      </w:r>
      <w:proofErr w:type="spellStart"/>
      <w:r>
        <w:rPr>
          <w:rFonts w:eastAsia="Calibri" w:cstheme="majorHAnsi"/>
          <w:szCs w:val="24"/>
          <w:lang w:val="en-GB" w:eastAsia="en-US"/>
        </w:rPr>
        <w:t>Tradução</w:t>
      </w:r>
      <w:proofErr w:type="spellEnd"/>
      <w:r>
        <w:rPr>
          <w:rFonts w:eastAsia="Calibri" w:cstheme="majorHAnsi"/>
          <w:szCs w:val="24"/>
          <w:lang w:val="en-GB" w:eastAsia="en-US"/>
        </w:rPr>
        <w:t xml:space="preserve"> de Eric Rosenblith. New York: Carl Fischer, c2000-2008. 2v. </w:t>
      </w:r>
    </w:p>
    <w:p w14:paraId="546F5D30"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en-GB" w:eastAsia="en-US"/>
        </w:rPr>
        <w:t xml:space="preserve"> </w:t>
      </w:r>
    </w:p>
    <w:p w14:paraId="4F56CE0F" w14:textId="77777777"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lang w:val="en-GB" w:eastAsia="en-US"/>
        </w:rPr>
        <w:t xml:space="preserve">GALAMIAN, Ivan (1962). </w:t>
      </w:r>
      <w:r w:rsidRPr="009E74D6">
        <w:rPr>
          <w:rFonts w:eastAsia="Calibri" w:cstheme="majorHAnsi"/>
          <w:bCs/>
          <w:i/>
          <w:iCs/>
          <w:szCs w:val="24"/>
          <w:lang w:val="en-GB" w:eastAsia="en-US"/>
        </w:rPr>
        <w:t>Principles of violin playing and teaching.</w:t>
      </w:r>
      <w:r>
        <w:rPr>
          <w:rFonts w:eastAsia="Calibri" w:cstheme="majorHAnsi"/>
          <w:szCs w:val="24"/>
          <w:lang w:val="en-GB" w:eastAsia="en-US"/>
        </w:rPr>
        <w:t xml:space="preserve"> New York: Dover Publications, 2013.</w:t>
      </w:r>
    </w:p>
    <w:p w14:paraId="502BE433" w14:textId="77777777" w:rsidR="001F49FD" w:rsidRDefault="001F49FD" w:rsidP="004133A6">
      <w:pPr>
        <w:spacing w:line="240" w:lineRule="auto"/>
        <w:ind w:firstLine="0"/>
        <w:rPr>
          <w:rFonts w:asciiTheme="majorHAnsi" w:eastAsia="Calibri" w:hAnsiTheme="majorHAnsi" w:cstheme="majorHAnsi"/>
          <w:szCs w:val="24"/>
          <w:lang w:val="en-US" w:eastAsia="en-US"/>
        </w:rPr>
      </w:pPr>
    </w:p>
    <w:p w14:paraId="3EDE4EB2"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val="en-US" w:eastAsia="en-US"/>
        </w:rPr>
        <w:t xml:space="preserve">GEMINIANI, Francesco. </w:t>
      </w:r>
      <w:r w:rsidRPr="009E74D6">
        <w:rPr>
          <w:rFonts w:eastAsia="Calibri" w:cstheme="majorHAnsi"/>
          <w:bCs/>
          <w:i/>
          <w:iCs/>
          <w:szCs w:val="24"/>
          <w:lang w:val="en-US" w:eastAsia="en-US"/>
        </w:rPr>
        <w:t>The Art of playing the violin</w:t>
      </w:r>
      <w:r>
        <w:rPr>
          <w:rFonts w:eastAsia="Calibri" w:cstheme="majorHAnsi"/>
          <w:szCs w:val="24"/>
          <w:lang w:val="en-US" w:eastAsia="en-US"/>
        </w:rPr>
        <w:t>.</w:t>
      </w:r>
      <w:r>
        <w:rPr>
          <w:rFonts w:eastAsia="Calibri" w:cstheme="majorHAnsi"/>
          <w:b/>
          <w:szCs w:val="24"/>
          <w:lang w:val="en-US" w:eastAsia="en-US"/>
        </w:rPr>
        <w:t xml:space="preserve"> </w:t>
      </w:r>
      <w:r>
        <w:rPr>
          <w:rFonts w:eastAsia="Calibri" w:cstheme="majorHAnsi"/>
          <w:szCs w:val="24"/>
          <w:lang w:eastAsia="en-US"/>
        </w:rPr>
        <w:t xml:space="preserve">London: [o autor], 1751. </w:t>
      </w:r>
    </w:p>
    <w:p w14:paraId="717DD828" w14:textId="77777777" w:rsidR="001F49FD" w:rsidRDefault="001F49FD" w:rsidP="004133A6">
      <w:pPr>
        <w:spacing w:line="240" w:lineRule="auto"/>
        <w:ind w:firstLine="0"/>
        <w:rPr>
          <w:rFonts w:asciiTheme="majorHAnsi" w:eastAsia="Calibri" w:hAnsiTheme="majorHAnsi" w:cstheme="majorHAnsi"/>
          <w:szCs w:val="24"/>
          <w:lang w:eastAsia="en-US"/>
        </w:rPr>
      </w:pPr>
    </w:p>
    <w:p w14:paraId="03DA5A0A" w14:textId="77777777"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eastAsia="en-US"/>
        </w:rPr>
        <w:t xml:space="preserve">HABENECK, François-Antoine. </w:t>
      </w:r>
      <w:r w:rsidRPr="009E74D6">
        <w:rPr>
          <w:rFonts w:eastAsia="Calibri" w:cstheme="majorHAnsi"/>
          <w:bCs/>
          <w:i/>
          <w:iCs/>
          <w:szCs w:val="24"/>
          <w:lang w:val="fr-FR" w:eastAsia="en-US"/>
        </w:rPr>
        <w:t>Méthode théorique et pratique du violon</w:t>
      </w:r>
      <w:r>
        <w:rPr>
          <w:rFonts w:eastAsia="Calibri" w:cstheme="majorHAnsi"/>
          <w:i/>
          <w:szCs w:val="24"/>
          <w:lang w:val="fr-FR" w:eastAsia="en-US"/>
        </w:rPr>
        <w:t xml:space="preserve">. </w:t>
      </w:r>
      <w:r>
        <w:rPr>
          <w:rFonts w:eastAsia="Calibri" w:cstheme="majorHAnsi"/>
          <w:szCs w:val="24"/>
          <w:lang w:val="fr-FR" w:eastAsia="en-US"/>
        </w:rPr>
        <w:t>Paris: Canaux, 1842.</w:t>
      </w:r>
    </w:p>
    <w:p w14:paraId="6ABCED80" w14:textId="77777777" w:rsidR="001F49FD" w:rsidRDefault="001F49FD" w:rsidP="004133A6">
      <w:pPr>
        <w:spacing w:line="240" w:lineRule="auto"/>
        <w:ind w:firstLine="8789"/>
        <w:rPr>
          <w:rFonts w:asciiTheme="majorHAnsi" w:eastAsia="Calibri" w:hAnsiTheme="majorHAnsi" w:cstheme="majorHAnsi"/>
          <w:szCs w:val="24"/>
          <w:lang w:val="fr-FR" w:eastAsia="en-US"/>
        </w:rPr>
      </w:pPr>
    </w:p>
    <w:p w14:paraId="6CF0265B" w14:textId="3395748F" w:rsidR="001F49FD" w:rsidRDefault="00611419" w:rsidP="004133A6">
      <w:pPr>
        <w:spacing w:line="240" w:lineRule="auto"/>
        <w:ind w:firstLine="0"/>
        <w:rPr>
          <w:rFonts w:asciiTheme="majorHAnsi" w:eastAsia="Calibri" w:hAnsiTheme="majorHAnsi" w:cstheme="majorHAnsi"/>
          <w:szCs w:val="24"/>
          <w:lang w:val="fr-FR" w:eastAsia="en-US"/>
        </w:rPr>
      </w:pPr>
      <w:r>
        <w:rPr>
          <w:rFonts w:eastAsia="Calibri" w:cstheme="majorHAnsi"/>
          <w:szCs w:val="24"/>
          <w:lang w:val="fr-FR" w:eastAsia="en-US"/>
        </w:rPr>
        <w:t xml:space="preserve">KREUTZER, Rodolphe; </w:t>
      </w:r>
      <w:r w:rsidR="004F43E7">
        <w:rPr>
          <w:rFonts w:eastAsia="Calibri" w:cstheme="majorHAnsi"/>
          <w:szCs w:val="24"/>
          <w:lang w:val="fr-FR" w:eastAsia="en-US"/>
        </w:rPr>
        <w:t>Baillot</w:t>
      </w:r>
      <w:r>
        <w:rPr>
          <w:rFonts w:eastAsia="Calibri" w:cstheme="majorHAnsi"/>
          <w:szCs w:val="24"/>
          <w:lang w:val="fr-FR" w:eastAsia="en-US"/>
        </w:rPr>
        <w:t xml:space="preserve">, Pierre; RODE, Pierre; </w:t>
      </w:r>
      <w:r w:rsidRPr="009E74D6">
        <w:rPr>
          <w:rFonts w:eastAsia="Calibri" w:cstheme="majorHAnsi"/>
          <w:bCs/>
          <w:i/>
          <w:iCs/>
          <w:szCs w:val="24"/>
          <w:lang w:val="fr-FR" w:eastAsia="en-US"/>
        </w:rPr>
        <w:t>Méthode de violon</w:t>
      </w:r>
      <w:r>
        <w:rPr>
          <w:rFonts w:eastAsia="Calibri" w:cstheme="majorHAnsi"/>
          <w:i/>
          <w:szCs w:val="24"/>
          <w:lang w:val="fr-FR" w:eastAsia="en-US"/>
        </w:rPr>
        <w:t xml:space="preserve">. </w:t>
      </w:r>
      <w:r>
        <w:rPr>
          <w:rFonts w:eastAsia="Calibri" w:cstheme="majorHAnsi"/>
          <w:szCs w:val="24"/>
          <w:lang w:val="fr-FR" w:eastAsia="en-US"/>
        </w:rPr>
        <w:t xml:space="preserve">Paris: Imprimerie du Conservatoire, 1803. </w:t>
      </w:r>
    </w:p>
    <w:p w14:paraId="53FC6F9D"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1652ABEF" w14:textId="77777777" w:rsidR="001F49FD" w:rsidRDefault="00611419" w:rsidP="004133A6">
      <w:pPr>
        <w:spacing w:line="240" w:lineRule="auto"/>
        <w:ind w:firstLine="0"/>
        <w:rPr>
          <w:rFonts w:asciiTheme="majorHAnsi" w:eastAsia="Calibri" w:hAnsiTheme="majorHAnsi" w:cstheme="majorHAnsi"/>
          <w:szCs w:val="24"/>
          <w:lang w:val="en-GB" w:eastAsia="en-US"/>
        </w:rPr>
      </w:pPr>
      <w:r>
        <w:rPr>
          <w:rFonts w:eastAsia="Calibri" w:cstheme="majorHAnsi"/>
          <w:szCs w:val="24"/>
          <w:lang w:val="fr-FR" w:eastAsia="en-US"/>
        </w:rPr>
        <w:t xml:space="preserve">MAZAS, Jacques-Féreol. </w:t>
      </w:r>
      <w:r w:rsidRPr="009E74D6">
        <w:rPr>
          <w:rFonts w:eastAsia="Calibri" w:cstheme="majorHAnsi"/>
          <w:bCs/>
          <w:i/>
          <w:iCs/>
          <w:szCs w:val="24"/>
          <w:lang w:val="fr-FR" w:eastAsia="en-US"/>
        </w:rPr>
        <w:t>Méthode de violon suivie d’un traité des sons harmoniques en simple et double-cordes</w:t>
      </w:r>
      <w:r>
        <w:rPr>
          <w:rFonts w:eastAsia="Calibri" w:cstheme="majorHAnsi"/>
          <w:szCs w:val="24"/>
          <w:lang w:val="fr-FR" w:eastAsia="en-US"/>
        </w:rPr>
        <w:t>.</w:t>
      </w:r>
      <w:r>
        <w:rPr>
          <w:rFonts w:eastAsia="Calibri" w:cstheme="majorHAnsi"/>
          <w:b/>
          <w:szCs w:val="24"/>
          <w:lang w:val="fr-FR" w:eastAsia="en-US"/>
        </w:rPr>
        <w:t xml:space="preserve"> </w:t>
      </w:r>
      <w:r>
        <w:rPr>
          <w:rFonts w:eastAsia="Calibri" w:cstheme="majorHAnsi"/>
          <w:szCs w:val="24"/>
          <w:lang w:val="en-GB" w:eastAsia="en-US"/>
        </w:rPr>
        <w:t xml:space="preserve">Paris: </w:t>
      </w:r>
      <w:proofErr w:type="spellStart"/>
      <w:r>
        <w:rPr>
          <w:rFonts w:eastAsia="Calibri" w:cstheme="majorHAnsi"/>
          <w:szCs w:val="24"/>
          <w:lang w:val="en-GB" w:eastAsia="en-US"/>
        </w:rPr>
        <w:t>Aulagnier</w:t>
      </w:r>
      <w:proofErr w:type="spellEnd"/>
      <w:r>
        <w:rPr>
          <w:rFonts w:eastAsia="Calibri" w:cstheme="majorHAnsi"/>
          <w:szCs w:val="24"/>
          <w:lang w:val="en-GB" w:eastAsia="en-US"/>
        </w:rPr>
        <w:t>, 1830.</w:t>
      </w:r>
    </w:p>
    <w:p w14:paraId="7C9AB7C1" w14:textId="77777777" w:rsidR="001F49FD" w:rsidRDefault="001F49FD" w:rsidP="004133A6">
      <w:pPr>
        <w:spacing w:line="240" w:lineRule="auto"/>
        <w:ind w:firstLine="0"/>
        <w:rPr>
          <w:rFonts w:asciiTheme="majorHAnsi" w:eastAsia="Calibri" w:hAnsiTheme="majorHAnsi" w:cstheme="majorHAnsi"/>
          <w:szCs w:val="24"/>
          <w:lang w:val="en-US" w:eastAsia="en-US"/>
        </w:rPr>
      </w:pPr>
    </w:p>
    <w:p w14:paraId="56884F56" w14:textId="77777777" w:rsidR="001F49FD" w:rsidRDefault="00611419" w:rsidP="004133A6">
      <w:pPr>
        <w:spacing w:line="240" w:lineRule="auto"/>
        <w:ind w:firstLine="0"/>
        <w:rPr>
          <w:rFonts w:asciiTheme="majorHAnsi" w:eastAsia="Calibri" w:hAnsiTheme="majorHAnsi" w:cstheme="majorHAnsi"/>
          <w:szCs w:val="24"/>
          <w:lang w:val="en-US" w:eastAsia="en-US"/>
        </w:rPr>
      </w:pPr>
      <w:r>
        <w:rPr>
          <w:rFonts w:eastAsia="Calibri" w:cstheme="majorHAnsi"/>
          <w:szCs w:val="24"/>
          <w:lang w:val="en-US" w:eastAsia="en-US"/>
        </w:rPr>
        <w:t xml:space="preserve">MOSER, Andreas; JOACHIM, Joseph. </w:t>
      </w:r>
      <w:proofErr w:type="spellStart"/>
      <w:r w:rsidRPr="009E74D6">
        <w:rPr>
          <w:rFonts w:eastAsia="Calibri" w:cstheme="majorHAnsi"/>
          <w:bCs/>
          <w:i/>
          <w:iCs/>
          <w:szCs w:val="24"/>
          <w:lang w:val="en-US" w:eastAsia="en-US"/>
        </w:rPr>
        <w:t>Violinschule</w:t>
      </w:r>
      <w:proofErr w:type="spellEnd"/>
      <w:r w:rsidRPr="009E74D6">
        <w:rPr>
          <w:rFonts w:eastAsia="Calibri" w:cstheme="majorHAnsi"/>
          <w:bCs/>
          <w:i/>
          <w:iCs/>
          <w:szCs w:val="24"/>
          <w:lang w:val="en-US" w:eastAsia="en-US"/>
        </w:rPr>
        <w:t>.</w:t>
      </w:r>
      <w:r>
        <w:rPr>
          <w:rFonts w:eastAsia="Calibri" w:cstheme="majorHAnsi"/>
          <w:i/>
          <w:szCs w:val="24"/>
          <w:lang w:val="en-US" w:eastAsia="en-US"/>
        </w:rPr>
        <w:t xml:space="preserve"> </w:t>
      </w:r>
      <w:r>
        <w:rPr>
          <w:rFonts w:eastAsia="Calibri" w:cstheme="majorHAnsi"/>
          <w:szCs w:val="24"/>
          <w:lang w:val="en-US" w:eastAsia="en-US"/>
        </w:rPr>
        <w:t>Berlin: N. Simrock, 1905.</w:t>
      </w:r>
    </w:p>
    <w:p w14:paraId="4658898F" w14:textId="77777777" w:rsidR="001F49FD" w:rsidRDefault="001F49FD" w:rsidP="004133A6">
      <w:pPr>
        <w:spacing w:line="240" w:lineRule="auto"/>
        <w:ind w:firstLine="0"/>
        <w:rPr>
          <w:rFonts w:asciiTheme="majorHAnsi" w:eastAsia="Calibri" w:hAnsiTheme="majorHAnsi" w:cstheme="majorHAnsi"/>
          <w:szCs w:val="24"/>
          <w:lang w:val="de-DE" w:eastAsia="en-US"/>
        </w:rPr>
      </w:pPr>
    </w:p>
    <w:p w14:paraId="4DA1FB54" w14:textId="77777777" w:rsidR="001F49FD" w:rsidRDefault="00611419" w:rsidP="004133A6">
      <w:pPr>
        <w:spacing w:line="240" w:lineRule="auto"/>
        <w:ind w:firstLine="0"/>
        <w:rPr>
          <w:rFonts w:asciiTheme="majorHAnsi" w:eastAsia="Calibri" w:hAnsiTheme="majorHAnsi" w:cstheme="majorHAnsi"/>
          <w:szCs w:val="24"/>
          <w:lang w:val="de-DE" w:eastAsia="en-US"/>
        </w:rPr>
      </w:pPr>
      <w:r>
        <w:rPr>
          <w:rFonts w:eastAsia="Calibri" w:cstheme="majorHAnsi"/>
          <w:szCs w:val="24"/>
          <w:lang w:val="de-DE" w:eastAsia="en-US"/>
        </w:rPr>
        <w:t xml:space="preserve">MOZART, Leopold (1756). </w:t>
      </w:r>
      <w:r w:rsidRPr="009E74D6">
        <w:rPr>
          <w:rFonts w:eastAsia="Calibri" w:cstheme="majorHAnsi"/>
          <w:bCs/>
          <w:i/>
          <w:iCs/>
          <w:szCs w:val="24"/>
          <w:lang w:val="de-DE" w:eastAsia="en-US"/>
        </w:rPr>
        <w:t>A Treatise on the fundamental principles of violin playing. Tradução</w:t>
      </w:r>
      <w:r>
        <w:rPr>
          <w:rFonts w:eastAsia="Calibri" w:cstheme="majorHAnsi"/>
          <w:szCs w:val="24"/>
          <w:lang w:val="de-DE" w:eastAsia="en-US"/>
        </w:rPr>
        <w:t xml:space="preserve"> de Editha Knocker. London/New York: Oxford University Press, 1985. </w:t>
      </w:r>
    </w:p>
    <w:p w14:paraId="5A33B130" w14:textId="77777777" w:rsidR="001F49FD" w:rsidRDefault="001F49FD" w:rsidP="004133A6">
      <w:pPr>
        <w:spacing w:line="240" w:lineRule="auto"/>
        <w:ind w:firstLine="0"/>
        <w:rPr>
          <w:rFonts w:asciiTheme="majorHAnsi" w:hAnsiTheme="majorHAnsi" w:cstheme="majorHAnsi"/>
          <w:szCs w:val="24"/>
          <w:lang w:val="en-GB"/>
        </w:rPr>
      </w:pPr>
    </w:p>
    <w:p w14:paraId="0C2158F4" w14:textId="77777777" w:rsidR="001F49FD" w:rsidRDefault="00611419" w:rsidP="004133A6">
      <w:pPr>
        <w:spacing w:line="240" w:lineRule="auto"/>
        <w:ind w:firstLine="0"/>
        <w:rPr>
          <w:rFonts w:asciiTheme="majorHAnsi" w:hAnsiTheme="majorHAnsi" w:cstheme="majorHAnsi"/>
          <w:bCs/>
          <w:szCs w:val="24"/>
          <w:lang w:val="fr-FR"/>
        </w:rPr>
      </w:pPr>
      <w:r>
        <w:rPr>
          <w:rFonts w:cstheme="majorHAnsi"/>
          <w:szCs w:val="24"/>
          <w:lang w:val="fr-FR"/>
        </w:rPr>
        <w:t>S</w:t>
      </w:r>
      <w:r>
        <w:rPr>
          <w:rFonts w:cstheme="majorHAnsi"/>
          <w:bCs/>
          <w:szCs w:val="24"/>
          <w:lang w:val="fr-FR"/>
        </w:rPr>
        <w:t xml:space="preserve">POHR, Louis. </w:t>
      </w:r>
      <w:r w:rsidRPr="009E74D6">
        <w:rPr>
          <w:rFonts w:cstheme="majorHAnsi"/>
          <w:i/>
          <w:iCs/>
          <w:szCs w:val="24"/>
          <w:lang w:val="fr-FR"/>
        </w:rPr>
        <w:t>Violinschule.</w:t>
      </w:r>
      <w:r>
        <w:rPr>
          <w:rFonts w:cstheme="majorHAnsi"/>
          <w:bCs/>
          <w:i/>
          <w:szCs w:val="24"/>
          <w:lang w:val="fr-FR"/>
        </w:rPr>
        <w:t xml:space="preserve"> </w:t>
      </w:r>
      <w:r>
        <w:rPr>
          <w:rFonts w:cstheme="majorHAnsi"/>
          <w:bCs/>
          <w:szCs w:val="24"/>
          <w:lang w:val="fr-FR"/>
        </w:rPr>
        <w:t>Vienna: Haslinger, 1832.</w:t>
      </w:r>
    </w:p>
    <w:p w14:paraId="765E4C4C" w14:textId="77777777" w:rsidR="001F49FD" w:rsidRDefault="00611419" w:rsidP="004133A6">
      <w:pPr>
        <w:spacing w:line="240" w:lineRule="auto"/>
        <w:ind w:firstLine="0"/>
        <w:rPr>
          <w:rFonts w:asciiTheme="majorHAnsi" w:hAnsiTheme="majorHAnsi" w:cstheme="majorHAnsi"/>
          <w:bCs/>
          <w:szCs w:val="24"/>
          <w:lang w:val="fr-FR"/>
        </w:rPr>
      </w:pP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r>
        <w:rPr>
          <w:rFonts w:cstheme="majorHAnsi"/>
          <w:bCs/>
          <w:szCs w:val="24"/>
          <w:lang w:val="fr-FR"/>
        </w:rPr>
        <w:softHyphen/>
      </w:r>
    </w:p>
    <w:p w14:paraId="1AA200A3" w14:textId="77777777" w:rsidR="001F49FD" w:rsidRDefault="00611419" w:rsidP="004133A6">
      <w:pPr>
        <w:spacing w:line="240" w:lineRule="auto"/>
        <w:ind w:firstLine="0"/>
        <w:rPr>
          <w:rFonts w:asciiTheme="majorHAnsi" w:hAnsiTheme="majorHAnsi" w:cstheme="majorHAnsi"/>
          <w:bCs/>
          <w:szCs w:val="24"/>
          <w:lang w:val="fr-FR"/>
        </w:rPr>
      </w:pPr>
      <w:r>
        <w:rPr>
          <w:rFonts w:cstheme="majorHAnsi"/>
          <w:bCs/>
          <w:szCs w:val="24"/>
          <w:lang w:val="fr-FR"/>
        </w:rPr>
        <w:t xml:space="preserve">____________. </w:t>
      </w:r>
      <w:r w:rsidRPr="009E74D6">
        <w:rPr>
          <w:rFonts w:cstheme="majorHAnsi"/>
          <w:i/>
          <w:iCs/>
          <w:szCs w:val="24"/>
          <w:lang w:val="fr-FR"/>
        </w:rPr>
        <w:t>École ou méthode pour violon à l’aide du teneur de violon.</w:t>
      </w:r>
      <w:r>
        <w:rPr>
          <w:rFonts w:cstheme="majorHAnsi"/>
          <w:bCs/>
          <w:szCs w:val="24"/>
          <w:lang w:val="fr-FR"/>
        </w:rPr>
        <w:t xml:space="preserve"> Tradução de Stephen Heller. Paris: Richault, n.d. (ca. 1832).</w:t>
      </w:r>
    </w:p>
    <w:p w14:paraId="53FF3EF6" w14:textId="77777777" w:rsidR="001F49FD" w:rsidRDefault="001F49FD" w:rsidP="004133A6">
      <w:pPr>
        <w:spacing w:line="240" w:lineRule="auto"/>
        <w:ind w:firstLine="0"/>
        <w:rPr>
          <w:rFonts w:asciiTheme="majorHAnsi" w:eastAsia="Calibri" w:hAnsiTheme="majorHAnsi" w:cstheme="majorHAnsi"/>
          <w:szCs w:val="24"/>
          <w:lang w:val="fr-FR" w:eastAsia="en-US"/>
        </w:rPr>
      </w:pPr>
    </w:p>
    <w:p w14:paraId="021F43BB" w14:textId="77777777" w:rsidR="001F49FD" w:rsidRDefault="00611419" w:rsidP="004133A6">
      <w:pPr>
        <w:spacing w:line="240" w:lineRule="auto"/>
        <w:ind w:firstLine="0"/>
        <w:rPr>
          <w:rFonts w:asciiTheme="majorHAnsi" w:eastAsia="Calibri" w:hAnsiTheme="majorHAnsi" w:cstheme="majorHAnsi"/>
          <w:szCs w:val="24"/>
          <w:lang w:eastAsia="en-US"/>
        </w:rPr>
      </w:pPr>
      <w:r>
        <w:rPr>
          <w:rFonts w:eastAsia="Calibri" w:cstheme="majorHAnsi"/>
          <w:szCs w:val="24"/>
          <w:lang w:val="fr-FR" w:eastAsia="en-US"/>
        </w:rPr>
        <w:t xml:space="preserve">WOLDEMAR, Michel. </w:t>
      </w:r>
      <w:r w:rsidRPr="009E74D6">
        <w:rPr>
          <w:rFonts w:eastAsia="Calibri" w:cstheme="majorHAnsi"/>
          <w:bCs/>
          <w:i/>
          <w:iCs/>
          <w:szCs w:val="24"/>
          <w:lang w:val="fr-FR" w:eastAsia="en-US"/>
        </w:rPr>
        <w:t>Grande méthode ou étude élémentaire pour le violon.</w:t>
      </w:r>
      <w:r>
        <w:rPr>
          <w:rFonts w:eastAsia="Calibri" w:cstheme="majorHAnsi"/>
          <w:szCs w:val="24"/>
          <w:lang w:val="fr-FR" w:eastAsia="en-US"/>
        </w:rPr>
        <w:t xml:space="preserve"> </w:t>
      </w:r>
      <w:r>
        <w:rPr>
          <w:rFonts w:eastAsia="Calibri" w:cstheme="majorHAnsi"/>
          <w:szCs w:val="24"/>
          <w:lang w:eastAsia="en-US"/>
        </w:rPr>
        <w:t xml:space="preserve">Paris: </w:t>
      </w:r>
      <w:proofErr w:type="spellStart"/>
      <w:r>
        <w:rPr>
          <w:rFonts w:eastAsia="Calibri" w:cstheme="majorHAnsi"/>
          <w:szCs w:val="24"/>
          <w:lang w:eastAsia="en-US"/>
        </w:rPr>
        <w:t>Cochet</w:t>
      </w:r>
      <w:proofErr w:type="spellEnd"/>
      <w:r>
        <w:rPr>
          <w:rFonts w:eastAsia="Calibri" w:cstheme="majorHAnsi"/>
          <w:szCs w:val="24"/>
          <w:lang w:eastAsia="en-US"/>
        </w:rPr>
        <w:t>, 1800.</w:t>
      </w:r>
    </w:p>
    <w:p w14:paraId="047600AE" w14:textId="77777777" w:rsidR="001F49FD" w:rsidRDefault="001F49FD">
      <w:pPr>
        <w:spacing w:line="240" w:lineRule="auto"/>
        <w:ind w:firstLine="0"/>
        <w:jc w:val="left"/>
        <w:rPr>
          <w:rFonts w:asciiTheme="majorHAnsi" w:eastAsia="Calibri" w:hAnsiTheme="majorHAnsi" w:cstheme="majorHAnsi"/>
          <w:szCs w:val="24"/>
          <w:lang w:eastAsia="en-US"/>
        </w:rPr>
      </w:pPr>
    </w:p>
    <w:p w14:paraId="3E04B8FA" w14:textId="77777777" w:rsidR="001F49FD" w:rsidRDefault="001F49FD">
      <w:pPr>
        <w:spacing w:after="240" w:line="240" w:lineRule="auto"/>
        <w:ind w:firstLine="0"/>
        <w:jc w:val="left"/>
        <w:rPr>
          <w:rFonts w:ascii="Times New Roman" w:eastAsia="Calibri" w:hAnsi="Times New Roman" w:cs="Times New Roman"/>
          <w:szCs w:val="24"/>
          <w:lang w:eastAsia="en-US"/>
        </w:rPr>
      </w:pPr>
    </w:p>
    <w:p w14:paraId="56392E45" w14:textId="77777777" w:rsidR="001F49FD" w:rsidRDefault="001F49FD">
      <w:pPr>
        <w:rPr>
          <w:rFonts w:ascii="Times New Roman" w:hAnsi="Times New Roman" w:cs="Times New Roman"/>
          <w:bCs/>
          <w:color w:val="222222"/>
          <w:szCs w:val="24"/>
          <w:shd w:val="clear" w:color="auto" w:fill="FFFFFF"/>
        </w:rPr>
      </w:pPr>
    </w:p>
    <w:p w14:paraId="6AB0E75A" w14:textId="77777777" w:rsidR="001F49FD" w:rsidRDefault="001F49FD">
      <w:pPr>
        <w:rPr>
          <w:rFonts w:ascii="Times New Roman" w:hAnsi="Times New Roman" w:cs="Times New Roman"/>
          <w:bCs/>
          <w:color w:val="222222"/>
          <w:szCs w:val="24"/>
          <w:shd w:val="clear" w:color="auto" w:fill="FFFFFF"/>
        </w:rPr>
      </w:pPr>
    </w:p>
    <w:p w14:paraId="1FA8632E" w14:textId="77777777" w:rsidR="001F49FD" w:rsidRDefault="001F49FD">
      <w:pPr>
        <w:rPr>
          <w:rFonts w:ascii="Times New Roman" w:hAnsi="Times New Roman" w:cs="Times New Roman"/>
          <w:bCs/>
          <w:color w:val="222222"/>
          <w:szCs w:val="24"/>
          <w:shd w:val="clear" w:color="auto" w:fill="FFFFFF"/>
        </w:rPr>
      </w:pPr>
    </w:p>
    <w:p w14:paraId="19F19C60" w14:textId="77777777" w:rsidR="001F49FD" w:rsidRDefault="001F49FD">
      <w:pPr>
        <w:rPr>
          <w:rFonts w:ascii="Times New Roman" w:hAnsi="Times New Roman" w:cs="Times New Roman"/>
          <w:bCs/>
          <w:color w:val="222222"/>
          <w:szCs w:val="24"/>
          <w:shd w:val="clear" w:color="auto" w:fill="FFFFFF"/>
        </w:rPr>
      </w:pPr>
    </w:p>
    <w:p w14:paraId="6508DF59" w14:textId="77777777" w:rsidR="001F49FD" w:rsidRDefault="001F49FD">
      <w:pPr>
        <w:rPr>
          <w:rFonts w:ascii="Times New Roman" w:hAnsi="Times New Roman" w:cs="Times New Roman"/>
          <w:bCs/>
          <w:color w:val="222222"/>
          <w:szCs w:val="24"/>
          <w:shd w:val="clear" w:color="auto" w:fill="FFFFFF"/>
        </w:rPr>
      </w:pPr>
    </w:p>
    <w:p w14:paraId="206D3652" w14:textId="77777777" w:rsidR="001F49FD" w:rsidRDefault="001F49FD">
      <w:pPr>
        <w:rPr>
          <w:rFonts w:ascii="Times New Roman" w:hAnsi="Times New Roman" w:cs="Times New Roman"/>
          <w:bCs/>
          <w:color w:val="222222"/>
          <w:szCs w:val="24"/>
          <w:shd w:val="clear" w:color="auto" w:fill="FFFFFF"/>
        </w:rPr>
      </w:pPr>
    </w:p>
    <w:p w14:paraId="18C9AB3A" w14:textId="77777777" w:rsidR="001F49FD" w:rsidRDefault="001F49FD">
      <w:pPr>
        <w:rPr>
          <w:rFonts w:ascii="Times New Roman" w:hAnsi="Times New Roman" w:cs="Times New Roman"/>
          <w:bCs/>
          <w:color w:val="222222"/>
          <w:szCs w:val="24"/>
          <w:shd w:val="clear" w:color="auto" w:fill="FFFFFF"/>
        </w:rPr>
      </w:pPr>
    </w:p>
    <w:p w14:paraId="0BBA95D5" w14:textId="77777777" w:rsidR="001F49FD" w:rsidRDefault="001F49FD">
      <w:pPr>
        <w:rPr>
          <w:rFonts w:ascii="Times New Roman" w:hAnsi="Times New Roman" w:cs="Times New Roman"/>
          <w:bCs/>
          <w:color w:val="222222"/>
          <w:szCs w:val="24"/>
          <w:shd w:val="clear" w:color="auto" w:fill="FFFFFF"/>
        </w:rPr>
      </w:pPr>
    </w:p>
    <w:p w14:paraId="1012C3FB" w14:textId="77777777" w:rsidR="001F49FD" w:rsidRDefault="001F49FD">
      <w:pPr>
        <w:rPr>
          <w:rFonts w:ascii="Times New Roman" w:hAnsi="Times New Roman" w:cs="Times New Roman"/>
          <w:bCs/>
          <w:color w:val="222222"/>
          <w:szCs w:val="24"/>
          <w:shd w:val="clear" w:color="auto" w:fill="FFFFFF"/>
        </w:rPr>
      </w:pPr>
    </w:p>
    <w:p w14:paraId="3AF51F1E" w14:textId="77777777" w:rsidR="001F49FD" w:rsidRDefault="001F49FD">
      <w:pPr>
        <w:rPr>
          <w:rFonts w:ascii="Times New Roman" w:hAnsi="Times New Roman" w:cs="Times New Roman"/>
          <w:bCs/>
          <w:color w:val="222222"/>
          <w:szCs w:val="24"/>
          <w:shd w:val="clear" w:color="auto" w:fill="FFFFFF"/>
        </w:rPr>
      </w:pPr>
    </w:p>
    <w:p w14:paraId="68B79ECF" w14:textId="77777777" w:rsidR="001F49FD" w:rsidRDefault="001F49FD">
      <w:pPr>
        <w:rPr>
          <w:rFonts w:ascii="Times New Roman" w:hAnsi="Times New Roman" w:cs="Times New Roman"/>
          <w:bCs/>
          <w:color w:val="222222"/>
          <w:szCs w:val="24"/>
          <w:shd w:val="clear" w:color="auto" w:fill="FFFFFF"/>
        </w:rPr>
      </w:pPr>
    </w:p>
    <w:p w14:paraId="67544E07" w14:textId="77777777" w:rsidR="001F49FD" w:rsidRDefault="001F49FD">
      <w:pPr>
        <w:rPr>
          <w:rFonts w:ascii="Times New Roman" w:hAnsi="Times New Roman" w:cs="Times New Roman"/>
          <w:bCs/>
          <w:color w:val="222222"/>
          <w:szCs w:val="24"/>
          <w:shd w:val="clear" w:color="auto" w:fill="FFFFFF"/>
        </w:rPr>
      </w:pPr>
    </w:p>
    <w:p w14:paraId="284252CA" w14:textId="77777777" w:rsidR="001F49FD" w:rsidRDefault="001F49FD">
      <w:pPr>
        <w:rPr>
          <w:rFonts w:ascii="Times New Roman" w:hAnsi="Times New Roman" w:cs="Times New Roman"/>
          <w:bCs/>
          <w:color w:val="222222"/>
          <w:szCs w:val="24"/>
          <w:shd w:val="clear" w:color="auto" w:fill="FFFFFF"/>
        </w:rPr>
      </w:pPr>
    </w:p>
    <w:p w14:paraId="136EC69C" w14:textId="77777777" w:rsidR="001F49FD" w:rsidRDefault="001F49FD">
      <w:pPr>
        <w:rPr>
          <w:rFonts w:ascii="Times New Roman" w:hAnsi="Times New Roman" w:cs="Times New Roman"/>
          <w:bCs/>
          <w:color w:val="222222"/>
          <w:szCs w:val="24"/>
          <w:shd w:val="clear" w:color="auto" w:fill="FFFFFF"/>
        </w:rPr>
      </w:pPr>
    </w:p>
    <w:p w14:paraId="1BC5FD21" w14:textId="77777777" w:rsidR="001F49FD" w:rsidRDefault="001F49FD">
      <w:pPr>
        <w:rPr>
          <w:rFonts w:ascii="Times New Roman" w:hAnsi="Times New Roman" w:cs="Times New Roman"/>
          <w:bCs/>
          <w:color w:val="222222"/>
          <w:szCs w:val="24"/>
          <w:shd w:val="clear" w:color="auto" w:fill="FFFFFF"/>
        </w:rPr>
      </w:pPr>
    </w:p>
    <w:p w14:paraId="158CA625" w14:textId="77777777" w:rsidR="001F49FD" w:rsidRDefault="001F49FD">
      <w:pPr>
        <w:rPr>
          <w:rFonts w:ascii="Times New Roman" w:hAnsi="Times New Roman" w:cs="Times New Roman"/>
          <w:bCs/>
          <w:color w:val="222222"/>
          <w:szCs w:val="24"/>
          <w:shd w:val="clear" w:color="auto" w:fill="FFFFFF"/>
        </w:rPr>
      </w:pPr>
    </w:p>
    <w:p w14:paraId="434FF984" w14:textId="77777777" w:rsidR="00B539B8" w:rsidRDefault="00B539B8">
      <w:pPr>
        <w:rPr>
          <w:rFonts w:ascii="Times New Roman" w:hAnsi="Times New Roman" w:cs="Times New Roman"/>
          <w:bCs/>
          <w:color w:val="222222"/>
          <w:szCs w:val="24"/>
          <w:shd w:val="clear" w:color="auto" w:fill="FFFFFF"/>
        </w:rPr>
      </w:pPr>
    </w:p>
    <w:p w14:paraId="7AD00CCD" w14:textId="77777777" w:rsidR="00B539B8" w:rsidRDefault="00B539B8">
      <w:pPr>
        <w:rPr>
          <w:rFonts w:ascii="Times New Roman" w:hAnsi="Times New Roman" w:cs="Times New Roman"/>
          <w:bCs/>
          <w:color w:val="222222"/>
          <w:szCs w:val="24"/>
          <w:shd w:val="clear" w:color="auto" w:fill="FFFFFF"/>
        </w:rPr>
      </w:pPr>
    </w:p>
    <w:p w14:paraId="736203F0" w14:textId="77777777" w:rsidR="00393CC4" w:rsidRDefault="00393CC4" w:rsidP="000A6E65">
      <w:pPr>
        <w:pStyle w:val="Ttulo1"/>
      </w:pPr>
      <w:bookmarkStart w:id="165" w:name="_Toc219359058"/>
    </w:p>
    <w:p w14:paraId="4FCE9409" w14:textId="119745EB" w:rsidR="001F49FD" w:rsidRDefault="00611419" w:rsidP="000A6E65">
      <w:pPr>
        <w:pStyle w:val="Ttulo1"/>
      </w:pPr>
      <w:r>
        <w:t>APÊNDICE – RESULTADOS DAS ENTREVISTAS</w:t>
      </w:r>
      <w:bookmarkEnd w:id="165"/>
    </w:p>
    <w:p w14:paraId="4311F8C2" w14:textId="77777777" w:rsidR="001F49FD" w:rsidRDefault="001F49FD">
      <w:pPr>
        <w:rPr>
          <w:lang w:eastAsia="en-US"/>
        </w:rPr>
      </w:pPr>
    </w:p>
    <w:p w14:paraId="2380FC00" w14:textId="77777777" w:rsidR="001F49FD" w:rsidRDefault="001F49FD">
      <w:pPr>
        <w:rPr>
          <w:lang w:eastAsia="en-US"/>
        </w:rPr>
      </w:pPr>
    </w:p>
    <w:p w14:paraId="26505774" w14:textId="77777777" w:rsidR="001F49FD" w:rsidRDefault="001F49FD">
      <w:pPr>
        <w:rPr>
          <w:lang w:eastAsia="en-US"/>
        </w:rPr>
      </w:pPr>
    </w:p>
    <w:p w14:paraId="7337D39B" w14:textId="77777777" w:rsidR="001F49FD" w:rsidRDefault="001F49FD">
      <w:pPr>
        <w:rPr>
          <w:lang w:eastAsia="en-US"/>
        </w:rPr>
      </w:pPr>
    </w:p>
    <w:p w14:paraId="3FBDD2AD" w14:textId="77777777" w:rsidR="001F49FD" w:rsidRDefault="001F49FD">
      <w:pPr>
        <w:rPr>
          <w:lang w:eastAsia="en-US"/>
        </w:rPr>
      </w:pPr>
    </w:p>
    <w:p w14:paraId="704809F1" w14:textId="77777777" w:rsidR="001F49FD" w:rsidRDefault="001F49FD">
      <w:pPr>
        <w:rPr>
          <w:lang w:eastAsia="en-US"/>
        </w:rPr>
      </w:pPr>
    </w:p>
    <w:p w14:paraId="16B24D40" w14:textId="77777777" w:rsidR="001F49FD" w:rsidRDefault="001F49FD">
      <w:pPr>
        <w:rPr>
          <w:lang w:eastAsia="en-US"/>
        </w:rPr>
      </w:pPr>
    </w:p>
    <w:p w14:paraId="514A5CE7" w14:textId="77777777" w:rsidR="001F49FD" w:rsidRDefault="001F49FD">
      <w:pPr>
        <w:rPr>
          <w:lang w:eastAsia="en-US"/>
        </w:rPr>
      </w:pPr>
    </w:p>
    <w:p w14:paraId="2CDADCCA" w14:textId="77777777" w:rsidR="001F49FD" w:rsidRDefault="001F49FD">
      <w:pPr>
        <w:rPr>
          <w:lang w:eastAsia="en-US"/>
        </w:rPr>
      </w:pPr>
    </w:p>
    <w:p w14:paraId="6355072D" w14:textId="77777777" w:rsidR="001F49FD" w:rsidRDefault="001F49FD">
      <w:pPr>
        <w:rPr>
          <w:lang w:eastAsia="en-US"/>
        </w:rPr>
      </w:pPr>
    </w:p>
    <w:p w14:paraId="5001225D" w14:textId="77777777" w:rsidR="001F49FD" w:rsidRDefault="001F49FD">
      <w:pPr>
        <w:rPr>
          <w:lang w:eastAsia="en-US"/>
        </w:rPr>
      </w:pPr>
    </w:p>
    <w:p w14:paraId="56901B88" w14:textId="77777777" w:rsidR="001F49FD" w:rsidRDefault="001F49FD">
      <w:pPr>
        <w:rPr>
          <w:lang w:eastAsia="en-US"/>
        </w:rPr>
      </w:pPr>
    </w:p>
    <w:p w14:paraId="717D10C3" w14:textId="77777777" w:rsidR="001F49FD" w:rsidRDefault="001F49FD">
      <w:pPr>
        <w:rPr>
          <w:lang w:eastAsia="en-US"/>
        </w:rPr>
      </w:pPr>
    </w:p>
    <w:p w14:paraId="65F8F94E" w14:textId="77777777" w:rsidR="001F49FD" w:rsidRDefault="001F49FD">
      <w:pPr>
        <w:rPr>
          <w:lang w:eastAsia="en-US"/>
        </w:rPr>
      </w:pPr>
    </w:p>
    <w:p w14:paraId="1B8117E7" w14:textId="77777777" w:rsidR="001F49FD" w:rsidRDefault="001F49FD">
      <w:pPr>
        <w:rPr>
          <w:lang w:eastAsia="en-US"/>
        </w:rPr>
      </w:pPr>
    </w:p>
    <w:p w14:paraId="427EC858" w14:textId="77777777" w:rsidR="001F49FD" w:rsidRDefault="001F49FD">
      <w:pPr>
        <w:rPr>
          <w:lang w:eastAsia="en-US"/>
        </w:rPr>
      </w:pPr>
    </w:p>
    <w:p w14:paraId="14D8A021" w14:textId="77777777" w:rsidR="001F49FD" w:rsidRDefault="001F49FD">
      <w:pPr>
        <w:rPr>
          <w:lang w:eastAsia="en-US"/>
        </w:rPr>
      </w:pPr>
    </w:p>
    <w:p w14:paraId="5583C264" w14:textId="77777777" w:rsidR="001F49FD" w:rsidRDefault="001F49FD">
      <w:pPr>
        <w:rPr>
          <w:lang w:eastAsia="en-US"/>
        </w:rPr>
      </w:pPr>
    </w:p>
    <w:p w14:paraId="3AC55D35" w14:textId="77777777" w:rsidR="001F49FD" w:rsidRDefault="001F49FD">
      <w:pPr>
        <w:rPr>
          <w:lang w:eastAsia="en-US"/>
        </w:rPr>
      </w:pPr>
    </w:p>
    <w:p w14:paraId="40957CCA" w14:textId="77777777" w:rsidR="001F49FD" w:rsidRDefault="001F49FD">
      <w:pPr>
        <w:rPr>
          <w:lang w:eastAsia="en-US"/>
        </w:rPr>
      </w:pPr>
    </w:p>
    <w:p w14:paraId="41E1369C" w14:textId="77777777" w:rsidR="001F49FD" w:rsidRDefault="001F49FD">
      <w:pPr>
        <w:rPr>
          <w:lang w:eastAsia="en-US"/>
        </w:rPr>
      </w:pPr>
    </w:p>
    <w:p w14:paraId="77F8E7B8" w14:textId="77777777" w:rsidR="001F49FD" w:rsidRDefault="001F49FD">
      <w:pPr>
        <w:rPr>
          <w:lang w:eastAsia="en-US"/>
        </w:rPr>
      </w:pPr>
    </w:p>
    <w:p w14:paraId="22DE7103" w14:textId="77777777" w:rsidR="001F49FD" w:rsidRDefault="001F49FD">
      <w:pPr>
        <w:rPr>
          <w:lang w:eastAsia="en-US"/>
        </w:rPr>
      </w:pPr>
    </w:p>
    <w:p w14:paraId="4AA23A9C" w14:textId="77777777" w:rsidR="001F49FD" w:rsidRDefault="001F49FD">
      <w:pPr>
        <w:rPr>
          <w:lang w:eastAsia="en-US"/>
        </w:rPr>
      </w:pPr>
    </w:p>
    <w:p w14:paraId="4CAF4731" w14:textId="77777777" w:rsidR="001F49FD" w:rsidRDefault="001F49FD">
      <w:pPr>
        <w:rPr>
          <w:lang w:eastAsia="en-US"/>
        </w:rPr>
      </w:pPr>
    </w:p>
    <w:p w14:paraId="7B4AF871" w14:textId="77777777" w:rsidR="001F49FD" w:rsidRDefault="001F49FD">
      <w:pPr>
        <w:rPr>
          <w:lang w:eastAsia="en-US"/>
        </w:rPr>
      </w:pPr>
    </w:p>
    <w:p w14:paraId="0629F87F" w14:textId="77777777" w:rsidR="001F49FD" w:rsidRDefault="001F49FD">
      <w:pPr>
        <w:rPr>
          <w:lang w:eastAsia="en-US"/>
        </w:rPr>
      </w:pPr>
    </w:p>
    <w:p w14:paraId="132ED3EA" w14:textId="77777777" w:rsidR="001F49FD" w:rsidRDefault="001F49FD">
      <w:pPr>
        <w:rPr>
          <w:lang w:eastAsia="en-US"/>
        </w:rPr>
      </w:pPr>
    </w:p>
    <w:p w14:paraId="06847F32" w14:textId="77777777" w:rsidR="001F49FD" w:rsidRDefault="001F49FD">
      <w:pPr>
        <w:rPr>
          <w:lang w:eastAsia="en-US"/>
        </w:rPr>
      </w:pPr>
    </w:p>
    <w:p w14:paraId="241043B5" w14:textId="77777777" w:rsidR="001F49FD" w:rsidRDefault="001F49FD">
      <w:pPr>
        <w:rPr>
          <w:lang w:eastAsia="en-US"/>
        </w:rPr>
      </w:pPr>
    </w:p>
    <w:p w14:paraId="1F02467B" w14:textId="77777777" w:rsidR="001F49FD" w:rsidRDefault="001F49FD">
      <w:pPr>
        <w:rPr>
          <w:lang w:eastAsia="en-US"/>
        </w:rPr>
      </w:pPr>
    </w:p>
    <w:p w14:paraId="35569A5A" w14:textId="77777777" w:rsidR="001F49FD" w:rsidRDefault="001F49FD">
      <w:pPr>
        <w:rPr>
          <w:lang w:eastAsia="en-US"/>
        </w:rPr>
      </w:pPr>
    </w:p>
    <w:p w14:paraId="566C34FA" w14:textId="77777777" w:rsidR="001F49FD" w:rsidRDefault="00611419">
      <w:pPr>
        <w:tabs>
          <w:tab w:val="left" w:pos="4820"/>
          <w:tab w:val="left" w:pos="5529"/>
          <w:tab w:val="left" w:pos="7050"/>
        </w:tabs>
        <w:contextualSpacing/>
        <w:rPr>
          <w:rFonts w:ascii="Times New Roman" w:hAnsi="Times New Roman" w:cs="Times New Roman"/>
          <w:szCs w:val="24"/>
        </w:rPr>
      </w:pPr>
      <w:r>
        <w:rPr>
          <w:rFonts w:cs="Times New Roman"/>
          <w:szCs w:val="24"/>
        </w:rPr>
        <w:tab/>
        <w:t xml:space="preserve">              Legenda:</w:t>
      </w:r>
      <w:r>
        <w:rPr>
          <w:rFonts w:cs="Times New Roman"/>
          <w:szCs w:val="24"/>
        </w:rPr>
        <w:tab/>
      </w:r>
    </w:p>
    <w:p w14:paraId="10394333" w14:textId="77777777" w:rsidR="001F49FD" w:rsidRDefault="00611419">
      <w:pPr>
        <w:pStyle w:val="SemEspaamento"/>
        <w:spacing w:line="360" w:lineRule="auto"/>
        <w:ind w:left="2268" w:firstLine="0"/>
        <w:rPr>
          <w:rFonts w:ascii="Times New Roman" w:hAnsi="Times New Roman" w:cs="Times New Roman"/>
          <w:sz w:val="20"/>
          <w:szCs w:val="20"/>
        </w:rPr>
      </w:pPr>
      <w:r>
        <w:rPr>
          <w:rFonts w:cs="Times New Roman"/>
          <w:sz w:val="24"/>
          <w:szCs w:val="24"/>
        </w:rPr>
        <w:t xml:space="preserve">                                                        </w:t>
      </w:r>
      <w:r>
        <w:rPr>
          <w:rFonts w:cs="Times New Roman"/>
          <w:color w:val="0070C0"/>
          <w:sz w:val="20"/>
          <w:szCs w:val="20"/>
        </w:rPr>
        <w:t>Violinistas entre 20 e 40 anos de idade</w:t>
      </w:r>
    </w:p>
    <w:p w14:paraId="7FD3AFF9" w14:textId="77777777" w:rsidR="001F49FD" w:rsidRDefault="00611419">
      <w:pPr>
        <w:pStyle w:val="SemEspaamento"/>
        <w:spacing w:line="360" w:lineRule="auto"/>
        <w:ind w:left="2268" w:firstLine="0"/>
        <w:rPr>
          <w:rFonts w:ascii="Times New Roman" w:hAnsi="Times New Roman" w:cs="Times New Roman"/>
          <w:sz w:val="20"/>
          <w:szCs w:val="20"/>
        </w:rPr>
      </w:pPr>
      <w:r>
        <w:rPr>
          <w:rFonts w:cs="Times New Roman"/>
          <w:sz w:val="20"/>
          <w:szCs w:val="20"/>
        </w:rPr>
        <w:t xml:space="preserve">                                                                   </w:t>
      </w:r>
      <w:r>
        <w:rPr>
          <w:rFonts w:cs="Times New Roman"/>
          <w:color w:val="00B050"/>
          <w:sz w:val="20"/>
          <w:szCs w:val="20"/>
        </w:rPr>
        <w:t>Violinistas entre 40 e 60 anos de idade</w:t>
      </w:r>
    </w:p>
    <w:p w14:paraId="7712E95A" w14:textId="77777777" w:rsidR="001F49FD" w:rsidRDefault="00611419">
      <w:pPr>
        <w:pStyle w:val="SemEspaamento"/>
        <w:tabs>
          <w:tab w:val="left" w:pos="1134"/>
          <w:tab w:val="left" w:pos="5670"/>
        </w:tabs>
        <w:spacing w:line="360" w:lineRule="auto"/>
        <w:ind w:left="2268" w:firstLine="0"/>
        <w:rPr>
          <w:rFonts w:ascii="Times New Roman" w:hAnsi="Times New Roman" w:cs="Times New Roman"/>
          <w:sz w:val="20"/>
          <w:szCs w:val="20"/>
        </w:rPr>
      </w:pPr>
      <w:r>
        <w:rPr>
          <w:rFonts w:cs="Times New Roman"/>
          <w:sz w:val="20"/>
          <w:szCs w:val="20"/>
        </w:rPr>
        <w:t xml:space="preserve">                                                                   </w:t>
      </w:r>
      <w:r>
        <w:rPr>
          <w:rFonts w:cs="Times New Roman"/>
          <w:color w:val="C00000"/>
          <w:sz w:val="20"/>
          <w:szCs w:val="20"/>
        </w:rPr>
        <w:t>Violinistas acima de 60 anos de idade</w:t>
      </w:r>
    </w:p>
    <w:p w14:paraId="2B8F1250" w14:textId="77777777" w:rsidR="001F49FD" w:rsidRDefault="001F49FD">
      <w:pPr>
        <w:pStyle w:val="SemEspaamento"/>
        <w:spacing w:line="360" w:lineRule="auto"/>
        <w:rPr>
          <w:rFonts w:ascii="Times New Roman" w:hAnsi="Times New Roman" w:cs="Times New Roman"/>
          <w:b/>
          <w:szCs w:val="24"/>
        </w:rPr>
      </w:pPr>
    </w:p>
    <w:p w14:paraId="2ABE6134" w14:textId="77777777" w:rsidR="001F49FD" w:rsidRDefault="001F49FD">
      <w:pPr>
        <w:pStyle w:val="SemEspaamento"/>
        <w:spacing w:line="360" w:lineRule="auto"/>
        <w:rPr>
          <w:rFonts w:ascii="Times New Roman" w:hAnsi="Times New Roman" w:cs="Times New Roman"/>
          <w:b/>
          <w:szCs w:val="24"/>
        </w:rPr>
      </w:pPr>
    </w:p>
    <w:p w14:paraId="64A3CF12" w14:textId="77777777" w:rsidR="001F49FD" w:rsidRDefault="00611419">
      <w:pPr>
        <w:pStyle w:val="SemEspaamento"/>
        <w:spacing w:line="360" w:lineRule="auto"/>
        <w:rPr>
          <w:rFonts w:ascii="Times New Roman" w:hAnsi="Times New Roman" w:cs="Times New Roman"/>
          <w:b/>
          <w:szCs w:val="24"/>
        </w:rPr>
      </w:pPr>
      <w:r>
        <w:rPr>
          <w:rFonts w:cs="Times New Roman"/>
          <w:b/>
          <w:szCs w:val="24"/>
        </w:rPr>
        <w:t xml:space="preserve">I. POSTURA CORPORAL E SUSTENTAÇÃO DO VIOLINO </w:t>
      </w:r>
    </w:p>
    <w:p w14:paraId="7B4BD4CE" w14:textId="77777777" w:rsidR="001F49FD" w:rsidRDefault="001F49FD">
      <w:pPr>
        <w:pStyle w:val="Commarcadores4"/>
        <w:ind w:left="0" w:firstLine="1134"/>
        <w:rPr>
          <w:rFonts w:ascii="Times New Roman" w:hAnsi="Times New Roman" w:cs="Times New Roman"/>
          <w:b/>
          <w:szCs w:val="24"/>
        </w:rPr>
      </w:pPr>
    </w:p>
    <w:p w14:paraId="272FD8ED" w14:textId="3505C428" w:rsidR="001F49FD" w:rsidRDefault="00611419">
      <w:pPr>
        <w:pStyle w:val="Commarcadores4"/>
        <w:ind w:left="0" w:firstLine="1134"/>
        <w:rPr>
          <w:rFonts w:ascii="Times New Roman" w:hAnsi="Times New Roman" w:cs="Times New Roman"/>
          <w:b/>
          <w:szCs w:val="24"/>
        </w:rPr>
      </w:pPr>
      <w:r>
        <w:rPr>
          <w:rFonts w:cs="Times New Roman"/>
          <w:b/>
          <w:szCs w:val="24"/>
        </w:rPr>
        <w:t>1. Equilíbrio do corpo</w:t>
      </w:r>
    </w:p>
    <w:p w14:paraId="71A1B9C3" w14:textId="77777777" w:rsidR="001F49FD" w:rsidRDefault="00611419">
      <w:pPr>
        <w:pStyle w:val="Commarcadores5"/>
        <w:ind w:left="1134" w:firstLine="0"/>
        <w:rPr>
          <w:rFonts w:ascii="Times New Roman" w:hAnsi="Times New Roman" w:cs="Times New Roman"/>
          <w:i/>
          <w:szCs w:val="24"/>
        </w:rPr>
      </w:pPr>
      <w:r>
        <w:rPr>
          <w:rFonts w:cs="Times New Roman"/>
          <w:szCs w:val="24"/>
        </w:rPr>
        <w:t xml:space="preserve">a) Sobre as duas pernas. </w:t>
      </w:r>
      <w:r>
        <w:rPr>
          <w:rFonts w:cs="Times New Roman"/>
          <w:color w:val="4F81BD" w:themeColor="accent1"/>
          <w:szCs w:val="24"/>
        </w:rPr>
        <w:t>1, 2, 3, 4, 5, 6</w:t>
      </w:r>
      <w:r>
        <w:rPr>
          <w:rFonts w:cs="Times New Roman"/>
          <w:color w:val="0070C0"/>
          <w:szCs w:val="24"/>
        </w:rPr>
        <w:t xml:space="preserve">, </w:t>
      </w:r>
      <w:r>
        <w:rPr>
          <w:rFonts w:eastAsia="Times New Roman" w:cs="Times New Roman"/>
          <w:color w:val="0070C0"/>
          <w:szCs w:val="24"/>
          <w:lang w:eastAsia="en-GB"/>
        </w:rPr>
        <w:t xml:space="preserve">7, </w:t>
      </w:r>
      <w:r>
        <w:rPr>
          <w:rFonts w:cs="Times New Roman"/>
          <w:color w:val="0070C0"/>
          <w:szCs w:val="24"/>
        </w:rPr>
        <w:t>8,</w:t>
      </w:r>
      <w:r>
        <w:rPr>
          <w:rFonts w:eastAsia="Times New Roman" w:cs="Times New Roman"/>
          <w:color w:val="0070C0"/>
          <w:szCs w:val="24"/>
          <w:lang w:eastAsia="en-GB"/>
        </w:rPr>
        <w:t xml:space="preserve"> </w:t>
      </w:r>
      <w:r>
        <w:rPr>
          <w:rFonts w:cs="Times New Roman"/>
          <w:color w:val="0070C0"/>
          <w:szCs w:val="24"/>
        </w:rPr>
        <w:t xml:space="preserve">9, </w:t>
      </w:r>
      <w:r>
        <w:rPr>
          <w:rFonts w:cs="Times New Roman"/>
          <w:color w:val="4F81BD" w:themeColor="accent1"/>
          <w:szCs w:val="24"/>
        </w:rPr>
        <w:t>10, 11</w:t>
      </w:r>
      <w:r>
        <w:rPr>
          <w:rFonts w:cs="Times New Roman"/>
          <w:color w:val="0070C0"/>
          <w:szCs w:val="24"/>
        </w:rPr>
        <w:t xml:space="preserve">, 13, </w:t>
      </w:r>
      <w:r>
        <w:rPr>
          <w:rFonts w:cs="Times New Roman"/>
          <w:color w:val="4F81BD" w:themeColor="accent1"/>
          <w:szCs w:val="24"/>
        </w:rPr>
        <w:t xml:space="preserve">14, 15, 16, 17, </w:t>
      </w:r>
      <w:r>
        <w:rPr>
          <w:rFonts w:cs="Times New Roman"/>
          <w:color w:val="0070C0"/>
          <w:szCs w:val="24"/>
        </w:rPr>
        <w:t xml:space="preserve">18, 20, </w:t>
      </w:r>
      <w:r>
        <w:rPr>
          <w:rFonts w:cs="Times New Roman"/>
          <w:color w:val="00B050"/>
          <w:szCs w:val="24"/>
        </w:rPr>
        <w:t xml:space="preserve">21, 22, 23, 24, 25, 26, 27, 28, 29, 30, 31, 32, 33, 34, 35, 36, 37, 38, 39, 40, </w:t>
      </w:r>
      <w:r>
        <w:rPr>
          <w:rFonts w:cs="Times New Roman"/>
          <w:color w:val="943634" w:themeColor="accent2" w:themeShade="BF"/>
          <w:szCs w:val="24"/>
        </w:rPr>
        <w:t xml:space="preserve">43, </w:t>
      </w:r>
      <w:r>
        <w:rPr>
          <w:rFonts w:cs="Times New Roman"/>
          <w:color w:val="C00000"/>
          <w:szCs w:val="24"/>
        </w:rPr>
        <w:t>44, 45, 46, 48, 50</w:t>
      </w:r>
    </w:p>
    <w:p w14:paraId="64605A7C" w14:textId="77777777" w:rsidR="001F49FD" w:rsidRDefault="00611419">
      <w:pPr>
        <w:pStyle w:val="SemEspaamento"/>
        <w:spacing w:line="360" w:lineRule="auto"/>
        <w:rPr>
          <w:rFonts w:ascii="Times New Roman" w:hAnsi="Times New Roman" w:cs="Times New Roman"/>
          <w:color w:val="0070C0"/>
          <w:szCs w:val="24"/>
        </w:rPr>
      </w:pPr>
      <w:r>
        <w:rPr>
          <w:rFonts w:cs="Times New Roman"/>
          <w:szCs w:val="24"/>
        </w:rPr>
        <w:t>b) Sobre a perna esquerda</w:t>
      </w:r>
      <w:r>
        <w:rPr>
          <w:rFonts w:cs="Times New Roman"/>
          <w:color w:val="0070C0"/>
          <w:szCs w:val="24"/>
        </w:rPr>
        <w:t xml:space="preserve">. 12, 19, </w:t>
      </w:r>
      <w:r>
        <w:rPr>
          <w:rFonts w:cs="Times New Roman"/>
          <w:color w:val="C00000"/>
          <w:szCs w:val="24"/>
        </w:rPr>
        <w:t>42, 49</w:t>
      </w:r>
    </w:p>
    <w:p w14:paraId="5F7C2F92" w14:textId="77777777" w:rsidR="001F49FD" w:rsidRDefault="00611419">
      <w:pPr>
        <w:pStyle w:val="SemEspaamento"/>
        <w:spacing w:line="360" w:lineRule="auto"/>
        <w:rPr>
          <w:rFonts w:ascii="Times New Roman" w:eastAsia="Times New Roman" w:hAnsi="Times New Roman" w:cs="Times New Roman"/>
          <w:color w:val="C00000"/>
          <w:sz w:val="24"/>
          <w:szCs w:val="24"/>
          <w:lang w:eastAsia="en-GB"/>
        </w:rPr>
      </w:pPr>
      <w:r>
        <w:rPr>
          <w:rFonts w:eastAsia="Times New Roman" w:cs="Times New Roman"/>
          <w:sz w:val="24"/>
          <w:szCs w:val="24"/>
          <w:lang w:eastAsia="en-GB"/>
        </w:rPr>
        <w:t xml:space="preserve">c) Outra resposta. </w:t>
      </w:r>
      <w:r>
        <w:rPr>
          <w:rFonts w:eastAsia="Times New Roman" w:cs="Times New Roman"/>
          <w:i/>
          <w:sz w:val="24"/>
          <w:szCs w:val="24"/>
          <w:lang w:eastAsia="en-GB"/>
        </w:rPr>
        <w:t>Variável.</w:t>
      </w:r>
      <w:r>
        <w:rPr>
          <w:rFonts w:eastAsia="Times New Roman" w:cs="Times New Roman"/>
          <w:color w:val="C00000"/>
          <w:sz w:val="24"/>
          <w:szCs w:val="24"/>
          <w:lang w:eastAsia="en-GB"/>
        </w:rPr>
        <w:t xml:space="preserve"> 41, 47</w:t>
      </w:r>
    </w:p>
    <w:p w14:paraId="3A39DCCA" w14:textId="77777777" w:rsidR="001F49FD" w:rsidRDefault="00611419">
      <w:pPr>
        <w:pStyle w:val="SemEspaamento"/>
        <w:tabs>
          <w:tab w:val="left" w:pos="1134"/>
          <w:tab w:val="left" w:pos="3544"/>
          <w:tab w:val="left" w:pos="3686"/>
          <w:tab w:val="left" w:pos="3828"/>
          <w:tab w:val="left" w:pos="4253"/>
        </w:tabs>
        <w:spacing w:line="360" w:lineRule="auto"/>
        <w:ind w:firstLine="0"/>
        <w:rPr>
          <w:rFonts w:ascii="Times New Roman" w:eastAsia="Times New Roman" w:hAnsi="Times New Roman" w:cs="Times New Roman"/>
          <w:color w:val="C00000"/>
          <w:sz w:val="24"/>
          <w:szCs w:val="24"/>
          <w:lang w:eastAsia="en-GB"/>
        </w:rPr>
      </w:pPr>
      <w:r>
        <w:rPr>
          <w:rFonts w:eastAsia="Times New Roman" w:cs="Times New Roman"/>
          <w:color w:val="C00000"/>
          <w:sz w:val="24"/>
          <w:szCs w:val="24"/>
          <w:lang w:eastAsia="en-GB"/>
        </w:rPr>
        <w:t xml:space="preserve">              </w:t>
      </w:r>
      <w:r>
        <w:rPr>
          <w:noProof/>
        </w:rPr>
        <w:drawing>
          <wp:inline distT="0" distB="0" distL="0" distR="0" wp14:anchorId="1AF2A965" wp14:editId="6A595996">
            <wp:extent cx="3495675" cy="1962150"/>
            <wp:effectExtent l="0" t="0" r="0" b="0"/>
            <wp:docPr id="14" name="Objeto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8D808AC" w14:textId="77777777" w:rsidR="001F49FD" w:rsidRDefault="001F49FD">
      <w:pPr>
        <w:pStyle w:val="Commarcadores4"/>
        <w:spacing w:line="240" w:lineRule="auto"/>
        <w:ind w:left="0" w:firstLine="0"/>
        <w:rPr>
          <w:rFonts w:ascii="Times New Roman" w:hAnsi="Times New Roman" w:cs="Times New Roman"/>
          <w:b/>
          <w:szCs w:val="24"/>
        </w:rPr>
      </w:pPr>
    </w:p>
    <w:p w14:paraId="72D19FC6" w14:textId="77777777" w:rsidR="001F49FD" w:rsidRDefault="001F49FD">
      <w:pPr>
        <w:pStyle w:val="Commarcadores4"/>
        <w:spacing w:line="240" w:lineRule="auto"/>
        <w:ind w:left="0" w:firstLine="0"/>
        <w:rPr>
          <w:rFonts w:ascii="Times New Roman" w:hAnsi="Times New Roman" w:cs="Times New Roman"/>
          <w:b/>
          <w:szCs w:val="24"/>
        </w:rPr>
      </w:pPr>
    </w:p>
    <w:p w14:paraId="6EEB6158" w14:textId="3942F059" w:rsidR="001F49FD" w:rsidRDefault="00611419">
      <w:pPr>
        <w:pStyle w:val="Commarcadores4"/>
        <w:ind w:left="0" w:firstLine="1134"/>
        <w:rPr>
          <w:rFonts w:ascii="Times New Roman" w:hAnsi="Times New Roman" w:cs="Times New Roman"/>
          <w:b/>
          <w:szCs w:val="24"/>
        </w:rPr>
      </w:pPr>
      <w:r>
        <w:rPr>
          <w:rFonts w:cs="Times New Roman"/>
          <w:b/>
          <w:szCs w:val="24"/>
        </w:rPr>
        <w:t xml:space="preserve">2. Suporte </w:t>
      </w:r>
    </w:p>
    <w:p w14:paraId="570254E5" w14:textId="77777777" w:rsidR="001F49FD" w:rsidRDefault="00611419">
      <w:pPr>
        <w:pStyle w:val="Commarcadores5"/>
        <w:ind w:left="1134" w:firstLine="0"/>
        <w:rPr>
          <w:rFonts w:ascii="Times New Roman" w:hAnsi="Times New Roman" w:cs="Times New Roman"/>
          <w:szCs w:val="24"/>
        </w:rPr>
      </w:pPr>
      <w:r>
        <w:rPr>
          <w:rFonts w:cs="Times New Roman"/>
          <w:szCs w:val="24"/>
        </w:rPr>
        <w:t>a) Prioritariamente com o apoio da cabeça e com pouco auxílio da mão esquerda.</w:t>
      </w:r>
      <w:r>
        <w:rPr>
          <w:rFonts w:cs="Times New Roman"/>
          <w:color w:val="0070C0"/>
          <w:szCs w:val="24"/>
        </w:rPr>
        <w:t xml:space="preserve"> 11, 12, 13, 16, 19</w:t>
      </w:r>
      <w:r>
        <w:rPr>
          <w:rFonts w:cs="Times New Roman"/>
          <w:szCs w:val="24"/>
        </w:rPr>
        <w:t xml:space="preserve">, </w:t>
      </w:r>
      <w:r>
        <w:rPr>
          <w:rFonts w:cs="Times New Roman"/>
          <w:color w:val="00B050"/>
          <w:szCs w:val="24"/>
        </w:rPr>
        <w:t>23, 24, 25, 26, 27, 31, 32, 33, 36, 37, 38</w:t>
      </w:r>
      <w:r>
        <w:rPr>
          <w:rFonts w:cs="Times New Roman"/>
          <w:szCs w:val="24"/>
        </w:rPr>
        <w:t xml:space="preserve">, </w:t>
      </w:r>
      <w:r>
        <w:rPr>
          <w:rFonts w:cs="Times New Roman"/>
          <w:color w:val="C00000"/>
          <w:szCs w:val="24"/>
        </w:rPr>
        <w:t>48, 50</w:t>
      </w:r>
    </w:p>
    <w:p w14:paraId="0F7FACA3" w14:textId="77777777" w:rsidR="001F49FD" w:rsidRDefault="00611419">
      <w:pPr>
        <w:pStyle w:val="Commarcadores5"/>
        <w:ind w:left="1134" w:firstLine="0"/>
        <w:rPr>
          <w:rFonts w:ascii="Times New Roman" w:hAnsi="Times New Roman" w:cs="Times New Roman"/>
          <w:szCs w:val="24"/>
        </w:rPr>
      </w:pPr>
      <w:r>
        <w:rPr>
          <w:rFonts w:cs="Times New Roman"/>
          <w:szCs w:val="24"/>
        </w:rPr>
        <w:t xml:space="preserve">b) Prioritariamente com a mão esquerda e com pouco auxílio da cabeça. </w:t>
      </w:r>
      <w:r>
        <w:rPr>
          <w:rFonts w:cs="Times New Roman"/>
          <w:color w:val="0070C0"/>
          <w:szCs w:val="24"/>
        </w:rPr>
        <w:t xml:space="preserve">2, 3, 5, 20, </w:t>
      </w:r>
      <w:r>
        <w:rPr>
          <w:rFonts w:cs="Times New Roman"/>
          <w:color w:val="C00000"/>
          <w:szCs w:val="24"/>
        </w:rPr>
        <w:t>42, 49</w:t>
      </w:r>
      <w:r>
        <w:rPr>
          <w:rFonts w:cs="Times New Roman"/>
          <w:szCs w:val="24"/>
        </w:rPr>
        <w:t xml:space="preserve"> </w:t>
      </w:r>
      <w:r>
        <w:rPr>
          <w:rFonts w:cs="Times New Roman"/>
          <w:color w:val="C00000"/>
          <w:szCs w:val="24"/>
        </w:rPr>
        <w:t xml:space="preserve">                 </w:t>
      </w:r>
    </w:p>
    <w:p w14:paraId="300E9BB8" w14:textId="77777777" w:rsidR="001F49FD" w:rsidRDefault="00611419">
      <w:pPr>
        <w:pStyle w:val="Commarcadores5"/>
        <w:ind w:left="1134" w:firstLine="0"/>
        <w:rPr>
          <w:rFonts w:ascii="Times New Roman" w:hAnsi="Times New Roman" w:cs="Times New Roman"/>
          <w:szCs w:val="24"/>
        </w:rPr>
      </w:pPr>
      <w:r>
        <w:rPr>
          <w:rFonts w:cs="Times New Roman"/>
          <w:szCs w:val="24"/>
        </w:rPr>
        <w:t xml:space="preserve">c) Com suporte equilibrado entre a cabeça e a mão esquerda. </w:t>
      </w:r>
      <w:r>
        <w:rPr>
          <w:rFonts w:cs="Times New Roman"/>
          <w:color w:val="0070C0"/>
          <w:szCs w:val="24"/>
        </w:rPr>
        <w:t>1, 4, 6, 7, 8, 9, 10, 14, 15, 17, 18,</w:t>
      </w:r>
      <w:r>
        <w:rPr>
          <w:rFonts w:cs="Times New Roman"/>
          <w:szCs w:val="24"/>
        </w:rPr>
        <w:t xml:space="preserve"> </w:t>
      </w:r>
      <w:r>
        <w:rPr>
          <w:rFonts w:cs="Times New Roman"/>
          <w:color w:val="00B050"/>
          <w:szCs w:val="24"/>
        </w:rPr>
        <w:t xml:space="preserve">21, 22, 28, 29, 30, 34, 35, 39, 40, </w:t>
      </w:r>
      <w:r>
        <w:rPr>
          <w:rFonts w:cs="Times New Roman"/>
          <w:color w:val="C00000"/>
          <w:szCs w:val="24"/>
        </w:rPr>
        <w:t>41, 43, 44, 46</w:t>
      </w:r>
    </w:p>
    <w:p w14:paraId="3B78A5A8" w14:textId="77777777" w:rsidR="001F49FD" w:rsidRDefault="00611419">
      <w:pPr>
        <w:pStyle w:val="Commarcadores5"/>
        <w:ind w:left="1134" w:firstLine="0"/>
        <w:rPr>
          <w:rFonts w:ascii="Times New Roman" w:hAnsi="Times New Roman" w:cs="Times New Roman"/>
          <w:i/>
          <w:szCs w:val="24"/>
        </w:rPr>
      </w:pPr>
      <w:r>
        <w:rPr>
          <w:rFonts w:cs="Times New Roman"/>
          <w:szCs w:val="24"/>
        </w:rPr>
        <w:t xml:space="preserve">Outra resposta. </w:t>
      </w:r>
      <w:r>
        <w:rPr>
          <w:rFonts w:cs="Times New Roman"/>
          <w:i/>
          <w:szCs w:val="24"/>
        </w:rPr>
        <w:t xml:space="preserve">Variável. </w:t>
      </w:r>
      <w:r>
        <w:rPr>
          <w:rFonts w:cs="Times New Roman"/>
          <w:color w:val="C00000"/>
          <w:szCs w:val="24"/>
        </w:rPr>
        <w:t xml:space="preserve">45, 47 </w:t>
      </w:r>
    </w:p>
    <w:p w14:paraId="1E77E045" w14:textId="77777777" w:rsidR="001F49FD" w:rsidRDefault="00611419">
      <w:pPr>
        <w:pStyle w:val="SemEspaamento"/>
        <w:tabs>
          <w:tab w:val="left" w:pos="1134"/>
          <w:tab w:val="left" w:pos="3686"/>
          <w:tab w:val="left" w:pos="4253"/>
        </w:tabs>
        <w:spacing w:line="360" w:lineRule="auto"/>
        <w:ind w:firstLine="0"/>
        <w:rPr>
          <w:rFonts w:ascii="Times New Roman" w:hAnsi="Times New Roman" w:cs="Times New Roman"/>
          <w:b/>
          <w:sz w:val="24"/>
          <w:szCs w:val="24"/>
        </w:rPr>
      </w:pPr>
      <w:r>
        <w:rPr>
          <w:rFonts w:cs="Times New Roman"/>
          <w:b/>
          <w:sz w:val="24"/>
          <w:szCs w:val="24"/>
        </w:rPr>
        <w:lastRenderedPageBreak/>
        <w:t xml:space="preserve">       </w:t>
      </w:r>
      <w:r>
        <w:rPr>
          <w:noProof/>
        </w:rPr>
        <w:drawing>
          <wp:inline distT="0" distB="0" distL="0" distR="0" wp14:anchorId="00CEBDCA" wp14:editId="1653B03F">
            <wp:extent cx="4629150" cy="2162175"/>
            <wp:effectExtent l="0" t="0" r="0" b="0"/>
            <wp:docPr id="15" name="Objeto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7E3806B" w14:textId="77777777" w:rsidR="001F49FD" w:rsidRDefault="001F49FD">
      <w:pPr>
        <w:pStyle w:val="SemEspaamento"/>
        <w:rPr>
          <w:rFonts w:ascii="Times New Roman" w:hAnsi="Times New Roman" w:cs="Times New Roman"/>
          <w:b/>
          <w:sz w:val="24"/>
          <w:szCs w:val="24"/>
        </w:rPr>
      </w:pPr>
    </w:p>
    <w:p w14:paraId="6DC28267" w14:textId="77777777" w:rsidR="001F49FD" w:rsidRDefault="001F49FD">
      <w:pPr>
        <w:pStyle w:val="SemEspaamento"/>
        <w:rPr>
          <w:rFonts w:ascii="Times New Roman" w:hAnsi="Times New Roman" w:cs="Times New Roman"/>
          <w:b/>
          <w:sz w:val="24"/>
          <w:szCs w:val="24"/>
        </w:rPr>
      </w:pPr>
    </w:p>
    <w:p w14:paraId="5A119B3C" w14:textId="580B5A8D" w:rsidR="001F49FD" w:rsidRDefault="00611419">
      <w:pPr>
        <w:pStyle w:val="SemEspaamento"/>
        <w:spacing w:line="360" w:lineRule="auto"/>
        <w:rPr>
          <w:rFonts w:ascii="Times New Roman" w:hAnsi="Times New Roman" w:cs="Times New Roman"/>
          <w:b/>
          <w:sz w:val="24"/>
          <w:szCs w:val="24"/>
        </w:rPr>
      </w:pPr>
      <w:r>
        <w:rPr>
          <w:rFonts w:cs="Times New Roman"/>
          <w:b/>
          <w:sz w:val="24"/>
          <w:szCs w:val="24"/>
        </w:rPr>
        <w:t>3. Nível</w:t>
      </w:r>
    </w:p>
    <w:p w14:paraId="707D2356" w14:textId="77777777" w:rsidR="001F49FD" w:rsidRDefault="00611419">
      <w:pPr>
        <w:pStyle w:val="SemEspaamento"/>
        <w:spacing w:line="360" w:lineRule="auto"/>
        <w:rPr>
          <w:rFonts w:ascii="Times New Roman" w:hAnsi="Times New Roman" w:cs="Times New Roman"/>
          <w:sz w:val="24"/>
          <w:szCs w:val="24"/>
        </w:rPr>
      </w:pPr>
      <w:r>
        <w:rPr>
          <w:rFonts w:cs="Times New Roman"/>
          <w:sz w:val="24"/>
          <w:szCs w:val="24"/>
        </w:rPr>
        <w:t xml:space="preserve">a) Voluta mais baixa do que o plano horizontal. </w:t>
      </w:r>
      <w:r>
        <w:rPr>
          <w:rFonts w:cs="Times New Roman"/>
          <w:color w:val="0070C0"/>
          <w:sz w:val="24"/>
          <w:szCs w:val="24"/>
        </w:rPr>
        <w:t xml:space="preserve">16, </w:t>
      </w:r>
      <w:r>
        <w:rPr>
          <w:rFonts w:cs="Times New Roman"/>
          <w:color w:val="00B050"/>
          <w:sz w:val="24"/>
          <w:szCs w:val="24"/>
        </w:rPr>
        <w:t xml:space="preserve">31, 33, 36, </w:t>
      </w:r>
      <w:r>
        <w:rPr>
          <w:rFonts w:cs="Times New Roman"/>
          <w:color w:val="C00000"/>
          <w:sz w:val="24"/>
          <w:szCs w:val="24"/>
        </w:rPr>
        <w:t>47</w:t>
      </w:r>
    </w:p>
    <w:p w14:paraId="0BC19295" w14:textId="77777777" w:rsidR="001F49FD" w:rsidRDefault="00611419">
      <w:pPr>
        <w:pStyle w:val="SemEspaamento"/>
        <w:tabs>
          <w:tab w:val="left" w:pos="3402"/>
        </w:tabs>
        <w:spacing w:line="360" w:lineRule="auto"/>
        <w:ind w:left="1134" w:firstLine="0"/>
        <w:rPr>
          <w:rFonts w:ascii="Times New Roman" w:hAnsi="Times New Roman" w:cs="Times New Roman"/>
          <w:sz w:val="24"/>
          <w:szCs w:val="24"/>
        </w:rPr>
      </w:pPr>
      <w:r>
        <w:rPr>
          <w:rFonts w:cs="Times New Roman"/>
          <w:sz w:val="24"/>
          <w:szCs w:val="24"/>
        </w:rPr>
        <w:t xml:space="preserve">b) Horizontal (paralelo em relação ao solo). </w:t>
      </w:r>
      <w:r>
        <w:rPr>
          <w:rFonts w:cs="Times New Roman"/>
          <w:color w:val="0070C0"/>
          <w:sz w:val="24"/>
          <w:szCs w:val="24"/>
        </w:rPr>
        <w:t xml:space="preserve">1, 2, 3, 4, 5, 7, 8, 9, 10, 11, 12, 13, 14, 15, 18, 20, </w:t>
      </w:r>
      <w:r>
        <w:rPr>
          <w:rFonts w:cs="Times New Roman"/>
          <w:color w:val="00B050"/>
          <w:sz w:val="24"/>
          <w:szCs w:val="24"/>
        </w:rPr>
        <w:t xml:space="preserve">22, 23, 24, 25, 27, 28, 29, 30, 32, 34, 35, 37, 38, 39, 40, </w:t>
      </w:r>
      <w:r>
        <w:rPr>
          <w:rFonts w:cs="Times New Roman"/>
          <w:color w:val="C00000"/>
          <w:sz w:val="24"/>
          <w:szCs w:val="24"/>
        </w:rPr>
        <w:t>41, 42, 43, 44, 45, 46, 48, 50</w:t>
      </w:r>
    </w:p>
    <w:p w14:paraId="1C2106D1" w14:textId="77777777" w:rsidR="001F49FD" w:rsidRDefault="00611419">
      <w:pPr>
        <w:pStyle w:val="SemEspaamento"/>
        <w:spacing w:line="360" w:lineRule="auto"/>
        <w:rPr>
          <w:rFonts w:ascii="Times New Roman" w:hAnsi="Times New Roman" w:cs="Times New Roman"/>
          <w:sz w:val="24"/>
          <w:szCs w:val="24"/>
        </w:rPr>
      </w:pPr>
      <w:r>
        <w:rPr>
          <w:rFonts w:cs="Times New Roman"/>
          <w:sz w:val="24"/>
          <w:szCs w:val="24"/>
        </w:rPr>
        <w:t xml:space="preserve">c) Voluta mais elevada do que o plano horizontal. </w:t>
      </w:r>
      <w:r>
        <w:rPr>
          <w:rFonts w:cs="Times New Roman"/>
          <w:color w:val="0070C0"/>
          <w:sz w:val="24"/>
          <w:szCs w:val="24"/>
        </w:rPr>
        <w:t>6, 19</w:t>
      </w:r>
      <w:r>
        <w:rPr>
          <w:rFonts w:cs="Times New Roman"/>
          <w:color w:val="00B050"/>
          <w:sz w:val="24"/>
          <w:szCs w:val="24"/>
        </w:rPr>
        <w:t xml:space="preserve">, 21, </w:t>
      </w:r>
      <w:r>
        <w:rPr>
          <w:rFonts w:cs="Times New Roman"/>
          <w:color w:val="C00000"/>
          <w:sz w:val="24"/>
          <w:szCs w:val="24"/>
        </w:rPr>
        <w:t xml:space="preserve">49 </w:t>
      </w:r>
    </w:p>
    <w:p w14:paraId="3A0F4B9B" w14:textId="77777777" w:rsidR="001F49FD" w:rsidRDefault="00611419">
      <w:pPr>
        <w:pStyle w:val="SemEspaamento"/>
        <w:spacing w:line="360" w:lineRule="auto"/>
        <w:rPr>
          <w:rFonts w:ascii="Times New Roman" w:hAnsi="Times New Roman" w:cs="Times New Roman"/>
          <w:color w:val="00B050"/>
          <w:sz w:val="24"/>
          <w:szCs w:val="24"/>
        </w:rPr>
      </w:pPr>
      <w:r>
        <w:rPr>
          <w:rFonts w:cs="Times New Roman"/>
          <w:szCs w:val="24"/>
        </w:rPr>
        <w:t xml:space="preserve">Outra resposta. </w:t>
      </w:r>
      <w:r>
        <w:rPr>
          <w:rFonts w:cs="Times New Roman"/>
          <w:i/>
          <w:szCs w:val="24"/>
        </w:rPr>
        <w:t xml:space="preserve">Variável. </w:t>
      </w:r>
      <w:r>
        <w:rPr>
          <w:rFonts w:cs="Times New Roman"/>
          <w:color w:val="0070C0"/>
          <w:sz w:val="24"/>
          <w:szCs w:val="24"/>
        </w:rPr>
        <w:t xml:space="preserve">17, </w:t>
      </w:r>
      <w:r>
        <w:rPr>
          <w:rFonts w:cs="Times New Roman"/>
          <w:color w:val="00B050"/>
          <w:sz w:val="24"/>
          <w:szCs w:val="24"/>
        </w:rPr>
        <w:t xml:space="preserve">26 </w:t>
      </w:r>
    </w:p>
    <w:p w14:paraId="77D43E51" w14:textId="77777777" w:rsidR="001F49FD" w:rsidRDefault="00611419">
      <w:pPr>
        <w:pStyle w:val="SemEspaamento"/>
        <w:tabs>
          <w:tab w:val="left" w:pos="1134"/>
          <w:tab w:val="left" w:pos="3402"/>
          <w:tab w:val="left" w:pos="3544"/>
          <w:tab w:val="left" w:pos="3686"/>
          <w:tab w:val="left" w:pos="3969"/>
          <w:tab w:val="left" w:pos="4253"/>
          <w:tab w:val="left" w:pos="7088"/>
        </w:tabs>
        <w:spacing w:line="360" w:lineRule="auto"/>
        <w:ind w:firstLine="0"/>
        <w:rPr>
          <w:rFonts w:ascii="Times New Roman" w:hAnsi="Times New Roman" w:cs="Times New Roman"/>
          <w:color w:val="00B050"/>
          <w:sz w:val="24"/>
          <w:szCs w:val="24"/>
        </w:rPr>
      </w:pPr>
      <w:r>
        <w:rPr>
          <w:noProof/>
        </w:rPr>
        <w:drawing>
          <wp:inline distT="0" distB="0" distL="0" distR="0" wp14:anchorId="239D2DC4" wp14:editId="5FF1851E">
            <wp:extent cx="4629150" cy="2114550"/>
            <wp:effectExtent l="0" t="0" r="0" b="0"/>
            <wp:docPr id="16" name="Objeto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4678E6E" w14:textId="77777777" w:rsidR="001F49FD" w:rsidRDefault="001F49FD">
      <w:pPr>
        <w:pStyle w:val="SemEspaamento"/>
        <w:ind w:firstLine="709"/>
        <w:rPr>
          <w:rFonts w:ascii="Times New Roman" w:hAnsi="Times New Roman" w:cs="Times New Roman"/>
          <w:b/>
          <w:sz w:val="24"/>
          <w:szCs w:val="24"/>
        </w:rPr>
      </w:pPr>
    </w:p>
    <w:p w14:paraId="33CFE61B" w14:textId="77777777" w:rsidR="001F49FD" w:rsidRDefault="001F49FD">
      <w:pPr>
        <w:pStyle w:val="SemEspaamento"/>
        <w:ind w:firstLine="709"/>
        <w:rPr>
          <w:rFonts w:ascii="Times New Roman" w:hAnsi="Times New Roman" w:cs="Times New Roman"/>
          <w:b/>
          <w:sz w:val="24"/>
          <w:szCs w:val="24"/>
        </w:rPr>
      </w:pPr>
    </w:p>
    <w:p w14:paraId="49BB72F9" w14:textId="2AF6859F" w:rsidR="001F49FD" w:rsidRDefault="00611419">
      <w:pPr>
        <w:pStyle w:val="SemEspaamento"/>
        <w:spacing w:line="360" w:lineRule="auto"/>
        <w:ind w:left="426" w:firstLine="708"/>
        <w:rPr>
          <w:rFonts w:ascii="Times New Roman" w:hAnsi="Times New Roman" w:cs="Times New Roman"/>
          <w:b/>
          <w:sz w:val="24"/>
          <w:szCs w:val="24"/>
        </w:rPr>
      </w:pPr>
      <w:r>
        <w:rPr>
          <w:rFonts w:cs="Times New Roman"/>
          <w:b/>
          <w:sz w:val="24"/>
          <w:szCs w:val="24"/>
        </w:rPr>
        <w:t>4. Local de colocação do queixo</w:t>
      </w:r>
    </w:p>
    <w:p w14:paraId="37369A24" w14:textId="77777777" w:rsidR="001F49FD" w:rsidRDefault="00611419">
      <w:pPr>
        <w:pStyle w:val="SemEspaamento"/>
        <w:spacing w:line="360" w:lineRule="auto"/>
        <w:ind w:left="1134" w:firstLine="0"/>
        <w:rPr>
          <w:rFonts w:ascii="Times New Roman" w:hAnsi="Times New Roman" w:cs="Times New Roman"/>
          <w:sz w:val="24"/>
          <w:szCs w:val="24"/>
        </w:rPr>
      </w:pPr>
      <w:r>
        <w:rPr>
          <w:rFonts w:cs="Times New Roman"/>
          <w:sz w:val="24"/>
          <w:szCs w:val="24"/>
        </w:rPr>
        <w:t>a) Ao lado do estandarte (</w:t>
      </w:r>
      <w:proofErr w:type="spellStart"/>
      <w:r>
        <w:rPr>
          <w:rFonts w:cs="Times New Roman"/>
          <w:sz w:val="24"/>
          <w:szCs w:val="24"/>
        </w:rPr>
        <w:t>queixeira</w:t>
      </w:r>
      <w:proofErr w:type="spellEnd"/>
      <w:r>
        <w:rPr>
          <w:rFonts w:cs="Times New Roman"/>
          <w:sz w:val="24"/>
          <w:szCs w:val="24"/>
        </w:rPr>
        <w:t xml:space="preserve"> que não possui estrutura de ponte sobre o estandarte). </w:t>
      </w:r>
      <w:r>
        <w:rPr>
          <w:rFonts w:cs="Times New Roman"/>
          <w:color w:val="0070C0"/>
          <w:sz w:val="24"/>
          <w:szCs w:val="24"/>
        </w:rPr>
        <w:t xml:space="preserve">4, 12, </w:t>
      </w:r>
      <w:r>
        <w:rPr>
          <w:rFonts w:cs="Times New Roman"/>
          <w:color w:val="00B050"/>
          <w:sz w:val="24"/>
          <w:szCs w:val="24"/>
        </w:rPr>
        <w:t xml:space="preserve">25, 28, 31, 36, 38, </w:t>
      </w:r>
      <w:r>
        <w:rPr>
          <w:rFonts w:cs="Times New Roman"/>
          <w:color w:val="C00000"/>
          <w:sz w:val="24"/>
          <w:szCs w:val="24"/>
        </w:rPr>
        <w:t>42, 44, 48, 50</w:t>
      </w:r>
    </w:p>
    <w:p w14:paraId="44C42F32" w14:textId="77777777" w:rsidR="001F49FD" w:rsidRDefault="00611419">
      <w:pPr>
        <w:pStyle w:val="SemEspaamento"/>
        <w:spacing w:line="360" w:lineRule="auto"/>
        <w:ind w:left="1134" w:firstLine="0"/>
        <w:rPr>
          <w:rFonts w:ascii="Times New Roman" w:hAnsi="Times New Roman" w:cs="Times New Roman"/>
          <w:sz w:val="24"/>
          <w:szCs w:val="24"/>
        </w:rPr>
      </w:pPr>
      <w:r>
        <w:rPr>
          <w:rFonts w:cs="Times New Roman"/>
          <w:sz w:val="24"/>
          <w:szCs w:val="24"/>
        </w:rPr>
        <w:t xml:space="preserve">b) Entre o lado esquerdo e o estandarte. </w:t>
      </w:r>
      <w:r>
        <w:rPr>
          <w:rFonts w:cs="Times New Roman"/>
          <w:color w:val="0070C0"/>
          <w:sz w:val="24"/>
          <w:szCs w:val="24"/>
        </w:rPr>
        <w:t xml:space="preserve">1, 2, 3, 6, 7, 9, 10, 11, 13, 14, 15, 16, 17, 18, 19, </w:t>
      </w:r>
      <w:r>
        <w:rPr>
          <w:rFonts w:cs="Times New Roman"/>
          <w:color w:val="00B050"/>
          <w:sz w:val="24"/>
          <w:szCs w:val="24"/>
        </w:rPr>
        <w:t xml:space="preserve">21, 22, 23, 24, 26, 27, 29, 30, 32, 33, 34, 35, 37, 39, 40, </w:t>
      </w:r>
      <w:r>
        <w:rPr>
          <w:rFonts w:cs="Times New Roman"/>
          <w:color w:val="C00000"/>
          <w:sz w:val="24"/>
          <w:szCs w:val="24"/>
        </w:rPr>
        <w:t>41, 43, 45, 46, 47, 49</w:t>
      </w:r>
    </w:p>
    <w:p w14:paraId="35535C05" w14:textId="77777777" w:rsidR="001F49FD" w:rsidRDefault="00611419">
      <w:pPr>
        <w:pStyle w:val="SemEspaamento"/>
        <w:spacing w:line="360" w:lineRule="auto"/>
        <w:rPr>
          <w:rFonts w:ascii="Times New Roman" w:hAnsi="Times New Roman" w:cs="Times New Roman"/>
          <w:color w:val="0070C0"/>
          <w:sz w:val="24"/>
          <w:szCs w:val="24"/>
        </w:rPr>
      </w:pPr>
      <w:r>
        <w:rPr>
          <w:rFonts w:cs="Times New Roman"/>
          <w:sz w:val="24"/>
          <w:szCs w:val="24"/>
        </w:rPr>
        <w:t>c) Ao centro (</w:t>
      </w:r>
      <w:proofErr w:type="spellStart"/>
      <w:r>
        <w:rPr>
          <w:rFonts w:cs="Times New Roman"/>
          <w:sz w:val="24"/>
          <w:szCs w:val="24"/>
        </w:rPr>
        <w:t>queixeira</w:t>
      </w:r>
      <w:proofErr w:type="spellEnd"/>
      <w:r>
        <w:rPr>
          <w:rFonts w:cs="Times New Roman"/>
          <w:sz w:val="24"/>
          <w:szCs w:val="24"/>
        </w:rPr>
        <w:t xml:space="preserve"> central). </w:t>
      </w:r>
      <w:r>
        <w:rPr>
          <w:rFonts w:cs="Times New Roman"/>
          <w:color w:val="0070C0"/>
          <w:sz w:val="24"/>
          <w:szCs w:val="24"/>
        </w:rPr>
        <w:t>5, 8, 20</w:t>
      </w:r>
    </w:p>
    <w:p w14:paraId="59FDF0E6" w14:textId="77777777" w:rsidR="001F49FD" w:rsidRDefault="00611419">
      <w:pPr>
        <w:tabs>
          <w:tab w:val="left" w:pos="1134"/>
          <w:tab w:val="left" w:pos="3402"/>
          <w:tab w:val="left" w:pos="3686"/>
          <w:tab w:val="left" w:pos="4253"/>
          <w:tab w:val="left" w:pos="7088"/>
        </w:tabs>
        <w:spacing w:line="240" w:lineRule="auto"/>
        <w:ind w:firstLine="0"/>
      </w:pPr>
      <w:r>
        <w:rPr>
          <w:noProof/>
        </w:rPr>
        <w:lastRenderedPageBreak/>
        <w:drawing>
          <wp:inline distT="0" distB="0" distL="0" distR="0" wp14:anchorId="4F8CA7FA" wp14:editId="6214FC55">
            <wp:extent cx="5762625" cy="2000250"/>
            <wp:effectExtent l="0" t="0" r="0" b="0"/>
            <wp:docPr id="17" name="Objeto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E0F9386" w14:textId="77777777" w:rsidR="001F49FD" w:rsidRDefault="00611419">
      <w:pPr>
        <w:tabs>
          <w:tab w:val="left" w:pos="1134"/>
          <w:tab w:val="left" w:pos="3686"/>
        </w:tabs>
        <w:spacing w:line="240" w:lineRule="auto"/>
        <w:ind w:firstLine="0"/>
        <w:rPr>
          <w:rFonts w:ascii="Times New Roman" w:hAnsi="Times New Roman" w:cs="Times New Roman"/>
          <w:b/>
          <w:szCs w:val="24"/>
        </w:rPr>
      </w:pPr>
      <w:r>
        <w:rPr>
          <w:rFonts w:cs="Times New Roman"/>
          <w:b/>
          <w:szCs w:val="24"/>
        </w:rPr>
        <w:t xml:space="preserve">       </w:t>
      </w:r>
    </w:p>
    <w:p w14:paraId="369B7211" w14:textId="77777777" w:rsidR="001F49FD" w:rsidRDefault="001F49FD">
      <w:pPr>
        <w:tabs>
          <w:tab w:val="left" w:pos="1134"/>
          <w:tab w:val="left" w:pos="3686"/>
        </w:tabs>
        <w:spacing w:line="240" w:lineRule="auto"/>
        <w:ind w:firstLine="0"/>
        <w:rPr>
          <w:rFonts w:ascii="Times New Roman" w:hAnsi="Times New Roman" w:cs="Times New Roman"/>
          <w:b/>
          <w:szCs w:val="24"/>
        </w:rPr>
      </w:pPr>
    </w:p>
    <w:p w14:paraId="0473CFB8" w14:textId="469DB35B" w:rsidR="001F49FD" w:rsidRDefault="00611419">
      <w:pPr>
        <w:rPr>
          <w:rFonts w:ascii="Times New Roman" w:hAnsi="Times New Roman" w:cs="Times New Roman"/>
          <w:b/>
          <w:szCs w:val="24"/>
        </w:rPr>
      </w:pPr>
      <w:r>
        <w:rPr>
          <w:rFonts w:cs="Times New Roman"/>
          <w:b/>
          <w:szCs w:val="24"/>
        </w:rPr>
        <w:t xml:space="preserve">5. Direcionamento da cabeça </w:t>
      </w:r>
    </w:p>
    <w:p w14:paraId="69F47BA4" w14:textId="77777777" w:rsidR="001F49FD" w:rsidRDefault="00611419">
      <w:pPr>
        <w:rPr>
          <w:rFonts w:ascii="Times New Roman" w:hAnsi="Times New Roman" w:cs="Times New Roman"/>
          <w:szCs w:val="24"/>
        </w:rPr>
      </w:pPr>
      <w:r>
        <w:rPr>
          <w:rFonts w:cs="Times New Roman"/>
          <w:szCs w:val="24"/>
        </w:rPr>
        <w:t xml:space="preserve">a) Voltada para frente. </w:t>
      </w:r>
      <w:r>
        <w:rPr>
          <w:rFonts w:cs="Times New Roman"/>
          <w:color w:val="0070C0"/>
          <w:szCs w:val="24"/>
        </w:rPr>
        <w:t xml:space="preserve">4, 15, 17, </w:t>
      </w:r>
      <w:r>
        <w:rPr>
          <w:rFonts w:cs="Times New Roman"/>
          <w:color w:val="00B050"/>
          <w:szCs w:val="24"/>
        </w:rPr>
        <w:t xml:space="preserve">27, 31, 35, 39, </w:t>
      </w:r>
      <w:r>
        <w:rPr>
          <w:rFonts w:cs="Times New Roman"/>
          <w:color w:val="C00000"/>
          <w:szCs w:val="24"/>
        </w:rPr>
        <w:t>44, 45, 49</w:t>
      </w:r>
    </w:p>
    <w:p w14:paraId="63382C73" w14:textId="77777777" w:rsidR="001F49FD" w:rsidRDefault="00611419">
      <w:pPr>
        <w:ind w:left="1134" w:firstLine="0"/>
        <w:rPr>
          <w:rFonts w:ascii="Times New Roman" w:hAnsi="Times New Roman" w:cs="Times New Roman"/>
          <w:szCs w:val="24"/>
        </w:rPr>
      </w:pPr>
      <w:r>
        <w:rPr>
          <w:rFonts w:cs="Times New Roman"/>
          <w:szCs w:val="24"/>
        </w:rPr>
        <w:t xml:space="preserve">b) Entre o centro e o espelho. </w:t>
      </w:r>
      <w:r>
        <w:rPr>
          <w:rFonts w:cs="Times New Roman"/>
          <w:color w:val="0070C0"/>
          <w:szCs w:val="24"/>
        </w:rPr>
        <w:t>1, 2, 7, 9, 10, 12, 13, 14, 16, 18</w:t>
      </w:r>
      <w:r>
        <w:rPr>
          <w:rFonts w:cs="Times New Roman"/>
          <w:szCs w:val="24"/>
        </w:rPr>
        <w:t xml:space="preserve">, </w:t>
      </w:r>
      <w:r>
        <w:rPr>
          <w:rFonts w:cs="Times New Roman"/>
          <w:color w:val="00B050"/>
          <w:szCs w:val="24"/>
        </w:rPr>
        <w:t xml:space="preserve">22, 25, 28, 30, 32, 33, 34, 37, 38, 40, </w:t>
      </w:r>
      <w:r>
        <w:rPr>
          <w:rFonts w:cs="Times New Roman"/>
          <w:color w:val="C00000"/>
          <w:szCs w:val="24"/>
        </w:rPr>
        <w:t>43, 46, 50</w:t>
      </w:r>
    </w:p>
    <w:p w14:paraId="7D0E2ADD" w14:textId="77777777" w:rsidR="001F49FD" w:rsidRDefault="00611419">
      <w:pPr>
        <w:rPr>
          <w:rFonts w:ascii="Times New Roman" w:hAnsi="Times New Roman" w:cs="Times New Roman"/>
          <w:szCs w:val="24"/>
        </w:rPr>
      </w:pPr>
      <w:r>
        <w:rPr>
          <w:rFonts w:cs="Times New Roman"/>
          <w:szCs w:val="24"/>
        </w:rPr>
        <w:t xml:space="preserve">c) Voltada para a direção do espelho. </w:t>
      </w:r>
      <w:r>
        <w:rPr>
          <w:rFonts w:cs="Times New Roman"/>
          <w:color w:val="0070C0"/>
          <w:szCs w:val="24"/>
        </w:rPr>
        <w:t>6, 8, 11, 19, 20</w:t>
      </w:r>
      <w:r>
        <w:rPr>
          <w:rFonts w:cs="Times New Roman"/>
          <w:color w:val="00B050"/>
          <w:szCs w:val="24"/>
        </w:rPr>
        <w:t xml:space="preserve">, 23, 24, 36, </w:t>
      </w:r>
      <w:r>
        <w:rPr>
          <w:rFonts w:cs="Times New Roman"/>
          <w:color w:val="C00000"/>
          <w:szCs w:val="24"/>
        </w:rPr>
        <w:t>42, 47, 48</w:t>
      </w:r>
    </w:p>
    <w:p w14:paraId="238F607D" w14:textId="77777777" w:rsidR="001F49FD" w:rsidRDefault="00611419">
      <w:pPr>
        <w:rPr>
          <w:rFonts w:ascii="Times New Roman" w:hAnsi="Times New Roman" w:cs="Times New Roman"/>
          <w:color w:val="C00000"/>
          <w:szCs w:val="24"/>
        </w:rPr>
      </w:pPr>
      <w:r>
        <w:rPr>
          <w:rFonts w:cs="Times New Roman"/>
          <w:szCs w:val="24"/>
        </w:rPr>
        <w:t xml:space="preserve">Outra resposta. </w:t>
      </w:r>
      <w:r>
        <w:rPr>
          <w:rFonts w:cs="Times New Roman"/>
          <w:i/>
          <w:szCs w:val="24"/>
        </w:rPr>
        <w:t xml:space="preserve">Variável. </w:t>
      </w:r>
      <w:r>
        <w:rPr>
          <w:rFonts w:cs="Times New Roman"/>
          <w:color w:val="0070C0"/>
          <w:szCs w:val="24"/>
        </w:rPr>
        <w:t xml:space="preserve">3, 5, </w:t>
      </w:r>
      <w:r>
        <w:rPr>
          <w:rFonts w:cs="Times New Roman"/>
          <w:color w:val="00B050"/>
          <w:szCs w:val="24"/>
        </w:rPr>
        <w:t xml:space="preserve">21, 26, 29, </w:t>
      </w:r>
      <w:r>
        <w:rPr>
          <w:rFonts w:cs="Times New Roman"/>
          <w:color w:val="C00000"/>
          <w:szCs w:val="24"/>
        </w:rPr>
        <w:t>41</w:t>
      </w:r>
    </w:p>
    <w:p w14:paraId="4E756D28" w14:textId="77777777" w:rsidR="001F49FD" w:rsidRDefault="00611419">
      <w:pPr>
        <w:tabs>
          <w:tab w:val="left" w:pos="1134"/>
          <w:tab w:val="left" w:pos="3402"/>
          <w:tab w:val="left" w:pos="3544"/>
          <w:tab w:val="left" w:pos="3686"/>
          <w:tab w:val="left" w:pos="4253"/>
          <w:tab w:val="left" w:pos="7088"/>
        </w:tabs>
        <w:ind w:firstLine="0"/>
        <w:rPr>
          <w:rFonts w:ascii="Times New Roman" w:hAnsi="Times New Roman" w:cs="Times New Roman"/>
          <w:szCs w:val="24"/>
        </w:rPr>
      </w:pPr>
      <w:r>
        <w:rPr>
          <w:rFonts w:cs="Times New Roman"/>
          <w:szCs w:val="24"/>
        </w:rPr>
        <w:t xml:space="preserve"> </w:t>
      </w:r>
      <w:r>
        <w:rPr>
          <w:noProof/>
        </w:rPr>
        <w:drawing>
          <wp:inline distT="0" distB="0" distL="0" distR="0" wp14:anchorId="5A2132E7" wp14:editId="46AAA295">
            <wp:extent cx="5105400" cy="2133600"/>
            <wp:effectExtent l="0" t="0" r="0" b="0"/>
            <wp:docPr id="18" name="Objeto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rFonts w:cs="Times New Roman"/>
          <w:szCs w:val="24"/>
        </w:rPr>
        <w:t xml:space="preserve">     </w:t>
      </w:r>
    </w:p>
    <w:p w14:paraId="09E977E5" w14:textId="77777777" w:rsidR="001F49FD" w:rsidRDefault="001F49FD">
      <w:pPr>
        <w:tabs>
          <w:tab w:val="left" w:pos="3402"/>
        </w:tabs>
        <w:rPr>
          <w:rFonts w:ascii="Times New Roman" w:hAnsi="Times New Roman" w:cs="Times New Roman"/>
          <w:b/>
          <w:szCs w:val="24"/>
        </w:rPr>
      </w:pPr>
    </w:p>
    <w:p w14:paraId="5CA92FEE" w14:textId="4E70FD40" w:rsidR="001F49FD" w:rsidRDefault="00611419">
      <w:pPr>
        <w:tabs>
          <w:tab w:val="left" w:pos="3402"/>
        </w:tabs>
        <w:rPr>
          <w:rFonts w:ascii="Times New Roman" w:hAnsi="Times New Roman" w:cs="Times New Roman"/>
          <w:b/>
          <w:szCs w:val="24"/>
        </w:rPr>
      </w:pPr>
      <w:r>
        <w:rPr>
          <w:rFonts w:cs="Times New Roman"/>
          <w:b/>
          <w:szCs w:val="24"/>
        </w:rPr>
        <w:t xml:space="preserve">6. Ângulo de abertura do violino </w:t>
      </w:r>
    </w:p>
    <w:p w14:paraId="61A0AFF3" w14:textId="77777777" w:rsidR="001F49FD" w:rsidRDefault="00611419">
      <w:pPr>
        <w:rPr>
          <w:rFonts w:ascii="Times New Roman" w:hAnsi="Times New Roman" w:cs="Times New Roman"/>
          <w:szCs w:val="24"/>
        </w:rPr>
      </w:pPr>
      <w:r>
        <w:rPr>
          <w:rFonts w:cs="Times New Roman"/>
          <w:szCs w:val="24"/>
        </w:rPr>
        <w:t xml:space="preserve">a) Mínimo (em frente ao ombro). </w:t>
      </w:r>
      <w:r>
        <w:rPr>
          <w:rFonts w:cs="Times New Roman"/>
          <w:color w:val="00B050"/>
          <w:szCs w:val="24"/>
        </w:rPr>
        <w:t xml:space="preserve">32, 37, </w:t>
      </w:r>
      <w:r>
        <w:rPr>
          <w:rFonts w:cs="Times New Roman"/>
          <w:color w:val="C00000"/>
          <w:szCs w:val="24"/>
        </w:rPr>
        <w:t>42</w:t>
      </w:r>
    </w:p>
    <w:p w14:paraId="6C8AEC18" w14:textId="77777777" w:rsidR="001F49FD" w:rsidRDefault="00611419">
      <w:pPr>
        <w:ind w:left="1134" w:firstLine="0"/>
        <w:rPr>
          <w:rFonts w:ascii="Times New Roman" w:hAnsi="Times New Roman" w:cs="Times New Roman"/>
          <w:szCs w:val="24"/>
        </w:rPr>
      </w:pPr>
      <w:r>
        <w:rPr>
          <w:rFonts w:cs="Times New Roman"/>
          <w:szCs w:val="24"/>
        </w:rPr>
        <w:t xml:space="preserve">b) Moderado. </w:t>
      </w:r>
      <w:r>
        <w:rPr>
          <w:rFonts w:cs="Times New Roman"/>
          <w:color w:val="0070C0"/>
          <w:szCs w:val="24"/>
        </w:rPr>
        <w:t>1, 2, 3, 4, 6, 7, 8, 9, 10, 11, 12, 13, 14, 15, 16, 17, 18, 19</w:t>
      </w:r>
      <w:r>
        <w:rPr>
          <w:rFonts w:cs="Times New Roman"/>
          <w:szCs w:val="24"/>
        </w:rPr>
        <w:t xml:space="preserve">, </w:t>
      </w:r>
      <w:r>
        <w:rPr>
          <w:rFonts w:cs="Times New Roman"/>
          <w:color w:val="00B050"/>
          <w:szCs w:val="24"/>
        </w:rPr>
        <w:t xml:space="preserve">21, 22, 24, 25, 26, 28, 30, 31, 33, 34, 35, 36, 38, 39, 40, </w:t>
      </w:r>
      <w:r>
        <w:rPr>
          <w:rFonts w:cs="Times New Roman"/>
          <w:color w:val="C00000"/>
          <w:szCs w:val="24"/>
        </w:rPr>
        <w:t>41, 43, 44, 45, 46, 47, 48, 49, 50</w:t>
      </w:r>
    </w:p>
    <w:p w14:paraId="2890475C" w14:textId="77777777" w:rsidR="001F49FD" w:rsidRDefault="00611419">
      <w:pPr>
        <w:rPr>
          <w:rFonts w:ascii="Times New Roman" w:hAnsi="Times New Roman" w:cs="Times New Roman"/>
          <w:color w:val="00B050"/>
          <w:szCs w:val="24"/>
        </w:rPr>
      </w:pPr>
      <w:r>
        <w:rPr>
          <w:rFonts w:cs="Times New Roman"/>
          <w:szCs w:val="24"/>
        </w:rPr>
        <w:t>c) Acentuado para a esquerda</w:t>
      </w:r>
      <w:r>
        <w:rPr>
          <w:rFonts w:cs="Times New Roman"/>
          <w:color w:val="00B050"/>
          <w:szCs w:val="24"/>
        </w:rPr>
        <w:t xml:space="preserve">. </w:t>
      </w:r>
      <w:r>
        <w:rPr>
          <w:rFonts w:cs="Times New Roman"/>
          <w:color w:val="0070C0"/>
          <w:szCs w:val="24"/>
        </w:rPr>
        <w:t xml:space="preserve">5, 20, </w:t>
      </w:r>
      <w:r>
        <w:rPr>
          <w:rFonts w:cs="Times New Roman"/>
          <w:color w:val="00B050"/>
          <w:szCs w:val="24"/>
        </w:rPr>
        <w:t>23, 27.</w:t>
      </w:r>
    </w:p>
    <w:p w14:paraId="420E6AF7" w14:textId="77777777" w:rsidR="001F49FD" w:rsidRDefault="00611419">
      <w:pPr>
        <w:tabs>
          <w:tab w:val="left" w:pos="3686"/>
          <w:tab w:val="left" w:pos="4253"/>
        </w:tabs>
        <w:rPr>
          <w:rFonts w:ascii="Times New Roman" w:hAnsi="Times New Roman" w:cs="Times New Roman"/>
          <w:i/>
          <w:szCs w:val="24"/>
        </w:rPr>
      </w:pPr>
      <w:r>
        <w:rPr>
          <w:rFonts w:cs="Times New Roman"/>
          <w:szCs w:val="24"/>
        </w:rPr>
        <w:t>Outra resposta.</w:t>
      </w:r>
      <w:r>
        <w:rPr>
          <w:rFonts w:cs="Times New Roman"/>
          <w:color w:val="00B050"/>
          <w:szCs w:val="24"/>
        </w:rPr>
        <w:t xml:space="preserve"> </w:t>
      </w:r>
      <w:r>
        <w:rPr>
          <w:rFonts w:cs="Times New Roman"/>
          <w:i/>
          <w:szCs w:val="24"/>
        </w:rPr>
        <w:t>Variável.</w:t>
      </w:r>
      <w:r>
        <w:rPr>
          <w:rFonts w:cs="Times New Roman"/>
          <w:szCs w:val="24"/>
        </w:rPr>
        <w:t xml:space="preserve"> </w:t>
      </w:r>
      <w:r>
        <w:rPr>
          <w:rFonts w:cs="Times New Roman"/>
          <w:color w:val="00B050"/>
          <w:szCs w:val="24"/>
        </w:rPr>
        <w:t>29</w:t>
      </w:r>
    </w:p>
    <w:p w14:paraId="3E2A57B4" w14:textId="77777777" w:rsidR="001F49FD" w:rsidRDefault="00611419">
      <w:pPr>
        <w:tabs>
          <w:tab w:val="left" w:pos="1134"/>
          <w:tab w:val="left" w:pos="3402"/>
          <w:tab w:val="left" w:pos="3686"/>
          <w:tab w:val="left" w:pos="4253"/>
          <w:tab w:val="left" w:pos="7088"/>
        </w:tabs>
        <w:ind w:firstLine="0"/>
        <w:contextualSpacing/>
        <w:rPr>
          <w:rFonts w:ascii="Times New Roman" w:hAnsi="Times New Roman" w:cs="Times New Roman"/>
          <w:b/>
          <w:szCs w:val="24"/>
        </w:rPr>
      </w:pPr>
      <w:r>
        <w:rPr>
          <w:rFonts w:cs="Times New Roman"/>
          <w:b/>
          <w:szCs w:val="24"/>
        </w:rPr>
        <w:lastRenderedPageBreak/>
        <w:t xml:space="preserve">           </w:t>
      </w:r>
      <w:r>
        <w:rPr>
          <w:noProof/>
        </w:rPr>
        <w:drawing>
          <wp:inline distT="0" distB="0" distL="0" distR="0" wp14:anchorId="1B2BFFBA" wp14:editId="01FE54FF">
            <wp:extent cx="3724275" cy="1866900"/>
            <wp:effectExtent l="0" t="0" r="0" b="0"/>
            <wp:docPr id="19" name="Objeto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9736349" w14:textId="77777777" w:rsidR="001F49FD" w:rsidRDefault="001F49FD">
      <w:pPr>
        <w:contextualSpacing/>
        <w:rPr>
          <w:rFonts w:ascii="Times New Roman" w:hAnsi="Times New Roman" w:cs="Times New Roman"/>
          <w:b/>
          <w:szCs w:val="24"/>
        </w:rPr>
      </w:pPr>
    </w:p>
    <w:p w14:paraId="5AB4F1FC" w14:textId="77777777" w:rsidR="001F49FD" w:rsidRDefault="001F49FD">
      <w:pPr>
        <w:contextualSpacing/>
        <w:rPr>
          <w:rFonts w:ascii="Times New Roman" w:hAnsi="Times New Roman" w:cs="Times New Roman"/>
          <w:b/>
          <w:szCs w:val="24"/>
        </w:rPr>
      </w:pPr>
    </w:p>
    <w:p w14:paraId="6AB44429" w14:textId="39F4FBC8" w:rsidR="001F49FD" w:rsidRDefault="00611419">
      <w:pPr>
        <w:contextualSpacing/>
        <w:rPr>
          <w:rFonts w:ascii="Times New Roman" w:hAnsi="Times New Roman" w:cs="Times New Roman"/>
          <w:b/>
          <w:szCs w:val="24"/>
        </w:rPr>
      </w:pPr>
      <w:r>
        <w:rPr>
          <w:rFonts w:cs="Times New Roman"/>
          <w:b/>
          <w:szCs w:val="24"/>
        </w:rPr>
        <w:t xml:space="preserve">7. Movimentação corporal </w:t>
      </w:r>
    </w:p>
    <w:p w14:paraId="20A7BD27" w14:textId="77777777" w:rsidR="001F49FD" w:rsidRDefault="00611419">
      <w:pPr>
        <w:ind w:left="1134" w:firstLine="0"/>
        <w:contextualSpacing/>
        <w:rPr>
          <w:rFonts w:ascii="Times New Roman" w:hAnsi="Times New Roman" w:cs="Times New Roman"/>
          <w:szCs w:val="24"/>
        </w:rPr>
      </w:pPr>
      <w:r>
        <w:rPr>
          <w:rFonts w:cs="Times New Roman"/>
          <w:szCs w:val="24"/>
        </w:rPr>
        <w:t xml:space="preserve">a) Restrita. </w:t>
      </w:r>
      <w:r>
        <w:rPr>
          <w:rFonts w:cs="Times New Roman"/>
          <w:color w:val="0070C0"/>
          <w:szCs w:val="24"/>
        </w:rPr>
        <w:t xml:space="preserve">4, 6, 7, 8, 9, 12, 13, 14, 17, 18, 19, 20, </w:t>
      </w:r>
      <w:r>
        <w:rPr>
          <w:rFonts w:cs="Times New Roman"/>
          <w:color w:val="00B050"/>
          <w:szCs w:val="24"/>
        </w:rPr>
        <w:t xml:space="preserve">21, 22, 23, 25, 26, 27, 28, 31, 33, 34, 36, 37, 38, 40, </w:t>
      </w:r>
      <w:r>
        <w:rPr>
          <w:rFonts w:cs="Times New Roman"/>
          <w:color w:val="C00000"/>
          <w:szCs w:val="24"/>
        </w:rPr>
        <w:t>41, 42, 43, 44, 45, 46, 47, 48, 49</w:t>
      </w:r>
    </w:p>
    <w:p w14:paraId="5E1035FE" w14:textId="77777777" w:rsidR="001F49FD" w:rsidRDefault="00611419">
      <w:pPr>
        <w:contextualSpacing/>
        <w:rPr>
          <w:rFonts w:ascii="Times New Roman" w:hAnsi="Times New Roman" w:cs="Times New Roman"/>
          <w:szCs w:val="24"/>
        </w:rPr>
      </w:pPr>
      <w:r>
        <w:rPr>
          <w:rFonts w:cs="Times New Roman"/>
          <w:szCs w:val="24"/>
        </w:rPr>
        <w:t xml:space="preserve">b) Considerável. </w:t>
      </w:r>
      <w:r>
        <w:rPr>
          <w:rFonts w:cs="Times New Roman"/>
          <w:color w:val="0070C0"/>
          <w:szCs w:val="24"/>
        </w:rPr>
        <w:t xml:space="preserve">3, 5, 10, 11, 15, 16, </w:t>
      </w:r>
      <w:r>
        <w:rPr>
          <w:rFonts w:cs="Times New Roman"/>
          <w:color w:val="00B050"/>
          <w:szCs w:val="24"/>
        </w:rPr>
        <w:t>29, 32, 39</w:t>
      </w:r>
    </w:p>
    <w:p w14:paraId="2EF42D49" w14:textId="77777777" w:rsidR="001F49FD" w:rsidRDefault="00611419">
      <w:pPr>
        <w:rPr>
          <w:rFonts w:ascii="Times New Roman" w:hAnsi="Times New Roman" w:cs="Times New Roman"/>
          <w:color w:val="C00000"/>
          <w:szCs w:val="24"/>
        </w:rPr>
      </w:pPr>
      <w:r>
        <w:rPr>
          <w:rFonts w:cs="Times New Roman"/>
          <w:szCs w:val="24"/>
        </w:rPr>
        <w:t xml:space="preserve">Outra resposta: </w:t>
      </w:r>
      <w:r>
        <w:rPr>
          <w:rFonts w:cs="Times New Roman"/>
          <w:i/>
          <w:szCs w:val="24"/>
        </w:rPr>
        <w:t xml:space="preserve">Variável. </w:t>
      </w:r>
      <w:r>
        <w:rPr>
          <w:rFonts w:cs="Times New Roman"/>
          <w:color w:val="0070C0"/>
          <w:szCs w:val="24"/>
        </w:rPr>
        <w:t xml:space="preserve">1, 2, </w:t>
      </w:r>
      <w:r>
        <w:rPr>
          <w:rFonts w:cs="Times New Roman"/>
          <w:color w:val="00B050"/>
          <w:szCs w:val="24"/>
        </w:rPr>
        <w:t xml:space="preserve">24, 30, 35, </w:t>
      </w:r>
      <w:r>
        <w:rPr>
          <w:rFonts w:cs="Times New Roman"/>
          <w:color w:val="C00000"/>
          <w:szCs w:val="24"/>
        </w:rPr>
        <w:t xml:space="preserve">50 </w:t>
      </w:r>
    </w:p>
    <w:p w14:paraId="687A2574" w14:textId="77777777" w:rsidR="001F49FD" w:rsidRDefault="00611419">
      <w:pPr>
        <w:tabs>
          <w:tab w:val="left" w:pos="1134"/>
          <w:tab w:val="left" w:pos="3402"/>
          <w:tab w:val="left" w:pos="3544"/>
          <w:tab w:val="left" w:pos="4253"/>
          <w:tab w:val="left" w:pos="7088"/>
        </w:tabs>
        <w:ind w:firstLine="0"/>
        <w:rPr>
          <w:rFonts w:ascii="Times New Roman" w:hAnsi="Times New Roman" w:cs="Times New Roman"/>
          <w:i/>
          <w:szCs w:val="24"/>
        </w:rPr>
      </w:pPr>
      <w:r>
        <w:rPr>
          <w:noProof/>
        </w:rPr>
        <w:drawing>
          <wp:inline distT="0" distB="0" distL="0" distR="0" wp14:anchorId="150F669F" wp14:editId="0AE0AD25">
            <wp:extent cx="4048125" cy="2000250"/>
            <wp:effectExtent l="0" t="0" r="0" b="0"/>
            <wp:docPr id="20" name="Objeto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0FBCE79" w14:textId="77777777" w:rsidR="001F49FD" w:rsidRDefault="001F49FD">
      <w:pPr>
        <w:ind w:right="-568"/>
        <w:contextualSpacing/>
        <w:rPr>
          <w:rFonts w:ascii="Times New Roman" w:hAnsi="Times New Roman" w:cs="Times New Roman"/>
          <w:b/>
          <w:szCs w:val="24"/>
        </w:rPr>
      </w:pPr>
    </w:p>
    <w:p w14:paraId="472CD10C" w14:textId="77777777" w:rsidR="001F49FD" w:rsidRDefault="001F49FD">
      <w:pPr>
        <w:ind w:right="-568"/>
        <w:contextualSpacing/>
        <w:rPr>
          <w:rFonts w:ascii="Times New Roman" w:hAnsi="Times New Roman" w:cs="Times New Roman"/>
          <w:b/>
          <w:szCs w:val="24"/>
        </w:rPr>
      </w:pPr>
    </w:p>
    <w:p w14:paraId="1D5C9214" w14:textId="77777777" w:rsidR="001F49FD" w:rsidRDefault="001F49FD">
      <w:pPr>
        <w:ind w:right="-568"/>
        <w:contextualSpacing/>
        <w:rPr>
          <w:rFonts w:ascii="Times New Roman" w:hAnsi="Times New Roman" w:cs="Times New Roman"/>
          <w:b/>
          <w:szCs w:val="24"/>
        </w:rPr>
      </w:pPr>
    </w:p>
    <w:p w14:paraId="035CBF25" w14:textId="77777777" w:rsidR="001F49FD" w:rsidRDefault="001F49FD">
      <w:pPr>
        <w:ind w:right="-568"/>
        <w:contextualSpacing/>
        <w:rPr>
          <w:rFonts w:ascii="Times New Roman" w:hAnsi="Times New Roman" w:cs="Times New Roman"/>
          <w:b/>
          <w:szCs w:val="24"/>
        </w:rPr>
      </w:pPr>
    </w:p>
    <w:p w14:paraId="181D928F" w14:textId="77777777" w:rsidR="001F49FD" w:rsidRDefault="001F49FD">
      <w:pPr>
        <w:ind w:right="-568"/>
        <w:contextualSpacing/>
        <w:rPr>
          <w:rFonts w:ascii="Times New Roman" w:hAnsi="Times New Roman" w:cs="Times New Roman"/>
          <w:b/>
          <w:szCs w:val="24"/>
        </w:rPr>
      </w:pPr>
    </w:p>
    <w:p w14:paraId="418C408E" w14:textId="77777777" w:rsidR="001F49FD" w:rsidRDefault="001F49FD">
      <w:pPr>
        <w:ind w:right="-568"/>
        <w:contextualSpacing/>
        <w:rPr>
          <w:rFonts w:ascii="Times New Roman" w:hAnsi="Times New Roman" w:cs="Times New Roman"/>
          <w:b/>
          <w:szCs w:val="24"/>
        </w:rPr>
      </w:pPr>
    </w:p>
    <w:p w14:paraId="3C9561CD" w14:textId="77777777" w:rsidR="001F49FD" w:rsidRDefault="001F49FD">
      <w:pPr>
        <w:ind w:right="-568"/>
        <w:contextualSpacing/>
        <w:rPr>
          <w:rFonts w:ascii="Times New Roman" w:hAnsi="Times New Roman" w:cs="Times New Roman"/>
          <w:b/>
          <w:szCs w:val="24"/>
        </w:rPr>
      </w:pPr>
    </w:p>
    <w:p w14:paraId="49D5C39F" w14:textId="77777777" w:rsidR="001F49FD" w:rsidRDefault="001F49FD">
      <w:pPr>
        <w:ind w:right="-568"/>
        <w:contextualSpacing/>
        <w:rPr>
          <w:rFonts w:ascii="Times New Roman" w:hAnsi="Times New Roman" w:cs="Times New Roman"/>
          <w:b/>
          <w:szCs w:val="24"/>
        </w:rPr>
      </w:pPr>
    </w:p>
    <w:p w14:paraId="28BE95E9" w14:textId="77777777" w:rsidR="001F49FD" w:rsidRDefault="001F49FD">
      <w:pPr>
        <w:ind w:right="-568"/>
        <w:contextualSpacing/>
        <w:rPr>
          <w:rFonts w:ascii="Times New Roman" w:hAnsi="Times New Roman" w:cs="Times New Roman"/>
          <w:b/>
          <w:szCs w:val="24"/>
        </w:rPr>
      </w:pPr>
    </w:p>
    <w:p w14:paraId="3289DBBE" w14:textId="77777777" w:rsidR="001F49FD" w:rsidRDefault="001F49FD">
      <w:pPr>
        <w:ind w:right="-568"/>
        <w:contextualSpacing/>
        <w:rPr>
          <w:rFonts w:ascii="Times New Roman" w:hAnsi="Times New Roman" w:cs="Times New Roman"/>
          <w:b/>
          <w:szCs w:val="24"/>
        </w:rPr>
      </w:pPr>
    </w:p>
    <w:p w14:paraId="6DBFE887" w14:textId="77777777" w:rsidR="001F49FD" w:rsidRDefault="001F49FD">
      <w:pPr>
        <w:ind w:right="-568" w:firstLine="0"/>
        <w:contextualSpacing/>
        <w:rPr>
          <w:rFonts w:ascii="Times New Roman" w:hAnsi="Times New Roman" w:cs="Times New Roman"/>
          <w:b/>
          <w:szCs w:val="24"/>
        </w:rPr>
      </w:pPr>
    </w:p>
    <w:p w14:paraId="76488172" w14:textId="77777777" w:rsidR="001F49FD" w:rsidRDefault="00611419">
      <w:pPr>
        <w:ind w:right="-568"/>
        <w:contextualSpacing/>
        <w:rPr>
          <w:rFonts w:ascii="Times New Roman" w:hAnsi="Times New Roman" w:cs="Times New Roman"/>
          <w:b/>
          <w:szCs w:val="24"/>
        </w:rPr>
      </w:pPr>
      <w:r>
        <w:rPr>
          <w:rFonts w:cs="Times New Roman"/>
          <w:b/>
          <w:szCs w:val="24"/>
        </w:rPr>
        <w:lastRenderedPageBreak/>
        <w:t>II. TÉCNICA DE MÃO ESQUERDA</w:t>
      </w:r>
    </w:p>
    <w:p w14:paraId="569ADCBC" w14:textId="77777777" w:rsidR="001F49FD" w:rsidRDefault="001F49FD">
      <w:pPr>
        <w:ind w:right="-568"/>
        <w:contextualSpacing/>
        <w:rPr>
          <w:rFonts w:ascii="Times New Roman" w:hAnsi="Times New Roman" w:cs="Times New Roman"/>
          <w:b/>
          <w:szCs w:val="24"/>
        </w:rPr>
      </w:pPr>
    </w:p>
    <w:p w14:paraId="0E130EE9" w14:textId="5FB06DF2" w:rsidR="001F49FD" w:rsidRDefault="00611419">
      <w:pPr>
        <w:ind w:left="1134" w:right="-568" w:firstLine="0"/>
        <w:contextualSpacing/>
        <w:rPr>
          <w:rFonts w:ascii="Times New Roman" w:hAnsi="Times New Roman" w:cs="Times New Roman"/>
          <w:b/>
          <w:szCs w:val="24"/>
        </w:rPr>
      </w:pPr>
      <w:r>
        <w:rPr>
          <w:rFonts w:cs="Times New Roman"/>
          <w:b/>
          <w:szCs w:val="24"/>
        </w:rPr>
        <w:t>8. Ponto de contato no braço do violino dos dedos polegar e indicador na 1ª posição</w:t>
      </w:r>
    </w:p>
    <w:p w14:paraId="0C2FC8BB" w14:textId="7ADAE0F4" w:rsidR="001F49FD" w:rsidRDefault="00611419">
      <w:pPr>
        <w:ind w:right="-568"/>
        <w:contextualSpacing/>
        <w:rPr>
          <w:rFonts w:ascii="Times New Roman" w:hAnsi="Times New Roman" w:cs="Times New Roman"/>
          <w:b/>
          <w:szCs w:val="24"/>
        </w:rPr>
      </w:pPr>
      <w:r>
        <w:rPr>
          <w:rFonts w:cs="Times New Roman"/>
          <w:b/>
          <w:szCs w:val="24"/>
        </w:rPr>
        <w:t>8.1. Ponto de contato do dedo polegar</w:t>
      </w:r>
    </w:p>
    <w:p w14:paraId="2034575F" w14:textId="77777777" w:rsidR="001F49FD" w:rsidRDefault="00611419">
      <w:pPr>
        <w:ind w:left="1134" w:right="-568" w:firstLine="0"/>
        <w:rPr>
          <w:rFonts w:ascii="Times New Roman" w:hAnsi="Times New Roman" w:cs="Times New Roman"/>
          <w:szCs w:val="24"/>
        </w:rPr>
      </w:pPr>
      <w:r>
        <w:rPr>
          <w:rFonts w:cs="Times New Roman"/>
          <w:szCs w:val="24"/>
        </w:rPr>
        <w:t xml:space="preserve">a) Falange proximal. </w:t>
      </w:r>
      <w:r>
        <w:rPr>
          <w:rFonts w:cs="Times New Roman"/>
          <w:color w:val="00B050"/>
          <w:szCs w:val="24"/>
        </w:rPr>
        <w:t>21, 30, 36, 37</w:t>
      </w:r>
    </w:p>
    <w:p w14:paraId="13089C26" w14:textId="3BD5D5B5" w:rsidR="001F49FD" w:rsidRDefault="00611419">
      <w:pPr>
        <w:pStyle w:val="PargrafodaLista"/>
        <w:ind w:left="1134" w:right="-568" w:firstLine="0"/>
        <w:rPr>
          <w:rFonts w:ascii="Times New Roman" w:hAnsi="Times New Roman" w:cs="Times New Roman"/>
          <w:szCs w:val="24"/>
        </w:rPr>
      </w:pPr>
      <w:r>
        <w:rPr>
          <w:rFonts w:cs="Times New Roman"/>
          <w:szCs w:val="24"/>
        </w:rPr>
        <w:t xml:space="preserve">b) Articulação </w:t>
      </w:r>
      <w:r w:rsidR="00393CC4">
        <w:rPr>
          <w:rFonts w:cs="Times New Roman"/>
          <w:szCs w:val="24"/>
        </w:rPr>
        <w:t>interfalangiana</w:t>
      </w:r>
      <w:r>
        <w:rPr>
          <w:rFonts w:cs="Times New Roman"/>
          <w:szCs w:val="24"/>
        </w:rPr>
        <w:t xml:space="preserve"> proximal. </w:t>
      </w:r>
      <w:r>
        <w:rPr>
          <w:rFonts w:cs="Times New Roman"/>
          <w:color w:val="0070C0"/>
          <w:szCs w:val="24"/>
        </w:rPr>
        <w:t xml:space="preserve">7, 8, 12, 15, 17, 19, 20, </w:t>
      </w:r>
      <w:r>
        <w:rPr>
          <w:rFonts w:cs="Times New Roman"/>
          <w:color w:val="00B050"/>
          <w:szCs w:val="24"/>
        </w:rPr>
        <w:t xml:space="preserve">31, 32, 33, 34, 35, 39, </w:t>
      </w:r>
      <w:r>
        <w:rPr>
          <w:rFonts w:cs="Times New Roman"/>
          <w:color w:val="C00000"/>
          <w:szCs w:val="24"/>
        </w:rPr>
        <w:t>41, 43, 47, 49, 50</w:t>
      </w:r>
    </w:p>
    <w:p w14:paraId="4C5B1FF7" w14:textId="77777777" w:rsidR="001F49FD" w:rsidRDefault="00611419">
      <w:pPr>
        <w:pStyle w:val="PargrafodaLista"/>
        <w:ind w:left="1134" w:right="-568" w:firstLine="0"/>
        <w:rPr>
          <w:rFonts w:ascii="Times New Roman" w:hAnsi="Times New Roman" w:cs="Times New Roman"/>
          <w:szCs w:val="24"/>
        </w:rPr>
      </w:pPr>
      <w:r>
        <w:rPr>
          <w:rFonts w:cs="Times New Roman"/>
          <w:szCs w:val="24"/>
        </w:rPr>
        <w:t xml:space="preserve">c) Falange distal. </w:t>
      </w:r>
      <w:r>
        <w:rPr>
          <w:rFonts w:cs="Times New Roman"/>
          <w:color w:val="0070C0"/>
          <w:szCs w:val="24"/>
        </w:rPr>
        <w:t xml:space="preserve">1, 2, 3, 4, 5, 6, 9, 10, 11, 13, 14, 16, 18, </w:t>
      </w:r>
      <w:r>
        <w:rPr>
          <w:rFonts w:cs="Times New Roman"/>
          <w:color w:val="00B050"/>
          <w:szCs w:val="24"/>
        </w:rPr>
        <w:t xml:space="preserve">22, 23, 24, 25, 26, 27, 28, 29, 38, 40, </w:t>
      </w:r>
      <w:r>
        <w:rPr>
          <w:rFonts w:cs="Times New Roman"/>
          <w:color w:val="C00000"/>
          <w:szCs w:val="24"/>
        </w:rPr>
        <w:t>42, 44, 45, 46, 48</w:t>
      </w:r>
    </w:p>
    <w:p w14:paraId="5EE62F7B" w14:textId="77777777" w:rsidR="001F49FD" w:rsidRDefault="00611419">
      <w:pPr>
        <w:tabs>
          <w:tab w:val="left" w:pos="1134"/>
          <w:tab w:val="left" w:pos="3402"/>
          <w:tab w:val="left" w:pos="3686"/>
          <w:tab w:val="left" w:pos="4253"/>
        </w:tabs>
        <w:ind w:right="-568" w:firstLine="0"/>
        <w:contextualSpacing/>
        <w:jc w:val="left"/>
        <w:rPr>
          <w:rFonts w:ascii="Times New Roman" w:hAnsi="Times New Roman" w:cs="Times New Roman"/>
          <w:szCs w:val="24"/>
        </w:rPr>
      </w:pPr>
      <w:r>
        <w:rPr>
          <w:rFonts w:cs="Times New Roman"/>
          <w:szCs w:val="24"/>
        </w:rPr>
        <w:t xml:space="preserve">          </w:t>
      </w:r>
      <w:r>
        <w:rPr>
          <w:noProof/>
        </w:rPr>
        <w:drawing>
          <wp:inline distT="0" distB="0" distL="0" distR="0" wp14:anchorId="685F2494" wp14:editId="250B2E30">
            <wp:extent cx="3771900" cy="1819275"/>
            <wp:effectExtent l="0" t="0" r="0" b="0"/>
            <wp:docPr id="21" name="Objeto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FB858FA" w14:textId="77777777" w:rsidR="001F49FD" w:rsidRDefault="001F49FD">
      <w:pPr>
        <w:ind w:right="-568"/>
        <w:contextualSpacing/>
        <w:rPr>
          <w:rFonts w:ascii="Times New Roman" w:hAnsi="Times New Roman" w:cs="Times New Roman"/>
          <w:b/>
          <w:szCs w:val="24"/>
        </w:rPr>
      </w:pPr>
    </w:p>
    <w:p w14:paraId="1E3A39C0" w14:textId="77777777" w:rsidR="001F49FD" w:rsidRDefault="001F49FD">
      <w:pPr>
        <w:ind w:right="-568"/>
        <w:contextualSpacing/>
        <w:rPr>
          <w:rFonts w:ascii="Times New Roman" w:hAnsi="Times New Roman" w:cs="Times New Roman"/>
          <w:b/>
          <w:szCs w:val="24"/>
        </w:rPr>
      </w:pPr>
    </w:p>
    <w:p w14:paraId="3AC646CE" w14:textId="7A48625F" w:rsidR="001F49FD" w:rsidRDefault="00611419">
      <w:pPr>
        <w:tabs>
          <w:tab w:val="left" w:pos="3686"/>
          <w:tab w:val="left" w:pos="4253"/>
        </w:tabs>
        <w:ind w:right="-568"/>
        <w:contextualSpacing/>
        <w:rPr>
          <w:rFonts w:ascii="Times New Roman" w:hAnsi="Times New Roman" w:cs="Times New Roman"/>
          <w:b/>
          <w:szCs w:val="24"/>
        </w:rPr>
      </w:pPr>
      <w:r>
        <w:rPr>
          <w:rFonts w:cs="Times New Roman"/>
          <w:b/>
          <w:szCs w:val="24"/>
        </w:rPr>
        <w:t>8.2. Ponto de contato do dedo indicador</w:t>
      </w:r>
    </w:p>
    <w:p w14:paraId="63970E52" w14:textId="77777777" w:rsidR="001F49FD" w:rsidRDefault="00611419">
      <w:pPr>
        <w:ind w:left="1134" w:firstLine="0"/>
      </w:pPr>
      <w:r>
        <w:t xml:space="preserve">a) Falange proximal – base. </w:t>
      </w:r>
      <w:r>
        <w:rPr>
          <w:color w:val="0070C0"/>
        </w:rPr>
        <w:t xml:space="preserve">9, 12, 19, </w:t>
      </w:r>
      <w:r>
        <w:t xml:space="preserve">21, 26, 28, 31, 33, 34, 36, 39, </w:t>
      </w:r>
      <w:r>
        <w:rPr>
          <w:color w:val="C00000"/>
        </w:rPr>
        <w:t>41, 42, 43</w:t>
      </w:r>
    </w:p>
    <w:p w14:paraId="350D568D" w14:textId="77777777" w:rsidR="001F49FD" w:rsidRDefault="00611419">
      <w:pPr>
        <w:tabs>
          <w:tab w:val="left" w:pos="1418"/>
          <w:tab w:val="left" w:pos="1560"/>
        </w:tabs>
        <w:ind w:left="1134" w:right="-568" w:firstLine="0"/>
        <w:rPr>
          <w:rFonts w:ascii="Times New Roman" w:hAnsi="Times New Roman" w:cs="Times New Roman"/>
          <w:szCs w:val="24"/>
        </w:rPr>
      </w:pPr>
      <w:r>
        <w:rPr>
          <w:rFonts w:cs="Times New Roman"/>
          <w:szCs w:val="24"/>
        </w:rPr>
        <w:t>b) Falange proximal</w:t>
      </w:r>
      <w:r>
        <w:rPr>
          <w:rFonts w:cs="Times New Roman"/>
          <w:color w:val="0070C0"/>
          <w:szCs w:val="24"/>
        </w:rPr>
        <w:t xml:space="preserve">. 1, 2, 3, 4, 5, 6, 7, 8, 10, 11, 14, 15, 16, 17, 18, </w:t>
      </w:r>
      <w:r>
        <w:rPr>
          <w:rFonts w:cs="Times New Roman"/>
          <w:color w:val="00B050"/>
          <w:szCs w:val="24"/>
        </w:rPr>
        <w:t xml:space="preserve">22, 23, 24, 29, 30, 38, 40, </w:t>
      </w:r>
      <w:r>
        <w:rPr>
          <w:rFonts w:cs="Times New Roman"/>
          <w:color w:val="C00000"/>
          <w:szCs w:val="24"/>
        </w:rPr>
        <w:t>45, 46, 48, 49, 50</w:t>
      </w:r>
    </w:p>
    <w:p w14:paraId="5BBE353D" w14:textId="2D7C171B" w:rsidR="001F49FD" w:rsidRDefault="00611419">
      <w:pPr>
        <w:ind w:left="426" w:right="-568" w:firstLine="708"/>
      </w:pPr>
      <w:r>
        <w:t xml:space="preserve">c) Articulação </w:t>
      </w:r>
      <w:r w:rsidR="00393CC4">
        <w:t>interfalangiana</w:t>
      </w:r>
      <w:r>
        <w:t xml:space="preserve"> proximal. </w:t>
      </w:r>
      <w:r>
        <w:rPr>
          <w:color w:val="0070C0"/>
        </w:rPr>
        <w:t xml:space="preserve">13, 20, </w:t>
      </w:r>
      <w:r>
        <w:rPr>
          <w:color w:val="00B050"/>
        </w:rPr>
        <w:t xml:space="preserve">25, 35, </w:t>
      </w:r>
      <w:r>
        <w:rPr>
          <w:color w:val="C00000"/>
        </w:rPr>
        <w:t>44</w:t>
      </w:r>
    </w:p>
    <w:p w14:paraId="2B0D5315" w14:textId="77777777" w:rsidR="001F49FD" w:rsidRDefault="00611419">
      <w:pPr>
        <w:pStyle w:val="Estilo1"/>
        <w:ind w:firstLine="1134"/>
        <w:rPr>
          <w:color w:val="C00000"/>
        </w:rPr>
      </w:pPr>
      <w:r>
        <w:t xml:space="preserve">d) </w:t>
      </w:r>
      <w:r>
        <w:rPr>
          <w:lang w:eastAsia="pt-BR"/>
        </w:rPr>
        <w:t xml:space="preserve">Falange média. </w:t>
      </w:r>
      <w:r>
        <w:rPr>
          <w:color w:val="00B050"/>
          <w:lang w:eastAsia="pt-BR"/>
        </w:rPr>
        <w:t xml:space="preserve">27, 32, 37, </w:t>
      </w:r>
      <w:r>
        <w:rPr>
          <w:color w:val="C00000"/>
          <w:lang w:eastAsia="pt-BR"/>
        </w:rPr>
        <w:t>47</w:t>
      </w:r>
    </w:p>
    <w:p w14:paraId="39391203" w14:textId="77777777" w:rsidR="001F49FD" w:rsidRDefault="001F49FD">
      <w:pPr>
        <w:ind w:right="-568"/>
        <w:rPr>
          <w:rFonts w:ascii="Times New Roman" w:hAnsi="Times New Roman" w:cs="Times New Roman"/>
          <w:color w:val="C00000"/>
          <w:szCs w:val="24"/>
        </w:rPr>
      </w:pPr>
    </w:p>
    <w:p w14:paraId="678B6CF0" w14:textId="45F2D750" w:rsidR="001F49FD" w:rsidRDefault="00611419" w:rsidP="00C231F8">
      <w:pPr>
        <w:tabs>
          <w:tab w:val="left" w:pos="1134"/>
          <w:tab w:val="left" w:pos="3402"/>
          <w:tab w:val="left" w:pos="3686"/>
          <w:tab w:val="left" w:pos="4253"/>
        </w:tabs>
        <w:ind w:right="-568" w:firstLine="0"/>
        <w:rPr>
          <w:rFonts w:ascii="Times New Roman" w:hAnsi="Times New Roman" w:cs="Times New Roman"/>
          <w:szCs w:val="24"/>
        </w:rPr>
      </w:pPr>
      <w:r>
        <w:rPr>
          <w:rFonts w:cs="Times New Roman"/>
          <w:szCs w:val="24"/>
        </w:rPr>
        <w:t xml:space="preserve">      </w:t>
      </w:r>
      <w:r>
        <w:rPr>
          <w:noProof/>
        </w:rPr>
        <w:drawing>
          <wp:inline distT="0" distB="0" distL="0" distR="0" wp14:anchorId="38F7BAE9" wp14:editId="12CA3D76">
            <wp:extent cx="3924300" cy="2038350"/>
            <wp:effectExtent l="0" t="0" r="0" b="0"/>
            <wp:docPr id="22" name="Objeto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DF3496" w14:textId="103AFB32" w:rsidR="001F49FD" w:rsidRDefault="00611419">
      <w:pPr>
        <w:ind w:right="-568"/>
        <w:contextualSpacing/>
        <w:rPr>
          <w:rFonts w:ascii="Times New Roman" w:hAnsi="Times New Roman" w:cs="Times New Roman"/>
          <w:b/>
          <w:szCs w:val="24"/>
        </w:rPr>
      </w:pPr>
      <w:r>
        <w:rPr>
          <w:rFonts w:cs="Times New Roman"/>
          <w:b/>
          <w:szCs w:val="24"/>
        </w:rPr>
        <w:lastRenderedPageBreak/>
        <w:t>9. Posicionamento do dedo indicador</w:t>
      </w:r>
    </w:p>
    <w:p w14:paraId="0FF152EF" w14:textId="77777777" w:rsidR="001F49FD" w:rsidRDefault="00611419">
      <w:pPr>
        <w:ind w:left="1134" w:right="-568" w:firstLine="0"/>
        <w:contextualSpacing/>
        <w:rPr>
          <w:rFonts w:ascii="Times New Roman" w:hAnsi="Times New Roman" w:cs="Times New Roman"/>
          <w:i/>
          <w:color w:val="C00000"/>
          <w:szCs w:val="24"/>
        </w:rPr>
      </w:pPr>
      <w:r>
        <w:rPr>
          <w:rFonts w:cs="Times New Roman"/>
          <w:szCs w:val="24"/>
        </w:rPr>
        <w:t xml:space="preserve">a) Encostado ao braço do violino. </w:t>
      </w:r>
      <w:r>
        <w:rPr>
          <w:rFonts w:cstheme="majorHAnsi"/>
          <w:color w:val="0070C0"/>
          <w:szCs w:val="24"/>
        </w:rPr>
        <w:t xml:space="preserve">1, 2, 4, 5, 8, 9, 10, 11, 12, 15, 17, 18, </w:t>
      </w:r>
      <w:r>
        <w:rPr>
          <w:rFonts w:cstheme="majorHAnsi"/>
          <w:color w:val="00B050"/>
          <w:szCs w:val="24"/>
        </w:rPr>
        <w:t xml:space="preserve">21, 24, 27, 28, 29, 30, 31, 32, 33, 35, 38, 40, </w:t>
      </w:r>
      <w:r>
        <w:rPr>
          <w:rFonts w:cstheme="majorHAnsi"/>
          <w:color w:val="C00000"/>
          <w:szCs w:val="24"/>
        </w:rPr>
        <w:t>41, 42, 44, 45, 46, 47, 50</w:t>
      </w:r>
    </w:p>
    <w:p w14:paraId="380758CA"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Próximo ao braço do violino. </w:t>
      </w:r>
      <w:r>
        <w:rPr>
          <w:rFonts w:cs="Times New Roman"/>
          <w:color w:val="0070C0"/>
          <w:szCs w:val="24"/>
        </w:rPr>
        <w:t xml:space="preserve">7, 13, 14, 19, 20, </w:t>
      </w:r>
      <w:r>
        <w:rPr>
          <w:rFonts w:cs="Times New Roman"/>
          <w:color w:val="00B050"/>
          <w:szCs w:val="24"/>
        </w:rPr>
        <w:t xml:space="preserve">22, 23, 26, 34, 36, 39, </w:t>
      </w:r>
      <w:r>
        <w:rPr>
          <w:rFonts w:cs="Times New Roman"/>
          <w:color w:val="C00000"/>
          <w:szCs w:val="24"/>
        </w:rPr>
        <w:t>43, 48, 49</w:t>
      </w:r>
    </w:p>
    <w:p w14:paraId="0CE61F8B" w14:textId="77777777" w:rsidR="001F49FD" w:rsidRDefault="00611419">
      <w:pPr>
        <w:ind w:right="-568"/>
        <w:contextualSpacing/>
        <w:rPr>
          <w:rFonts w:ascii="Times New Roman" w:hAnsi="Times New Roman" w:cs="Times New Roman"/>
          <w:color w:val="00B050"/>
          <w:szCs w:val="24"/>
        </w:rPr>
      </w:pPr>
      <w:r>
        <w:rPr>
          <w:rFonts w:cs="Times New Roman"/>
          <w:szCs w:val="24"/>
        </w:rPr>
        <w:t xml:space="preserve">c) Distanciado do braço do violino. </w:t>
      </w:r>
      <w:r>
        <w:rPr>
          <w:rFonts w:cs="Times New Roman"/>
          <w:color w:val="0070C0"/>
          <w:szCs w:val="24"/>
        </w:rPr>
        <w:t xml:space="preserve">16, </w:t>
      </w:r>
      <w:r>
        <w:rPr>
          <w:rFonts w:cs="Times New Roman"/>
          <w:color w:val="00B050"/>
          <w:szCs w:val="24"/>
        </w:rPr>
        <w:t>25, 37</w:t>
      </w:r>
    </w:p>
    <w:p w14:paraId="7354C905" w14:textId="77777777" w:rsidR="001F49FD" w:rsidRDefault="00611419">
      <w:pPr>
        <w:ind w:right="-568"/>
        <w:contextualSpacing/>
        <w:rPr>
          <w:rFonts w:ascii="Times New Roman" w:hAnsi="Times New Roman" w:cs="Times New Roman"/>
          <w:szCs w:val="24"/>
        </w:rPr>
      </w:pPr>
      <w:r>
        <w:rPr>
          <w:rFonts w:cs="Times New Roman"/>
          <w:szCs w:val="24"/>
        </w:rPr>
        <w:t>Outra resposta.</w:t>
      </w:r>
      <w:r>
        <w:rPr>
          <w:rFonts w:cs="Times New Roman"/>
          <w:color w:val="0070C0"/>
          <w:szCs w:val="24"/>
        </w:rPr>
        <w:t xml:space="preserve"> </w:t>
      </w:r>
      <w:r>
        <w:rPr>
          <w:rFonts w:cs="Times New Roman"/>
          <w:i/>
          <w:szCs w:val="24"/>
        </w:rPr>
        <w:t>Sem importância</w:t>
      </w:r>
      <w:r>
        <w:rPr>
          <w:rFonts w:cs="Times New Roman"/>
          <w:szCs w:val="24"/>
        </w:rPr>
        <w:t xml:space="preserve">; </w:t>
      </w:r>
      <w:r>
        <w:rPr>
          <w:rFonts w:cs="Times New Roman"/>
          <w:i/>
          <w:szCs w:val="24"/>
        </w:rPr>
        <w:t>eu não sei</w:t>
      </w:r>
      <w:r>
        <w:rPr>
          <w:rFonts w:cs="Times New Roman"/>
          <w:szCs w:val="24"/>
        </w:rPr>
        <w:t xml:space="preserve">. </w:t>
      </w:r>
      <w:r>
        <w:rPr>
          <w:rFonts w:cs="Times New Roman"/>
          <w:color w:val="0070C0"/>
          <w:szCs w:val="24"/>
        </w:rPr>
        <w:t>3, 6</w:t>
      </w:r>
      <w:r>
        <w:rPr>
          <w:rFonts w:cs="Times New Roman"/>
          <w:szCs w:val="24"/>
        </w:rPr>
        <w:t xml:space="preserve"> </w:t>
      </w:r>
    </w:p>
    <w:p w14:paraId="16B0C77F" w14:textId="77777777" w:rsidR="001F49FD" w:rsidRDefault="00611419">
      <w:pPr>
        <w:tabs>
          <w:tab w:val="left" w:pos="1134"/>
          <w:tab w:val="left" w:pos="3402"/>
          <w:tab w:val="left" w:pos="4253"/>
        </w:tabs>
        <w:ind w:right="-568" w:firstLine="0"/>
        <w:contextualSpacing/>
        <w:rPr>
          <w:rFonts w:ascii="Times New Roman" w:hAnsi="Times New Roman" w:cs="Times New Roman"/>
          <w:b/>
          <w:szCs w:val="24"/>
        </w:rPr>
      </w:pPr>
      <w:r>
        <w:rPr>
          <w:rFonts w:cs="Times New Roman"/>
          <w:b/>
          <w:szCs w:val="24"/>
        </w:rPr>
        <w:t xml:space="preserve">      </w:t>
      </w:r>
      <w:r>
        <w:rPr>
          <w:noProof/>
        </w:rPr>
        <w:drawing>
          <wp:inline distT="0" distB="0" distL="0" distR="0" wp14:anchorId="73A48FE9" wp14:editId="0B31D8C1">
            <wp:extent cx="4010025" cy="1857375"/>
            <wp:effectExtent l="0" t="0" r="0" b="0"/>
            <wp:docPr id="23" name="Objeto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6E1FE39" w14:textId="77777777" w:rsidR="001F49FD" w:rsidRDefault="001F49FD">
      <w:pPr>
        <w:ind w:right="-568"/>
        <w:contextualSpacing/>
        <w:rPr>
          <w:rFonts w:ascii="Times New Roman" w:hAnsi="Times New Roman" w:cs="Times New Roman"/>
          <w:b/>
          <w:szCs w:val="24"/>
        </w:rPr>
      </w:pPr>
    </w:p>
    <w:p w14:paraId="76E29530" w14:textId="77777777" w:rsidR="001F49FD" w:rsidRDefault="001F49FD">
      <w:pPr>
        <w:ind w:right="-568"/>
        <w:contextualSpacing/>
        <w:rPr>
          <w:rFonts w:ascii="Times New Roman" w:hAnsi="Times New Roman" w:cs="Times New Roman"/>
          <w:b/>
          <w:szCs w:val="24"/>
        </w:rPr>
      </w:pPr>
    </w:p>
    <w:p w14:paraId="6D825363" w14:textId="41C36C8E" w:rsidR="001F49FD" w:rsidRDefault="00611419">
      <w:pPr>
        <w:ind w:right="-568"/>
        <w:contextualSpacing/>
        <w:rPr>
          <w:rFonts w:ascii="Times New Roman" w:hAnsi="Times New Roman" w:cs="Times New Roman"/>
          <w:b/>
          <w:szCs w:val="24"/>
        </w:rPr>
      </w:pPr>
      <w:r>
        <w:rPr>
          <w:rFonts w:cs="Times New Roman"/>
          <w:b/>
          <w:szCs w:val="24"/>
        </w:rPr>
        <w:t>10. Direcionamento dos dedos em relação ao espelho</w:t>
      </w:r>
    </w:p>
    <w:p w14:paraId="3BC5EE08" w14:textId="77777777" w:rsidR="001F49FD" w:rsidRDefault="00611419">
      <w:pPr>
        <w:ind w:right="-568"/>
        <w:contextualSpacing/>
        <w:rPr>
          <w:rFonts w:ascii="Times New Roman" w:hAnsi="Times New Roman" w:cs="Times New Roman"/>
          <w:color w:val="C00000"/>
          <w:szCs w:val="24"/>
        </w:rPr>
      </w:pPr>
      <w:r>
        <w:rPr>
          <w:rFonts w:cs="Times New Roman"/>
          <w:szCs w:val="24"/>
        </w:rPr>
        <w:t xml:space="preserve">a) Perpendiculares. </w:t>
      </w:r>
      <w:r>
        <w:rPr>
          <w:rFonts w:cs="Times New Roman"/>
          <w:color w:val="0070C0"/>
          <w:szCs w:val="24"/>
        </w:rPr>
        <w:t xml:space="preserve">16, 19, 20, </w:t>
      </w:r>
      <w:r>
        <w:rPr>
          <w:rFonts w:cs="Times New Roman"/>
          <w:color w:val="00B050"/>
          <w:szCs w:val="24"/>
        </w:rPr>
        <w:t xml:space="preserve">21, 27, 32, 37, 38, </w:t>
      </w:r>
      <w:r>
        <w:rPr>
          <w:rFonts w:cs="Times New Roman"/>
          <w:color w:val="C00000"/>
          <w:szCs w:val="24"/>
        </w:rPr>
        <w:t>42, 48</w:t>
      </w:r>
    </w:p>
    <w:p w14:paraId="3349867E" w14:textId="77777777" w:rsidR="001F49FD" w:rsidRDefault="00611419">
      <w:pPr>
        <w:tabs>
          <w:tab w:val="left" w:pos="3686"/>
        </w:tabs>
        <w:ind w:left="1134" w:right="-568" w:firstLine="0"/>
        <w:contextualSpacing/>
        <w:rPr>
          <w:rFonts w:asciiTheme="majorHAnsi" w:hAnsiTheme="majorHAnsi" w:cstheme="majorHAnsi"/>
          <w:color w:val="C00000"/>
          <w:szCs w:val="24"/>
        </w:rPr>
      </w:pPr>
      <w:r>
        <w:rPr>
          <w:rFonts w:cs="Times New Roman"/>
          <w:szCs w:val="24"/>
        </w:rPr>
        <w:t xml:space="preserve">b) Na direção das cordas. </w:t>
      </w:r>
      <w:r>
        <w:rPr>
          <w:rFonts w:cstheme="majorHAnsi"/>
          <w:color w:val="0070C0"/>
          <w:szCs w:val="24"/>
        </w:rPr>
        <w:t xml:space="preserve">1, 2, 3, 4, 5, 6, 7, 8, 9, 10, 11, 12, 13, 14, 15, 17, 18, </w:t>
      </w:r>
      <w:r>
        <w:rPr>
          <w:rFonts w:cstheme="majorHAnsi"/>
          <w:color w:val="00B050"/>
          <w:szCs w:val="24"/>
        </w:rPr>
        <w:t xml:space="preserve">22, 23, 25, 26, 28, 29, 30, 31, 33, 35, 36, 39, 40, </w:t>
      </w:r>
      <w:r>
        <w:rPr>
          <w:rFonts w:cstheme="majorHAnsi"/>
          <w:color w:val="C00000"/>
          <w:szCs w:val="24"/>
        </w:rPr>
        <w:t>41, 43, 44, 45, 46, 47, 49, 50</w:t>
      </w:r>
    </w:p>
    <w:p w14:paraId="26B96498" w14:textId="77777777" w:rsidR="001F49FD" w:rsidRDefault="00611419">
      <w:pPr>
        <w:ind w:right="-568"/>
        <w:contextualSpacing/>
        <w:rPr>
          <w:rFonts w:asciiTheme="majorHAnsi" w:hAnsiTheme="majorHAnsi" w:cstheme="majorHAnsi"/>
          <w:color w:val="00B050"/>
          <w:szCs w:val="24"/>
        </w:rPr>
      </w:pPr>
      <w:r>
        <w:rPr>
          <w:rFonts w:cstheme="majorHAnsi"/>
          <w:szCs w:val="24"/>
        </w:rPr>
        <w:t xml:space="preserve">Outra resposta. </w:t>
      </w:r>
      <w:r>
        <w:rPr>
          <w:rFonts w:cs="Times New Roman"/>
          <w:i/>
          <w:szCs w:val="24"/>
        </w:rPr>
        <w:t>Variável.</w:t>
      </w:r>
      <w:r>
        <w:rPr>
          <w:rFonts w:cstheme="majorHAnsi"/>
          <w:color w:val="00B050"/>
          <w:szCs w:val="24"/>
        </w:rPr>
        <w:t xml:space="preserve"> 24, 34 </w:t>
      </w:r>
    </w:p>
    <w:p w14:paraId="3154E660" w14:textId="77777777" w:rsidR="001F49FD" w:rsidRDefault="00611419">
      <w:pPr>
        <w:tabs>
          <w:tab w:val="left" w:pos="1134"/>
          <w:tab w:val="left" w:pos="3402"/>
          <w:tab w:val="left" w:pos="3686"/>
          <w:tab w:val="left" w:pos="4253"/>
        </w:tabs>
        <w:ind w:right="-568" w:firstLine="0"/>
        <w:contextualSpacing/>
      </w:pPr>
      <w:r>
        <w:t xml:space="preserve">       </w:t>
      </w:r>
      <w:r>
        <w:rPr>
          <w:noProof/>
        </w:rPr>
        <w:drawing>
          <wp:inline distT="0" distB="0" distL="0" distR="0" wp14:anchorId="12552860" wp14:editId="67FAB08E">
            <wp:extent cx="3676650" cy="1981200"/>
            <wp:effectExtent l="0" t="0" r="0" b="0"/>
            <wp:docPr id="24" name="Objeto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116AB79" w14:textId="77777777" w:rsidR="001F49FD" w:rsidRDefault="001F49FD">
      <w:pPr>
        <w:tabs>
          <w:tab w:val="left" w:pos="1134"/>
          <w:tab w:val="left" w:pos="3402"/>
          <w:tab w:val="left" w:pos="4253"/>
        </w:tabs>
        <w:ind w:right="-568" w:firstLine="0"/>
        <w:contextualSpacing/>
      </w:pPr>
    </w:p>
    <w:p w14:paraId="7DBCF614" w14:textId="77777777" w:rsidR="001F49FD" w:rsidRDefault="001F49FD">
      <w:pPr>
        <w:tabs>
          <w:tab w:val="left" w:pos="1134"/>
          <w:tab w:val="left" w:pos="3402"/>
          <w:tab w:val="left" w:pos="4253"/>
        </w:tabs>
        <w:spacing w:line="240" w:lineRule="auto"/>
        <w:ind w:right="-567" w:firstLine="0"/>
        <w:contextualSpacing/>
      </w:pPr>
    </w:p>
    <w:p w14:paraId="55395526" w14:textId="77777777" w:rsidR="001F49FD" w:rsidRDefault="00611419">
      <w:pPr>
        <w:ind w:left="426" w:right="-568" w:firstLine="708"/>
        <w:contextualSpacing/>
        <w:rPr>
          <w:rFonts w:ascii="Times New Roman" w:hAnsi="Times New Roman" w:cs="Times New Roman"/>
          <w:b/>
          <w:szCs w:val="24"/>
        </w:rPr>
      </w:pPr>
      <w:r>
        <w:rPr>
          <w:rFonts w:cs="Times New Roman"/>
          <w:b/>
          <w:szCs w:val="24"/>
        </w:rPr>
        <w:t>11. Grau de elevação dos dedos:</w:t>
      </w:r>
    </w:p>
    <w:p w14:paraId="138484A0"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a) Prioritariamente próximos ao espelho. </w:t>
      </w:r>
      <w:r>
        <w:rPr>
          <w:rFonts w:cs="Times New Roman"/>
          <w:color w:val="0070C0"/>
          <w:szCs w:val="24"/>
        </w:rPr>
        <w:t xml:space="preserve">1, 3, 4, 8, 9, 11, 12, 13, 15, 17, 18, 20, </w:t>
      </w:r>
      <w:r>
        <w:rPr>
          <w:rFonts w:cs="Times New Roman"/>
          <w:color w:val="00B050"/>
          <w:szCs w:val="24"/>
        </w:rPr>
        <w:t xml:space="preserve">22, 23, 24, 25, 26, 28, 30, 31, 33, 35, 36, 38, </w:t>
      </w:r>
      <w:r>
        <w:rPr>
          <w:rFonts w:cs="Times New Roman"/>
          <w:color w:val="C00000"/>
          <w:szCs w:val="24"/>
        </w:rPr>
        <w:t>41, 42, 43, 46, 48, 49, 50</w:t>
      </w:r>
    </w:p>
    <w:p w14:paraId="5DE09E3A"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lastRenderedPageBreak/>
        <w:t xml:space="preserve">b) Se elevam consideravelmente do espelho. </w:t>
      </w:r>
      <w:r>
        <w:rPr>
          <w:rFonts w:cs="Times New Roman"/>
          <w:color w:val="0070C0"/>
          <w:szCs w:val="24"/>
        </w:rPr>
        <w:t xml:space="preserve">2, 5, 6, 10, 16, 19, </w:t>
      </w:r>
      <w:r>
        <w:rPr>
          <w:rFonts w:cs="Times New Roman"/>
          <w:color w:val="00B050"/>
          <w:szCs w:val="24"/>
        </w:rPr>
        <w:t xml:space="preserve">21, 27, 34, </w:t>
      </w:r>
      <w:r>
        <w:rPr>
          <w:rFonts w:cs="Times New Roman"/>
          <w:color w:val="C00000"/>
          <w:szCs w:val="24"/>
        </w:rPr>
        <w:t>44, 47</w:t>
      </w:r>
    </w:p>
    <w:p w14:paraId="0D230871" w14:textId="77777777" w:rsidR="001F49FD" w:rsidRDefault="00611419">
      <w:pPr>
        <w:pStyle w:val="Commarcadores5"/>
        <w:ind w:left="1134" w:right="-568" w:firstLine="0"/>
        <w:rPr>
          <w:rFonts w:ascii="Times New Roman" w:hAnsi="Times New Roman" w:cs="Times New Roman"/>
          <w:i/>
          <w:color w:val="C00000"/>
          <w:szCs w:val="24"/>
        </w:rPr>
      </w:pPr>
      <w:r>
        <w:rPr>
          <w:rFonts w:cs="Times New Roman"/>
          <w:szCs w:val="24"/>
        </w:rPr>
        <w:t xml:space="preserve">Outra resposta. </w:t>
      </w:r>
      <w:r>
        <w:rPr>
          <w:rFonts w:cs="Times New Roman"/>
          <w:i/>
          <w:szCs w:val="24"/>
        </w:rPr>
        <w:t>Variável.</w:t>
      </w:r>
      <w:r>
        <w:rPr>
          <w:rFonts w:cs="Times New Roman"/>
          <w:szCs w:val="24"/>
        </w:rPr>
        <w:t xml:space="preserve"> </w:t>
      </w:r>
      <w:r>
        <w:rPr>
          <w:rFonts w:cs="Times New Roman"/>
          <w:color w:val="0070C0"/>
          <w:szCs w:val="24"/>
        </w:rPr>
        <w:t xml:space="preserve">7, 14, </w:t>
      </w:r>
      <w:r>
        <w:rPr>
          <w:rFonts w:cs="Times New Roman"/>
          <w:color w:val="00B050"/>
          <w:szCs w:val="24"/>
        </w:rPr>
        <w:t>29, 32, 37, 39, 40</w:t>
      </w:r>
      <w:r>
        <w:rPr>
          <w:rFonts w:cs="Times New Roman"/>
          <w:color w:val="0070C0"/>
          <w:szCs w:val="24"/>
        </w:rPr>
        <w:t xml:space="preserve">, </w:t>
      </w:r>
      <w:r>
        <w:rPr>
          <w:rFonts w:cs="Times New Roman"/>
          <w:color w:val="C00000"/>
          <w:szCs w:val="24"/>
        </w:rPr>
        <w:t>45</w:t>
      </w:r>
      <w:r>
        <w:rPr>
          <w:rFonts w:cs="Times New Roman"/>
          <w:color w:val="0070C0"/>
          <w:szCs w:val="24"/>
        </w:rPr>
        <w:t xml:space="preserve">  </w:t>
      </w:r>
    </w:p>
    <w:p w14:paraId="5FE23112" w14:textId="26100F0C" w:rsidR="001F49FD" w:rsidRPr="00C231F8" w:rsidRDefault="00611419" w:rsidP="00C231F8">
      <w:pPr>
        <w:tabs>
          <w:tab w:val="left" w:pos="1134"/>
          <w:tab w:val="left" w:pos="3402"/>
          <w:tab w:val="left" w:pos="3686"/>
          <w:tab w:val="left" w:pos="4253"/>
        </w:tabs>
        <w:ind w:firstLine="0"/>
        <w:contextualSpacing/>
        <w:rPr>
          <w:rFonts w:ascii="Times New Roman" w:hAnsi="Times New Roman" w:cs="Times New Roman"/>
          <w:szCs w:val="24"/>
        </w:rPr>
      </w:pPr>
      <w:r>
        <w:rPr>
          <w:noProof/>
        </w:rPr>
        <w:drawing>
          <wp:inline distT="0" distB="0" distL="0" distR="0" wp14:anchorId="175434F2" wp14:editId="147FD6F9">
            <wp:extent cx="4133850" cy="1828800"/>
            <wp:effectExtent l="0" t="0" r="0" b="0"/>
            <wp:docPr id="25" name="Objeto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6E9901B" w14:textId="77777777" w:rsidR="00C231F8" w:rsidRDefault="00C231F8" w:rsidP="00C231F8">
      <w:pPr>
        <w:ind w:firstLine="0"/>
        <w:rPr>
          <w:lang w:eastAsia="en-US"/>
        </w:rPr>
      </w:pPr>
    </w:p>
    <w:p w14:paraId="53064C8D" w14:textId="77777777" w:rsidR="001F49FD" w:rsidRDefault="001F49FD">
      <w:pPr>
        <w:rPr>
          <w:lang w:eastAsia="en-US"/>
        </w:rPr>
      </w:pPr>
    </w:p>
    <w:p w14:paraId="33B39ACF" w14:textId="77777777" w:rsidR="001F49FD" w:rsidRDefault="00611419">
      <w:pPr>
        <w:tabs>
          <w:tab w:val="left" w:pos="1134"/>
          <w:tab w:val="left" w:pos="3686"/>
          <w:tab w:val="left" w:pos="4253"/>
          <w:tab w:val="left" w:pos="4820"/>
        </w:tabs>
        <w:ind w:firstLine="0"/>
        <w:contextualSpacing/>
        <w:rPr>
          <w:rFonts w:ascii="Times New Roman" w:eastAsiaTheme="minorHAnsi" w:hAnsi="Times New Roman" w:cs="Times New Roman"/>
          <w:sz w:val="20"/>
          <w:szCs w:val="20"/>
          <w:lang w:eastAsia="en-US"/>
        </w:rPr>
      </w:pPr>
      <w:r>
        <w:rPr>
          <w:lang w:eastAsia="en-US"/>
        </w:rPr>
        <w:t xml:space="preserve">                   </w:t>
      </w:r>
      <w:r>
        <w:rPr>
          <w:rFonts w:cs="Times New Roman"/>
          <w:b/>
          <w:szCs w:val="24"/>
        </w:rPr>
        <w:t>III. TÉCNICA DE ARCO</w:t>
      </w:r>
    </w:p>
    <w:p w14:paraId="0C46CC06" w14:textId="77777777" w:rsidR="001F49FD" w:rsidRDefault="001F49FD">
      <w:pPr>
        <w:tabs>
          <w:tab w:val="left" w:pos="4820"/>
        </w:tabs>
        <w:contextualSpacing/>
        <w:rPr>
          <w:rFonts w:ascii="Times New Roman" w:eastAsiaTheme="minorHAnsi" w:hAnsi="Times New Roman" w:cs="Times New Roman"/>
          <w:sz w:val="20"/>
          <w:szCs w:val="20"/>
          <w:lang w:eastAsia="en-US"/>
        </w:rPr>
      </w:pPr>
    </w:p>
    <w:p w14:paraId="130DA6F9" w14:textId="77777777" w:rsidR="001F49FD" w:rsidRDefault="00611419">
      <w:pPr>
        <w:ind w:right="-568"/>
        <w:contextualSpacing/>
        <w:rPr>
          <w:rFonts w:ascii="Times New Roman" w:hAnsi="Times New Roman" w:cs="Times New Roman"/>
          <w:b/>
          <w:szCs w:val="24"/>
        </w:rPr>
      </w:pPr>
      <w:r>
        <w:rPr>
          <w:rFonts w:cs="Times New Roman"/>
          <w:b/>
          <w:szCs w:val="24"/>
        </w:rPr>
        <w:t>12. Distribuição do espaço entre os dedos:</w:t>
      </w:r>
    </w:p>
    <w:p w14:paraId="0DCB590E" w14:textId="77777777" w:rsidR="001F49FD" w:rsidRDefault="00611419">
      <w:pPr>
        <w:tabs>
          <w:tab w:val="left" w:pos="708"/>
          <w:tab w:val="left" w:pos="1416"/>
          <w:tab w:val="left" w:pos="2124"/>
          <w:tab w:val="left" w:pos="2832"/>
          <w:tab w:val="left" w:pos="3540"/>
          <w:tab w:val="left" w:pos="4248"/>
          <w:tab w:val="left" w:pos="4956"/>
          <w:tab w:val="left" w:pos="5664"/>
          <w:tab w:val="left" w:pos="6120"/>
        </w:tabs>
        <w:ind w:left="1134" w:right="-568" w:firstLine="0"/>
        <w:contextualSpacing/>
        <w:rPr>
          <w:rFonts w:ascii="Times New Roman" w:hAnsi="Times New Roman" w:cs="Times New Roman"/>
          <w:color w:val="C00000"/>
          <w:szCs w:val="24"/>
        </w:rPr>
      </w:pPr>
      <w:r>
        <w:rPr>
          <w:rFonts w:cs="Times New Roman"/>
          <w:szCs w:val="24"/>
        </w:rPr>
        <w:t>a)</w:t>
      </w:r>
      <w:r>
        <w:rPr>
          <w:rFonts w:cs="Times New Roman"/>
          <w:szCs w:val="24"/>
        </w:rPr>
        <w:tab/>
        <w:t xml:space="preserve">Separação equidistante de todos os dedos. </w:t>
      </w:r>
      <w:r>
        <w:rPr>
          <w:rFonts w:cs="Times New Roman"/>
          <w:color w:val="0070C0"/>
          <w:szCs w:val="24"/>
        </w:rPr>
        <w:t xml:space="preserve">2, 3, 4, 5, 6, 7, 10, 12, 13, 15, 18, 19, </w:t>
      </w:r>
      <w:r>
        <w:rPr>
          <w:rFonts w:cs="Times New Roman"/>
          <w:color w:val="00B050"/>
          <w:szCs w:val="24"/>
        </w:rPr>
        <w:t xml:space="preserve">22, 23, 26, 27, 28, 29, 31, 33, 35, 37, 38, 39, 40, </w:t>
      </w:r>
      <w:r>
        <w:rPr>
          <w:rFonts w:cs="Times New Roman"/>
          <w:color w:val="C00000"/>
          <w:szCs w:val="24"/>
        </w:rPr>
        <w:t>41, 42, 43, 44, 45, 46, 47, 48, 49</w:t>
      </w:r>
    </w:p>
    <w:p w14:paraId="4D242336"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Dedo indicador um pouco mais distante do dedo médio. </w:t>
      </w:r>
      <w:r>
        <w:rPr>
          <w:rFonts w:cs="Times New Roman"/>
          <w:color w:val="0070C0"/>
          <w:szCs w:val="24"/>
        </w:rPr>
        <w:t xml:space="preserve">1, 8, 9, 11, 14, 16, 17, 20, </w:t>
      </w:r>
      <w:r>
        <w:rPr>
          <w:rFonts w:cs="Times New Roman"/>
          <w:color w:val="00B050"/>
          <w:szCs w:val="24"/>
        </w:rPr>
        <w:t xml:space="preserve">21, 24, 25, 30, 32, 34, 36, </w:t>
      </w:r>
      <w:r>
        <w:rPr>
          <w:rFonts w:cs="Times New Roman"/>
          <w:color w:val="C00000"/>
          <w:szCs w:val="24"/>
        </w:rPr>
        <w:t>50</w:t>
      </w:r>
    </w:p>
    <w:p w14:paraId="7E67A023" w14:textId="77777777" w:rsidR="001F49FD" w:rsidRDefault="00611419">
      <w:pPr>
        <w:tabs>
          <w:tab w:val="left" w:pos="1134"/>
          <w:tab w:val="left" w:pos="3402"/>
          <w:tab w:val="left" w:pos="4253"/>
        </w:tabs>
        <w:ind w:right="-568" w:firstLine="0"/>
        <w:contextualSpacing/>
        <w:rPr>
          <w:rFonts w:ascii="Times New Roman" w:hAnsi="Times New Roman" w:cs="Times New Roman"/>
          <w:b/>
          <w:szCs w:val="24"/>
        </w:rPr>
      </w:pPr>
      <w:r>
        <w:rPr>
          <w:rFonts w:cs="Times New Roman"/>
          <w:b/>
          <w:szCs w:val="24"/>
        </w:rPr>
        <w:t xml:space="preserve">       </w:t>
      </w:r>
      <w:r>
        <w:rPr>
          <w:noProof/>
        </w:rPr>
        <w:drawing>
          <wp:inline distT="0" distB="0" distL="0" distR="0" wp14:anchorId="0766C4A2" wp14:editId="0C923AD8">
            <wp:extent cx="3943350" cy="1752600"/>
            <wp:effectExtent l="0" t="0" r="0" b="0"/>
            <wp:docPr id="26" name="Objeto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8775087" w14:textId="77777777" w:rsidR="001F49FD" w:rsidRDefault="001F49FD">
      <w:pPr>
        <w:ind w:right="-568"/>
        <w:contextualSpacing/>
        <w:rPr>
          <w:rFonts w:ascii="Times New Roman" w:hAnsi="Times New Roman" w:cs="Times New Roman"/>
          <w:b/>
          <w:szCs w:val="24"/>
        </w:rPr>
      </w:pPr>
    </w:p>
    <w:p w14:paraId="445947F3" w14:textId="77777777" w:rsidR="001F49FD" w:rsidRDefault="001F49FD">
      <w:pPr>
        <w:ind w:right="-568"/>
        <w:contextualSpacing/>
        <w:rPr>
          <w:rFonts w:ascii="Times New Roman" w:hAnsi="Times New Roman" w:cs="Times New Roman"/>
          <w:b/>
          <w:szCs w:val="24"/>
        </w:rPr>
      </w:pPr>
    </w:p>
    <w:p w14:paraId="302A0740" w14:textId="77777777" w:rsidR="001F49FD" w:rsidRDefault="00611419">
      <w:pPr>
        <w:ind w:right="-568"/>
        <w:contextualSpacing/>
        <w:rPr>
          <w:rFonts w:ascii="Times New Roman" w:hAnsi="Times New Roman" w:cs="Times New Roman"/>
          <w:b/>
          <w:szCs w:val="24"/>
        </w:rPr>
      </w:pPr>
      <w:r>
        <w:rPr>
          <w:rFonts w:cs="Times New Roman"/>
          <w:b/>
          <w:szCs w:val="24"/>
        </w:rPr>
        <w:t>13. Ponto de contato do dedo indicador:</w:t>
      </w:r>
    </w:p>
    <w:p w14:paraId="5764F126" w14:textId="6C1DAF9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a) Na articulação </w:t>
      </w:r>
      <w:r w:rsidR="00393CC4">
        <w:rPr>
          <w:rFonts w:cs="Times New Roman"/>
          <w:szCs w:val="24"/>
        </w:rPr>
        <w:t>interfalangiana</w:t>
      </w:r>
      <w:r>
        <w:rPr>
          <w:rFonts w:cs="Times New Roman"/>
          <w:szCs w:val="24"/>
        </w:rPr>
        <w:t xml:space="preserve"> proximal. </w:t>
      </w:r>
      <w:r>
        <w:rPr>
          <w:rFonts w:cs="Times New Roman"/>
          <w:color w:val="0070C0"/>
          <w:szCs w:val="24"/>
        </w:rPr>
        <w:t xml:space="preserve">1, 12, 15, </w:t>
      </w:r>
      <w:r>
        <w:rPr>
          <w:rFonts w:cs="Times New Roman"/>
          <w:color w:val="00B050"/>
          <w:szCs w:val="24"/>
        </w:rPr>
        <w:t xml:space="preserve">24, 28, 33, </w:t>
      </w:r>
      <w:r>
        <w:rPr>
          <w:rFonts w:cs="Times New Roman"/>
          <w:color w:val="C00000"/>
          <w:szCs w:val="24"/>
        </w:rPr>
        <w:t>45, 46, 47, 48</w:t>
      </w:r>
    </w:p>
    <w:p w14:paraId="568422E8"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Ao centro da falange média. </w:t>
      </w:r>
      <w:r>
        <w:rPr>
          <w:rFonts w:cs="Times New Roman"/>
          <w:color w:val="0070C0"/>
          <w:szCs w:val="24"/>
        </w:rPr>
        <w:t xml:space="preserve">2, 5, 6, 7, 8, 9, 10, 11, 17, 18, 19, </w:t>
      </w:r>
      <w:r>
        <w:rPr>
          <w:rFonts w:cs="Times New Roman"/>
          <w:color w:val="00B050"/>
          <w:szCs w:val="24"/>
        </w:rPr>
        <w:t xml:space="preserve">21, 22, 23 26, 27, 29, 30, 34, 36, 37, 39, 40, </w:t>
      </w:r>
      <w:r>
        <w:rPr>
          <w:rFonts w:cs="Times New Roman"/>
          <w:color w:val="C00000"/>
          <w:szCs w:val="24"/>
        </w:rPr>
        <w:t>41, 43, 44, 49, 50</w:t>
      </w:r>
    </w:p>
    <w:p w14:paraId="263C11E6" w14:textId="1D097069"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c) Na articulação </w:t>
      </w:r>
      <w:r w:rsidR="00393CC4">
        <w:rPr>
          <w:rFonts w:cs="Times New Roman"/>
          <w:szCs w:val="24"/>
        </w:rPr>
        <w:t>interfalangiana</w:t>
      </w:r>
      <w:r>
        <w:rPr>
          <w:rFonts w:cs="Times New Roman"/>
          <w:szCs w:val="24"/>
        </w:rPr>
        <w:t xml:space="preserve"> distal. </w:t>
      </w:r>
      <w:r>
        <w:rPr>
          <w:rFonts w:cs="Times New Roman"/>
          <w:color w:val="0070C0"/>
          <w:szCs w:val="24"/>
        </w:rPr>
        <w:t xml:space="preserve">3, 4, 13, 14, 16, 20, </w:t>
      </w:r>
      <w:r>
        <w:rPr>
          <w:rFonts w:cs="Times New Roman"/>
          <w:color w:val="00B050"/>
          <w:szCs w:val="24"/>
        </w:rPr>
        <w:t xml:space="preserve">25, 31, 32, 35, 38, </w:t>
      </w:r>
      <w:r>
        <w:rPr>
          <w:rFonts w:cs="Times New Roman"/>
          <w:color w:val="C00000"/>
          <w:szCs w:val="24"/>
        </w:rPr>
        <w:t>42</w:t>
      </w:r>
    </w:p>
    <w:p w14:paraId="69876271" w14:textId="77777777" w:rsidR="001F49FD" w:rsidRDefault="00611419">
      <w:pPr>
        <w:tabs>
          <w:tab w:val="left" w:pos="1134"/>
          <w:tab w:val="left" w:pos="3402"/>
          <w:tab w:val="left" w:pos="3686"/>
          <w:tab w:val="left" w:pos="4253"/>
        </w:tabs>
        <w:ind w:right="-568" w:firstLine="0"/>
        <w:contextualSpacing/>
        <w:rPr>
          <w:rFonts w:ascii="Times New Roman" w:hAnsi="Times New Roman" w:cs="Times New Roman"/>
          <w:color w:val="0070C0"/>
          <w:szCs w:val="24"/>
        </w:rPr>
      </w:pPr>
      <w:r>
        <w:rPr>
          <w:rFonts w:cs="Times New Roman"/>
          <w:color w:val="0070C0"/>
          <w:szCs w:val="24"/>
        </w:rPr>
        <w:lastRenderedPageBreak/>
        <w:t xml:space="preserve">      </w:t>
      </w:r>
      <w:r>
        <w:rPr>
          <w:noProof/>
        </w:rPr>
        <w:drawing>
          <wp:inline distT="0" distB="0" distL="0" distR="0" wp14:anchorId="60E82897" wp14:editId="456A0491">
            <wp:extent cx="4057650" cy="1962150"/>
            <wp:effectExtent l="0" t="0" r="0" b="0"/>
            <wp:docPr id="27" name="Objeto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34A11F5" w14:textId="77777777" w:rsidR="001F49FD" w:rsidRDefault="001F49FD" w:rsidP="00AB20BA">
      <w:pPr>
        <w:ind w:right="-568" w:firstLine="0"/>
        <w:contextualSpacing/>
        <w:rPr>
          <w:rFonts w:ascii="Times New Roman" w:hAnsi="Times New Roman" w:cs="Times New Roman"/>
          <w:b/>
          <w:szCs w:val="24"/>
        </w:rPr>
      </w:pPr>
    </w:p>
    <w:p w14:paraId="2144A869" w14:textId="77777777" w:rsidR="001F49FD" w:rsidRDefault="001F49FD">
      <w:pPr>
        <w:ind w:right="-568"/>
        <w:contextualSpacing/>
        <w:rPr>
          <w:rFonts w:ascii="Times New Roman" w:hAnsi="Times New Roman" w:cs="Times New Roman"/>
          <w:b/>
          <w:szCs w:val="24"/>
        </w:rPr>
      </w:pPr>
    </w:p>
    <w:p w14:paraId="61FD767F" w14:textId="3A55C864" w:rsidR="001F49FD" w:rsidRDefault="00611419">
      <w:pPr>
        <w:ind w:right="-568"/>
        <w:contextualSpacing/>
        <w:rPr>
          <w:rFonts w:ascii="Times New Roman" w:hAnsi="Times New Roman" w:cs="Times New Roman"/>
          <w:b/>
          <w:szCs w:val="24"/>
        </w:rPr>
      </w:pPr>
      <w:r>
        <w:rPr>
          <w:rFonts w:cs="Times New Roman"/>
          <w:b/>
          <w:szCs w:val="24"/>
        </w:rPr>
        <w:t>14. Ponto de contato do dedo médio</w:t>
      </w:r>
    </w:p>
    <w:p w14:paraId="53B7C25F"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a) Ao centro da falange média. </w:t>
      </w:r>
      <w:r>
        <w:rPr>
          <w:rFonts w:cs="Times New Roman"/>
          <w:color w:val="0070C0"/>
          <w:szCs w:val="24"/>
        </w:rPr>
        <w:t xml:space="preserve">1, 2, 5, 7, 8, 9, 10, 11, 14, 15, 16, 17, 19, </w:t>
      </w:r>
      <w:r>
        <w:rPr>
          <w:rFonts w:cs="Times New Roman"/>
          <w:color w:val="00B050"/>
          <w:szCs w:val="24"/>
        </w:rPr>
        <w:t xml:space="preserve">21, 22, 23, 24, 26, 27, 33, 34, 36, 39, 40, </w:t>
      </w:r>
      <w:r>
        <w:rPr>
          <w:rFonts w:cs="Times New Roman"/>
          <w:color w:val="C00000"/>
          <w:szCs w:val="24"/>
        </w:rPr>
        <w:t>44, 48, 50</w:t>
      </w:r>
    </w:p>
    <w:p w14:paraId="4BA8A75A" w14:textId="04CEDD1D"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Na articulação </w:t>
      </w:r>
      <w:r w:rsidR="00393CC4">
        <w:rPr>
          <w:rFonts w:cs="Times New Roman"/>
          <w:szCs w:val="24"/>
        </w:rPr>
        <w:t>interfalangiana</w:t>
      </w:r>
      <w:r>
        <w:rPr>
          <w:rFonts w:cs="Times New Roman"/>
          <w:szCs w:val="24"/>
        </w:rPr>
        <w:t xml:space="preserve"> distal. </w:t>
      </w:r>
      <w:r>
        <w:rPr>
          <w:rFonts w:cs="Times New Roman"/>
          <w:color w:val="0070C0"/>
          <w:szCs w:val="24"/>
        </w:rPr>
        <w:t xml:space="preserve">3, 6, 12, 13, 18, 20, </w:t>
      </w:r>
      <w:r>
        <w:rPr>
          <w:rFonts w:cs="Times New Roman"/>
          <w:color w:val="00B050"/>
          <w:szCs w:val="24"/>
        </w:rPr>
        <w:t xml:space="preserve">25, 29, 31, 32, 35, 37, 38, </w:t>
      </w:r>
      <w:r>
        <w:rPr>
          <w:rFonts w:cs="Times New Roman"/>
          <w:color w:val="C00000"/>
          <w:szCs w:val="24"/>
        </w:rPr>
        <w:t>41, 42, 43, 45, 46, 47, 49</w:t>
      </w:r>
    </w:p>
    <w:p w14:paraId="202916AB" w14:textId="77777777" w:rsidR="001F49FD" w:rsidRDefault="00611419">
      <w:pPr>
        <w:ind w:left="1134" w:right="-568" w:firstLine="0"/>
        <w:contextualSpacing/>
        <w:rPr>
          <w:rFonts w:ascii="Times New Roman" w:hAnsi="Times New Roman" w:cs="Times New Roman"/>
          <w:color w:val="00B050"/>
          <w:szCs w:val="24"/>
        </w:rPr>
      </w:pPr>
      <w:r>
        <w:rPr>
          <w:rFonts w:cs="Times New Roman"/>
          <w:szCs w:val="24"/>
        </w:rPr>
        <w:t>Outra resposta</w:t>
      </w:r>
      <w:r>
        <w:rPr>
          <w:rFonts w:cs="Times New Roman"/>
          <w:color w:val="0070C0"/>
          <w:szCs w:val="24"/>
        </w:rPr>
        <w:t xml:space="preserve">. </w:t>
      </w:r>
      <w:r>
        <w:rPr>
          <w:rFonts w:cs="Times New Roman"/>
          <w:i/>
          <w:szCs w:val="24"/>
        </w:rPr>
        <w:t>Na falange distal, controle dos dedos.</w:t>
      </w:r>
      <w:r>
        <w:rPr>
          <w:rFonts w:cs="Times New Roman"/>
          <w:color w:val="00B050"/>
          <w:szCs w:val="24"/>
        </w:rPr>
        <w:t xml:space="preserve"> </w:t>
      </w:r>
      <w:r>
        <w:rPr>
          <w:rFonts w:cs="Times New Roman"/>
          <w:color w:val="0070C0"/>
          <w:szCs w:val="24"/>
        </w:rPr>
        <w:t>4</w:t>
      </w:r>
    </w:p>
    <w:p w14:paraId="635751F8" w14:textId="77777777" w:rsidR="001F49FD" w:rsidRDefault="00611419">
      <w:pPr>
        <w:ind w:left="1134" w:right="-568" w:firstLine="0"/>
        <w:contextualSpacing/>
        <w:rPr>
          <w:rFonts w:ascii="Times New Roman" w:hAnsi="Times New Roman" w:cs="Times New Roman"/>
          <w:i/>
          <w:szCs w:val="24"/>
        </w:rPr>
      </w:pPr>
      <w:r>
        <w:rPr>
          <w:rFonts w:cs="Times New Roman"/>
          <w:szCs w:val="24"/>
        </w:rPr>
        <w:t>Outra resposta</w:t>
      </w:r>
      <w:r>
        <w:rPr>
          <w:rFonts w:cs="Times New Roman"/>
          <w:color w:val="0070C0"/>
          <w:szCs w:val="24"/>
        </w:rPr>
        <w:t xml:space="preserve">. </w:t>
      </w:r>
      <w:r>
        <w:rPr>
          <w:rFonts w:cs="Times New Roman"/>
          <w:i/>
          <w:szCs w:val="24"/>
        </w:rPr>
        <w:t xml:space="preserve">Onde o dedo se posiciona naturalmente. </w:t>
      </w:r>
      <w:r>
        <w:rPr>
          <w:rFonts w:cs="Times New Roman"/>
          <w:color w:val="00B050"/>
          <w:szCs w:val="24"/>
        </w:rPr>
        <w:t xml:space="preserve">28, 30 </w:t>
      </w:r>
    </w:p>
    <w:p w14:paraId="27F08B9C" w14:textId="77777777" w:rsidR="001F49FD" w:rsidRDefault="00611419">
      <w:pPr>
        <w:tabs>
          <w:tab w:val="left" w:pos="1134"/>
          <w:tab w:val="left" w:pos="3402"/>
          <w:tab w:val="left" w:pos="3686"/>
          <w:tab w:val="left" w:pos="4253"/>
        </w:tabs>
        <w:ind w:right="-568" w:firstLine="0"/>
        <w:contextualSpacing/>
        <w:rPr>
          <w:rFonts w:ascii="Times New Roman" w:hAnsi="Times New Roman" w:cs="Times New Roman"/>
          <w:b/>
          <w:szCs w:val="24"/>
        </w:rPr>
      </w:pPr>
      <w:r>
        <w:rPr>
          <w:rFonts w:cs="Times New Roman"/>
          <w:b/>
          <w:szCs w:val="24"/>
        </w:rPr>
        <w:t xml:space="preserve">       </w:t>
      </w:r>
      <w:r>
        <w:rPr>
          <w:noProof/>
        </w:rPr>
        <w:drawing>
          <wp:inline distT="0" distB="0" distL="0" distR="0" wp14:anchorId="0F3E151B" wp14:editId="5BBC6BE6">
            <wp:extent cx="3933825" cy="1933575"/>
            <wp:effectExtent l="0" t="0" r="0" b="0"/>
            <wp:docPr id="28" name="Objeto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228A475" w14:textId="77777777" w:rsidR="001F49FD" w:rsidRDefault="001F49FD">
      <w:pPr>
        <w:ind w:right="-568"/>
        <w:contextualSpacing/>
        <w:rPr>
          <w:rFonts w:ascii="Times New Roman" w:hAnsi="Times New Roman" w:cs="Times New Roman"/>
          <w:b/>
          <w:szCs w:val="24"/>
        </w:rPr>
      </w:pPr>
    </w:p>
    <w:p w14:paraId="7C39EC99" w14:textId="77777777" w:rsidR="001F49FD" w:rsidRDefault="001F49FD">
      <w:pPr>
        <w:ind w:right="-568"/>
        <w:contextualSpacing/>
        <w:rPr>
          <w:rFonts w:ascii="Times New Roman" w:hAnsi="Times New Roman" w:cs="Times New Roman"/>
          <w:b/>
          <w:szCs w:val="24"/>
        </w:rPr>
      </w:pPr>
    </w:p>
    <w:p w14:paraId="288DFE2A" w14:textId="77777777" w:rsidR="00AB20BA" w:rsidRDefault="00AB20BA">
      <w:pPr>
        <w:ind w:right="-568"/>
        <w:contextualSpacing/>
        <w:rPr>
          <w:rFonts w:ascii="Times New Roman" w:hAnsi="Times New Roman" w:cs="Times New Roman"/>
          <w:b/>
          <w:szCs w:val="24"/>
        </w:rPr>
      </w:pPr>
    </w:p>
    <w:p w14:paraId="73A870BB" w14:textId="77777777" w:rsidR="00AB20BA" w:rsidRDefault="00AB20BA">
      <w:pPr>
        <w:ind w:right="-568"/>
        <w:contextualSpacing/>
        <w:rPr>
          <w:rFonts w:ascii="Times New Roman" w:hAnsi="Times New Roman" w:cs="Times New Roman"/>
          <w:b/>
          <w:szCs w:val="24"/>
        </w:rPr>
      </w:pPr>
    </w:p>
    <w:p w14:paraId="463DF788" w14:textId="77777777" w:rsidR="00AB20BA" w:rsidRDefault="00AB20BA">
      <w:pPr>
        <w:ind w:right="-568"/>
        <w:contextualSpacing/>
        <w:rPr>
          <w:rFonts w:ascii="Times New Roman" w:hAnsi="Times New Roman" w:cs="Times New Roman"/>
          <w:b/>
          <w:szCs w:val="24"/>
        </w:rPr>
      </w:pPr>
    </w:p>
    <w:p w14:paraId="163FA5CA" w14:textId="77777777" w:rsidR="00AB20BA" w:rsidRDefault="00AB20BA">
      <w:pPr>
        <w:ind w:right="-568"/>
        <w:contextualSpacing/>
        <w:rPr>
          <w:rFonts w:ascii="Times New Roman" w:hAnsi="Times New Roman" w:cs="Times New Roman"/>
          <w:b/>
          <w:szCs w:val="24"/>
        </w:rPr>
      </w:pPr>
    </w:p>
    <w:p w14:paraId="6EB61CCD" w14:textId="77777777" w:rsidR="00AB20BA" w:rsidRDefault="00AB20BA">
      <w:pPr>
        <w:ind w:right="-568"/>
        <w:contextualSpacing/>
        <w:rPr>
          <w:rFonts w:ascii="Times New Roman" w:hAnsi="Times New Roman" w:cs="Times New Roman"/>
          <w:b/>
          <w:szCs w:val="24"/>
        </w:rPr>
      </w:pPr>
    </w:p>
    <w:p w14:paraId="38E14B1D" w14:textId="77777777" w:rsidR="00AB20BA" w:rsidRDefault="00AB20BA">
      <w:pPr>
        <w:ind w:right="-568"/>
        <w:contextualSpacing/>
        <w:rPr>
          <w:rFonts w:ascii="Times New Roman" w:hAnsi="Times New Roman" w:cs="Times New Roman"/>
          <w:b/>
          <w:szCs w:val="24"/>
        </w:rPr>
      </w:pPr>
    </w:p>
    <w:p w14:paraId="6E0C786F" w14:textId="77777777" w:rsidR="00AB20BA" w:rsidRDefault="00AB20BA">
      <w:pPr>
        <w:ind w:right="-568"/>
        <w:contextualSpacing/>
        <w:rPr>
          <w:rFonts w:ascii="Times New Roman" w:hAnsi="Times New Roman" w:cs="Times New Roman"/>
          <w:b/>
          <w:szCs w:val="24"/>
        </w:rPr>
      </w:pPr>
    </w:p>
    <w:p w14:paraId="5536B074" w14:textId="37C471D4" w:rsidR="001F49FD" w:rsidRDefault="00611419">
      <w:pPr>
        <w:ind w:right="-568"/>
        <w:contextualSpacing/>
        <w:rPr>
          <w:rFonts w:ascii="Times New Roman" w:hAnsi="Times New Roman" w:cs="Times New Roman"/>
          <w:b/>
          <w:szCs w:val="24"/>
        </w:rPr>
      </w:pPr>
      <w:r>
        <w:rPr>
          <w:rFonts w:cs="Times New Roman"/>
          <w:b/>
          <w:szCs w:val="24"/>
        </w:rPr>
        <w:lastRenderedPageBreak/>
        <w:t>15. Mobilidade do dedo indicador</w:t>
      </w:r>
    </w:p>
    <w:p w14:paraId="2E1C2A2F" w14:textId="77777777" w:rsidR="001F49FD" w:rsidRDefault="00611419">
      <w:pPr>
        <w:ind w:right="-568"/>
        <w:contextualSpacing/>
        <w:rPr>
          <w:rFonts w:ascii="Times New Roman" w:hAnsi="Times New Roman" w:cs="Times New Roman"/>
          <w:color w:val="C00000"/>
          <w:szCs w:val="24"/>
        </w:rPr>
      </w:pPr>
      <w:r>
        <w:rPr>
          <w:rFonts w:cs="Times New Roman"/>
          <w:szCs w:val="24"/>
        </w:rPr>
        <w:t xml:space="preserve">a) Acentuada. </w:t>
      </w:r>
      <w:r>
        <w:rPr>
          <w:rFonts w:cs="Times New Roman"/>
          <w:color w:val="00B050"/>
          <w:szCs w:val="24"/>
        </w:rPr>
        <w:t xml:space="preserve">30, 33, 37, </w:t>
      </w:r>
      <w:r>
        <w:rPr>
          <w:rFonts w:cs="Times New Roman"/>
          <w:color w:val="C00000"/>
          <w:szCs w:val="24"/>
        </w:rPr>
        <w:t>41, 49</w:t>
      </w:r>
    </w:p>
    <w:p w14:paraId="098B10F7"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Moderada. </w:t>
      </w:r>
      <w:r>
        <w:rPr>
          <w:rFonts w:cs="Times New Roman"/>
          <w:color w:val="0070C0"/>
          <w:szCs w:val="24"/>
        </w:rPr>
        <w:t xml:space="preserve">3, 5, 6, 7, 9, 10, 16, 17, 19, 20, </w:t>
      </w:r>
      <w:r>
        <w:rPr>
          <w:rFonts w:cs="Times New Roman"/>
          <w:color w:val="00B050"/>
          <w:szCs w:val="24"/>
        </w:rPr>
        <w:t xml:space="preserve">23, 24, 25, 28, 31, 32, 34, 40, </w:t>
      </w:r>
      <w:r>
        <w:rPr>
          <w:rFonts w:cs="Times New Roman"/>
          <w:color w:val="C00000"/>
          <w:szCs w:val="24"/>
        </w:rPr>
        <w:t>50</w:t>
      </w:r>
    </w:p>
    <w:p w14:paraId="37167693" w14:textId="77777777" w:rsidR="001F49FD" w:rsidRDefault="00611419">
      <w:pPr>
        <w:ind w:left="1134" w:right="-568" w:firstLine="0"/>
        <w:contextualSpacing/>
        <w:rPr>
          <w:rFonts w:ascii="Times New Roman" w:hAnsi="Times New Roman" w:cs="Times New Roman"/>
          <w:color w:val="00B050"/>
          <w:szCs w:val="24"/>
        </w:rPr>
      </w:pPr>
      <w:r>
        <w:rPr>
          <w:rFonts w:cs="Times New Roman"/>
          <w:szCs w:val="24"/>
        </w:rPr>
        <w:t xml:space="preserve">c) Mínima. </w:t>
      </w:r>
      <w:r>
        <w:rPr>
          <w:rFonts w:cs="Times New Roman"/>
          <w:color w:val="0070C0"/>
          <w:szCs w:val="24"/>
        </w:rPr>
        <w:t xml:space="preserve">1, 2, 4, 8, 11, 12, 13, 14, 15, 18, </w:t>
      </w:r>
      <w:r>
        <w:rPr>
          <w:rFonts w:cs="Times New Roman"/>
          <w:color w:val="00B050"/>
          <w:szCs w:val="24"/>
        </w:rPr>
        <w:t xml:space="preserve">21, 22, 26, 27, 29, 35, 36, 38,39, </w:t>
      </w:r>
      <w:r>
        <w:rPr>
          <w:rFonts w:cs="Times New Roman"/>
          <w:color w:val="C00000"/>
          <w:szCs w:val="24"/>
        </w:rPr>
        <w:t>42, 43, 44, 45, 46, 47, 48</w:t>
      </w:r>
      <w:r>
        <w:rPr>
          <w:rFonts w:cs="Times New Roman"/>
          <w:color w:val="00B050"/>
          <w:szCs w:val="24"/>
        </w:rPr>
        <w:t xml:space="preserve"> </w:t>
      </w:r>
    </w:p>
    <w:p w14:paraId="00D202C4" w14:textId="6F753A99" w:rsidR="001F49FD" w:rsidRDefault="00611419" w:rsidP="00AB20BA">
      <w:pPr>
        <w:tabs>
          <w:tab w:val="left" w:pos="1134"/>
          <w:tab w:val="left" w:pos="2205"/>
          <w:tab w:val="left" w:pos="3402"/>
          <w:tab w:val="left" w:pos="3686"/>
          <w:tab w:val="left" w:pos="4253"/>
        </w:tabs>
        <w:ind w:right="-568" w:firstLine="0"/>
        <w:contextualSpacing/>
        <w:rPr>
          <w:rFonts w:eastAsiaTheme="minorHAnsi"/>
          <w:b/>
          <w:lang w:eastAsia="en-US"/>
        </w:rPr>
      </w:pPr>
      <w:r>
        <w:rPr>
          <w:rFonts w:eastAsiaTheme="minorHAnsi"/>
          <w:b/>
          <w:lang w:eastAsia="en-US"/>
        </w:rPr>
        <w:t xml:space="preserve"> </w:t>
      </w:r>
      <w:r>
        <w:rPr>
          <w:noProof/>
        </w:rPr>
        <w:drawing>
          <wp:inline distT="0" distB="0" distL="0" distR="0" wp14:anchorId="66842E25" wp14:editId="77EB283D">
            <wp:extent cx="3924300" cy="2092325"/>
            <wp:effectExtent l="0" t="0" r="0" b="0"/>
            <wp:docPr id="29" name="Objeto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3C0BAB3" w14:textId="77777777" w:rsidR="001F49FD" w:rsidRDefault="001F49FD">
      <w:pPr>
        <w:ind w:left="1134" w:right="-568" w:firstLine="0"/>
        <w:contextualSpacing/>
        <w:rPr>
          <w:rFonts w:eastAsiaTheme="minorHAnsi"/>
          <w:b/>
          <w:lang w:eastAsia="en-US"/>
        </w:rPr>
      </w:pPr>
    </w:p>
    <w:p w14:paraId="63C71FEC" w14:textId="77777777" w:rsidR="001F49FD" w:rsidRDefault="001F49FD">
      <w:pPr>
        <w:ind w:left="1134" w:right="-568" w:firstLine="0"/>
        <w:contextualSpacing/>
        <w:rPr>
          <w:rFonts w:eastAsiaTheme="minorHAnsi"/>
          <w:b/>
          <w:lang w:eastAsia="en-US"/>
        </w:rPr>
      </w:pPr>
    </w:p>
    <w:p w14:paraId="69207D3B" w14:textId="07F5655F" w:rsidR="001F49FD" w:rsidRDefault="00611419">
      <w:pPr>
        <w:tabs>
          <w:tab w:val="left" w:pos="3686"/>
        </w:tabs>
        <w:ind w:left="1134" w:right="-568" w:firstLine="0"/>
        <w:contextualSpacing/>
        <w:rPr>
          <w:rFonts w:eastAsiaTheme="minorHAnsi"/>
          <w:b/>
          <w:lang w:eastAsia="en-US"/>
        </w:rPr>
      </w:pPr>
      <w:r>
        <w:rPr>
          <w:rFonts w:eastAsiaTheme="minorHAnsi"/>
          <w:b/>
          <w:lang w:eastAsia="en-US"/>
        </w:rPr>
        <w:t>16. Posição dos dedos sobre a vareta</w:t>
      </w:r>
    </w:p>
    <w:p w14:paraId="1E713686" w14:textId="77777777" w:rsidR="001F49FD" w:rsidRDefault="00611419">
      <w:pPr>
        <w:ind w:left="1134" w:right="-568" w:firstLine="0"/>
        <w:contextualSpacing/>
        <w:rPr>
          <w:rFonts w:ascii="Times New Roman" w:hAnsi="Times New Roman" w:cs="Times New Roman"/>
          <w:i/>
          <w:color w:val="C00000"/>
          <w:szCs w:val="24"/>
        </w:rPr>
      </w:pPr>
      <w:r>
        <w:rPr>
          <w:rFonts w:cs="Times New Roman"/>
          <w:szCs w:val="24"/>
        </w:rPr>
        <w:t xml:space="preserve">a) Prioritariamente inclinados. </w:t>
      </w:r>
      <w:r>
        <w:rPr>
          <w:rFonts w:cs="Times New Roman"/>
          <w:color w:val="0070C0"/>
          <w:szCs w:val="24"/>
        </w:rPr>
        <w:t xml:space="preserve">1, 3, 4, 6, 7, 8, 10, 11, 12, 13, 15, 16, 18, 20, </w:t>
      </w:r>
      <w:r>
        <w:rPr>
          <w:rFonts w:cs="Times New Roman"/>
          <w:color w:val="00B050"/>
          <w:szCs w:val="24"/>
        </w:rPr>
        <w:t xml:space="preserve">22, 26, 28, 31, 32, 33, 35, 37, 40, </w:t>
      </w:r>
      <w:r>
        <w:rPr>
          <w:rFonts w:cs="Times New Roman"/>
          <w:color w:val="C00000"/>
          <w:szCs w:val="24"/>
        </w:rPr>
        <w:t>41, 43, 45, 46, 47, 48, 49, 50</w:t>
      </w:r>
    </w:p>
    <w:p w14:paraId="78457058"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b) Prioritariamente perpendiculares. </w:t>
      </w:r>
      <w:r>
        <w:rPr>
          <w:rFonts w:cs="Times New Roman"/>
          <w:color w:val="0070C0"/>
          <w:szCs w:val="24"/>
        </w:rPr>
        <w:t xml:space="preserve">14, 17, </w:t>
      </w:r>
      <w:r>
        <w:rPr>
          <w:rFonts w:cs="Times New Roman"/>
          <w:color w:val="00B050"/>
          <w:szCs w:val="24"/>
        </w:rPr>
        <w:t xml:space="preserve">21, 23, 25, 27, 30, 34, 36, 38, 39, </w:t>
      </w:r>
      <w:r>
        <w:rPr>
          <w:rFonts w:cs="Times New Roman"/>
          <w:color w:val="C00000"/>
          <w:szCs w:val="24"/>
        </w:rPr>
        <w:t>42</w:t>
      </w:r>
    </w:p>
    <w:p w14:paraId="1AF3CC9E" w14:textId="77777777" w:rsidR="001F49FD" w:rsidRDefault="00611419">
      <w:pPr>
        <w:ind w:left="1134" w:right="-568" w:firstLine="0"/>
        <w:contextualSpacing/>
        <w:rPr>
          <w:rFonts w:ascii="Times New Roman" w:hAnsi="Times New Roman" w:cs="Times New Roman"/>
          <w:i/>
          <w:szCs w:val="24"/>
        </w:rPr>
      </w:pPr>
      <w:r>
        <w:rPr>
          <w:rFonts w:cs="Times New Roman"/>
          <w:szCs w:val="24"/>
        </w:rPr>
        <w:t xml:space="preserve">Outra resposta. </w:t>
      </w:r>
      <w:r>
        <w:rPr>
          <w:rFonts w:cs="Times New Roman"/>
          <w:i/>
          <w:szCs w:val="24"/>
        </w:rPr>
        <w:t xml:space="preserve">Variável. </w:t>
      </w:r>
      <w:r>
        <w:rPr>
          <w:rFonts w:cs="Times New Roman"/>
          <w:color w:val="0070C0"/>
          <w:szCs w:val="24"/>
        </w:rPr>
        <w:t xml:space="preserve">2, 5, 9, 19, </w:t>
      </w:r>
      <w:r>
        <w:rPr>
          <w:rFonts w:cs="Times New Roman"/>
          <w:color w:val="00B050"/>
          <w:szCs w:val="24"/>
        </w:rPr>
        <w:t xml:space="preserve">24, 29, </w:t>
      </w:r>
      <w:r>
        <w:rPr>
          <w:rFonts w:cs="Times New Roman"/>
          <w:color w:val="C00000"/>
          <w:szCs w:val="24"/>
        </w:rPr>
        <w:t xml:space="preserve">44 </w:t>
      </w:r>
    </w:p>
    <w:p w14:paraId="15FD8B90" w14:textId="77777777" w:rsidR="001F49FD" w:rsidRDefault="00611419">
      <w:pPr>
        <w:tabs>
          <w:tab w:val="left" w:pos="1134"/>
          <w:tab w:val="left" w:pos="3402"/>
          <w:tab w:val="left" w:pos="3686"/>
          <w:tab w:val="left" w:pos="4253"/>
        </w:tabs>
        <w:ind w:right="-568" w:firstLine="0"/>
        <w:contextualSpacing/>
        <w:rPr>
          <w:rFonts w:ascii="Times New Roman" w:hAnsi="Times New Roman" w:cs="Times New Roman"/>
          <w:szCs w:val="24"/>
        </w:rPr>
      </w:pPr>
      <w:r>
        <w:rPr>
          <w:rFonts w:cs="Times New Roman"/>
          <w:szCs w:val="24"/>
        </w:rPr>
        <w:t xml:space="preserve">     </w:t>
      </w:r>
      <w:r>
        <w:rPr>
          <w:noProof/>
        </w:rPr>
        <w:drawing>
          <wp:inline distT="0" distB="0" distL="0" distR="0" wp14:anchorId="1373B475" wp14:editId="58DEAF90">
            <wp:extent cx="3819525" cy="1704975"/>
            <wp:effectExtent l="0" t="0" r="0" b="0"/>
            <wp:docPr id="30" name="Objeto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ADFD5B3" w14:textId="77777777" w:rsidR="001F49FD" w:rsidRDefault="001F49FD">
      <w:pPr>
        <w:ind w:right="-568"/>
        <w:contextualSpacing/>
        <w:rPr>
          <w:rFonts w:ascii="Times New Roman" w:hAnsi="Times New Roman" w:cs="Times New Roman"/>
          <w:b/>
          <w:szCs w:val="24"/>
        </w:rPr>
      </w:pPr>
    </w:p>
    <w:p w14:paraId="38160B52" w14:textId="77777777" w:rsidR="001F49FD" w:rsidRDefault="001F49FD">
      <w:pPr>
        <w:ind w:right="-568"/>
        <w:contextualSpacing/>
        <w:rPr>
          <w:rFonts w:ascii="Times New Roman" w:hAnsi="Times New Roman" w:cs="Times New Roman"/>
          <w:b/>
          <w:szCs w:val="24"/>
        </w:rPr>
      </w:pPr>
    </w:p>
    <w:p w14:paraId="211495D6" w14:textId="77777777" w:rsidR="00AB20BA" w:rsidRDefault="00AB20BA">
      <w:pPr>
        <w:ind w:right="-568"/>
        <w:contextualSpacing/>
        <w:rPr>
          <w:rFonts w:cs="Times New Roman"/>
          <w:b/>
          <w:szCs w:val="24"/>
        </w:rPr>
      </w:pPr>
    </w:p>
    <w:p w14:paraId="7ADF890A" w14:textId="77777777" w:rsidR="00AB20BA" w:rsidRDefault="00AB20BA">
      <w:pPr>
        <w:ind w:right="-568"/>
        <w:contextualSpacing/>
        <w:rPr>
          <w:rFonts w:cs="Times New Roman"/>
          <w:b/>
          <w:szCs w:val="24"/>
        </w:rPr>
      </w:pPr>
    </w:p>
    <w:p w14:paraId="4EF8573B" w14:textId="77777777" w:rsidR="00AB20BA" w:rsidRDefault="00AB20BA">
      <w:pPr>
        <w:ind w:right="-568"/>
        <w:contextualSpacing/>
        <w:rPr>
          <w:rFonts w:cs="Times New Roman"/>
          <w:b/>
          <w:szCs w:val="24"/>
        </w:rPr>
      </w:pPr>
    </w:p>
    <w:p w14:paraId="6C36ADF2" w14:textId="77777777" w:rsidR="00AB20BA" w:rsidRDefault="00AB20BA">
      <w:pPr>
        <w:ind w:right="-568"/>
        <w:contextualSpacing/>
        <w:rPr>
          <w:rFonts w:cs="Times New Roman"/>
          <w:b/>
          <w:szCs w:val="24"/>
        </w:rPr>
      </w:pPr>
    </w:p>
    <w:p w14:paraId="40BD13B8" w14:textId="28374AA0" w:rsidR="001F49FD" w:rsidRDefault="00611419">
      <w:pPr>
        <w:ind w:right="-568"/>
        <w:contextualSpacing/>
        <w:rPr>
          <w:rFonts w:ascii="Times New Roman" w:hAnsi="Times New Roman" w:cs="Times New Roman"/>
          <w:b/>
          <w:szCs w:val="24"/>
        </w:rPr>
      </w:pPr>
      <w:r>
        <w:rPr>
          <w:rFonts w:cs="Times New Roman"/>
          <w:b/>
          <w:szCs w:val="24"/>
        </w:rPr>
        <w:lastRenderedPageBreak/>
        <w:t>17. Grau de elevação do punho ao se aproximar do talão</w:t>
      </w:r>
    </w:p>
    <w:p w14:paraId="30AA45E6" w14:textId="77777777" w:rsidR="001F49FD" w:rsidRDefault="00611419">
      <w:pPr>
        <w:ind w:left="1134" w:right="-568" w:firstLine="0"/>
        <w:contextualSpacing/>
        <w:rPr>
          <w:rFonts w:ascii="Times New Roman" w:hAnsi="Times New Roman" w:cs="Times New Roman"/>
          <w:color w:val="00B050"/>
          <w:szCs w:val="24"/>
        </w:rPr>
      </w:pPr>
      <w:r>
        <w:rPr>
          <w:rFonts w:cs="Times New Roman"/>
          <w:szCs w:val="24"/>
        </w:rPr>
        <w:t xml:space="preserve">a) Acentuado. Consideravelmente acima da altura do cotovelo. </w:t>
      </w:r>
      <w:r>
        <w:rPr>
          <w:rFonts w:cs="Times New Roman"/>
          <w:color w:val="0070C0"/>
          <w:szCs w:val="24"/>
        </w:rPr>
        <w:t xml:space="preserve">1, 19, </w:t>
      </w:r>
      <w:r>
        <w:rPr>
          <w:rFonts w:cs="Times New Roman"/>
          <w:color w:val="00B050"/>
          <w:szCs w:val="24"/>
        </w:rPr>
        <w:t>31</w:t>
      </w:r>
      <w:r>
        <w:rPr>
          <w:rFonts w:cs="Times New Roman"/>
          <w:color w:val="C00000"/>
          <w:szCs w:val="24"/>
        </w:rPr>
        <w:t>, 42, 46, 48</w:t>
      </w:r>
      <w:r>
        <w:rPr>
          <w:rFonts w:cs="Times New Roman"/>
          <w:color w:val="00B050"/>
          <w:szCs w:val="24"/>
        </w:rPr>
        <w:t xml:space="preserve"> </w:t>
      </w:r>
    </w:p>
    <w:p w14:paraId="0F484A0C" w14:textId="77777777" w:rsidR="001F49FD" w:rsidRDefault="00611419">
      <w:pPr>
        <w:ind w:left="1134" w:right="-568" w:firstLine="0"/>
        <w:contextualSpacing/>
        <w:rPr>
          <w:rFonts w:ascii="Times New Roman" w:hAnsi="Times New Roman" w:cs="Times New Roman"/>
          <w:i/>
          <w:color w:val="C00000"/>
          <w:szCs w:val="24"/>
        </w:rPr>
      </w:pPr>
      <w:r>
        <w:rPr>
          <w:rFonts w:cs="Times New Roman"/>
          <w:szCs w:val="24"/>
        </w:rPr>
        <w:t xml:space="preserve">b) Moderado. </w:t>
      </w:r>
      <w:r>
        <w:rPr>
          <w:rFonts w:cs="Times New Roman"/>
          <w:color w:val="0070C0"/>
          <w:szCs w:val="24"/>
        </w:rPr>
        <w:t xml:space="preserve">2, 3, 4, 5, 6, 7, 8, 9, 10, 11, 13, 14, 15, 16, 17, 18, </w:t>
      </w:r>
      <w:r>
        <w:rPr>
          <w:rFonts w:cs="Times New Roman"/>
          <w:color w:val="00B050"/>
          <w:szCs w:val="24"/>
        </w:rPr>
        <w:t xml:space="preserve">21, 22, 23, 24, 26, 27, 28, 29, 30, 32, 35, 37, 39, 40, </w:t>
      </w:r>
      <w:r>
        <w:rPr>
          <w:rFonts w:cs="Times New Roman"/>
          <w:color w:val="C00000"/>
          <w:szCs w:val="24"/>
        </w:rPr>
        <w:t>41, 43, 44, 47, 50</w:t>
      </w:r>
    </w:p>
    <w:p w14:paraId="634D5864"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c) Mínimo. Manutenção do pulso no eixo do braço e da mão. </w:t>
      </w:r>
      <w:r>
        <w:rPr>
          <w:rFonts w:cs="Times New Roman"/>
          <w:color w:val="0070C0"/>
          <w:szCs w:val="24"/>
        </w:rPr>
        <w:t xml:space="preserve">12, 20, </w:t>
      </w:r>
      <w:r>
        <w:rPr>
          <w:rFonts w:cs="Times New Roman"/>
          <w:color w:val="00B050"/>
          <w:szCs w:val="24"/>
        </w:rPr>
        <w:t xml:space="preserve">25, 33, 34, 36, 38, </w:t>
      </w:r>
      <w:r>
        <w:rPr>
          <w:rFonts w:cs="Times New Roman"/>
          <w:color w:val="C00000"/>
          <w:szCs w:val="24"/>
        </w:rPr>
        <w:t xml:space="preserve">45      </w:t>
      </w:r>
    </w:p>
    <w:p w14:paraId="2944F0B6" w14:textId="77777777" w:rsidR="001F49FD" w:rsidRDefault="00611419">
      <w:pPr>
        <w:ind w:right="-568"/>
        <w:contextualSpacing/>
        <w:rPr>
          <w:rFonts w:ascii="Times New Roman" w:hAnsi="Times New Roman" w:cs="Times New Roman"/>
          <w:szCs w:val="24"/>
        </w:rPr>
      </w:pPr>
      <w:r>
        <w:rPr>
          <w:rFonts w:cs="Times New Roman"/>
          <w:szCs w:val="24"/>
        </w:rPr>
        <w:t xml:space="preserve">Outra resposta. </w:t>
      </w:r>
      <w:r>
        <w:rPr>
          <w:rFonts w:cs="Times New Roman"/>
          <w:i/>
          <w:szCs w:val="24"/>
        </w:rPr>
        <w:t xml:space="preserve">Variável. </w:t>
      </w:r>
      <w:r>
        <w:rPr>
          <w:rFonts w:cs="Times New Roman"/>
          <w:color w:val="C00000"/>
          <w:szCs w:val="24"/>
        </w:rPr>
        <w:t xml:space="preserve">49 </w:t>
      </w:r>
    </w:p>
    <w:p w14:paraId="54D33DAC" w14:textId="77777777" w:rsidR="001F49FD" w:rsidRDefault="00611419">
      <w:pPr>
        <w:tabs>
          <w:tab w:val="left" w:pos="1134"/>
          <w:tab w:val="left" w:pos="3402"/>
          <w:tab w:val="left" w:pos="3686"/>
          <w:tab w:val="left" w:pos="4253"/>
        </w:tabs>
        <w:ind w:right="-568" w:firstLine="0"/>
        <w:contextualSpacing/>
        <w:rPr>
          <w:rFonts w:ascii="Times New Roman" w:hAnsi="Times New Roman" w:cs="Times New Roman"/>
          <w:szCs w:val="24"/>
        </w:rPr>
      </w:pPr>
      <w:r>
        <w:rPr>
          <w:rFonts w:cs="Times New Roman"/>
          <w:szCs w:val="24"/>
        </w:rPr>
        <w:t xml:space="preserve">     </w:t>
      </w:r>
      <w:r>
        <w:rPr>
          <w:noProof/>
        </w:rPr>
        <w:drawing>
          <wp:inline distT="0" distB="0" distL="0" distR="0" wp14:anchorId="720216F4" wp14:editId="55378134">
            <wp:extent cx="4391025" cy="1790700"/>
            <wp:effectExtent l="0" t="0" r="0" b="0"/>
            <wp:docPr id="31" name="Objeto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2F7C1E9" w14:textId="77777777" w:rsidR="001F49FD" w:rsidRDefault="001F49FD" w:rsidP="00AB20BA">
      <w:pPr>
        <w:ind w:right="-568" w:firstLine="0"/>
        <w:contextualSpacing/>
        <w:rPr>
          <w:rFonts w:ascii="Times New Roman" w:hAnsi="Times New Roman" w:cs="Times New Roman"/>
          <w:b/>
          <w:szCs w:val="24"/>
        </w:rPr>
      </w:pPr>
    </w:p>
    <w:p w14:paraId="05D6E2B0" w14:textId="77777777" w:rsidR="001F49FD" w:rsidRDefault="001F49FD">
      <w:pPr>
        <w:ind w:right="-568"/>
        <w:contextualSpacing/>
        <w:rPr>
          <w:rFonts w:ascii="Times New Roman" w:hAnsi="Times New Roman" w:cs="Times New Roman"/>
          <w:b/>
          <w:szCs w:val="24"/>
        </w:rPr>
      </w:pPr>
    </w:p>
    <w:p w14:paraId="1FC321A7" w14:textId="77777777" w:rsidR="001F49FD" w:rsidRDefault="001F49FD">
      <w:pPr>
        <w:ind w:right="-568"/>
        <w:contextualSpacing/>
        <w:rPr>
          <w:rFonts w:ascii="Times New Roman" w:hAnsi="Times New Roman" w:cs="Times New Roman"/>
          <w:b/>
          <w:szCs w:val="24"/>
        </w:rPr>
      </w:pPr>
    </w:p>
    <w:p w14:paraId="1BEEC17D" w14:textId="77777777" w:rsidR="001F49FD" w:rsidRDefault="00611419">
      <w:pPr>
        <w:ind w:right="-568"/>
        <w:contextualSpacing/>
        <w:rPr>
          <w:rFonts w:ascii="Times New Roman" w:hAnsi="Times New Roman" w:cs="Times New Roman"/>
          <w:b/>
          <w:szCs w:val="24"/>
        </w:rPr>
      </w:pPr>
      <w:r>
        <w:rPr>
          <w:rFonts w:cs="Times New Roman"/>
          <w:b/>
          <w:szCs w:val="24"/>
        </w:rPr>
        <w:t>18. Grau de inclinação do arco:</w:t>
      </w:r>
    </w:p>
    <w:p w14:paraId="31818644" w14:textId="77777777" w:rsidR="001F49FD" w:rsidRDefault="00611419">
      <w:pPr>
        <w:ind w:right="-568"/>
        <w:contextualSpacing/>
        <w:rPr>
          <w:rFonts w:ascii="Times New Roman" w:hAnsi="Times New Roman" w:cs="Times New Roman"/>
          <w:i/>
          <w:color w:val="C00000"/>
          <w:szCs w:val="24"/>
        </w:rPr>
      </w:pPr>
      <w:r>
        <w:rPr>
          <w:rFonts w:cs="Times New Roman"/>
          <w:szCs w:val="24"/>
        </w:rPr>
        <w:t xml:space="preserve">a) Prioritariamente plano. </w:t>
      </w:r>
      <w:r>
        <w:rPr>
          <w:rFonts w:cs="Times New Roman"/>
          <w:color w:val="0070C0"/>
          <w:szCs w:val="24"/>
        </w:rPr>
        <w:t xml:space="preserve">3, 4, 8, 12, </w:t>
      </w:r>
      <w:r>
        <w:rPr>
          <w:rFonts w:cs="Times New Roman"/>
          <w:color w:val="00B050"/>
          <w:szCs w:val="24"/>
        </w:rPr>
        <w:t xml:space="preserve">34, 36, 38, 40, </w:t>
      </w:r>
      <w:r>
        <w:rPr>
          <w:rFonts w:cs="Times New Roman"/>
          <w:color w:val="C00000"/>
          <w:szCs w:val="24"/>
        </w:rPr>
        <w:t>43, 49.</w:t>
      </w:r>
    </w:p>
    <w:p w14:paraId="5108BED6"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b) Prioritariamente inclinado.</w:t>
      </w:r>
      <w:r>
        <w:rPr>
          <w:rFonts w:ascii="Leelawadee UI" w:eastAsiaTheme="minorHAnsi" w:hAnsi="Leelawadee UI" w:cs="Leelawadee UI"/>
          <w:szCs w:val="24"/>
          <w:lang w:eastAsia="en-US"/>
        </w:rPr>
        <w:t xml:space="preserve"> </w:t>
      </w:r>
      <w:r>
        <w:rPr>
          <w:rFonts w:eastAsiaTheme="minorHAnsi" w:cstheme="majorHAnsi"/>
          <w:color w:val="0070C0"/>
          <w:szCs w:val="24"/>
          <w:lang w:eastAsia="en-US"/>
        </w:rPr>
        <w:t xml:space="preserve">1, 2, 7, 11, 15, 19, </w:t>
      </w:r>
      <w:r>
        <w:rPr>
          <w:rFonts w:eastAsiaTheme="minorHAnsi" w:cstheme="majorHAnsi"/>
          <w:color w:val="00B050"/>
          <w:szCs w:val="24"/>
          <w:lang w:eastAsia="en-US"/>
        </w:rPr>
        <w:t xml:space="preserve">21, 23, 24, 25, 26, 28, 30, 31, 39, </w:t>
      </w:r>
      <w:r>
        <w:rPr>
          <w:rFonts w:eastAsiaTheme="minorHAnsi" w:cstheme="majorHAnsi"/>
          <w:color w:val="C00000"/>
          <w:szCs w:val="24"/>
          <w:lang w:eastAsia="en-US"/>
        </w:rPr>
        <w:t>42, 45, 47, 48, 50.</w:t>
      </w:r>
    </w:p>
    <w:p w14:paraId="578DF34E" w14:textId="77777777" w:rsidR="001F49FD" w:rsidRDefault="00611419">
      <w:pPr>
        <w:ind w:left="1134" w:right="-568" w:firstLine="0"/>
        <w:contextualSpacing/>
        <w:rPr>
          <w:rFonts w:ascii="Times New Roman" w:hAnsi="Times New Roman" w:cs="Times New Roman"/>
          <w:color w:val="C00000"/>
          <w:szCs w:val="24"/>
        </w:rPr>
      </w:pPr>
      <w:r>
        <w:rPr>
          <w:rFonts w:cs="Times New Roman"/>
          <w:szCs w:val="24"/>
        </w:rPr>
        <w:t xml:space="preserve">c) Inclinado ao se aproximar do talão. </w:t>
      </w:r>
      <w:r>
        <w:rPr>
          <w:rFonts w:cs="Times New Roman"/>
          <w:color w:val="0070C0"/>
          <w:szCs w:val="24"/>
        </w:rPr>
        <w:t xml:space="preserve">6, 9, 10, 13, 14, 16, 17, 18, 20, </w:t>
      </w:r>
      <w:r>
        <w:rPr>
          <w:rFonts w:cs="Times New Roman"/>
          <w:color w:val="00B050"/>
          <w:szCs w:val="24"/>
        </w:rPr>
        <w:t xml:space="preserve">22, 35, </w:t>
      </w:r>
      <w:r>
        <w:rPr>
          <w:rFonts w:cs="Times New Roman"/>
          <w:color w:val="C00000"/>
          <w:szCs w:val="24"/>
        </w:rPr>
        <w:t>41, 44.</w:t>
      </w:r>
    </w:p>
    <w:p w14:paraId="7BBBCFD3" w14:textId="77777777" w:rsidR="001F49FD" w:rsidRDefault="00611419">
      <w:pPr>
        <w:ind w:left="1134" w:right="-568" w:firstLine="0"/>
        <w:rPr>
          <w:rFonts w:ascii="Times New Roman" w:hAnsi="Times New Roman" w:cs="Times New Roman"/>
          <w:color w:val="C00000"/>
          <w:szCs w:val="24"/>
        </w:rPr>
      </w:pPr>
      <w:r>
        <w:rPr>
          <w:rFonts w:cs="Times New Roman"/>
          <w:szCs w:val="24"/>
        </w:rPr>
        <w:t>Outra resposta.</w:t>
      </w:r>
      <w:r>
        <w:rPr>
          <w:rFonts w:cs="Times New Roman"/>
          <w:color w:val="0070C0"/>
          <w:szCs w:val="24"/>
        </w:rPr>
        <w:t xml:space="preserve"> </w:t>
      </w:r>
      <w:r>
        <w:rPr>
          <w:rFonts w:cs="Times New Roman"/>
          <w:i/>
          <w:szCs w:val="24"/>
        </w:rPr>
        <w:t>Variável</w:t>
      </w:r>
      <w:r>
        <w:rPr>
          <w:rFonts w:cs="Times New Roman"/>
          <w:szCs w:val="24"/>
        </w:rPr>
        <w:t xml:space="preserve">. </w:t>
      </w:r>
      <w:r>
        <w:rPr>
          <w:rFonts w:cs="Times New Roman"/>
          <w:color w:val="0070C0"/>
          <w:szCs w:val="24"/>
        </w:rPr>
        <w:t xml:space="preserve">5, </w:t>
      </w:r>
      <w:r>
        <w:rPr>
          <w:rFonts w:cs="Times New Roman"/>
          <w:color w:val="00B050"/>
          <w:szCs w:val="24"/>
        </w:rPr>
        <w:t xml:space="preserve">27, 29, 32, 33, 37, </w:t>
      </w:r>
      <w:r>
        <w:rPr>
          <w:rFonts w:cs="Times New Roman"/>
          <w:color w:val="C00000"/>
          <w:szCs w:val="24"/>
        </w:rPr>
        <w:t xml:space="preserve">46 </w:t>
      </w:r>
    </w:p>
    <w:p w14:paraId="6F20BF58" w14:textId="77777777" w:rsidR="001F49FD" w:rsidRDefault="00611419">
      <w:pPr>
        <w:tabs>
          <w:tab w:val="left" w:pos="1134"/>
          <w:tab w:val="left" w:pos="3402"/>
          <w:tab w:val="left" w:pos="3686"/>
          <w:tab w:val="left" w:pos="4253"/>
        </w:tabs>
        <w:ind w:firstLine="0"/>
        <w:contextualSpacing/>
        <w:rPr>
          <w:rFonts w:ascii="Times New Roman" w:hAnsi="Times New Roman" w:cs="Times New Roman"/>
          <w:szCs w:val="24"/>
        </w:rPr>
      </w:pPr>
      <w:r>
        <w:rPr>
          <w:rFonts w:cs="Times New Roman"/>
          <w:szCs w:val="24"/>
        </w:rPr>
        <w:t xml:space="preserve">      </w:t>
      </w:r>
      <w:r>
        <w:rPr>
          <w:noProof/>
        </w:rPr>
        <w:drawing>
          <wp:inline distT="0" distB="0" distL="0" distR="0" wp14:anchorId="4D649DC1" wp14:editId="2804C43D">
            <wp:extent cx="4410075" cy="2333625"/>
            <wp:effectExtent l="0" t="0" r="0" b="0"/>
            <wp:docPr id="32" name="Objeto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34949A3" w14:textId="4889CC7F" w:rsidR="00B86E6F" w:rsidRDefault="00611419" w:rsidP="00B86E6F">
      <w:pPr>
        <w:pStyle w:val="Ttulo1"/>
      </w:pPr>
      <w:bookmarkStart w:id="166" w:name="_Toc219359059"/>
      <w:r>
        <w:lastRenderedPageBreak/>
        <w:t xml:space="preserve">ANEXO 1 </w:t>
      </w:r>
      <w:r w:rsidR="00B86E6F">
        <w:t>–</w:t>
      </w:r>
      <w:r>
        <w:t xml:space="preserve"> ENTREVISTAS</w:t>
      </w:r>
      <w:bookmarkEnd w:id="166"/>
    </w:p>
    <w:p w14:paraId="5E9D1D8C" w14:textId="711833D8" w:rsidR="00B86E6F" w:rsidRPr="00B86E6F" w:rsidRDefault="00B86E6F" w:rsidP="00B86E6F">
      <w:pPr>
        <w:ind w:firstLine="0"/>
        <w:rPr>
          <w:lang w:eastAsia="en-US"/>
        </w:rPr>
      </w:pPr>
      <w:hyperlink r:id="rId49" w:history="1">
        <w:r w:rsidRPr="00B86E6F">
          <w:rPr>
            <w:rStyle w:val="Hyperlink"/>
            <w:lang w:eastAsia="en-US"/>
          </w:rPr>
          <w:t>Anexo 1 - Entrevistas.docx</w:t>
        </w:r>
      </w:hyperlink>
    </w:p>
    <w:p w14:paraId="0EBF1CB4" w14:textId="77777777" w:rsidR="001F49FD" w:rsidRDefault="001F49FD">
      <w:pPr>
        <w:rPr>
          <w:lang w:eastAsia="en-US"/>
        </w:rPr>
      </w:pPr>
    </w:p>
    <w:p w14:paraId="54BCD365" w14:textId="77777777" w:rsidR="001F49FD" w:rsidRDefault="001F49FD">
      <w:pPr>
        <w:rPr>
          <w:lang w:eastAsia="en-US"/>
        </w:rPr>
      </w:pPr>
    </w:p>
    <w:sectPr w:rsidR="001F49FD">
      <w:headerReference w:type="default" r:id="rId50"/>
      <w:footerReference w:type="default" r:id="rId51"/>
      <w:pgSz w:w="11906" w:h="16838"/>
      <w:pgMar w:top="1701" w:right="1133" w:bottom="1134" w:left="1701" w:header="567" w:footer="709" w:gutter="0"/>
      <w:pgNumType w:start="14"/>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7D4AB" w14:textId="77777777" w:rsidR="007342BB" w:rsidRDefault="007342BB">
      <w:pPr>
        <w:spacing w:line="240" w:lineRule="auto"/>
      </w:pPr>
      <w:r>
        <w:separator/>
      </w:r>
    </w:p>
  </w:endnote>
  <w:endnote w:type="continuationSeparator" w:id="0">
    <w:p w14:paraId="08B5FA0A" w14:textId="77777777" w:rsidR="007342BB" w:rsidRDefault="007342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elawadee UI">
    <w:panose1 w:val="020B0502040204020203"/>
    <w:charset w:val="00"/>
    <w:family w:val="swiss"/>
    <w:pitch w:val="variable"/>
    <w:sig w:usb0="A3000003" w:usb1="00000000" w:usb2="00010000" w:usb3="00000000" w:csb0="000101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34196"/>
      <w:docPartObj>
        <w:docPartGallery w:val="Page Numbers (Bottom of Page)"/>
        <w:docPartUnique/>
      </w:docPartObj>
    </w:sdtPr>
    <w:sdtContent>
      <w:p w14:paraId="000BFEA6" w14:textId="7491329F" w:rsidR="00212AB5" w:rsidRDefault="00212AB5">
        <w:pPr>
          <w:pStyle w:val="Rodap"/>
          <w:jc w:val="right"/>
        </w:pPr>
        <w:r>
          <w:fldChar w:fldCharType="begin"/>
        </w:r>
        <w:r>
          <w:instrText>PAGE   \* MERGEFORMAT</w:instrText>
        </w:r>
        <w:r>
          <w:fldChar w:fldCharType="separate"/>
        </w:r>
        <w:r>
          <w:t>2</w:t>
        </w:r>
        <w:r>
          <w:fldChar w:fldCharType="end"/>
        </w:r>
      </w:p>
    </w:sdtContent>
  </w:sdt>
  <w:p w14:paraId="21FF4450" w14:textId="1EE987D0" w:rsidR="001F49FD" w:rsidRDefault="001F49FD">
    <w:pPr>
      <w:pStyle w:val="Rodap"/>
      <w:tabs>
        <w:tab w:val="clear" w:pos="4252"/>
        <w:tab w:val="clear" w:pos="8504"/>
        <w:tab w:val="left" w:pos="25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5018" w14:textId="77777777" w:rsidR="007342BB" w:rsidRDefault="007342BB">
      <w:pPr>
        <w:rPr>
          <w:sz w:val="12"/>
        </w:rPr>
      </w:pPr>
      <w:r>
        <w:separator/>
      </w:r>
    </w:p>
  </w:footnote>
  <w:footnote w:type="continuationSeparator" w:id="0">
    <w:p w14:paraId="0BD8ECB1" w14:textId="77777777" w:rsidR="007342BB" w:rsidRDefault="007342BB">
      <w:pPr>
        <w:rPr>
          <w:sz w:val="12"/>
        </w:rPr>
      </w:pPr>
      <w:r>
        <w:continuationSeparator/>
      </w:r>
    </w:p>
  </w:footnote>
  <w:footnote w:id="1">
    <w:p w14:paraId="0B69E052" w14:textId="77777777" w:rsidR="001F49FD" w:rsidRDefault="00611419">
      <w:pPr>
        <w:pStyle w:val="Textodenotaderodap"/>
        <w:ind w:firstLine="0"/>
      </w:pPr>
      <w:r>
        <w:rPr>
          <w:rStyle w:val="Caracteresdenotaderodap"/>
        </w:rPr>
        <w:footnoteRef/>
      </w:r>
      <w:r>
        <w:rPr>
          <w:lang w:val="en-GB"/>
        </w:rPr>
        <w:t xml:space="preserve"> </w:t>
      </w:r>
      <w:r>
        <w:rPr>
          <w:rFonts w:eastAsia="Times New Roman" w:cstheme="majorHAnsi"/>
          <w:bCs/>
          <w:szCs w:val="24"/>
          <w:lang w:val="en-GB"/>
        </w:rPr>
        <w:t xml:space="preserve">Early recorded violin playing: evidence for what? </w:t>
      </w:r>
      <w:r>
        <w:rPr>
          <w:rFonts w:eastAsia="Times New Roman" w:cstheme="majorHAnsi"/>
          <w:bCs/>
          <w:szCs w:val="24"/>
        </w:rPr>
        <w:t>(As traduções das referências bibliográficas e citações do presente trabalho são do autor).</w:t>
      </w:r>
    </w:p>
  </w:footnote>
  <w:footnote w:id="2">
    <w:p w14:paraId="77CF4F54" w14:textId="5806DA4E" w:rsidR="001F49FD" w:rsidRDefault="00611419">
      <w:pPr>
        <w:pStyle w:val="Textodenotaderodap"/>
        <w:ind w:firstLine="0"/>
      </w:pPr>
      <w:r>
        <w:rPr>
          <w:rStyle w:val="Caracteresdenotaderodap"/>
        </w:rPr>
        <w:footnoteRef/>
      </w:r>
      <w:r>
        <w:t xml:space="preserve"> </w:t>
      </w:r>
      <w:proofErr w:type="spellStart"/>
      <w:r>
        <w:rPr>
          <w:rFonts w:eastAsia="Times New Roman" w:cstheme="majorHAnsi"/>
          <w:szCs w:val="24"/>
        </w:rPr>
        <w:t>Historically</w:t>
      </w:r>
      <w:proofErr w:type="spellEnd"/>
      <w:r>
        <w:rPr>
          <w:rFonts w:eastAsia="Times New Roman" w:cstheme="majorHAnsi"/>
          <w:szCs w:val="24"/>
        </w:rPr>
        <w:t xml:space="preserve"> </w:t>
      </w:r>
      <w:proofErr w:type="spellStart"/>
      <w:r>
        <w:rPr>
          <w:rFonts w:eastAsia="Times New Roman" w:cstheme="majorHAnsi"/>
          <w:szCs w:val="24"/>
        </w:rPr>
        <w:t>Informed</w:t>
      </w:r>
      <w:proofErr w:type="spellEnd"/>
      <w:r>
        <w:rPr>
          <w:rFonts w:eastAsia="Times New Roman" w:cstheme="majorHAnsi"/>
          <w:szCs w:val="24"/>
        </w:rPr>
        <w:t xml:space="preserve"> Performance – HIP, na sigla em inglês)</w:t>
      </w:r>
      <w:r>
        <w:rPr>
          <w:rFonts w:eastAsia="Times New Roman" w:cstheme="majorHAnsi"/>
          <w:szCs w:val="24"/>
          <w:vertAlign w:val="superscript"/>
        </w:rPr>
        <w:t xml:space="preserve">. </w:t>
      </w:r>
      <w:r>
        <w:t xml:space="preserve">Em The </w:t>
      </w:r>
      <w:proofErr w:type="spellStart"/>
      <w:r>
        <w:t>early</w:t>
      </w:r>
      <w:proofErr w:type="spellEnd"/>
      <w:r>
        <w:t xml:space="preserve"> </w:t>
      </w:r>
      <w:proofErr w:type="spellStart"/>
      <w:r>
        <w:t>violin</w:t>
      </w:r>
      <w:proofErr w:type="spellEnd"/>
      <w:r>
        <w:t xml:space="preserve"> </w:t>
      </w:r>
      <w:proofErr w:type="spellStart"/>
      <w:r>
        <w:t>and</w:t>
      </w:r>
      <w:proofErr w:type="spellEnd"/>
      <w:r>
        <w:t xml:space="preserve"> viola: a </w:t>
      </w:r>
      <w:proofErr w:type="spellStart"/>
      <w:r>
        <w:t>practical</w:t>
      </w:r>
      <w:proofErr w:type="spellEnd"/>
      <w:r>
        <w:t xml:space="preserve"> </w:t>
      </w:r>
      <w:proofErr w:type="spellStart"/>
      <w:r>
        <w:t>guide</w:t>
      </w:r>
      <w:proofErr w:type="spellEnd"/>
      <w:r>
        <w:t xml:space="preserve"> (2004) </w:t>
      </w:r>
      <w:proofErr w:type="spellStart"/>
      <w:r>
        <w:t>Stowell</w:t>
      </w:r>
      <w:proofErr w:type="spellEnd"/>
      <w:r>
        <w:t xml:space="preserve"> traça um detalhado panorama dos estudos sobre a </w:t>
      </w:r>
      <w:r w:rsidR="00545B7C">
        <w:t>h</w:t>
      </w:r>
      <w:r>
        <w:t xml:space="preserve">istória da performance (p. 1-3) e sobre </w:t>
      </w:r>
      <w:r w:rsidR="00545B7C">
        <w:t>h</w:t>
      </w:r>
      <w:r>
        <w:t>istória da performance violinística (p. 3-5).</w:t>
      </w:r>
    </w:p>
  </w:footnote>
  <w:footnote w:id="3">
    <w:p w14:paraId="67233A6C" w14:textId="77777777" w:rsidR="001F49FD" w:rsidRDefault="00611419">
      <w:pPr>
        <w:pStyle w:val="Textodenotaderodap"/>
        <w:ind w:firstLine="0"/>
      </w:pPr>
      <w:r>
        <w:rPr>
          <w:rStyle w:val="Caracteresdenotaderodap"/>
        </w:rPr>
        <w:footnoteRef/>
      </w:r>
      <w:r>
        <w:t xml:space="preserve"> A título de elucidação, adicionamos certas terminologias convencionadas pela Medicina Anatômica.</w:t>
      </w:r>
    </w:p>
  </w:footnote>
  <w:footnote w:id="4">
    <w:p w14:paraId="085AE355" w14:textId="77777777" w:rsidR="001F49FD" w:rsidRDefault="00611419">
      <w:pPr>
        <w:pStyle w:val="Textodenotaderodap"/>
        <w:ind w:firstLine="0"/>
        <w:rPr>
          <w:rFonts w:eastAsia="Times New Roman" w:cs="Times New Roman"/>
          <w:bCs/>
          <w:szCs w:val="24"/>
        </w:rPr>
      </w:pPr>
      <w:r>
        <w:rPr>
          <w:rStyle w:val="Caracteresdenotaderodap"/>
        </w:rPr>
        <w:footnoteRef/>
      </w:r>
      <w:r>
        <w:rPr>
          <w:lang w:val="en-GB"/>
        </w:rPr>
        <w:t xml:space="preserve"> </w:t>
      </w:r>
      <w:r>
        <w:rPr>
          <w:rFonts w:eastAsia="Times New Roman" w:cs="Times New Roman"/>
          <w:bCs/>
          <w:szCs w:val="24"/>
          <w:lang w:val="en-GB"/>
        </w:rPr>
        <w:t xml:space="preserve">French or German bows for Beethoven; a political choice. In: </w:t>
      </w:r>
      <w:proofErr w:type="spellStart"/>
      <w:r>
        <w:rPr>
          <w:rFonts w:eastAsia="Times New Roman" w:cs="Times New Roman"/>
          <w:bCs/>
          <w:szCs w:val="24"/>
          <w:lang w:val="en-GB"/>
        </w:rPr>
        <w:t>L’Archet</w:t>
      </w:r>
      <w:proofErr w:type="spellEnd"/>
      <w:r>
        <w:rPr>
          <w:rFonts w:eastAsia="Times New Roman" w:cs="Times New Roman"/>
          <w:bCs/>
          <w:szCs w:val="24"/>
          <w:lang w:val="en-GB"/>
        </w:rPr>
        <w:t xml:space="preserve"> </w:t>
      </w:r>
      <w:proofErr w:type="spellStart"/>
      <w:r>
        <w:rPr>
          <w:rFonts w:eastAsia="Times New Roman" w:cs="Times New Roman"/>
          <w:bCs/>
          <w:szCs w:val="24"/>
          <w:lang w:val="en-GB"/>
        </w:rPr>
        <w:t>révolucionnaire</w:t>
      </w:r>
      <w:proofErr w:type="spellEnd"/>
      <w:r>
        <w:rPr>
          <w:rFonts w:eastAsia="Times New Roman" w:cs="Times New Roman"/>
          <w:bCs/>
          <w:szCs w:val="24"/>
          <w:lang w:val="en-GB"/>
        </w:rPr>
        <w:t xml:space="preserve"> – violin, viola &amp; cello bows of the 18</w:t>
      </w:r>
      <w:r>
        <w:rPr>
          <w:rFonts w:eastAsia="Times New Roman" w:cs="Times New Roman"/>
          <w:bCs/>
          <w:szCs w:val="24"/>
          <w:vertAlign w:val="superscript"/>
          <w:lang w:val="en-GB"/>
        </w:rPr>
        <w:t>th</w:t>
      </w:r>
      <w:r>
        <w:rPr>
          <w:rFonts w:eastAsia="Times New Roman" w:cs="Times New Roman"/>
          <w:bCs/>
          <w:szCs w:val="24"/>
          <w:lang w:val="en-GB"/>
        </w:rPr>
        <w:t xml:space="preserve"> century, </w:t>
      </w:r>
      <w:proofErr w:type="spellStart"/>
      <w:r>
        <w:rPr>
          <w:rFonts w:eastAsia="Times New Roman" w:cs="Times New Roman"/>
          <w:bCs/>
          <w:szCs w:val="24"/>
          <w:lang w:val="en-GB"/>
        </w:rPr>
        <w:t>Londres</w:t>
      </w:r>
      <w:proofErr w:type="spellEnd"/>
      <w:r>
        <w:rPr>
          <w:rFonts w:eastAsia="Times New Roman" w:cs="Times New Roman"/>
          <w:bCs/>
          <w:szCs w:val="24"/>
          <w:lang w:val="en-GB"/>
        </w:rPr>
        <w:t xml:space="preserve">, 2015. </w:t>
      </w:r>
    </w:p>
  </w:footnote>
  <w:footnote w:id="5">
    <w:p w14:paraId="21CFFAFD" w14:textId="77777777" w:rsidR="001F49FD" w:rsidRDefault="00611419">
      <w:pPr>
        <w:pStyle w:val="Textodenotaderodap"/>
        <w:ind w:firstLine="0"/>
        <w:rPr>
          <w:lang w:val="en-GB"/>
        </w:rPr>
      </w:pPr>
      <w:r>
        <w:rPr>
          <w:rStyle w:val="Caracteresdenotaderodap"/>
        </w:rPr>
        <w:footnoteRef/>
      </w:r>
      <w:r>
        <w:t xml:space="preserve"> </w:t>
      </w:r>
      <w:r>
        <w:rPr>
          <w:rFonts w:cs="Times New Roman"/>
          <w:bCs/>
          <w:shd w:val="clear" w:color="auto" w:fill="FFFFFF"/>
        </w:rPr>
        <w:t>Wilhelm Cramer</w:t>
      </w:r>
      <w:r>
        <w:rPr>
          <w:rFonts w:cs="Times New Roman"/>
          <w:shd w:val="clear" w:color="auto" w:fill="FFFFFF"/>
        </w:rPr>
        <w:t xml:space="preserve"> (1746-1799). </w:t>
      </w:r>
      <w:proofErr w:type="spellStart"/>
      <w:r>
        <w:rPr>
          <w:rFonts w:cs="Times New Roman"/>
          <w:shd w:val="clear" w:color="auto" w:fill="FFFFFF"/>
          <w:lang w:val="en-GB"/>
        </w:rPr>
        <w:t>Violinista</w:t>
      </w:r>
      <w:proofErr w:type="spellEnd"/>
      <w:r>
        <w:rPr>
          <w:rFonts w:cs="Times New Roman"/>
          <w:shd w:val="clear" w:color="auto" w:fill="FFFFFF"/>
          <w:lang w:val="en-GB"/>
        </w:rPr>
        <w:t xml:space="preserve"> e </w:t>
      </w:r>
      <w:proofErr w:type="spellStart"/>
      <w:r>
        <w:rPr>
          <w:rFonts w:cs="Times New Roman"/>
          <w:i/>
          <w:shd w:val="clear" w:color="auto" w:fill="FFFFFF"/>
          <w:lang w:val="en-GB"/>
        </w:rPr>
        <w:t>archetier</w:t>
      </w:r>
      <w:proofErr w:type="spellEnd"/>
      <w:r>
        <w:rPr>
          <w:rFonts w:cs="Times New Roman"/>
          <w:i/>
          <w:shd w:val="clear" w:color="auto" w:fill="FFFFFF"/>
          <w:lang w:val="en-GB"/>
        </w:rPr>
        <w:t xml:space="preserve"> </w:t>
      </w:r>
      <w:proofErr w:type="spellStart"/>
      <w:r>
        <w:rPr>
          <w:rFonts w:cs="Times New Roman"/>
          <w:shd w:val="clear" w:color="auto" w:fill="FFFFFF"/>
          <w:lang w:val="en-GB"/>
        </w:rPr>
        <w:t>germânico</w:t>
      </w:r>
      <w:proofErr w:type="spellEnd"/>
      <w:r>
        <w:rPr>
          <w:rFonts w:cs="Times New Roman"/>
          <w:shd w:val="clear" w:color="auto" w:fill="FFFFFF"/>
          <w:lang w:val="en-GB"/>
        </w:rPr>
        <w:t>. </w:t>
      </w:r>
    </w:p>
  </w:footnote>
  <w:footnote w:id="6">
    <w:p w14:paraId="42DC7DD9" w14:textId="77777777" w:rsidR="001F49FD" w:rsidRDefault="00611419">
      <w:pPr>
        <w:spacing w:line="240" w:lineRule="auto"/>
        <w:ind w:firstLine="0"/>
        <w:rPr>
          <w:rFonts w:ascii="Times New Roman" w:hAnsi="Times New Roman" w:cs="Times New Roman"/>
          <w:sz w:val="20"/>
          <w:szCs w:val="20"/>
          <w:lang w:val="en-GB"/>
        </w:rPr>
      </w:pPr>
      <w:r w:rsidRPr="00865328">
        <w:rPr>
          <w:rStyle w:val="Caracteresdenotaderodap"/>
          <w:sz w:val="20"/>
          <w:szCs w:val="20"/>
        </w:rPr>
        <w:footnoteRef/>
      </w:r>
      <w:r>
        <w:rPr>
          <w:rFonts w:cs="Times New Roman"/>
          <w:sz w:val="20"/>
          <w:szCs w:val="20"/>
          <w:lang w:val="en-GB"/>
        </w:rPr>
        <w:t xml:space="preserve"> Ver STOWELL, 1992.</w:t>
      </w:r>
    </w:p>
  </w:footnote>
  <w:footnote w:id="7">
    <w:p w14:paraId="1FD4C1AE" w14:textId="77777777" w:rsidR="001F49FD" w:rsidRDefault="00611419">
      <w:pPr>
        <w:pStyle w:val="Textodenotaderodap"/>
        <w:ind w:firstLine="0"/>
        <w:rPr>
          <w:rFonts w:cs="Times New Roman"/>
        </w:rPr>
      </w:pPr>
      <w:r>
        <w:rPr>
          <w:rStyle w:val="Caracteresdenotaderodap"/>
        </w:rPr>
        <w:footnoteRef/>
      </w:r>
      <w:r>
        <w:rPr>
          <w:rStyle w:val="FootnoteCharacters"/>
          <w:rFonts w:cs="Times New Roman"/>
        </w:rPr>
        <w:t xml:space="preserve"> </w:t>
      </w:r>
      <w:r>
        <w:rPr>
          <w:rFonts w:cs="Times New Roman"/>
        </w:rPr>
        <w:t xml:space="preserve">No ano de 1782, como diretor do teatro de ópera da corte de Versailles; em 1791, à frente do Theatre </w:t>
      </w:r>
      <w:proofErr w:type="spellStart"/>
      <w:r>
        <w:rPr>
          <w:rFonts w:cs="Times New Roman"/>
        </w:rPr>
        <w:t>Feydeau</w:t>
      </w:r>
      <w:proofErr w:type="spellEnd"/>
      <w:r>
        <w:rPr>
          <w:rFonts w:cs="Times New Roman"/>
        </w:rPr>
        <w:t xml:space="preserve">; e entre 1819 e 1821, enquanto diretor musical da </w:t>
      </w:r>
      <w:proofErr w:type="spellStart"/>
      <w:r>
        <w:rPr>
          <w:rFonts w:cs="Times New Roman"/>
        </w:rPr>
        <w:t>Académie</w:t>
      </w:r>
      <w:proofErr w:type="spellEnd"/>
      <w:r>
        <w:rPr>
          <w:rFonts w:cs="Times New Roman"/>
        </w:rPr>
        <w:t xml:space="preserve"> Royale de Musique.</w:t>
      </w:r>
    </w:p>
  </w:footnote>
  <w:footnote w:id="8">
    <w:p w14:paraId="4016ED81" w14:textId="77777777" w:rsidR="001F49FD" w:rsidRDefault="00611419">
      <w:pPr>
        <w:pStyle w:val="Textodenotaderodap"/>
        <w:ind w:firstLine="0"/>
      </w:pPr>
      <w:r>
        <w:rPr>
          <w:rStyle w:val="Caracteresdenotaderodap"/>
        </w:rPr>
        <w:footnoteRef/>
      </w:r>
      <w:r>
        <w:t xml:space="preserve"> Em algumas obras, essa corrente violinística é também mencionada como</w:t>
      </w:r>
      <w:r>
        <w:rPr>
          <w:i/>
        </w:rPr>
        <w:t xml:space="preserve"> Viotti Paris </w:t>
      </w:r>
      <w:proofErr w:type="spellStart"/>
      <w:r>
        <w:rPr>
          <w:i/>
        </w:rPr>
        <w:t>School</w:t>
      </w:r>
      <w:proofErr w:type="spellEnd"/>
      <w:r>
        <w:t xml:space="preserve"> ou ainda </w:t>
      </w:r>
      <w:r>
        <w:rPr>
          <w:i/>
        </w:rPr>
        <w:t>Antiga Escola Francesa</w:t>
      </w:r>
      <w:r>
        <w:t xml:space="preserve">, como forma de distingui-la da Escola Franco-belga, que será reconhecida décadas mais tarde. Nesse trabalho adotaremos o termo </w:t>
      </w:r>
      <w:r>
        <w:rPr>
          <w:i/>
        </w:rPr>
        <w:t>Escola Francesa</w:t>
      </w:r>
      <w:r>
        <w:t>.</w:t>
      </w:r>
    </w:p>
  </w:footnote>
  <w:footnote w:id="9">
    <w:p w14:paraId="4AA237AB" w14:textId="77777777" w:rsidR="001F49FD" w:rsidRDefault="00611419">
      <w:pPr>
        <w:pStyle w:val="Textodenotaderodap"/>
        <w:ind w:firstLine="0"/>
      </w:pPr>
      <w:r>
        <w:rPr>
          <w:rStyle w:val="Caracteresdenotaderodap"/>
        </w:rPr>
        <w:footnoteRef/>
      </w:r>
      <w:r>
        <w:t xml:space="preserve"> Manteremos a nomenclatura dos métodos selecionados em suas línguas originais.</w:t>
      </w:r>
    </w:p>
  </w:footnote>
  <w:footnote w:id="10">
    <w:p w14:paraId="4C3E71BD" w14:textId="77777777" w:rsidR="001F49FD" w:rsidRDefault="00611419">
      <w:pPr>
        <w:pStyle w:val="Textodenotaderodap"/>
        <w:ind w:firstLine="0"/>
      </w:pPr>
      <w:r>
        <w:rPr>
          <w:rStyle w:val="Caracteresdenotaderodap"/>
        </w:rPr>
        <w:footnoteRef/>
      </w:r>
      <w:r>
        <w:t xml:space="preserve"> Frequentemente os violinistas não conhecem a ordem das falanges determinadas pela medicina anatômica. Aqui, </w:t>
      </w:r>
      <w:proofErr w:type="spellStart"/>
      <w:r>
        <w:t>Baillot</w:t>
      </w:r>
      <w:proofErr w:type="spellEnd"/>
      <w:r>
        <w:t xml:space="preserve"> enumera erroneamente as falanges às quais ele se refere, tendo sido, portanto, corrigidas no termo entre colchetes.</w:t>
      </w:r>
    </w:p>
  </w:footnote>
  <w:footnote w:id="11">
    <w:p w14:paraId="129E389A" w14:textId="2EC43771" w:rsidR="001F49FD" w:rsidRDefault="00611419">
      <w:pPr>
        <w:pStyle w:val="Textodenotaderodap"/>
        <w:ind w:firstLine="0"/>
        <w:rPr>
          <w:i/>
        </w:rPr>
      </w:pPr>
      <w:r>
        <w:rPr>
          <w:rStyle w:val="Caracteresdenotaderodap"/>
        </w:rPr>
        <w:footnoteRef/>
      </w:r>
      <w:r>
        <w:t xml:space="preserve"> Apesar da anotação de </w:t>
      </w:r>
      <w:proofErr w:type="spellStart"/>
      <w:r>
        <w:t>Baillot</w:t>
      </w:r>
      <w:proofErr w:type="spellEnd"/>
      <w:r>
        <w:t xml:space="preserve">, a obra de </w:t>
      </w:r>
      <w:proofErr w:type="spellStart"/>
      <w:r>
        <w:t>Woldemar</w:t>
      </w:r>
      <w:proofErr w:type="spellEnd"/>
      <w:r w:rsidR="00F46AEE">
        <w:t>,</w:t>
      </w:r>
      <w:r>
        <w:t xml:space="preserve"> </w:t>
      </w:r>
      <w:r>
        <w:rPr>
          <w:rFonts w:cs="Times New Roman"/>
          <w:i/>
        </w:rPr>
        <w:t xml:space="preserve">Grande </w:t>
      </w:r>
      <w:proofErr w:type="spellStart"/>
      <w:r>
        <w:rPr>
          <w:rFonts w:cs="Times New Roman"/>
          <w:i/>
        </w:rPr>
        <w:t>méthode</w:t>
      </w:r>
      <w:proofErr w:type="spellEnd"/>
      <w:r>
        <w:rPr>
          <w:rFonts w:cs="Times New Roman"/>
          <w:i/>
        </w:rPr>
        <w:t xml:space="preserve"> ou </w:t>
      </w:r>
      <w:proofErr w:type="spellStart"/>
      <w:r>
        <w:rPr>
          <w:rFonts w:cs="Times New Roman"/>
          <w:i/>
        </w:rPr>
        <w:t>étude</w:t>
      </w:r>
      <w:proofErr w:type="spellEnd"/>
      <w:r>
        <w:rPr>
          <w:rFonts w:cs="Times New Roman"/>
          <w:i/>
        </w:rPr>
        <w:t xml:space="preserve"> </w:t>
      </w:r>
      <w:proofErr w:type="spellStart"/>
      <w:r>
        <w:rPr>
          <w:rFonts w:cs="Times New Roman"/>
          <w:i/>
        </w:rPr>
        <w:t>élémentaire</w:t>
      </w:r>
      <w:proofErr w:type="spellEnd"/>
      <w:r>
        <w:rPr>
          <w:rFonts w:cs="Times New Roman"/>
          <w:i/>
        </w:rPr>
        <w:t xml:space="preserve"> pour </w:t>
      </w:r>
      <w:proofErr w:type="spellStart"/>
      <w:r>
        <w:rPr>
          <w:rFonts w:cs="Times New Roman"/>
          <w:i/>
        </w:rPr>
        <w:t>le</w:t>
      </w:r>
      <w:proofErr w:type="spellEnd"/>
      <w:r>
        <w:rPr>
          <w:rFonts w:cs="Times New Roman"/>
          <w:i/>
        </w:rPr>
        <w:t xml:space="preserve"> </w:t>
      </w:r>
      <w:proofErr w:type="spellStart"/>
      <w:r>
        <w:rPr>
          <w:rFonts w:cs="Times New Roman"/>
          <w:i/>
        </w:rPr>
        <w:t>violon</w:t>
      </w:r>
      <w:proofErr w:type="spellEnd"/>
      <w:r w:rsidR="00F46AEE">
        <w:rPr>
          <w:rFonts w:cs="Times New Roman"/>
          <w:iCs/>
        </w:rPr>
        <w:t>,</w:t>
      </w:r>
      <w:r>
        <w:rPr>
          <w:rFonts w:cs="Times New Roman"/>
        </w:rPr>
        <w:t xml:space="preserve"> consta como publicada no ano de 1800, portanto antes da publicação de </w:t>
      </w:r>
      <w:proofErr w:type="spellStart"/>
      <w:r>
        <w:rPr>
          <w:rFonts w:cs="Times New Roman"/>
          <w:i/>
        </w:rPr>
        <w:t>Méthode</w:t>
      </w:r>
      <w:proofErr w:type="spellEnd"/>
      <w:r>
        <w:rPr>
          <w:rFonts w:cs="Times New Roman"/>
          <w:i/>
        </w:rPr>
        <w:t xml:space="preserve"> de </w:t>
      </w:r>
      <w:proofErr w:type="spellStart"/>
      <w:r>
        <w:rPr>
          <w:rFonts w:cs="Times New Roman"/>
          <w:i/>
        </w:rPr>
        <w:t>violon</w:t>
      </w:r>
      <w:proofErr w:type="spellEnd"/>
      <w:r>
        <w:rPr>
          <w:rFonts w:cs="Times New Roman"/>
          <w:i/>
        </w:rPr>
        <w:t>.</w:t>
      </w:r>
    </w:p>
  </w:footnote>
  <w:footnote w:id="12">
    <w:p w14:paraId="5AEE36B9" w14:textId="77777777" w:rsidR="001F49FD" w:rsidRDefault="00611419">
      <w:pPr>
        <w:pStyle w:val="Textodenotaderodap"/>
        <w:ind w:firstLine="0"/>
        <w:rPr>
          <w:lang w:val="fr-FR"/>
        </w:rPr>
      </w:pPr>
      <w:r>
        <w:rPr>
          <w:rStyle w:val="Caracteresdenotaderodap"/>
        </w:rPr>
        <w:footnoteRef/>
      </w:r>
      <w:r>
        <w:rPr>
          <w:lang w:val="fr-FR"/>
        </w:rPr>
        <w:t xml:space="preserve"> À exceção de Simon Fischer.</w:t>
      </w:r>
    </w:p>
  </w:footnote>
  <w:footnote w:id="13">
    <w:p w14:paraId="7FB63BAF" w14:textId="77777777" w:rsidR="001F49FD" w:rsidRDefault="00611419">
      <w:pPr>
        <w:pStyle w:val="Textodenotaderodap"/>
        <w:ind w:firstLine="0"/>
      </w:pPr>
      <w:r>
        <w:rPr>
          <w:rStyle w:val="Caracteresdenotaderodap"/>
        </w:rPr>
        <w:footnoteRef/>
      </w:r>
      <w:r>
        <w:t xml:space="preserve"> As expressões “dedos dobrados” ou “dedos curvos”, frequentemente utilizadas pelos autores, serão traduzidas segundo a terminologia anatômica correta.</w:t>
      </w:r>
    </w:p>
  </w:footnote>
  <w:footnote w:id="14">
    <w:p w14:paraId="0D1C98AC" w14:textId="77777777" w:rsidR="001F49FD" w:rsidRDefault="00611419">
      <w:pPr>
        <w:pStyle w:val="Textodenotaderodap"/>
        <w:ind w:firstLine="0"/>
      </w:pPr>
      <w:r>
        <w:rPr>
          <w:rStyle w:val="Caracteresdenotaderodap"/>
        </w:rPr>
        <w:footnoteRef/>
      </w:r>
      <w:r>
        <w:t xml:space="preserve"> Ver BROWN, 1984.</w:t>
      </w:r>
    </w:p>
  </w:footnote>
  <w:footnote w:id="15">
    <w:p w14:paraId="1D19A7C6" w14:textId="77777777" w:rsidR="001F49FD" w:rsidRDefault="00611419">
      <w:pPr>
        <w:pStyle w:val="Textodenotaderodap"/>
        <w:ind w:firstLine="0"/>
      </w:pPr>
      <w:r>
        <w:rPr>
          <w:rStyle w:val="Caracteresdenotaderodap"/>
        </w:rPr>
        <w:footnoteRef/>
      </w:r>
      <w:r>
        <w:t xml:space="preserve"> A Escola de Mannheim é reconhecida principalmente pelo grupo de compositores do século XVIII, sob o mecenato do duque Karl Theodor (1724-1799). O termo provavelmente se estende à prática violinística devido à atuação de Johann </w:t>
      </w:r>
      <w:proofErr w:type="spellStart"/>
      <w:proofErr w:type="gramStart"/>
      <w:r>
        <w:t>Stamitz</w:t>
      </w:r>
      <w:proofErr w:type="spellEnd"/>
      <w:r>
        <w:t xml:space="preserve">  à</w:t>
      </w:r>
      <w:proofErr w:type="gramEnd"/>
      <w:r>
        <w:t xml:space="preserve"> frente da orquestra da cidade, celebrada pela virtuosidade de seus instrumentistas.  </w:t>
      </w:r>
    </w:p>
  </w:footnote>
  <w:footnote w:id="16">
    <w:p w14:paraId="7C460DA0" w14:textId="77777777" w:rsidR="001F49FD" w:rsidRDefault="00611419">
      <w:pPr>
        <w:pStyle w:val="Textodenotaderodap"/>
        <w:ind w:firstLine="0"/>
      </w:pPr>
      <w:r>
        <w:rPr>
          <w:rStyle w:val="Caracteresdenotaderodap"/>
        </w:rPr>
        <w:footnoteRef/>
      </w:r>
      <w:r>
        <w:t xml:space="preserve"> Em seu método, </w:t>
      </w:r>
      <w:proofErr w:type="spellStart"/>
      <w:r>
        <w:t>Habeneck</w:t>
      </w:r>
      <w:proofErr w:type="spellEnd"/>
      <w:r>
        <w:t xml:space="preserve">, que sucedeu Viotti </w:t>
      </w:r>
      <w:r>
        <w:rPr>
          <w:rFonts w:cs="Times New Roman"/>
          <w:color w:val="212121"/>
          <w:lang w:val="pt-PT"/>
        </w:rPr>
        <w:t xml:space="preserve">na </w:t>
      </w:r>
      <w:r>
        <w:rPr>
          <w:rFonts w:cs="Times New Roman"/>
          <w:i/>
          <w:color w:val="212121"/>
          <w:lang w:val="pt-PT"/>
        </w:rPr>
        <w:t>Academie Royale de Musique</w:t>
      </w:r>
      <w:r>
        <w:rPr>
          <w:rFonts w:cs="Times New Roman"/>
          <w:color w:val="212121"/>
          <w:lang w:val="pt-PT"/>
        </w:rPr>
        <w:t>, revela ter obtido o material de Viotti, através de um amigo em comum.</w:t>
      </w:r>
    </w:p>
  </w:footnote>
  <w:footnote w:id="17">
    <w:p w14:paraId="2685A3E5" w14:textId="77777777" w:rsidR="001F49FD" w:rsidRDefault="00611419">
      <w:pPr>
        <w:pStyle w:val="Textodenotaderodap"/>
        <w:ind w:firstLine="0"/>
        <w:rPr>
          <w:rFonts w:cs="Times New Roman"/>
        </w:rPr>
      </w:pPr>
      <w:r>
        <w:rPr>
          <w:rStyle w:val="Caracteresdenotaderodap"/>
        </w:rPr>
        <w:footnoteRef/>
      </w:r>
      <w:r>
        <w:rPr>
          <w:rFonts w:cs="Times New Roman"/>
        </w:rPr>
        <w:t xml:space="preserve"> Alguns autores, como Andreas Moser (1859-1925), creditam a criação da </w:t>
      </w:r>
      <w:proofErr w:type="spellStart"/>
      <w:r>
        <w:rPr>
          <w:rFonts w:cs="Times New Roman"/>
        </w:rPr>
        <w:t>queixeira</w:t>
      </w:r>
      <w:proofErr w:type="spellEnd"/>
      <w:r>
        <w:rPr>
          <w:rFonts w:cs="Times New Roman"/>
        </w:rPr>
        <w:t xml:space="preserve"> a Georges </w:t>
      </w:r>
      <w:proofErr w:type="spellStart"/>
      <w:r>
        <w:rPr>
          <w:rFonts w:cs="Times New Roman"/>
        </w:rPr>
        <w:t>Darbey</w:t>
      </w:r>
      <w:proofErr w:type="spellEnd"/>
      <w:r>
        <w:rPr>
          <w:rFonts w:cs="Times New Roman"/>
        </w:rPr>
        <w:t xml:space="preserve"> (s.d.).</w:t>
      </w:r>
    </w:p>
  </w:footnote>
  <w:footnote w:id="18">
    <w:p w14:paraId="6FED49E7" w14:textId="77777777" w:rsidR="001F49FD" w:rsidRDefault="00611419">
      <w:pPr>
        <w:pStyle w:val="Textodenotaderodap"/>
        <w:ind w:firstLine="0"/>
      </w:pPr>
      <w:r>
        <w:rPr>
          <w:rStyle w:val="Caracteresdenotaderodap"/>
        </w:rPr>
        <w:footnoteRef/>
      </w:r>
      <w:r>
        <w:t xml:space="preserve"> Na posterior análise comparativa, esse tema será tratado no tópico Técnica de mão esquerda.</w:t>
      </w:r>
    </w:p>
  </w:footnote>
  <w:footnote w:id="19">
    <w:p w14:paraId="7D390838" w14:textId="77777777" w:rsidR="001F49FD" w:rsidRDefault="00611419">
      <w:pPr>
        <w:pStyle w:val="Textodenotaderodap"/>
        <w:ind w:firstLine="0"/>
        <w:rPr>
          <w:rFonts w:cs="Times New Roman"/>
          <w:lang w:val="fr-FR"/>
        </w:rPr>
      </w:pPr>
      <w:r>
        <w:rPr>
          <w:rStyle w:val="Caracteresdenotaderodap"/>
        </w:rPr>
        <w:footnoteRef/>
      </w:r>
      <w:r>
        <w:rPr>
          <w:rFonts w:cs="Times New Roman"/>
          <w:lang w:val="fr-FR"/>
        </w:rPr>
        <w:t xml:space="preserve"> Du Mécanisme: des difficultés élémentaires; Du Mécanisme: des difficultés transcendantes; Du style et de ses éléments. </w:t>
      </w:r>
    </w:p>
  </w:footnote>
  <w:footnote w:id="20">
    <w:p w14:paraId="0FFD3C5D" w14:textId="77777777" w:rsidR="001F49FD" w:rsidRDefault="00611419">
      <w:pPr>
        <w:pStyle w:val="Textodenotaderodap"/>
        <w:ind w:firstLine="0"/>
        <w:jc w:val="left"/>
        <w:rPr>
          <w:lang w:val="en-GB"/>
        </w:rPr>
      </w:pPr>
      <w:r>
        <w:rPr>
          <w:rStyle w:val="Caracteresdenotaderodap"/>
        </w:rPr>
        <w:footnoteRef/>
      </w:r>
      <w:r>
        <w:rPr>
          <w:lang w:val="en-GB"/>
        </w:rPr>
        <w:t xml:space="preserve"> David was a pupil of </w:t>
      </w:r>
      <w:proofErr w:type="gramStart"/>
      <w:r>
        <w:rPr>
          <w:lang w:val="en-GB"/>
        </w:rPr>
        <w:t>Spohr, but</w:t>
      </w:r>
      <w:proofErr w:type="gramEnd"/>
      <w:r>
        <w:rPr>
          <w:lang w:val="en-GB"/>
        </w:rPr>
        <w:t xml:space="preserve"> seems to have departed from his mentor’s stylistic and aesthetic position early on, </w:t>
      </w:r>
      <w:proofErr w:type="gramStart"/>
      <w:r>
        <w:rPr>
          <w:lang w:val="en-GB"/>
        </w:rPr>
        <w:t>as a result of</w:t>
      </w:r>
      <w:proofErr w:type="gramEnd"/>
      <w:r>
        <w:rPr>
          <w:lang w:val="en-GB"/>
        </w:rPr>
        <w:t xml:space="preserve"> very different musical personality.</w:t>
      </w:r>
    </w:p>
  </w:footnote>
  <w:footnote w:id="21">
    <w:p w14:paraId="0101848B" w14:textId="77777777" w:rsidR="001F49FD" w:rsidRDefault="00611419">
      <w:pPr>
        <w:pStyle w:val="Textodenotaderodap"/>
        <w:ind w:firstLine="0"/>
        <w:rPr>
          <w:lang w:val="en-GB"/>
        </w:rPr>
      </w:pPr>
      <w:r>
        <w:rPr>
          <w:rStyle w:val="Caracteresdenotaderodap"/>
        </w:rPr>
        <w:footnoteRef/>
      </w:r>
      <w:r>
        <w:rPr>
          <w:lang w:val="en-GB"/>
        </w:rPr>
        <w:t xml:space="preserve"> “Ferdinand David (1810-1873).” The Musical Times 47, no. 761 (1906): 457-61.</w:t>
      </w:r>
    </w:p>
  </w:footnote>
  <w:footnote w:id="22">
    <w:p w14:paraId="32468A49" w14:textId="77777777" w:rsidR="001F49FD" w:rsidRDefault="00611419">
      <w:pPr>
        <w:pStyle w:val="Textodenotaderodap"/>
        <w:ind w:firstLine="0"/>
      </w:pPr>
      <w:r>
        <w:rPr>
          <w:rStyle w:val="Caracteresdenotaderodap"/>
        </w:rPr>
        <w:footnoteRef/>
      </w:r>
      <w:r>
        <w:t xml:space="preserve"> Na língua portuguesa, o termo é traduzido como espaldeira, embora seja usualmente chamado de </w:t>
      </w:r>
      <w:proofErr w:type="spellStart"/>
      <w:r>
        <w:t>spallera</w:t>
      </w:r>
      <w:proofErr w:type="spellEnd"/>
      <w:r>
        <w:t>.</w:t>
      </w:r>
    </w:p>
  </w:footnote>
  <w:footnote w:id="23">
    <w:p w14:paraId="5733D86D" w14:textId="7E7F9C7D" w:rsidR="001F49FD" w:rsidRDefault="00611419">
      <w:pPr>
        <w:pStyle w:val="Textodenotaderodap"/>
        <w:ind w:firstLine="0"/>
      </w:pPr>
      <w:r>
        <w:rPr>
          <w:rStyle w:val="Caracteresdenotaderodap"/>
        </w:rPr>
        <w:footnoteRef/>
      </w:r>
      <w:r>
        <w:t xml:space="preserve"> As citações desse tópico pertencem a</w:t>
      </w:r>
      <w:r w:rsidR="009D2863">
        <w:t>os autores</w:t>
      </w:r>
      <w:r>
        <w:t xml:space="preserve"> (MOSER/JOACHIM, 1905, p. 12)</w:t>
      </w:r>
      <w:r w:rsidR="009D2863">
        <w:t>.</w:t>
      </w:r>
    </w:p>
  </w:footnote>
  <w:footnote w:id="24">
    <w:p w14:paraId="7B02C4FE" w14:textId="77777777" w:rsidR="001F49FD" w:rsidRDefault="00611419">
      <w:pPr>
        <w:pStyle w:val="Textodenotaderodap"/>
        <w:ind w:firstLine="0"/>
      </w:pPr>
      <w:r>
        <w:rPr>
          <w:rStyle w:val="Caracteresdenotaderodap"/>
        </w:rPr>
        <w:footnoteRef/>
      </w:r>
      <w:r>
        <w:t xml:space="preserve"> Assim como no capítulo precedente, os métodos selecionados mantêm seus títulos originais.</w:t>
      </w:r>
    </w:p>
  </w:footnote>
  <w:footnote w:id="25">
    <w:p w14:paraId="344C424E" w14:textId="77777777" w:rsidR="001F49FD" w:rsidRDefault="00611419">
      <w:pPr>
        <w:pStyle w:val="Textodenotaderodap"/>
        <w:ind w:firstLine="0"/>
      </w:pPr>
      <w:r>
        <w:rPr>
          <w:rStyle w:val="Caracteresdenotaderodap"/>
        </w:rPr>
        <w:footnoteRef/>
      </w:r>
      <w:r>
        <w:t xml:space="preserve"> </w:t>
      </w:r>
      <w:r>
        <w:rPr>
          <w:rFonts w:cs="Times New Roman"/>
        </w:rPr>
        <w:t xml:space="preserve">Primeira citação do item </w:t>
      </w:r>
      <w:r>
        <w:rPr>
          <w:rFonts w:cs="Times New Roman"/>
          <w:b/>
        </w:rPr>
        <w:t>O violino</w:t>
      </w:r>
      <w:r>
        <w:rPr>
          <w:rFonts w:cs="Times New Roman"/>
        </w:rPr>
        <w:t xml:space="preserve"> de </w:t>
      </w:r>
      <w:proofErr w:type="spellStart"/>
      <w:r>
        <w:rPr>
          <w:rFonts w:cs="Times New Roman"/>
          <w:i/>
        </w:rPr>
        <w:t>Violin</w:t>
      </w:r>
      <w:proofErr w:type="spellEnd"/>
      <w:r>
        <w:rPr>
          <w:rFonts w:cs="Times New Roman"/>
          <w:i/>
        </w:rPr>
        <w:t xml:space="preserve"> as I </w:t>
      </w:r>
      <w:proofErr w:type="spellStart"/>
      <w:r>
        <w:rPr>
          <w:rFonts w:cs="Times New Roman"/>
          <w:i/>
        </w:rPr>
        <w:t>teach</w:t>
      </w:r>
      <w:proofErr w:type="spellEnd"/>
      <w:r>
        <w:rPr>
          <w:rFonts w:cs="Times New Roman"/>
          <w:i/>
        </w:rPr>
        <w:t xml:space="preserve"> it</w:t>
      </w:r>
      <w:r>
        <w:rPr>
          <w:rFonts w:cs="Times New Roman"/>
        </w:rPr>
        <w:t>.</w:t>
      </w:r>
    </w:p>
  </w:footnote>
  <w:footnote w:id="26">
    <w:p w14:paraId="6C9871E4" w14:textId="77777777" w:rsidR="001F49FD" w:rsidRDefault="00611419">
      <w:pPr>
        <w:pStyle w:val="Textodenotaderodap"/>
        <w:ind w:firstLine="0"/>
      </w:pPr>
      <w:r>
        <w:rPr>
          <w:rStyle w:val="Caracteresdenotaderodap"/>
        </w:rPr>
        <w:footnoteRef/>
      </w:r>
      <w:r>
        <w:t xml:space="preserve"> </w:t>
      </w:r>
      <w:r>
        <w:rPr>
          <w:rFonts w:cs="Times New Roman"/>
          <w:szCs w:val="24"/>
        </w:rPr>
        <w:t xml:space="preserve">Comumente chamada de “pega do arco” na língua portuguesa. </w:t>
      </w:r>
      <w:r>
        <w:t xml:space="preserve">Na língua inglesa: </w:t>
      </w:r>
      <w:proofErr w:type="spellStart"/>
      <w:r>
        <w:rPr>
          <w:i/>
        </w:rPr>
        <w:t>bow</w:t>
      </w:r>
      <w:proofErr w:type="spellEnd"/>
      <w:r>
        <w:rPr>
          <w:i/>
        </w:rPr>
        <w:t xml:space="preserve"> grip</w:t>
      </w:r>
      <w:r>
        <w:t xml:space="preserve">; na língua francesa:  </w:t>
      </w:r>
      <w:proofErr w:type="spellStart"/>
      <w:r>
        <w:rPr>
          <w:i/>
        </w:rPr>
        <w:t>tenue</w:t>
      </w:r>
      <w:proofErr w:type="spellEnd"/>
      <w:r>
        <w:rPr>
          <w:i/>
        </w:rPr>
        <w:t xml:space="preserve"> d’</w:t>
      </w:r>
      <w:proofErr w:type="spellStart"/>
      <w:r>
        <w:rPr>
          <w:i/>
        </w:rPr>
        <w:t>archet</w:t>
      </w:r>
      <w:proofErr w:type="spellEnd"/>
      <w:r>
        <w:rPr>
          <w:i/>
        </w:rPr>
        <w:t>.</w:t>
      </w:r>
      <w:r>
        <w:t xml:space="preserve"> </w:t>
      </w:r>
    </w:p>
  </w:footnote>
  <w:footnote w:id="27">
    <w:p w14:paraId="2F562394" w14:textId="77777777" w:rsidR="001F49FD" w:rsidRDefault="00611419">
      <w:pPr>
        <w:pStyle w:val="Textodenotaderodap"/>
        <w:ind w:firstLine="0"/>
      </w:pPr>
      <w:r>
        <w:rPr>
          <w:rStyle w:val="Caracteresdenotaderodap"/>
        </w:rPr>
        <w:footnoteRef/>
      </w:r>
      <w:r>
        <w:t xml:space="preserve"> “Posição da mão no do arco” russa.</w:t>
      </w:r>
    </w:p>
  </w:footnote>
  <w:footnote w:id="28">
    <w:p w14:paraId="169FA009" w14:textId="77777777" w:rsidR="001F49FD" w:rsidRDefault="00611419">
      <w:pPr>
        <w:pStyle w:val="Textodenotaderodap"/>
        <w:ind w:firstLine="0"/>
        <w:rPr>
          <w:rFonts w:cs="Times New Roman"/>
        </w:rPr>
      </w:pPr>
      <w:r>
        <w:rPr>
          <w:rStyle w:val="Caracteresdenotaderodap"/>
        </w:rPr>
        <w:footnoteRef/>
      </w:r>
      <w:r>
        <w:rPr>
          <w:rFonts w:cs="Times New Roman"/>
        </w:rPr>
        <w:t xml:space="preserve"> Os primeiros três anos de sua formação se realizaram sob a instrução de Adolf Back (</w:t>
      </w:r>
      <w:proofErr w:type="spellStart"/>
      <w:r>
        <w:rPr>
          <w:rFonts w:cs="Times New Roman"/>
        </w:rPr>
        <w:t>s.d</w:t>
      </w:r>
      <w:proofErr w:type="spellEnd"/>
      <w:r>
        <w:rPr>
          <w:rFonts w:cs="Times New Roman"/>
        </w:rPr>
        <w:t xml:space="preserve">) e Josef </w:t>
      </w:r>
      <w:proofErr w:type="spellStart"/>
      <w:r>
        <w:rPr>
          <w:rFonts w:cs="Times New Roman"/>
        </w:rPr>
        <w:t>Maxintsak</w:t>
      </w:r>
      <w:proofErr w:type="spellEnd"/>
      <w:r>
        <w:rPr>
          <w:rFonts w:cs="Times New Roman"/>
        </w:rPr>
        <w:t xml:space="preserve"> (1848-1908).</w:t>
      </w:r>
    </w:p>
  </w:footnote>
  <w:footnote w:id="29">
    <w:p w14:paraId="04CB46C0" w14:textId="77777777" w:rsidR="001F49FD" w:rsidRDefault="00611419">
      <w:pPr>
        <w:pStyle w:val="Textodenotaderodap"/>
        <w:ind w:firstLine="0"/>
        <w:rPr>
          <w:rFonts w:cs="Times New Roman"/>
        </w:rPr>
      </w:pPr>
      <w:r>
        <w:rPr>
          <w:rStyle w:val="Caracteresdenotaderodap"/>
        </w:rPr>
        <w:footnoteRef/>
      </w:r>
      <w:r>
        <w:rPr>
          <w:rFonts w:cs="Times New Roman"/>
        </w:rPr>
        <w:t xml:space="preserve"> O método consta no programa de ingresso no curso de graduação de bacharelado em violino da UFRJ.</w:t>
      </w:r>
      <w:r>
        <w:rPr>
          <w:rFonts w:cs="Times New Roman"/>
          <w:color w:val="333333"/>
          <w:shd w:val="clear" w:color="auto" w:fill="FFFFFF"/>
        </w:rPr>
        <w:t xml:space="preserve"> </w:t>
      </w:r>
    </w:p>
  </w:footnote>
  <w:footnote w:id="30">
    <w:p w14:paraId="0565E030" w14:textId="77777777" w:rsidR="001F49FD" w:rsidRDefault="00611419">
      <w:pPr>
        <w:pStyle w:val="Textodenotaderodap"/>
        <w:ind w:firstLine="0"/>
        <w:rPr>
          <w:rFonts w:asciiTheme="majorHAnsi" w:hAnsiTheme="majorHAnsi" w:cstheme="majorHAnsi"/>
        </w:rPr>
      </w:pPr>
      <w:r>
        <w:rPr>
          <w:rStyle w:val="Caracteresdenotaderodap"/>
        </w:rPr>
        <w:footnoteRef/>
      </w:r>
      <w:r>
        <w:rPr>
          <w:rFonts w:cstheme="majorHAnsi"/>
          <w:lang w:val="en-GB"/>
        </w:rPr>
        <w:t xml:space="preserve"> FLESCH, Carl. </w:t>
      </w:r>
      <w:r>
        <w:rPr>
          <w:rFonts w:cstheme="majorHAnsi"/>
          <w:b/>
          <w:color w:val="181818"/>
          <w:shd w:val="clear" w:color="auto" w:fill="FFFFFF"/>
          <w:lang w:val="en-GB"/>
        </w:rPr>
        <w:t xml:space="preserve">The Art </w:t>
      </w:r>
      <w:proofErr w:type="gramStart"/>
      <w:r>
        <w:rPr>
          <w:rFonts w:cstheme="majorHAnsi"/>
          <w:b/>
          <w:color w:val="181818"/>
          <w:shd w:val="clear" w:color="auto" w:fill="FFFFFF"/>
          <w:lang w:val="en-GB"/>
        </w:rPr>
        <w:t>Of</w:t>
      </w:r>
      <w:proofErr w:type="gramEnd"/>
      <w:r>
        <w:rPr>
          <w:rFonts w:cstheme="majorHAnsi"/>
          <w:b/>
          <w:color w:val="181818"/>
          <w:shd w:val="clear" w:color="auto" w:fill="FFFFFF"/>
          <w:lang w:val="en-GB"/>
        </w:rPr>
        <w:t xml:space="preserve"> Violin Playing Book One</w:t>
      </w:r>
      <w:r>
        <w:rPr>
          <w:rFonts w:cstheme="majorHAnsi"/>
          <w:color w:val="181818"/>
          <w:shd w:val="clear" w:color="auto" w:fill="FFFFFF"/>
          <w:lang w:val="en-GB"/>
        </w:rPr>
        <w:t xml:space="preserve">. Translated and </w:t>
      </w:r>
      <w:proofErr w:type="gramStart"/>
      <w:r>
        <w:rPr>
          <w:rFonts w:cstheme="majorHAnsi"/>
          <w:color w:val="181818"/>
          <w:shd w:val="clear" w:color="auto" w:fill="FFFFFF"/>
          <w:lang w:val="en-GB"/>
        </w:rPr>
        <w:t>Edited</w:t>
      </w:r>
      <w:proofErr w:type="gramEnd"/>
      <w:r>
        <w:rPr>
          <w:rFonts w:cstheme="majorHAnsi"/>
          <w:color w:val="181818"/>
          <w:shd w:val="clear" w:color="auto" w:fill="FFFFFF"/>
          <w:lang w:val="en-GB"/>
        </w:rPr>
        <w:t xml:space="preserve"> by Eric Rosenblith, New York: Carl Fischer Music dist., 2000 e FLESCH, Carl.</w:t>
      </w:r>
      <w:r>
        <w:rPr>
          <w:rFonts w:cstheme="majorHAnsi"/>
          <w:b/>
          <w:color w:val="181818"/>
          <w:shd w:val="clear" w:color="auto" w:fill="FFFFFF"/>
          <w:lang w:val="en-GB"/>
        </w:rPr>
        <w:t xml:space="preserve"> </w:t>
      </w:r>
      <w:proofErr w:type="spellStart"/>
      <w:r>
        <w:rPr>
          <w:rFonts w:cstheme="majorHAnsi"/>
          <w:b/>
          <w:color w:val="181818"/>
          <w:shd w:val="clear" w:color="auto" w:fill="FFFFFF"/>
        </w:rPr>
        <w:t>L’Art</w:t>
      </w:r>
      <w:proofErr w:type="spellEnd"/>
      <w:r>
        <w:rPr>
          <w:rFonts w:cstheme="majorHAnsi"/>
          <w:b/>
          <w:color w:val="181818"/>
          <w:shd w:val="clear" w:color="auto" w:fill="FFFFFF"/>
        </w:rPr>
        <w:t xml:space="preserve"> </w:t>
      </w:r>
      <w:proofErr w:type="spellStart"/>
      <w:r>
        <w:rPr>
          <w:rFonts w:cstheme="majorHAnsi"/>
          <w:b/>
          <w:color w:val="181818"/>
          <w:shd w:val="clear" w:color="auto" w:fill="FFFFFF"/>
        </w:rPr>
        <w:t>du</w:t>
      </w:r>
      <w:proofErr w:type="spellEnd"/>
      <w:r>
        <w:rPr>
          <w:rFonts w:cstheme="majorHAnsi"/>
          <w:b/>
          <w:color w:val="181818"/>
          <w:shd w:val="clear" w:color="auto" w:fill="FFFFFF"/>
        </w:rPr>
        <w:t xml:space="preserve"> </w:t>
      </w:r>
      <w:proofErr w:type="spellStart"/>
      <w:r>
        <w:rPr>
          <w:rFonts w:cstheme="majorHAnsi"/>
          <w:b/>
          <w:color w:val="181818"/>
          <w:shd w:val="clear" w:color="auto" w:fill="FFFFFF"/>
        </w:rPr>
        <w:t>violon</w:t>
      </w:r>
      <w:proofErr w:type="spellEnd"/>
      <w:r>
        <w:rPr>
          <w:rFonts w:cstheme="majorHAnsi"/>
          <w:color w:val="181818"/>
          <w:shd w:val="clear" w:color="auto" w:fill="FFFFFF"/>
        </w:rPr>
        <w:t>.</w:t>
      </w:r>
      <w:r>
        <w:rPr>
          <w:rFonts w:cstheme="majorHAnsi"/>
          <w:b/>
          <w:color w:val="181818"/>
          <w:shd w:val="clear" w:color="auto" w:fill="FFFFFF"/>
        </w:rPr>
        <w:t xml:space="preserve"> </w:t>
      </w:r>
      <w:r>
        <w:rPr>
          <w:rFonts w:cstheme="majorHAnsi"/>
          <w:color w:val="181818"/>
          <w:shd w:val="clear" w:color="auto" w:fill="FFFFFF"/>
        </w:rPr>
        <w:t xml:space="preserve">Paris: </w:t>
      </w:r>
      <w:proofErr w:type="spellStart"/>
      <w:r>
        <w:rPr>
          <w:rFonts w:cstheme="majorHAnsi"/>
          <w:color w:val="181818"/>
          <w:shd w:val="clear" w:color="auto" w:fill="FFFFFF"/>
        </w:rPr>
        <w:t>Eroica</w:t>
      </w:r>
      <w:proofErr w:type="spellEnd"/>
      <w:r>
        <w:rPr>
          <w:rFonts w:cstheme="majorHAnsi"/>
          <w:color w:val="181818"/>
          <w:shd w:val="clear" w:color="auto" w:fill="FFFFFF"/>
        </w:rPr>
        <w:t xml:space="preserve"> Music </w:t>
      </w:r>
      <w:proofErr w:type="spellStart"/>
      <w:r>
        <w:rPr>
          <w:rFonts w:cstheme="majorHAnsi"/>
          <w:color w:val="181818"/>
          <w:shd w:val="clear" w:color="auto" w:fill="FFFFFF"/>
        </w:rPr>
        <w:t>publications</w:t>
      </w:r>
      <w:proofErr w:type="spellEnd"/>
      <w:r>
        <w:rPr>
          <w:rFonts w:cstheme="majorHAnsi"/>
          <w:color w:val="181818"/>
          <w:shd w:val="clear" w:color="auto" w:fill="FFFFFF"/>
        </w:rPr>
        <w:t>, 1990. Desta última são extraídos os tópicos e sua estrutura de apresentação.</w:t>
      </w:r>
    </w:p>
  </w:footnote>
  <w:footnote w:id="31">
    <w:p w14:paraId="305639E6" w14:textId="77777777" w:rsidR="001F49FD" w:rsidRDefault="00611419">
      <w:pPr>
        <w:pStyle w:val="Textodenotaderodap"/>
        <w:ind w:firstLine="0"/>
        <w:rPr>
          <w:rFonts w:cs="Times New Roman"/>
        </w:rPr>
      </w:pPr>
      <w:r>
        <w:rPr>
          <w:rStyle w:val="Caracteresdenotaderodap"/>
        </w:rPr>
        <w:footnoteRef/>
      </w:r>
      <w:r>
        <w:rPr>
          <w:rFonts w:cs="Times New Roman"/>
        </w:rPr>
        <w:t xml:space="preserve"> Atualmente Irã.</w:t>
      </w:r>
    </w:p>
  </w:footnote>
  <w:footnote w:id="32">
    <w:p w14:paraId="76F809B0" w14:textId="77777777" w:rsidR="001F49FD" w:rsidRDefault="00611419">
      <w:pPr>
        <w:pStyle w:val="Textodenotaderodap"/>
        <w:ind w:firstLine="0"/>
      </w:pPr>
      <w:r>
        <w:rPr>
          <w:rStyle w:val="Caracteresdenotaderodap"/>
        </w:rPr>
        <w:footnoteRef/>
      </w:r>
      <w:r>
        <w:t xml:space="preserve"> </w:t>
      </w:r>
      <w:r>
        <w:rPr>
          <w:rFonts w:cs="Times New Roman"/>
        </w:rPr>
        <w:t xml:space="preserve">Como descrito acima, </w:t>
      </w:r>
      <w:proofErr w:type="spellStart"/>
      <w:r>
        <w:rPr>
          <w:rFonts w:cs="Times New Roman"/>
        </w:rPr>
        <w:t>Auer</w:t>
      </w:r>
      <w:proofErr w:type="spellEnd"/>
      <w:r>
        <w:rPr>
          <w:rFonts w:cs="Times New Roman"/>
        </w:rPr>
        <w:t>, por sua vez, foi aluno de Joachim.</w:t>
      </w:r>
    </w:p>
  </w:footnote>
  <w:footnote w:id="33">
    <w:p w14:paraId="24989CAD" w14:textId="77777777" w:rsidR="001F49FD" w:rsidRDefault="00611419">
      <w:pPr>
        <w:pStyle w:val="Textodenotaderodap"/>
        <w:ind w:firstLine="0"/>
      </w:pPr>
      <w:r>
        <w:rPr>
          <w:rStyle w:val="Caracteresdenotaderodap"/>
        </w:rPr>
        <w:footnoteRef/>
      </w:r>
      <w:r>
        <w:t xml:space="preserve"> Todas as citações desse tópico pertencem ao autor (GALAMIAN, 1964, p. 12 e 13).                     </w:t>
      </w:r>
    </w:p>
  </w:footnote>
  <w:footnote w:id="34">
    <w:p w14:paraId="0DBF5684" w14:textId="77777777" w:rsidR="001F49FD" w:rsidRDefault="00611419">
      <w:pPr>
        <w:pStyle w:val="Textodenotaderodap"/>
        <w:ind w:firstLine="0"/>
        <w:rPr>
          <w:rFonts w:cs="Times New Roman"/>
          <w:lang w:val="en-US"/>
        </w:rPr>
      </w:pPr>
      <w:r>
        <w:rPr>
          <w:rStyle w:val="Caracteresdenotaderodap"/>
        </w:rPr>
        <w:footnoteRef/>
      </w:r>
      <w:r>
        <w:rPr>
          <w:rFonts w:cs="Times New Roman"/>
          <w:lang w:val="en-US"/>
        </w:rPr>
        <w:t xml:space="preserve"> </w:t>
      </w:r>
      <w:proofErr w:type="spellStart"/>
      <w:r>
        <w:rPr>
          <w:rFonts w:cs="Times New Roman"/>
          <w:lang w:val="en-US"/>
        </w:rPr>
        <w:t>Os</w:t>
      </w:r>
      <w:proofErr w:type="spellEnd"/>
      <w:r>
        <w:rPr>
          <w:rFonts w:cs="Times New Roman"/>
          <w:lang w:val="en-US"/>
        </w:rPr>
        <w:t xml:space="preserve"> </w:t>
      </w:r>
      <w:proofErr w:type="spellStart"/>
      <w:r>
        <w:rPr>
          <w:rFonts w:cs="Times New Roman"/>
          <w:lang w:val="en-US"/>
        </w:rPr>
        <w:t>primeiros</w:t>
      </w:r>
      <w:proofErr w:type="spellEnd"/>
      <w:r>
        <w:rPr>
          <w:rFonts w:cs="Times New Roman"/>
          <w:lang w:val="en-US"/>
        </w:rPr>
        <w:t xml:space="preserve"> </w:t>
      </w:r>
      <w:proofErr w:type="spellStart"/>
      <w:r>
        <w:rPr>
          <w:rFonts w:cs="Times New Roman"/>
          <w:lang w:val="en-US"/>
        </w:rPr>
        <w:t>anos</w:t>
      </w:r>
      <w:proofErr w:type="spellEnd"/>
      <w:r>
        <w:rPr>
          <w:rFonts w:cs="Times New Roman"/>
          <w:lang w:val="en-US"/>
        </w:rPr>
        <w:t xml:space="preserve"> de </w:t>
      </w:r>
      <w:proofErr w:type="spellStart"/>
      <w:r>
        <w:rPr>
          <w:rFonts w:cs="Times New Roman"/>
          <w:lang w:val="en-US"/>
        </w:rPr>
        <w:t>formação</w:t>
      </w:r>
      <w:proofErr w:type="spellEnd"/>
      <w:r>
        <w:rPr>
          <w:rFonts w:cs="Times New Roman"/>
          <w:lang w:val="en-US"/>
        </w:rPr>
        <w:t xml:space="preserve"> instrumental de Simon Fischer se </w:t>
      </w:r>
      <w:proofErr w:type="spellStart"/>
      <w:r>
        <w:rPr>
          <w:rFonts w:cs="Times New Roman"/>
          <w:lang w:val="en-US"/>
        </w:rPr>
        <w:t>deram</w:t>
      </w:r>
      <w:proofErr w:type="spellEnd"/>
      <w:r>
        <w:rPr>
          <w:rFonts w:cs="Times New Roman"/>
          <w:lang w:val="en-US"/>
        </w:rPr>
        <w:t xml:space="preserve"> sob a </w:t>
      </w:r>
      <w:proofErr w:type="spellStart"/>
      <w:r>
        <w:rPr>
          <w:rFonts w:cs="Times New Roman"/>
          <w:lang w:val="en-US"/>
        </w:rPr>
        <w:t>orientação</w:t>
      </w:r>
      <w:proofErr w:type="spellEnd"/>
      <w:r>
        <w:rPr>
          <w:rFonts w:cs="Times New Roman"/>
          <w:lang w:val="en-US"/>
        </w:rPr>
        <w:t xml:space="preserve"> dos </w:t>
      </w:r>
      <w:proofErr w:type="spellStart"/>
      <w:r>
        <w:rPr>
          <w:rFonts w:cs="Times New Roman"/>
          <w:lang w:val="en-US"/>
        </w:rPr>
        <w:t>professores</w:t>
      </w:r>
      <w:proofErr w:type="spellEnd"/>
      <w:r>
        <w:rPr>
          <w:rFonts w:cs="Times New Roman"/>
          <w:lang w:val="en-US"/>
        </w:rPr>
        <w:t xml:space="preserve"> </w:t>
      </w:r>
      <w:hyperlink r:id="rId1" w:tgtFrame="Homi Kanger (page does not exist)">
        <w:r w:rsidR="001F49FD">
          <w:rPr>
            <w:rStyle w:val="Hyperlink"/>
            <w:rFonts w:cs="Times New Roman"/>
            <w:shd w:val="clear" w:color="auto" w:fill="FFFFFF"/>
            <w:lang w:val="en-US"/>
          </w:rPr>
          <w:t>Homi Kanger</w:t>
        </w:r>
      </w:hyperlink>
      <w:r>
        <w:rPr>
          <w:rFonts w:cs="Times New Roman"/>
          <w:lang w:val="en-US"/>
        </w:rPr>
        <w:t xml:space="preserve"> (</w:t>
      </w:r>
      <w:proofErr w:type="spellStart"/>
      <w:r>
        <w:rPr>
          <w:rFonts w:cs="Times New Roman"/>
          <w:lang w:val="en-US"/>
        </w:rPr>
        <w:t>s.d.</w:t>
      </w:r>
      <w:proofErr w:type="spellEnd"/>
      <w:r>
        <w:rPr>
          <w:rFonts w:cs="Times New Roman"/>
          <w:lang w:val="en-US"/>
        </w:rPr>
        <w:t>)</w:t>
      </w:r>
      <w:r>
        <w:rPr>
          <w:rFonts w:cs="Times New Roman"/>
          <w:shd w:val="clear" w:color="auto" w:fill="FFFFFF"/>
          <w:lang w:val="en-US"/>
        </w:rPr>
        <w:t>,</w:t>
      </w:r>
      <w:r>
        <w:rPr>
          <w:rFonts w:cs="Times New Roman"/>
          <w:lang w:val="en-US"/>
        </w:rPr>
        <w:t xml:space="preserve"> </w:t>
      </w:r>
      <w:hyperlink r:id="rId2" w:tgtFrame="Eli Goren (page does not exist)">
        <w:r w:rsidR="001F49FD">
          <w:rPr>
            <w:rStyle w:val="Hyperlink"/>
            <w:rFonts w:cs="Times New Roman"/>
            <w:shd w:val="clear" w:color="auto" w:fill="FFFFFF"/>
            <w:lang w:val="en-US"/>
          </w:rPr>
          <w:t>Eli Goren</w:t>
        </w:r>
      </w:hyperlink>
      <w:r>
        <w:rPr>
          <w:rStyle w:val="Hyperlink"/>
          <w:rFonts w:cs="Times New Roman"/>
          <w:shd w:val="clear" w:color="auto" w:fill="FFFFFF"/>
          <w:lang w:val="en-US"/>
        </w:rPr>
        <w:t xml:space="preserve"> (1923-1999)</w:t>
      </w:r>
      <w:r>
        <w:rPr>
          <w:rFonts w:cs="Times New Roman"/>
          <w:shd w:val="clear" w:color="auto" w:fill="FFFFFF"/>
          <w:lang w:val="en-US"/>
        </w:rPr>
        <w:t>,</w:t>
      </w:r>
      <w:r>
        <w:rPr>
          <w:rFonts w:cs="Times New Roman"/>
          <w:lang w:val="en-US"/>
        </w:rPr>
        <w:t xml:space="preserve"> </w:t>
      </w:r>
      <w:hyperlink r:id="rId3" w:tgtFrame="Perry Hart (page does not exist)">
        <w:r w:rsidR="001F49FD">
          <w:rPr>
            <w:rStyle w:val="Hyperlink"/>
            <w:rFonts w:cs="Times New Roman"/>
            <w:shd w:val="clear" w:color="auto" w:fill="FFFFFF"/>
            <w:lang w:val="en-US"/>
          </w:rPr>
          <w:t>Perry Hart</w:t>
        </w:r>
      </w:hyperlink>
      <w:r>
        <w:rPr>
          <w:rStyle w:val="Hyperlink"/>
          <w:rFonts w:cs="Times New Roman"/>
          <w:shd w:val="clear" w:color="auto" w:fill="FFFFFF"/>
          <w:lang w:val="en-US"/>
        </w:rPr>
        <w:t xml:space="preserve"> (</w:t>
      </w:r>
      <w:proofErr w:type="spellStart"/>
      <w:r>
        <w:rPr>
          <w:rStyle w:val="Hyperlink"/>
          <w:rFonts w:cs="Times New Roman"/>
          <w:shd w:val="clear" w:color="auto" w:fill="FFFFFF"/>
          <w:lang w:val="en-US"/>
        </w:rPr>
        <w:t>s.d.</w:t>
      </w:r>
      <w:proofErr w:type="spellEnd"/>
      <w:r>
        <w:rPr>
          <w:rStyle w:val="Hyperlink"/>
          <w:rFonts w:cs="Times New Roman"/>
          <w:shd w:val="clear" w:color="auto" w:fill="FFFFFF"/>
          <w:lang w:val="en-US"/>
        </w:rPr>
        <w:t>)</w:t>
      </w:r>
      <w:r>
        <w:rPr>
          <w:rFonts w:cs="Times New Roman"/>
          <w:shd w:val="clear" w:color="auto" w:fill="FFFFFF"/>
          <w:lang w:val="en-US"/>
        </w:rPr>
        <w:t xml:space="preserve"> e </w:t>
      </w:r>
      <w:hyperlink r:id="rId4" w:tgtFrame="Sydney Fixman (page does not exist)">
        <w:r w:rsidR="001F49FD">
          <w:rPr>
            <w:rStyle w:val="Hyperlink"/>
            <w:rFonts w:cs="Times New Roman"/>
            <w:shd w:val="clear" w:color="auto" w:fill="FFFFFF"/>
            <w:lang w:val="en-US"/>
          </w:rPr>
          <w:t xml:space="preserve">Sydney </w:t>
        </w:r>
        <w:proofErr w:type="spellStart"/>
        <w:r w:rsidR="001F49FD">
          <w:rPr>
            <w:rStyle w:val="Hyperlink"/>
            <w:rFonts w:cs="Times New Roman"/>
            <w:shd w:val="clear" w:color="auto" w:fill="FFFFFF"/>
            <w:lang w:val="en-US"/>
          </w:rPr>
          <w:t>Fixman</w:t>
        </w:r>
        <w:proofErr w:type="spellEnd"/>
      </w:hyperlink>
      <w:r>
        <w:rPr>
          <w:rStyle w:val="Hyperlink"/>
          <w:rFonts w:cs="Times New Roman"/>
          <w:shd w:val="clear" w:color="auto" w:fill="FFFFFF"/>
          <w:lang w:val="en-US"/>
        </w:rPr>
        <w:t xml:space="preserve"> (1932-2016)</w:t>
      </w:r>
      <w:r>
        <w:rPr>
          <w:rFonts w:cs="Times New Roman"/>
          <w:shd w:val="clear" w:color="auto" w:fill="FFFFFF"/>
          <w:lang w:val="en-US"/>
        </w:rPr>
        <w:t>. </w:t>
      </w:r>
    </w:p>
  </w:footnote>
  <w:footnote w:id="35">
    <w:p w14:paraId="0066CC3D" w14:textId="35B4BBC3" w:rsidR="001F49FD" w:rsidRDefault="00611419">
      <w:pPr>
        <w:pStyle w:val="Textodenotaderodap"/>
        <w:ind w:firstLine="0"/>
        <w:rPr>
          <w:lang w:val="en-GB"/>
        </w:rPr>
      </w:pPr>
      <w:r>
        <w:rPr>
          <w:rStyle w:val="Caracteresdenotaderodap"/>
        </w:rPr>
        <w:footnoteRef/>
      </w:r>
      <w:r>
        <w:rPr>
          <w:lang w:val="en-GB"/>
        </w:rPr>
        <w:t xml:space="preserve"> </w:t>
      </w:r>
      <w:proofErr w:type="spellStart"/>
      <w:r>
        <w:rPr>
          <w:lang w:val="en-GB"/>
        </w:rPr>
        <w:t>Figura</w:t>
      </w:r>
      <w:proofErr w:type="spellEnd"/>
      <w:r>
        <w:rPr>
          <w:lang w:val="en-GB"/>
        </w:rPr>
        <w:t xml:space="preserve"> </w:t>
      </w:r>
      <w:r w:rsidR="00FA1E66">
        <w:rPr>
          <w:lang w:val="en-GB"/>
        </w:rPr>
        <w:t>10</w:t>
      </w:r>
      <w:r>
        <w:rPr>
          <w:lang w:val="en-GB"/>
        </w:rPr>
        <w:t xml:space="preserve">. </w:t>
      </w:r>
    </w:p>
  </w:footnote>
  <w:footnote w:id="36">
    <w:p w14:paraId="02B6022D" w14:textId="77777777" w:rsidR="001F49FD" w:rsidRDefault="00611419">
      <w:pPr>
        <w:pStyle w:val="Textodenotaderodap"/>
        <w:ind w:firstLine="0"/>
      </w:pPr>
      <w:r>
        <w:rPr>
          <w:rStyle w:val="Caracteresdenotaderodap"/>
        </w:rPr>
        <w:footnoteRef/>
      </w:r>
      <w:r>
        <w:t xml:space="preserve"> Nesse caso, o trecho da citação que estiver relacionado ao tópico estará sublinhado.</w:t>
      </w:r>
    </w:p>
  </w:footnote>
  <w:footnote w:id="37">
    <w:p w14:paraId="1B7E2CCD" w14:textId="123B3699" w:rsidR="001F49FD" w:rsidRDefault="00611419">
      <w:pPr>
        <w:pStyle w:val="Textodenotaderodap"/>
        <w:ind w:firstLine="0"/>
      </w:pPr>
      <w:r>
        <w:rPr>
          <w:rStyle w:val="Caracteresdenotaderodap"/>
        </w:rPr>
        <w:footnoteRef/>
      </w:r>
      <w:r>
        <w:t xml:space="preserve"> As citações do presente capítulo encontram-se na língua original </w:t>
      </w:r>
      <w:r w:rsidRPr="001E48B1">
        <w:t xml:space="preserve">nos </w:t>
      </w:r>
      <w:r w:rsidR="00C840E9" w:rsidRPr="001E48B1">
        <w:t>c</w:t>
      </w:r>
      <w:r w:rsidRPr="001E48B1">
        <w:t xml:space="preserve">apítulos </w:t>
      </w:r>
      <w:r w:rsidR="001E48B1" w:rsidRPr="001E48B1">
        <w:t>1</w:t>
      </w:r>
      <w:r w:rsidRPr="001E48B1">
        <w:t xml:space="preserve"> e </w:t>
      </w:r>
      <w:r w:rsidR="001E48B1" w:rsidRPr="001E48B1">
        <w:t>2</w:t>
      </w:r>
      <w:r w:rsidRPr="001E48B1">
        <w:t xml:space="preserve">, assim </w:t>
      </w:r>
      <w:r>
        <w:t>como as referências de edição e página.</w:t>
      </w:r>
    </w:p>
  </w:footnote>
  <w:footnote w:id="38">
    <w:p w14:paraId="52897C04" w14:textId="2D7D03F9" w:rsidR="001F49FD" w:rsidRDefault="00611419">
      <w:pPr>
        <w:pStyle w:val="Textodenotaderodap"/>
        <w:ind w:firstLine="0"/>
      </w:pPr>
      <w:r>
        <w:rPr>
          <w:rStyle w:val="Caracteresdenotaderodap"/>
        </w:rPr>
        <w:footnoteRef/>
      </w:r>
      <w:r>
        <w:t xml:space="preserve"> Figura 10, p. </w:t>
      </w:r>
      <w:r w:rsidR="007A6360">
        <w:t>69</w:t>
      </w:r>
      <w:r>
        <w:t xml:space="preserve">. </w:t>
      </w:r>
    </w:p>
  </w:footnote>
  <w:footnote w:id="39">
    <w:p w14:paraId="7F67914F" w14:textId="15473E5C" w:rsidR="001F49FD" w:rsidRDefault="00611419">
      <w:pPr>
        <w:pStyle w:val="Textodenotaderodap"/>
        <w:ind w:firstLine="0"/>
      </w:pPr>
      <w:r>
        <w:rPr>
          <w:rStyle w:val="Caracteresdenotaderodap"/>
        </w:rPr>
        <w:footnoteRef/>
      </w:r>
      <w:r>
        <w:t xml:space="preserve"> Em </w:t>
      </w:r>
      <w:r w:rsidRPr="001E48B1">
        <w:rPr>
          <w:b/>
          <w:bCs/>
        </w:rPr>
        <w:t>Anatomia</w:t>
      </w:r>
      <w:r>
        <w:t>: centrado no eixo crâneo-caudal (DANGELO, 1973)</w:t>
      </w:r>
      <w:r w:rsidR="00C840E9">
        <w:t>.</w:t>
      </w:r>
    </w:p>
  </w:footnote>
  <w:footnote w:id="40">
    <w:p w14:paraId="433E82C7" w14:textId="6742FDEF" w:rsidR="001F49FD" w:rsidRDefault="00611419">
      <w:pPr>
        <w:pStyle w:val="Textodenotaderodap"/>
        <w:ind w:firstLine="0"/>
      </w:pPr>
      <w:r>
        <w:rPr>
          <w:rStyle w:val="Caracteresdenotaderodap"/>
        </w:rPr>
        <w:footnoteRef/>
      </w:r>
      <w:r>
        <w:t xml:space="preserve"> Figura 10, p. </w:t>
      </w:r>
      <w:r w:rsidR="007A6360">
        <w:t>69</w:t>
      </w:r>
      <w:r>
        <w:t>.</w:t>
      </w:r>
    </w:p>
  </w:footnote>
  <w:footnote w:id="41">
    <w:p w14:paraId="502BE887" w14:textId="04A7A1F0" w:rsidR="001F49FD" w:rsidRDefault="00611419">
      <w:pPr>
        <w:pStyle w:val="Textodenotaderodap"/>
        <w:ind w:firstLine="0"/>
      </w:pPr>
      <w:r>
        <w:rPr>
          <w:rStyle w:val="Caracteresdenotaderodap"/>
        </w:rPr>
        <w:footnoteRef/>
      </w:r>
      <w:r>
        <w:t xml:space="preserve"> Figura 5, p. 3</w:t>
      </w:r>
      <w:r w:rsidR="007A6360">
        <w:t>4</w:t>
      </w:r>
      <w:r>
        <w:t>.</w:t>
      </w:r>
    </w:p>
  </w:footnote>
  <w:footnote w:id="42">
    <w:p w14:paraId="3F8473E3" w14:textId="7865BDDB" w:rsidR="001F49FD" w:rsidRDefault="00611419">
      <w:pPr>
        <w:pStyle w:val="Textodenotaderodap"/>
        <w:ind w:firstLine="0"/>
      </w:pPr>
      <w:r>
        <w:rPr>
          <w:rStyle w:val="Caracteresdenotaderodap"/>
        </w:rPr>
        <w:footnoteRef/>
      </w:r>
      <w:r>
        <w:t xml:space="preserve"> Figura 7, p. 54; Figura 8, p. </w:t>
      </w:r>
      <w:r w:rsidR="007A6360">
        <w:t>55</w:t>
      </w:r>
      <w:r>
        <w:t xml:space="preserve">. </w:t>
      </w:r>
    </w:p>
  </w:footnote>
  <w:footnote w:id="43">
    <w:p w14:paraId="575E9412" w14:textId="24BD720F" w:rsidR="001F49FD" w:rsidRDefault="00611419">
      <w:pPr>
        <w:pStyle w:val="Textodenotaderodap"/>
        <w:ind w:firstLine="0"/>
      </w:pPr>
      <w:r>
        <w:rPr>
          <w:rStyle w:val="Caracteresdenotaderodap"/>
        </w:rPr>
        <w:footnoteRef/>
      </w:r>
      <w:r>
        <w:t xml:space="preserve"> Considerando-se como um posicionamento fundamental nas cordas </w:t>
      </w:r>
      <w:r w:rsidR="00C840E9">
        <w:t>L</w:t>
      </w:r>
      <w:r>
        <w:t xml:space="preserve">á e </w:t>
      </w:r>
      <w:r w:rsidR="00C840E9">
        <w:t>R</w:t>
      </w:r>
      <w:r>
        <w:t xml:space="preserve">é, com as mínimas variações necessárias para alcançar as cordas </w:t>
      </w:r>
      <w:r w:rsidR="00C840E9">
        <w:t>So</w:t>
      </w:r>
      <w:r>
        <w:t xml:space="preserve">l e </w:t>
      </w:r>
      <w:r w:rsidR="00C840E9">
        <w:t>M</w:t>
      </w:r>
      <w:r>
        <w:t>i.</w:t>
      </w:r>
    </w:p>
  </w:footnote>
  <w:footnote w:id="44">
    <w:p w14:paraId="626350C0" w14:textId="70870DD7" w:rsidR="001F49FD" w:rsidRDefault="00611419">
      <w:pPr>
        <w:pStyle w:val="Textodenotaderodap"/>
        <w:ind w:firstLine="0"/>
      </w:pPr>
      <w:r>
        <w:rPr>
          <w:rStyle w:val="Caracteresdenotaderodap"/>
        </w:rPr>
        <w:footnoteRef/>
      </w:r>
      <w:r>
        <w:t xml:space="preserve"> Figura 6, p. 4</w:t>
      </w:r>
      <w:r w:rsidR="007A6360">
        <w:t>1</w:t>
      </w:r>
      <w:r>
        <w:t>.</w:t>
      </w:r>
    </w:p>
  </w:footnote>
  <w:footnote w:id="45">
    <w:p w14:paraId="171DCA44" w14:textId="77777777" w:rsidR="001F49FD" w:rsidRDefault="00611419">
      <w:pPr>
        <w:pStyle w:val="Textodenotaderodap"/>
        <w:ind w:firstLine="0"/>
      </w:pPr>
      <w:r>
        <w:rPr>
          <w:rStyle w:val="Caracteresdenotaderodap"/>
        </w:rPr>
        <w:footnoteRef/>
      </w:r>
      <w:r>
        <w:t xml:space="preserve"> Na terminologia anatômica: abdução do dedo indicador.</w:t>
      </w:r>
    </w:p>
  </w:footnote>
  <w:footnote w:id="46">
    <w:p w14:paraId="6CE5577C" w14:textId="2A337EEE" w:rsidR="001F49FD" w:rsidRDefault="00611419">
      <w:pPr>
        <w:pStyle w:val="Textodenotaderodap"/>
        <w:ind w:firstLine="0"/>
      </w:pPr>
      <w:r>
        <w:rPr>
          <w:rStyle w:val="Caracteresdenotaderodap"/>
        </w:rPr>
        <w:footnoteRef/>
      </w:r>
      <w:r>
        <w:t xml:space="preserve"> Figura 9, p. </w:t>
      </w:r>
      <w:r w:rsidR="007A6360">
        <w:t>62</w:t>
      </w:r>
      <w:r>
        <w:t xml:space="preserve">. </w:t>
      </w:r>
    </w:p>
  </w:footnote>
  <w:footnote w:id="47">
    <w:p w14:paraId="355A2682" w14:textId="50784811" w:rsidR="001F49FD" w:rsidRDefault="00611419">
      <w:pPr>
        <w:pStyle w:val="Textodenotaderodap"/>
        <w:ind w:firstLine="0"/>
      </w:pPr>
      <w:r>
        <w:rPr>
          <w:rStyle w:val="Caracteresdenotaderodap"/>
        </w:rPr>
        <w:footnoteRef/>
      </w:r>
      <w:r>
        <w:t xml:space="preserve"> Figura 9, p. </w:t>
      </w:r>
      <w:r w:rsidR="007A6360">
        <w:t>62</w:t>
      </w:r>
      <w:r>
        <w:t xml:space="preserve">. </w:t>
      </w:r>
    </w:p>
  </w:footnote>
  <w:footnote w:id="48">
    <w:p w14:paraId="5E8429CF" w14:textId="77777777" w:rsidR="001F49FD" w:rsidRDefault="00611419">
      <w:pPr>
        <w:pStyle w:val="Textodenotaderodap"/>
        <w:ind w:firstLine="0"/>
      </w:pPr>
      <w:r>
        <w:rPr>
          <w:rStyle w:val="Caracteresdenotaderodap"/>
        </w:rPr>
        <w:footnoteRef/>
      </w:r>
      <w:r>
        <w:t xml:space="preserve"> Figura 9, p. 71.</w:t>
      </w:r>
    </w:p>
  </w:footnote>
  <w:footnote w:id="49">
    <w:p w14:paraId="0F44C936" w14:textId="77777777" w:rsidR="001F49FD" w:rsidRDefault="00611419">
      <w:pPr>
        <w:pStyle w:val="Textodenotaderodap"/>
        <w:ind w:firstLine="0"/>
        <w:rPr>
          <w:lang w:val="fr-FR"/>
        </w:rPr>
      </w:pPr>
      <w:r>
        <w:rPr>
          <w:rStyle w:val="Caracteresdenotaderodap"/>
        </w:rPr>
        <w:footnoteRef/>
      </w:r>
      <w:r>
        <w:rPr>
          <w:lang w:val="fr-FR"/>
        </w:rPr>
        <w:t xml:space="preserve"> Anexo 1.</w:t>
      </w:r>
    </w:p>
  </w:footnote>
  <w:footnote w:id="50">
    <w:p w14:paraId="069C17E3" w14:textId="49D572C9" w:rsidR="001F49FD" w:rsidRDefault="00611419">
      <w:pPr>
        <w:pStyle w:val="Textodenotaderodap"/>
        <w:ind w:firstLine="0"/>
      </w:pPr>
      <w:r>
        <w:rPr>
          <w:rStyle w:val="Caracteresdenotaderodap"/>
        </w:rPr>
        <w:footnoteRef/>
      </w:r>
      <w:r>
        <w:t xml:space="preserve"> A fim de facilitar a verificação dos resultados, optamos por enumerar os itens do presente capítulo em conformidade com a numeração das Questões das Entrevistas (Anexo 1) e dos Resultados (Apêndice A) e não </w:t>
      </w:r>
      <w:r w:rsidR="008C0FC7">
        <w:t>pela ordem</w:t>
      </w:r>
      <w:r>
        <w:t xml:space="preserve"> padrão: 5.1.1, 5.1.2, etc.</w:t>
      </w:r>
    </w:p>
  </w:footnote>
  <w:footnote w:id="51">
    <w:p w14:paraId="2D4D0AED" w14:textId="6DFED48C" w:rsidR="001F49FD" w:rsidRDefault="00611419">
      <w:pPr>
        <w:pStyle w:val="Textodenotaderodap"/>
        <w:ind w:firstLine="0"/>
      </w:pPr>
      <w:r>
        <w:rPr>
          <w:rStyle w:val="Caracteresdenotaderodap"/>
        </w:rPr>
        <w:footnoteRef/>
      </w:r>
      <w:r>
        <w:t xml:space="preserve"> Não constando, portanto, nos </w:t>
      </w:r>
      <w:r w:rsidR="00817B85">
        <w:t>q</w:t>
      </w:r>
      <w:r>
        <w:t xml:space="preserve">uadros da análise comparativa. </w:t>
      </w:r>
    </w:p>
  </w:footnote>
  <w:footnote w:id="52">
    <w:p w14:paraId="0DB516CD" w14:textId="77777777" w:rsidR="001F49FD" w:rsidRDefault="00611419">
      <w:pPr>
        <w:pStyle w:val="Textodenotaderodap"/>
        <w:ind w:firstLine="0"/>
      </w:pPr>
      <w:r>
        <w:rPr>
          <w:rStyle w:val="Caracteresdenotaderodap"/>
        </w:rPr>
        <w:footnoteRef/>
      </w:r>
      <w:r>
        <w:t xml:space="preserve"> Figura 9, </w:t>
      </w:r>
      <w:r w:rsidRPr="00BC4FC1">
        <w:rPr>
          <w:color w:val="FF0000"/>
        </w:rPr>
        <w:t>p. 71.</w:t>
      </w:r>
    </w:p>
  </w:footnote>
  <w:footnote w:id="53">
    <w:p w14:paraId="77385CC2" w14:textId="3A52205F" w:rsidR="001F49FD" w:rsidRDefault="00611419">
      <w:pPr>
        <w:pStyle w:val="Textodenotaderodap"/>
        <w:ind w:firstLine="0"/>
      </w:pPr>
      <w:r>
        <w:rPr>
          <w:rStyle w:val="Caracteresdenotaderodap"/>
        </w:rPr>
        <w:footnoteRef/>
      </w:r>
      <w:r>
        <w:t xml:space="preserve"> Na análise das respostas a esse item (</w:t>
      </w:r>
      <w:r w:rsidR="00F616AF">
        <w:t>q</w:t>
      </w:r>
      <w:r>
        <w:t xml:space="preserve">uestão 15), constatamos que as respostas </w:t>
      </w:r>
      <w:r>
        <w:rPr>
          <w:i/>
        </w:rPr>
        <w:t>mobilidade</w:t>
      </w:r>
      <w:r>
        <w:t xml:space="preserve"> </w:t>
      </w:r>
      <w:r>
        <w:rPr>
          <w:i/>
        </w:rPr>
        <w:t xml:space="preserve">moderada </w:t>
      </w:r>
      <w:r>
        <w:t xml:space="preserve">e </w:t>
      </w:r>
      <w:r>
        <w:rPr>
          <w:i/>
        </w:rPr>
        <w:t>mobilidade mínima</w:t>
      </w:r>
      <w:r>
        <w:t xml:space="preserve"> são regidas pelo mesmo conceito.</w:t>
      </w:r>
    </w:p>
  </w:footnote>
  <w:footnote w:id="54">
    <w:p w14:paraId="484B77B6" w14:textId="77777777" w:rsidR="001F49FD" w:rsidRDefault="00611419">
      <w:pPr>
        <w:pStyle w:val="Textodenotaderodap"/>
        <w:ind w:firstLine="0"/>
        <w:rPr>
          <w:lang w:val="fr-FR"/>
        </w:rPr>
      </w:pPr>
      <w:r>
        <w:rPr>
          <w:rStyle w:val="Caracteresdenotaderodap"/>
        </w:rPr>
        <w:footnoteRef/>
      </w:r>
      <w:r>
        <w:rPr>
          <w:lang w:val="fr-FR"/>
        </w:rPr>
        <w:t xml:space="preserve"> Anexo 1. </w:t>
      </w:r>
    </w:p>
  </w:footnote>
  <w:footnote w:id="55">
    <w:p w14:paraId="123C5710" w14:textId="77777777" w:rsidR="001F49FD" w:rsidRDefault="00611419">
      <w:pPr>
        <w:pStyle w:val="Textodenotaderodap"/>
        <w:ind w:firstLine="0"/>
        <w:rPr>
          <w:lang w:val="fr-FR"/>
        </w:rPr>
      </w:pPr>
      <w:r>
        <w:rPr>
          <w:rStyle w:val="Caracteresdenotaderodap"/>
        </w:rPr>
        <w:footnoteRef/>
      </w:r>
      <w:r>
        <w:rPr>
          <w:lang w:val="fr-FR"/>
        </w:rPr>
        <w:t xml:space="preserve"> On ne peut pas échapper à son temps! Arfan Alhanbali.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D5D66" w14:textId="77777777" w:rsidR="001F49FD" w:rsidRDefault="001F49FD">
    <w:pPr>
      <w:ind w:hanging="454"/>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16C51"/>
    <w:multiLevelType w:val="multilevel"/>
    <w:tmpl w:val="73843316"/>
    <w:lvl w:ilvl="0">
      <w:start w:val="1"/>
      <w:numFmt w:val="bullet"/>
      <w:lvlText w:val="•"/>
      <w:lvlJc w:val="left"/>
      <w:pPr>
        <w:tabs>
          <w:tab w:val="num" w:pos="0"/>
        </w:tabs>
        <w:ind w:left="2214" w:hanging="360"/>
      </w:pPr>
      <w:rPr>
        <w:rFonts w:ascii="Leelawadee UI" w:hAnsi="Leelawadee UI" w:cs="Leelawadee UI" w:hint="default"/>
      </w:rPr>
    </w:lvl>
    <w:lvl w:ilvl="1">
      <w:start w:val="1"/>
      <w:numFmt w:val="bullet"/>
      <w:lvlText w:val="o"/>
      <w:lvlJc w:val="left"/>
      <w:pPr>
        <w:tabs>
          <w:tab w:val="num" w:pos="0"/>
        </w:tabs>
        <w:ind w:left="2934" w:hanging="360"/>
      </w:pPr>
      <w:rPr>
        <w:rFonts w:ascii="Courier New" w:hAnsi="Courier New" w:cs="Courier New" w:hint="default"/>
      </w:rPr>
    </w:lvl>
    <w:lvl w:ilvl="2">
      <w:start w:val="1"/>
      <w:numFmt w:val="bullet"/>
      <w:lvlText w:val=""/>
      <w:lvlJc w:val="left"/>
      <w:pPr>
        <w:tabs>
          <w:tab w:val="num" w:pos="0"/>
        </w:tabs>
        <w:ind w:left="3654" w:hanging="360"/>
      </w:pPr>
      <w:rPr>
        <w:rFonts w:ascii="Wingdings" w:hAnsi="Wingdings" w:cs="Wingdings" w:hint="default"/>
      </w:rPr>
    </w:lvl>
    <w:lvl w:ilvl="3">
      <w:start w:val="1"/>
      <w:numFmt w:val="bullet"/>
      <w:lvlText w:val=""/>
      <w:lvlJc w:val="left"/>
      <w:pPr>
        <w:tabs>
          <w:tab w:val="num" w:pos="0"/>
        </w:tabs>
        <w:ind w:left="4374" w:hanging="360"/>
      </w:pPr>
      <w:rPr>
        <w:rFonts w:ascii="Symbol" w:hAnsi="Symbol" w:cs="Symbol" w:hint="default"/>
      </w:rPr>
    </w:lvl>
    <w:lvl w:ilvl="4">
      <w:start w:val="1"/>
      <w:numFmt w:val="bullet"/>
      <w:lvlText w:val="o"/>
      <w:lvlJc w:val="left"/>
      <w:pPr>
        <w:tabs>
          <w:tab w:val="num" w:pos="0"/>
        </w:tabs>
        <w:ind w:left="5094" w:hanging="360"/>
      </w:pPr>
      <w:rPr>
        <w:rFonts w:ascii="Courier New" w:hAnsi="Courier New" w:cs="Courier New" w:hint="default"/>
      </w:rPr>
    </w:lvl>
    <w:lvl w:ilvl="5">
      <w:start w:val="1"/>
      <w:numFmt w:val="bullet"/>
      <w:lvlText w:val=""/>
      <w:lvlJc w:val="left"/>
      <w:pPr>
        <w:tabs>
          <w:tab w:val="num" w:pos="0"/>
        </w:tabs>
        <w:ind w:left="5814" w:hanging="360"/>
      </w:pPr>
      <w:rPr>
        <w:rFonts w:ascii="Wingdings" w:hAnsi="Wingdings" w:cs="Wingdings" w:hint="default"/>
      </w:rPr>
    </w:lvl>
    <w:lvl w:ilvl="6">
      <w:start w:val="1"/>
      <w:numFmt w:val="bullet"/>
      <w:lvlText w:val=""/>
      <w:lvlJc w:val="left"/>
      <w:pPr>
        <w:tabs>
          <w:tab w:val="num" w:pos="0"/>
        </w:tabs>
        <w:ind w:left="6534" w:hanging="360"/>
      </w:pPr>
      <w:rPr>
        <w:rFonts w:ascii="Symbol" w:hAnsi="Symbol" w:cs="Symbol" w:hint="default"/>
      </w:rPr>
    </w:lvl>
    <w:lvl w:ilvl="7">
      <w:start w:val="1"/>
      <w:numFmt w:val="bullet"/>
      <w:lvlText w:val="o"/>
      <w:lvlJc w:val="left"/>
      <w:pPr>
        <w:tabs>
          <w:tab w:val="num" w:pos="0"/>
        </w:tabs>
        <w:ind w:left="7254" w:hanging="360"/>
      </w:pPr>
      <w:rPr>
        <w:rFonts w:ascii="Courier New" w:hAnsi="Courier New" w:cs="Courier New" w:hint="default"/>
      </w:rPr>
    </w:lvl>
    <w:lvl w:ilvl="8">
      <w:start w:val="1"/>
      <w:numFmt w:val="bullet"/>
      <w:lvlText w:val=""/>
      <w:lvlJc w:val="left"/>
      <w:pPr>
        <w:tabs>
          <w:tab w:val="num" w:pos="0"/>
        </w:tabs>
        <w:ind w:left="7974" w:hanging="360"/>
      </w:pPr>
      <w:rPr>
        <w:rFonts w:ascii="Wingdings" w:hAnsi="Wingdings" w:cs="Wingdings" w:hint="default"/>
      </w:rPr>
    </w:lvl>
  </w:abstractNum>
  <w:abstractNum w:abstractNumId="1" w15:restartNumberingAfterBreak="0">
    <w:nsid w:val="196C739A"/>
    <w:multiLevelType w:val="multilevel"/>
    <w:tmpl w:val="41327B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E6414E3"/>
    <w:multiLevelType w:val="multilevel"/>
    <w:tmpl w:val="D40A2F22"/>
    <w:lvl w:ilvl="0">
      <w:start w:val="1"/>
      <w:numFmt w:val="bullet"/>
      <w:lvlText w:val="•"/>
      <w:lvlJc w:val="left"/>
      <w:pPr>
        <w:tabs>
          <w:tab w:val="num" w:pos="0"/>
        </w:tabs>
        <w:ind w:left="1854" w:hanging="360"/>
      </w:pPr>
      <w:rPr>
        <w:rFonts w:ascii="Leelawadee UI" w:hAnsi="Leelawadee UI" w:cs="Leelawadee UI" w:hint="default"/>
      </w:rPr>
    </w:lvl>
    <w:lvl w:ilvl="1">
      <w:start w:val="1"/>
      <w:numFmt w:val="bullet"/>
      <w:lvlText w:val="o"/>
      <w:lvlJc w:val="left"/>
      <w:pPr>
        <w:tabs>
          <w:tab w:val="num" w:pos="0"/>
        </w:tabs>
        <w:ind w:left="2574" w:hanging="360"/>
      </w:pPr>
      <w:rPr>
        <w:rFonts w:ascii="Courier New" w:hAnsi="Courier New" w:cs="Courier New" w:hint="default"/>
      </w:rPr>
    </w:lvl>
    <w:lvl w:ilvl="2">
      <w:start w:val="1"/>
      <w:numFmt w:val="bullet"/>
      <w:lvlText w:val=""/>
      <w:lvlJc w:val="left"/>
      <w:pPr>
        <w:tabs>
          <w:tab w:val="num" w:pos="0"/>
        </w:tabs>
        <w:ind w:left="3294" w:hanging="360"/>
      </w:pPr>
      <w:rPr>
        <w:rFonts w:ascii="Wingdings" w:hAnsi="Wingdings" w:cs="Wingdings" w:hint="default"/>
      </w:rPr>
    </w:lvl>
    <w:lvl w:ilvl="3">
      <w:start w:val="1"/>
      <w:numFmt w:val="bullet"/>
      <w:lvlText w:val=""/>
      <w:lvlJc w:val="left"/>
      <w:pPr>
        <w:tabs>
          <w:tab w:val="num" w:pos="0"/>
        </w:tabs>
        <w:ind w:left="4014" w:hanging="360"/>
      </w:pPr>
      <w:rPr>
        <w:rFonts w:ascii="Symbol" w:hAnsi="Symbol" w:cs="Symbol" w:hint="default"/>
      </w:rPr>
    </w:lvl>
    <w:lvl w:ilvl="4">
      <w:start w:val="1"/>
      <w:numFmt w:val="bullet"/>
      <w:lvlText w:val="o"/>
      <w:lvlJc w:val="left"/>
      <w:pPr>
        <w:tabs>
          <w:tab w:val="num" w:pos="0"/>
        </w:tabs>
        <w:ind w:left="4734" w:hanging="360"/>
      </w:pPr>
      <w:rPr>
        <w:rFonts w:ascii="Courier New" w:hAnsi="Courier New" w:cs="Courier New" w:hint="default"/>
      </w:rPr>
    </w:lvl>
    <w:lvl w:ilvl="5">
      <w:start w:val="1"/>
      <w:numFmt w:val="bullet"/>
      <w:lvlText w:val=""/>
      <w:lvlJc w:val="left"/>
      <w:pPr>
        <w:tabs>
          <w:tab w:val="num" w:pos="0"/>
        </w:tabs>
        <w:ind w:left="5454" w:hanging="360"/>
      </w:pPr>
      <w:rPr>
        <w:rFonts w:ascii="Wingdings" w:hAnsi="Wingdings" w:cs="Wingdings" w:hint="default"/>
      </w:rPr>
    </w:lvl>
    <w:lvl w:ilvl="6">
      <w:start w:val="1"/>
      <w:numFmt w:val="bullet"/>
      <w:lvlText w:val=""/>
      <w:lvlJc w:val="left"/>
      <w:pPr>
        <w:tabs>
          <w:tab w:val="num" w:pos="0"/>
        </w:tabs>
        <w:ind w:left="6174" w:hanging="360"/>
      </w:pPr>
      <w:rPr>
        <w:rFonts w:ascii="Symbol" w:hAnsi="Symbol" w:cs="Symbol" w:hint="default"/>
      </w:rPr>
    </w:lvl>
    <w:lvl w:ilvl="7">
      <w:start w:val="1"/>
      <w:numFmt w:val="bullet"/>
      <w:lvlText w:val="o"/>
      <w:lvlJc w:val="left"/>
      <w:pPr>
        <w:tabs>
          <w:tab w:val="num" w:pos="0"/>
        </w:tabs>
        <w:ind w:left="6894" w:hanging="360"/>
      </w:pPr>
      <w:rPr>
        <w:rFonts w:ascii="Courier New" w:hAnsi="Courier New" w:cs="Courier New" w:hint="default"/>
      </w:rPr>
    </w:lvl>
    <w:lvl w:ilvl="8">
      <w:start w:val="1"/>
      <w:numFmt w:val="bullet"/>
      <w:lvlText w:val=""/>
      <w:lvlJc w:val="left"/>
      <w:pPr>
        <w:tabs>
          <w:tab w:val="num" w:pos="0"/>
        </w:tabs>
        <w:ind w:left="7614" w:hanging="360"/>
      </w:pPr>
      <w:rPr>
        <w:rFonts w:ascii="Wingdings" w:hAnsi="Wingdings" w:cs="Wingdings" w:hint="default"/>
      </w:rPr>
    </w:lvl>
  </w:abstractNum>
  <w:abstractNum w:abstractNumId="3" w15:restartNumberingAfterBreak="0">
    <w:nsid w:val="28C434C5"/>
    <w:multiLevelType w:val="multilevel"/>
    <w:tmpl w:val="7390C33C"/>
    <w:lvl w:ilvl="0">
      <w:start w:val="1"/>
      <w:numFmt w:val="bullet"/>
      <w:lvlText w:val="•"/>
      <w:lvlJc w:val="left"/>
      <w:pPr>
        <w:tabs>
          <w:tab w:val="num" w:pos="0"/>
        </w:tabs>
        <w:ind w:left="1353" w:hanging="360"/>
      </w:pPr>
      <w:rPr>
        <w:rFonts w:ascii="Leelawadee UI" w:hAnsi="Leelawadee UI" w:cs="Leelawadee UI" w:hint="default"/>
      </w:rPr>
    </w:lvl>
    <w:lvl w:ilvl="1">
      <w:start w:val="1"/>
      <w:numFmt w:val="bullet"/>
      <w:lvlText w:val="o"/>
      <w:lvlJc w:val="left"/>
      <w:pPr>
        <w:tabs>
          <w:tab w:val="num" w:pos="0"/>
        </w:tabs>
        <w:ind w:left="2073" w:hanging="360"/>
      </w:pPr>
      <w:rPr>
        <w:rFonts w:ascii="Courier New" w:hAnsi="Courier New" w:cs="Courier New" w:hint="default"/>
      </w:rPr>
    </w:lvl>
    <w:lvl w:ilvl="2">
      <w:start w:val="1"/>
      <w:numFmt w:val="bullet"/>
      <w:lvlText w:val=""/>
      <w:lvlJc w:val="left"/>
      <w:pPr>
        <w:tabs>
          <w:tab w:val="num" w:pos="0"/>
        </w:tabs>
        <w:ind w:left="2793" w:hanging="360"/>
      </w:pPr>
      <w:rPr>
        <w:rFonts w:ascii="Wingdings" w:hAnsi="Wingdings" w:cs="Wingdings" w:hint="default"/>
      </w:rPr>
    </w:lvl>
    <w:lvl w:ilvl="3">
      <w:start w:val="1"/>
      <w:numFmt w:val="bullet"/>
      <w:lvlText w:val=""/>
      <w:lvlJc w:val="left"/>
      <w:pPr>
        <w:tabs>
          <w:tab w:val="num" w:pos="0"/>
        </w:tabs>
        <w:ind w:left="3513" w:hanging="360"/>
      </w:pPr>
      <w:rPr>
        <w:rFonts w:ascii="Symbol" w:hAnsi="Symbol" w:cs="Symbol" w:hint="default"/>
      </w:rPr>
    </w:lvl>
    <w:lvl w:ilvl="4">
      <w:start w:val="1"/>
      <w:numFmt w:val="bullet"/>
      <w:lvlText w:val="o"/>
      <w:lvlJc w:val="left"/>
      <w:pPr>
        <w:tabs>
          <w:tab w:val="num" w:pos="0"/>
        </w:tabs>
        <w:ind w:left="4233" w:hanging="360"/>
      </w:pPr>
      <w:rPr>
        <w:rFonts w:ascii="Courier New" w:hAnsi="Courier New" w:cs="Courier New" w:hint="default"/>
      </w:rPr>
    </w:lvl>
    <w:lvl w:ilvl="5">
      <w:start w:val="1"/>
      <w:numFmt w:val="bullet"/>
      <w:lvlText w:val=""/>
      <w:lvlJc w:val="left"/>
      <w:pPr>
        <w:tabs>
          <w:tab w:val="num" w:pos="0"/>
        </w:tabs>
        <w:ind w:left="4953" w:hanging="360"/>
      </w:pPr>
      <w:rPr>
        <w:rFonts w:ascii="Wingdings" w:hAnsi="Wingdings" w:cs="Wingdings" w:hint="default"/>
      </w:rPr>
    </w:lvl>
    <w:lvl w:ilvl="6">
      <w:start w:val="1"/>
      <w:numFmt w:val="bullet"/>
      <w:lvlText w:val=""/>
      <w:lvlJc w:val="left"/>
      <w:pPr>
        <w:tabs>
          <w:tab w:val="num" w:pos="0"/>
        </w:tabs>
        <w:ind w:left="5673" w:hanging="360"/>
      </w:pPr>
      <w:rPr>
        <w:rFonts w:ascii="Symbol" w:hAnsi="Symbol" w:cs="Symbol" w:hint="default"/>
      </w:rPr>
    </w:lvl>
    <w:lvl w:ilvl="7">
      <w:start w:val="1"/>
      <w:numFmt w:val="bullet"/>
      <w:lvlText w:val="o"/>
      <w:lvlJc w:val="left"/>
      <w:pPr>
        <w:tabs>
          <w:tab w:val="num" w:pos="0"/>
        </w:tabs>
        <w:ind w:left="6393" w:hanging="360"/>
      </w:pPr>
      <w:rPr>
        <w:rFonts w:ascii="Courier New" w:hAnsi="Courier New" w:cs="Courier New" w:hint="default"/>
      </w:rPr>
    </w:lvl>
    <w:lvl w:ilvl="8">
      <w:start w:val="1"/>
      <w:numFmt w:val="bullet"/>
      <w:lvlText w:val=""/>
      <w:lvlJc w:val="left"/>
      <w:pPr>
        <w:tabs>
          <w:tab w:val="num" w:pos="0"/>
        </w:tabs>
        <w:ind w:left="7113" w:hanging="360"/>
      </w:pPr>
      <w:rPr>
        <w:rFonts w:ascii="Wingdings" w:hAnsi="Wingdings" w:cs="Wingdings" w:hint="default"/>
      </w:rPr>
    </w:lvl>
  </w:abstractNum>
  <w:abstractNum w:abstractNumId="4" w15:restartNumberingAfterBreak="0">
    <w:nsid w:val="3418333F"/>
    <w:multiLevelType w:val="multilevel"/>
    <w:tmpl w:val="48009358"/>
    <w:lvl w:ilvl="0">
      <w:start w:val="1"/>
      <w:numFmt w:val="decimal"/>
      <w:lvlText w:val="%1."/>
      <w:lvlJc w:val="left"/>
      <w:pPr>
        <w:tabs>
          <w:tab w:val="num" w:pos="0"/>
        </w:tabs>
        <w:ind w:left="1494" w:hanging="360"/>
      </w:pPr>
      <w:rPr>
        <w:b/>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5" w15:restartNumberingAfterBreak="0">
    <w:nsid w:val="45602A9B"/>
    <w:multiLevelType w:val="multilevel"/>
    <w:tmpl w:val="6728048C"/>
    <w:lvl w:ilvl="0">
      <w:start w:val="1"/>
      <w:numFmt w:val="lowerLetter"/>
      <w:lvlText w:val="%1)"/>
      <w:lvlJc w:val="left"/>
      <w:pPr>
        <w:tabs>
          <w:tab w:val="num" w:pos="0"/>
        </w:tabs>
        <w:ind w:left="1494" w:hanging="360"/>
      </w:pPr>
      <w:rPr>
        <w:b w:val="0"/>
        <w:i w:val="0"/>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6" w15:restartNumberingAfterBreak="0">
    <w:nsid w:val="483C6734"/>
    <w:multiLevelType w:val="multilevel"/>
    <w:tmpl w:val="1D022C0E"/>
    <w:lvl w:ilvl="0">
      <w:start w:val="1"/>
      <w:numFmt w:val="lowerLetter"/>
      <w:lvlText w:val="%1)"/>
      <w:lvlJc w:val="left"/>
      <w:pPr>
        <w:tabs>
          <w:tab w:val="num" w:pos="0"/>
        </w:tabs>
        <w:ind w:left="1494" w:hanging="360"/>
      </w:pPr>
      <w:rPr>
        <w:b w:val="0"/>
        <w:i w:val="0"/>
      </w:r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7" w15:restartNumberingAfterBreak="0">
    <w:nsid w:val="5B5920D7"/>
    <w:multiLevelType w:val="multilevel"/>
    <w:tmpl w:val="3A9E3C2C"/>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8" w15:restartNumberingAfterBreak="0">
    <w:nsid w:val="7CD11ED6"/>
    <w:multiLevelType w:val="multilevel"/>
    <w:tmpl w:val="54500ACA"/>
    <w:lvl w:ilvl="0">
      <w:start w:val="1"/>
      <w:numFmt w:val="decimal"/>
      <w:pStyle w:val="Numerada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635594481">
    <w:abstractNumId w:val="8"/>
  </w:num>
  <w:num w:numId="2" w16cid:durableId="299654340">
    <w:abstractNumId w:val="3"/>
  </w:num>
  <w:num w:numId="3" w16cid:durableId="1556965562">
    <w:abstractNumId w:val="2"/>
  </w:num>
  <w:num w:numId="4" w16cid:durableId="1894079248">
    <w:abstractNumId w:val="0"/>
  </w:num>
  <w:num w:numId="5" w16cid:durableId="739979605">
    <w:abstractNumId w:val="4"/>
  </w:num>
  <w:num w:numId="6" w16cid:durableId="1068504669">
    <w:abstractNumId w:val="7"/>
  </w:num>
  <w:num w:numId="7" w16cid:durableId="803473445">
    <w:abstractNumId w:val="6"/>
  </w:num>
  <w:num w:numId="8" w16cid:durableId="2129617773">
    <w:abstractNumId w:val="5"/>
  </w:num>
  <w:num w:numId="9" w16cid:durableId="1773016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878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49FD"/>
    <w:rsid w:val="00017430"/>
    <w:rsid w:val="00033790"/>
    <w:rsid w:val="00042173"/>
    <w:rsid w:val="000656F2"/>
    <w:rsid w:val="00065F66"/>
    <w:rsid w:val="0007403B"/>
    <w:rsid w:val="00090124"/>
    <w:rsid w:val="00094C25"/>
    <w:rsid w:val="000A6E65"/>
    <w:rsid w:val="000B06AC"/>
    <w:rsid w:val="000B7BDE"/>
    <w:rsid w:val="000E0C72"/>
    <w:rsid w:val="000E2335"/>
    <w:rsid w:val="000E3B73"/>
    <w:rsid w:val="000E4CAC"/>
    <w:rsid w:val="000F1802"/>
    <w:rsid w:val="0010072A"/>
    <w:rsid w:val="00120179"/>
    <w:rsid w:val="00131036"/>
    <w:rsid w:val="00144078"/>
    <w:rsid w:val="00166BE6"/>
    <w:rsid w:val="00172746"/>
    <w:rsid w:val="001B3428"/>
    <w:rsid w:val="001C2A9C"/>
    <w:rsid w:val="001E4123"/>
    <w:rsid w:val="001E48B1"/>
    <w:rsid w:val="001F49FD"/>
    <w:rsid w:val="0020356E"/>
    <w:rsid w:val="00212AB5"/>
    <w:rsid w:val="00230E77"/>
    <w:rsid w:val="00250D83"/>
    <w:rsid w:val="002657B9"/>
    <w:rsid w:val="00283616"/>
    <w:rsid w:val="002908B5"/>
    <w:rsid w:val="002B7090"/>
    <w:rsid w:val="002D6FFA"/>
    <w:rsid w:val="002F2718"/>
    <w:rsid w:val="00317C67"/>
    <w:rsid w:val="00321C24"/>
    <w:rsid w:val="003447B4"/>
    <w:rsid w:val="0035409F"/>
    <w:rsid w:val="0035612F"/>
    <w:rsid w:val="003617B4"/>
    <w:rsid w:val="00364DB7"/>
    <w:rsid w:val="00380905"/>
    <w:rsid w:val="00393CC4"/>
    <w:rsid w:val="003A1560"/>
    <w:rsid w:val="003B4C28"/>
    <w:rsid w:val="003C13F2"/>
    <w:rsid w:val="003C40D0"/>
    <w:rsid w:val="003F5C7C"/>
    <w:rsid w:val="00400761"/>
    <w:rsid w:val="0040168E"/>
    <w:rsid w:val="004133A6"/>
    <w:rsid w:val="0041386F"/>
    <w:rsid w:val="004419A5"/>
    <w:rsid w:val="00463785"/>
    <w:rsid w:val="00465D9C"/>
    <w:rsid w:val="00480EB1"/>
    <w:rsid w:val="004821E5"/>
    <w:rsid w:val="00482651"/>
    <w:rsid w:val="004A0930"/>
    <w:rsid w:val="004B2B0F"/>
    <w:rsid w:val="004C1B9F"/>
    <w:rsid w:val="004E6BCE"/>
    <w:rsid w:val="004F43E7"/>
    <w:rsid w:val="005121B2"/>
    <w:rsid w:val="0052458F"/>
    <w:rsid w:val="005378E1"/>
    <w:rsid w:val="00537EA9"/>
    <w:rsid w:val="00545B7C"/>
    <w:rsid w:val="005775A0"/>
    <w:rsid w:val="005A76AF"/>
    <w:rsid w:val="005B194F"/>
    <w:rsid w:val="005D61AB"/>
    <w:rsid w:val="00611419"/>
    <w:rsid w:val="006479C4"/>
    <w:rsid w:val="0065333B"/>
    <w:rsid w:val="00655FF0"/>
    <w:rsid w:val="00660D60"/>
    <w:rsid w:val="00665E7F"/>
    <w:rsid w:val="00667934"/>
    <w:rsid w:val="00685C68"/>
    <w:rsid w:val="00695875"/>
    <w:rsid w:val="006C6B1E"/>
    <w:rsid w:val="006D6A0A"/>
    <w:rsid w:val="006E33AD"/>
    <w:rsid w:val="00706239"/>
    <w:rsid w:val="007150F5"/>
    <w:rsid w:val="007342BB"/>
    <w:rsid w:val="007507C1"/>
    <w:rsid w:val="00786F70"/>
    <w:rsid w:val="007A6360"/>
    <w:rsid w:val="007B07CB"/>
    <w:rsid w:val="007C5D20"/>
    <w:rsid w:val="008026A7"/>
    <w:rsid w:val="00817B85"/>
    <w:rsid w:val="00833225"/>
    <w:rsid w:val="00852F3E"/>
    <w:rsid w:val="00853593"/>
    <w:rsid w:val="00865328"/>
    <w:rsid w:val="00885D01"/>
    <w:rsid w:val="00891A73"/>
    <w:rsid w:val="008A427F"/>
    <w:rsid w:val="008A76E8"/>
    <w:rsid w:val="008B2A8B"/>
    <w:rsid w:val="008C0FC7"/>
    <w:rsid w:val="008D3887"/>
    <w:rsid w:val="008D57AE"/>
    <w:rsid w:val="00904F64"/>
    <w:rsid w:val="00914DC5"/>
    <w:rsid w:val="009238A0"/>
    <w:rsid w:val="00926617"/>
    <w:rsid w:val="00943F8E"/>
    <w:rsid w:val="00961C0F"/>
    <w:rsid w:val="0097346E"/>
    <w:rsid w:val="00980BD7"/>
    <w:rsid w:val="00982256"/>
    <w:rsid w:val="0098281A"/>
    <w:rsid w:val="009B2024"/>
    <w:rsid w:val="009C1D8C"/>
    <w:rsid w:val="009D2863"/>
    <w:rsid w:val="009D4B6C"/>
    <w:rsid w:val="009E4107"/>
    <w:rsid w:val="009E74D6"/>
    <w:rsid w:val="009F2309"/>
    <w:rsid w:val="00A107B6"/>
    <w:rsid w:val="00A24395"/>
    <w:rsid w:val="00A24DC7"/>
    <w:rsid w:val="00A7030D"/>
    <w:rsid w:val="00AB20BA"/>
    <w:rsid w:val="00AB6533"/>
    <w:rsid w:val="00AD0EC0"/>
    <w:rsid w:val="00AD572E"/>
    <w:rsid w:val="00AE4D52"/>
    <w:rsid w:val="00AE687C"/>
    <w:rsid w:val="00B07116"/>
    <w:rsid w:val="00B14628"/>
    <w:rsid w:val="00B26C3B"/>
    <w:rsid w:val="00B35086"/>
    <w:rsid w:val="00B42966"/>
    <w:rsid w:val="00B539B8"/>
    <w:rsid w:val="00B810D0"/>
    <w:rsid w:val="00B86E6F"/>
    <w:rsid w:val="00B91A6A"/>
    <w:rsid w:val="00B93F90"/>
    <w:rsid w:val="00BA3418"/>
    <w:rsid w:val="00BC4FC1"/>
    <w:rsid w:val="00BD583D"/>
    <w:rsid w:val="00BF6888"/>
    <w:rsid w:val="00C14FD3"/>
    <w:rsid w:val="00C231F8"/>
    <w:rsid w:val="00C25CA0"/>
    <w:rsid w:val="00C5160C"/>
    <w:rsid w:val="00C5190D"/>
    <w:rsid w:val="00C74208"/>
    <w:rsid w:val="00C8155D"/>
    <w:rsid w:val="00C840E9"/>
    <w:rsid w:val="00C9384F"/>
    <w:rsid w:val="00CA6E54"/>
    <w:rsid w:val="00CD15A8"/>
    <w:rsid w:val="00CE4E69"/>
    <w:rsid w:val="00D012C3"/>
    <w:rsid w:val="00D171DB"/>
    <w:rsid w:val="00D50D5C"/>
    <w:rsid w:val="00D61B80"/>
    <w:rsid w:val="00D74851"/>
    <w:rsid w:val="00DB49BF"/>
    <w:rsid w:val="00DC2D13"/>
    <w:rsid w:val="00DC6EC2"/>
    <w:rsid w:val="00DD2F4A"/>
    <w:rsid w:val="00DE7884"/>
    <w:rsid w:val="00E00EAB"/>
    <w:rsid w:val="00E23F06"/>
    <w:rsid w:val="00E25EBD"/>
    <w:rsid w:val="00E42483"/>
    <w:rsid w:val="00E73164"/>
    <w:rsid w:val="00E87B8B"/>
    <w:rsid w:val="00E97F05"/>
    <w:rsid w:val="00EC5EDE"/>
    <w:rsid w:val="00ED1114"/>
    <w:rsid w:val="00EF7DEA"/>
    <w:rsid w:val="00F06716"/>
    <w:rsid w:val="00F40D34"/>
    <w:rsid w:val="00F46AEE"/>
    <w:rsid w:val="00F616AF"/>
    <w:rsid w:val="00F65B3D"/>
    <w:rsid w:val="00F7325E"/>
    <w:rsid w:val="00FA1E66"/>
    <w:rsid w:val="00FB217F"/>
    <w:rsid w:val="00FB773D"/>
    <w:rsid w:val="00FC4E86"/>
    <w:rsid w:val="00FD2A10"/>
    <w:rsid w:val="00FE41E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2B2E0"/>
  <w15:docId w15:val="{AFCD4E7B-1750-48EA-976E-B63D2A76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134"/>
    <w:pPr>
      <w:spacing w:line="360" w:lineRule="auto"/>
      <w:ind w:firstLine="1134"/>
      <w:jc w:val="both"/>
    </w:pPr>
    <w:rPr>
      <w:sz w:val="24"/>
    </w:rPr>
  </w:style>
  <w:style w:type="paragraph" w:styleId="Ttulo1">
    <w:name w:val="heading 1"/>
    <w:basedOn w:val="Normal"/>
    <w:next w:val="Normal"/>
    <w:link w:val="Ttulo1Char"/>
    <w:autoRedefine/>
    <w:uiPriority w:val="9"/>
    <w:qFormat/>
    <w:rsid w:val="000A6E65"/>
    <w:pPr>
      <w:keepNext/>
      <w:keepLines/>
      <w:tabs>
        <w:tab w:val="left" w:pos="0"/>
        <w:tab w:val="left" w:pos="426"/>
        <w:tab w:val="left" w:pos="709"/>
        <w:tab w:val="left" w:pos="851"/>
        <w:tab w:val="left" w:pos="1701"/>
        <w:tab w:val="left" w:pos="3360"/>
      </w:tabs>
      <w:spacing w:before="240" w:after="240" w:line="240" w:lineRule="auto"/>
      <w:ind w:firstLine="0"/>
      <w:outlineLvl w:val="0"/>
    </w:pPr>
    <w:rPr>
      <w:rFonts w:asciiTheme="majorHAnsi" w:eastAsia="Calibri" w:hAnsiTheme="majorHAnsi" w:cstheme="majorHAnsi"/>
      <w:b/>
      <w:bCs/>
      <w:szCs w:val="24"/>
      <w:shd w:val="clear" w:color="auto" w:fill="FFFFFF"/>
      <w:lang w:eastAsia="en-US"/>
    </w:rPr>
  </w:style>
  <w:style w:type="paragraph" w:styleId="Ttulo2">
    <w:name w:val="heading 2"/>
    <w:basedOn w:val="Normal"/>
    <w:next w:val="Normal"/>
    <w:link w:val="Ttulo2Char"/>
    <w:uiPriority w:val="9"/>
    <w:unhideWhenUsed/>
    <w:qFormat/>
    <w:rsid w:val="00D155D7"/>
    <w:pPr>
      <w:keepNext/>
      <w:keepLines/>
      <w:tabs>
        <w:tab w:val="left" w:pos="-709"/>
        <w:tab w:val="left" w:pos="709"/>
        <w:tab w:val="left" w:pos="851"/>
        <w:tab w:val="left" w:pos="1134"/>
      </w:tabs>
      <w:spacing w:before="240" w:after="240" w:line="240" w:lineRule="auto"/>
      <w:ind w:firstLine="0"/>
      <w:jc w:val="left"/>
      <w:outlineLvl w:val="1"/>
    </w:pPr>
    <w:rPr>
      <w:rFonts w:asciiTheme="majorHAnsi" w:eastAsia="Calibri" w:hAnsiTheme="majorHAnsi" w:cstheme="majorBidi"/>
      <w:b/>
      <w:bCs/>
      <w:szCs w:val="28"/>
      <w:shd w:val="clear" w:color="auto" w:fill="FFFFFF"/>
      <w:lang w:eastAsia="en-US"/>
    </w:rPr>
  </w:style>
  <w:style w:type="paragraph" w:styleId="Ttulo3">
    <w:name w:val="heading 3"/>
    <w:basedOn w:val="Normal"/>
    <w:next w:val="Normal"/>
    <w:link w:val="Ttulo3Char"/>
    <w:autoRedefine/>
    <w:uiPriority w:val="9"/>
    <w:unhideWhenUsed/>
    <w:qFormat/>
    <w:rsid w:val="000A6E65"/>
    <w:pPr>
      <w:keepNext/>
      <w:keepLines/>
      <w:shd w:val="clear" w:color="auto" w:fill="FFFFFF"/>
      <w:tabs>
        <w:tab w:val="left" w:pos="284"/>
        <w:tab w:val="left" w:pos="567"/>
        <w:tab w:val="left" w:pos="709"/>
        <w:tab w:val="left" w:pos="851"/>
        <w:tab w:val="left" w:pos="1134"/>
        <w:tab w:val="left" w:pos="1276"/>
        <w:tab w:val="left" w:pos="1985"/>
        <w:tab w:val="left" w:pos="3402"/>
        <w:tab w:val="left" w:pos="3969"/>
      </w:tabs>
      <w:spacing w:before="240" w:after="240" w:line="240" w:lineRule="auto"/>
      <w:ind w:firstLine="0"/>
      <w:outlineLvl w:val="2"/>
    </w:pPr>
    <w:rPr>
      <w:rFonts w:ascii="Times New Roman" w:eastAsia="Calibri" w:hAnsi="Times New Roman" w:cs="Times New Roman"/>
      <w:b/>
      <w:color w:val="333333"/>
      <w:szCs w:val="24"/>
      <w:shd w:val="clear" w:color="auto" w:fill="FFFFFF"/>
      <w:lang w:eastAsia="en-US"/>
    </w:rPr>
  </w:style>
  <w:style w:type="paragraph" w:styleId="Ttulo4">
    <w:name w:val="heading 4"/>
    <w:basedOn w:val="Normal"/>
    <w:next w:val="Normal"/>
    <w:link w:val="Ttulo4Char"/>
    <w:uiPriority w:val="9"/>
    <w:unhideWhenUsed/>
    <w:qFormat/>
    <w:rsid w:val="0017184A"/>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unhideWhenUsed/>
    <w:qFormat/>
    <w:rsid w:val="0017184A"/>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unhideWhenUsed/>
    <w:qFormat/>
    <w:rsid w:val="0017184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qFormat/>
    <w:rsid w:val="003F3B06"/>
    <w:rPr>
      <w:rFonts w:ascii="Times New Roman" w:hAnsi="Times New Roman"/>
      <w:sz w:val="20"/>
      <w:szCs w:val="20"/>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9F43E7"/>
    <w:rPr>
      <w:vertAlign w:val="superscript"/>
    </w:rPr>
  </w:style>
  <w:style w:type="character" w:customStyle="1" w:styleId="Ttulo2Char">
    <w:name w:val="Título 2 Char"/>
    <w:basedOn w:val="Fontepargpadro"/>
    <w:link w:val="Ttulo2"/>
    <w:uiPriority w:val="9"/>
    <w:qFormat/>
    <w:rsid w:val="00D155D7"/>
    <w:rPr>
      <w:rFonts w:asciiTheme="majorHAnsi" w:eastAsia="Calibri" w:hAnsiTheme="majorHAnsi" w:cstheme="majorBidi"/>
      <w:b/>
      <w:bCs/>
      <w:sz w:val="24"/>
      <w:szCs w:val="28"/>
      <w:lang w:eastAsia="en-US"/>
    </w:rPr>
  </w:style>
  <w:style w:type="character" w:customStyle="1" w:styleId="Ttulo3Char">
    <w:name w:val="Título 3 Char"/>
    <w:basedOn w:val="Fontepargpadro"/>
    <w:link w:val="Ttulo3"/>
    <w:uiPriority w:val="9"/>
    <w:qFormat/>
    <w:rsid w:val="000A6E65"/>
    <w:rPr>
      <w:rFonts w:ascii="Times New Roman" w:eastAsia="Calibri" w:hAnsi="Times New Roman" w:cs="Times New Roman"/>
      <w:b/>
      <w:color w:val="333333"/>
      <w:sz w:val="24"/>
      <w:szCs w:val="24"/>
      <w:shd w:val="clear" w:color="auto" w:fill="FFFFFF"/>
      <w:lang w:eastAsia="en-US"/>
    </w:rPr>
  </w:style>
  <w:style w:type="character" w:styleId="Hyperlink">
    <w:name w:val="Hyperlink"/>
    <w:basedOn w:val="Fontepargpadro"/>
    <w:uiPriority w:val="99"/>
    <w:unhideWhenUsed/>
    <w:rsid w:val="002877A4"/>
    <w:rPr>
      <w:color w:val="auto"/>
      <w:u w:val="none"/>
    </w:rPr>
  </w:style>
  <w:style w:type="character" w:styleId="RefernciaIntensa">
    <w:name w:val="Intense Reference"/>
    <w:basedOn w:val="Fontepargpadro"/>
    <w:uiPriority w:val="32"/>
    <w:qFormat/>
    <w:rsid w:val="001A4BEC"/>
    <w:rPr>
      <w:b/>
      <w:bCs/>
      <w:smallCaps/>
      <w:color w:val="C0504D" w:themeColor="accent2"/>
      <w:spacing w:val="5"/>
      <w:u w:val="single"/>
    </w:rPr>
  </w:style>
  <w:style w:type="character" w:styleId="RefernciaSutil">
    <w:name w:val="Subtle Reference"/>
    <w:basedOn w:val="Fontepargpadro"/>
    <w:uiPriority w:val="31"/>
    <w:qFormat/>
    <w:rsid w:val="001A4BEC"/>
    <w:rPr>
      <w:smallCaps/>
      <w:color w:val="C0504D" w:themeColor="accent2"/>
      <w:u w:val="single"/>
    </w:rPr>
  </w:style>
  <w:style w:type="character" w:customStyle="1" w:styleId="apple-converted-space">
    <w:name w:val="apple-converted-space"/>
    <w:basedOn w:val="Fontepargpadro"/>
    <w:qFormat/>
    <w:rsid w:val="002524B0"/>
  </w:style>
  <w:style w:type="character" w:customStyle="1" w:styleId="normal-c-c0">
    <w:name w:val="normal-c-c0"/>
    <w:basedOn w:val="Fontepargpadro"/>
    <w:qFormat/>
    <w:rsid w:val="002524B0"/>
  </w:style>
  <w:style w:type="character" w:customStyle="1" w:styleId="normal-c-c2">
    <w:name w:val="normal-c-c2"/>
    <w:basedOn w:val="Fontepargpadro"/>
    <w:qFormat/>
    <w:rsid w:val="002524B0"/>
  </w:style>
  <w:style w:type="character" w:customStyle="1" w:styleId="normal-c-c1">
    <w:name w:val="normal-c-c1"/>
    <w:basedOn w:val="Fontepargpadro"/>
    <w:qFormat/>
    <w:rsid w:val="002524B0"/>
  </w:style>
  <w:style w:type="character" w:customStyle="1" w:styleId="TextodebaloChar">
    <w:name w:val="Texto de balão Char"/>
    <w:basedOn w:val="Fontepargpadro"/>
    <w:link w:val="Textodebalo"/>
    <w:uiPriority w:val="99"/>
    <w:semiHidden/>
    <w:qFormat/>
    <w:rsid w:val="00152C98"/>
    <w:rPr>
      <w:rFonts w:ascii="Tahoma" w:hAnsi="Tahoma" w:cs="Tahoma"/>
      <w:sz w:val="16"/>
      <w:szCs w:val="16"/>
    </w:rPr>
  </w:style>
  <w:style w:type="character" w:styleId="nfase">
    <w:name w:val="Emphasis"/>
    <w:basedOn w:val="Fontepargpadro"/>
    <w:uiPriority w:val="20"/>
    <w:qFormat/>
    <w:rsid w:val="003D22C1"/>
    <w:rPr>
      <w:i/>
      <w:iCs/>
    </w:rPr>
  </w:style>
  <w:style w:type="character" w:customStyle="1" w:styleId="Ttulo1Char">
    <w:name w:val="Título 1 Char"/>
    <w:basedOn w:val="Fontepargpadro"/>
    <w:link w:val="Ttulo1"/>
    <w:uiPriority w:val="9"/>
    <w:qFormat/>
    <w:rsid w:val="000A6E65"/>
    <w:rPr>
      <w:rFonts w:asciiTheme="majorHAnsi" w:eastAsia="Calibri" w:hAnsiTheme="majorHAnsi" w:cstheme="majorHAnsi"/>
      <w:b/>
      <w:bCs/>
      <w:sz w:val="24"/>
      <w:szCs w:val="24"/>
      <w:lang w:eastAsia="en-US"/>
    </w:rPr>
  </w:style>
  <w:style w:type="character" w:customStyle="1" w:styleId="a-size-extra-large">
    <w:name w:val="a-size-extra-large"/>
    <w:basedOn w:val="Fontepargpadro"/>
    <w:qFormat/>
    <w:rsid w:val="003A6B37"/>
  </w:style>
  <w:style w:type="character" w:customStyle="1" w:styleId="Pr-formataoHTMLChar">
    <w:name w:val="Pré-formatação HTML Char"/>
    <w:basedOn w:val="Fontepargpadro"/>
    <w:link w:val="Pr-formataoHTML"/>
    <w:uiPriority w:val="99"/>
    <w:qFormat/>
    <w:rsid w:val="007A27B1"/>
    <w:rPr>
      <w:rFonts w:ascii="Courier New" w:eastAsia="Times New Roman" w:hAnsi="Courier New" w:cs="Courier New"/>
      <w:sz w:val="20"/>
      <w:szCs w:val="20"/>
      <w:lang w:eastAsia="pt-BR"/>
    </w:rPr>
  </w:style>
  <w:style w:type="character" w:customStyle="1" w:styleId="mh555">
    <w:name w:val="mh555"/>
    <w:basedOn w:val="Fontepargpadro"/>
    <w:qFormat/>
    <w:rsid w:val="00217432"/>
  </w:style>
  <w:style w:type="character" w:customStyle="1" w:styleId="CabealhoChar">
    <w:name w:val="Cabeçalho Char"/>
    <w:basedOn w:val="Fontepargpadro"/>
    <w:link w:val="Cabealho"/>
    <w:uiPriority w:val="99"/>
    <w:qFormat/>
    <w:rsid w:val="00CC3AEB"/>
  </w:style>
  <w:style w:type="character" w:customStyle="1" w:styleId="RodapChar">
    <w:name w:val="Rodapé Char"/>
    <w:basedOn w:val="Fontepargpadro"/>
    <w:link w:val="Rodap"/>
    <w:uiPriority w:val="99"/>
    <w:qFormat/>
    <w:rsid w:val="00CC3AEB"/>
  </w:style>
  <w:style w:type="character" w:styleId="HiperlinkVisitado">
    <w:name w:val="FollowedHyperlink"/>
    <w:basedOn w:val="Fontepargpadro"/>
    <w:uiPriority w:val="99"/>
    <w:semiHidden/>
    <w:unhideWhenUsed/>
    <w:rsid w:val="00DB4EF2"/>
    <w:rPr>
      <w:color w:val="800080" w:themeColor="followedHyperlink"/>
      <w:u w:val="single"/>
    </w:rPr>
  </w:style>
  <w:style w:type="character" w:styleId="CitaoHTML">
    <w:name w:val="HTML Cite"/>
    <w:basedOn w:val="Fontepargpadro"/>
    <w:uiPriority w:val="99"/>
    <w:semiHidden/>
    <w:unhideWhenUsed/>
    <w:qFormat/>
    <w:rsid w:val="00564156"/>
    <w:rPr>
      <w:i/>
      <w:iCs/>
    </w:rPr>
  </w:style>
  <w:style w:type="character" w:customStyle="1" w:styleId="z3988">
    <w:name w:val="z3988"/>
    <w:basedOn w:val="Fontepargpadro"/>
    <w:qFormat/>
    <w:rsid w:val="00564156"/>
  </w:style>
  <w:style w:type="character" w:customStyle="1" w:styleId="NotadeRodapChar">
    <w:name w:val="Nota de Rodapé Char"/>
    <w:link w:val="NotadeRodap"/>
    <w:qFormat/>
    <w:rsid w:val="00323C6A"/>
    <w:rPr>
      <w:rFonts w:ascii="Times New Roman" w:eastAsia="Calibri" w:hAnsi="Times New Roman" w:cs="Times New Roman"/>
      <w:sz w:val="20"/>
      <w:szCs w:val="20"/>
      <w:lang w:eastAsia="en-US"/>
    </w:rPr>
  </w:style>
  <w:style w:type="character" w:customStyle="1" w:styleId="authors">
    <w:name w:val="authors"/>
    <w:basedOn w:val="Fontepargpadro"/>
    <w:qFormat/>
    <w:rsid w:val="00423443"/>
  </w:style>
  <w:style w:type="character" w:customStyle="1" w:styleId="publicationyear">
    <w:name w:val="publicationyear"/>
    <w:basedOn w:val="Fontepargpadro"/>
    <w:qFormat/>
    <w:rsid w:val="00423443"/>
  </w:style>
  <w:style w:type="character" w:customStyle="1" w:styleId="Ttulo10">
    <w:name w:val="Título1"/>
    <w:basedOn w:val="Fontepargpadro"/>
    <w:qFormat/>
    <w:rsid w:val="00423443"/>
  </w:style>
  <w:style w:type="character" w:customStyle="1" w:styleId="publish-place">
    <w:name w:val="publish-place"/>
    <w:basedOn w:val="Fontepargpadro"/>
    <w:qFormat/>
    <w:rsid w:val="00423443"/>
  </w:style>
  <w:style w:type="character" w:customStyle="1" w:styleId="publisher">
    <w:name w:val="publisher"/>
    <w:basedOn w:val="Fontepargpadro"/>
    <w:qFormat/>
    <w:rsid w:val="00423443"/>
  </w:style>
  <w:style w:type="character" w:customStyle="1" w:styleId="Ttulo4Char">
    <w:name w:val="Título 4 Char"/>
    <w:basedOn w:val="Fontepargpadro"/>
    <w:link w:val="Ttulo4"/>
    <w:uiPriority w:val="9"/>
    <w:qFormat/>
    <w:rsid w:val="0017184A"/>
    <w:rPr>
      <w:rFonts w:asciiTheme="majorHAnsi" w:eastAsiaTheme="majorEastAsia" w:hAnsiTheme="majorHAnsi" w:cstheme="majorBidi"/>
      <w:b/>
      <w:bCs/>
      <w:i/>
      <w:iCs/>
      <w:color w:val="4F81BD" w:themeColor="accent1"/>
      <w:sz w:val="24"/>
    </w:rPr>
  </w:style>
  <w:style w:type="character" w:customStyle="1" w:styleId="Ttulo5Char">
    <w:name w:val="Título 5 Char"/>
    <w:basedOn w:val="Fontepargpadro"/>
    <w:link w:val="Ttulo5"/>
    <w:uiPriority w:val="9"/>
    <w:qFormat/>
    <w:rsid w:val="0017184A"/>
    <w:rPr>
      <w:rFonts w:asciiTheme="majorHAnsi" w:eastAsiaTheme="majorEastAsia" w:hAnsiTheme="majorHAnsi" w:cstheme="majorBidi"/>
      <w:color w:val="243F60" w:themeColor="accent1" w:themeShade="7F"/>
      <w:sz w:val="24"/>
    </w:rPr>
  </w:style>
  <w:style w:type="character" w:customStyle="1" w:styleId="Ttulo6Char">
    <w:name w:val="Título 6 Char"/>
    <w:basedOn w:val="Fontepargpadro"/>
    <w:link w:val="Ttulo6"/>
    <w:uiPriority w:val="9"/>
    <w:qFormat/>
    <w:rsid w:val="0017184A"/>
    <w:rPr>
      <w:rFonts w:asciiTheme="majorHAnsi" w:eastAsiaTheme="majorEastAsia" w:hAnsiTheme="majorHAnsi" w:cstheme="majorBidi"/>
      <w:i/>
      <w:iCs/>
      <w:color w:val="243F60" w:themeColor="accent1" w:themeShade="7F"/>
      <w:sz w:val="24"/>
    </w:rPr>
  </w:style>
  <w:style w:type="character" w:customStyle="1" w:styleId="SaudaoChar">
    <w:name w:val="Saudação Char"/>
    <w:basedOn w:val="Fontepargpadro"/>
    <w:link w:val="Saudao"/>
    <w:uiPriority w:val="99"/>
    <w:qFormat/>
    <w:rsid w:val="0017184A"/>
    <w:rPr>
      <w:sz w:val="24"/>
    </w:rPr>
  </w:style>
  <w:style w:type="character" w:customStyle="1" w:styleId="TtuloChar">
    <w:name w:val="Título Char"/>
    <w:basedOn w:val="Fontepargpadro"/>
    <w:link w:val="Ttulo"/>
    <w:uiPriority w:val="10"/>
    <w:qFormat/>
    <w:rsid w:val="0017184A"/>
    <w:rPr>
      <w:rFonts w:asciiTheme="majorHAnsi" w:eastAsiaTheme="majorEastAsia" w:hAnsiTheme="majorHAnsi" w:cstheme="majorBidi"/>
      <w:color w:val="17365D" w:themeColor="text2" w:themeShade="BF"/>
      <w:spacing w:val="5"/>
      <w:kern w:val="2"/>
      <w:sz w:val="52"/>
      <w:szCs w:val="52"/>
    </w:rPr>
  </w:style>
  <w:style w:type="character" w:customStyle="1" w:styleId="CorpodetextoChar">
    <w:name w:val="Corpo de texto Char"/>
    <w:basedOn w:val="Fontepargpadro"/>
    <w:link w:val="Corpodetexto"/>
    <w:uiPriority w:val="99"/>
    <w:qFormat/>
    <w:rsid w:val="0017184A"/>
    <w:rPr>
      <w:sz w:val="24"/>
    </w:rPr>
  </w:style>
  <w:style w:type="character" w:customStyle="1" w:styleId="RecuodecorpodetextoChar">
    <w:name w:val="Recuo de corpo de texto Char"/>
    <w:basedOn w:val="Fontepargpadro"/>
    <w:uiPriority w:val="99"/>
    <w:qFormat/>
    <w:rsid w:val="0017184A"/>
    <w:rPr>
      <w:sz w:val="24"/>
    </w:rPr>
  </w:style>
  <w:style w:type="character" w:customStyle="1" w:styleId="SubttuloChar">
    <w:name w:val="Subtítulo Char"/>
    <w:basedOn w:val="Fontepargpadro"/>
    <w:link w:val="Subttulo"/>
    <w:uiPriority w:val="11"/>
    <w:qFormat/>
    <w:rsid w:val="0017184A"/>
    <w:rPr>
      <w:rFonts w:asciiTheme="majorHAnsi" w:eastAsiaTheme="majorEastAsia" w:hAnsiTheme="majorHAnsi" w:cstheme="majorBidi"/>
      <w:i/>
      <w:iCs/>
      <w:color w:val="4F81BD" w:themeColor="accent1"/>
      <w:spacing w:val="15"/>
      <w:sz w:val="24"/>
      <w:szCs w:val="24"/>
    </w:rPr>
  </w:style>
  <w:style w:type="character" w:customStyle="1" w:styleId="RecuodecorpodetextoChar1">
    <w:name w:val="Recuo de corpo de texto Char1"/>
    <w:basedOn w:val="CorpodetextoChar"/>
    <w:link w:val="Recuodecorpodetexto"/>
    <w:uiPriority w:val="99"/>
    <w:qFormat/>
    <w:rsid w:val="0017184A"/>
    <w:rPr>
      <w:sz w:val="24"/>
    </w:rPr>
  </w:style>
  <w:style w:type="character" w:customStyle="1" w:styleId="Primeirorecuodecorpodetexto2Char">
    <w:name w:val="Primeiro recuo de corpo de texto 2 Char"/>
    <w:basedOn w:val="RecuodecorpodetextoChar"/>
    <w:link w:val="Primeirorecuodecorpodetexto2"/>
    <w:uiPriority w:val="99"/>
    <w:qFormat/>
    <w:rsid w:val="0017184A"/>
    <w:rPr>
      <w:sz w:val="24"/>
    </w:rPr>
  </w:style>
  <w:style w:type="character" w:customStyle="1" w:styleId="down1">
    <w:name w:val="down1"/>
    <w:basedOn w:val="Fontepargpadro"/>
    <w:qFormat/>
    <w:rsid w:val="00426505"/>
  </w:style>
  <w:style w:type="character" w:customStyle="1" w:styleId="TextodenotaderodapChar1">
    <w:name w:val="Texto de nota de rodapé Char1"/>
    <w:basedOn w:val="Fontepargpadro"/>
    <w:uiPriority w:val="99"/>
    <w:semiHidden/>
    <w:qFormat/>
    <w:rsid w:val="003B0CDC"/>
    <w:rPr>
      <w:sz w:val="20"/>
      <w:szCs w:val="20"/>
    </w:rPr>
  </w:style>
  <w:style w:type="character" w:styleId="Refdecomentrio">
    <w:name w:val="annotation reference"/>
    <w:basedOn w:val="Fontepargpadro"/>
    <w:uiPriority w:val="99"/>
    <w:semiHidden/>
    <w:unhideWhenUsed/>
    <w:qFormat/>
    <w:rsid w:val="00945407"/>
    <w:rPr>
      <w:sz w:val="16"/>
      <w:szCs w:val="16"/>
    </w:rPr>
  </w:style>
  <w:style w:type="character" w:customStyle="1" w:styleId="TextodecomentrioChar">
    <w:name w:val="Texto de comentário Char"/>
    <w:basedOn w:val="Fontepargpadro"/>
    <w:link w:val="Textodecomentrio"/>
    <w:uiPriority w:val="99"/>
    <w:semiHidden/>
    <w:qFormat/>
    <w:rsid w:val="00945407"/>
    <w:rPr>
      <w:sz w:val="20"/>
      <w:szCs w:val="20"/>
    </w:rPr>
  </w:style>
  <w:style w:type="character" w:customStyle="1" w:styleId="AssuntodocomentrioChar">
    <w:name w:val="Assunto do comentário Char"/>
    <w:basedOn w:val="TextodecomentrioChar"/>
    <w:link w:val="Assuntodocomentrio"/>
    <w:uiPriority w:val="99"/>
    <w:semiHidden/>
    <w:qFormat/>
    <w:rsid w:val="00945407"/>
    <w:rPr>
      <w:b/>
      <w:bCs/>
      <w:sz w:val="20"/>
      <w:szCs w:val="20"/>
    </w:rPr>
  </w:style>
  <w:style w:type="character" w:customStyle="1" w:styleId="Vnculodendice">
    <w:name w:val="Vínculo de índice"/>
    <w:qFormat/>
  </w:style>
  <w:style w:type="character" w:customStyle="1" w:styleId="Caracteresdenotaderodap">
    <w:name w:val="Caracteres de nota de rodapé"/>
    <w:qFormat/>
  </w:style>
  <w:style w:type="character" w:styleId="Refdenotadefim">
    <w:name w:val="endnote reference"/>
    <w:rPr>
      <w:vertAlign w:val="superscript"/>
    </w:rPr>
  </w:style>
  <w:style w:type="character" w:customStyle="1" w:styleId="EndnoteCharacters">
    <w:name w:val="Endnote Characters"/>
    <w:qFormat/>
    <w:rPr>
      <w:vertAlign w:val="superscript"/>
    </w:rPr>
  </w:style>
  <w:style w:type="character" w:customStyle="1" w:styleId="Caracteresdenotadefim">
    <w:name w:val="Caracteres de nota de fim"/>
    <w:qFormat/>
  </w:style>
  <w:style w:type="paragraph" w:styleId="Ttulo">
    <w:name w:val="Title"/>
    <w:basedOn w:val="Normal"/>
    <w:next w:val="Corpodetexto"/>
    <w:link w:val="TtuloChar"/>
    <w:uiPriority w:val="10"/>
    <w:qFormat/>
    <w:rsid w:val="0017184A"/>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odetexto">
    <w:name w:val="Body Text"/>
    <w:basedOn w:val="Normal"/>
    <w:link w:val="CorpodetextoChar"/>
    <w:uiPriority w:val="99"/>
    <w:unhideWhenUsed/>
    <w:rsid w:val="0017184A"/>
    <w:pPr>
      <w:spacing w:after="120"/>
    </w:pPr>
  </w:style>
  <w:style w:type="paragraph" w:styleId="Lista">
    <w:name w:val="List"/>
    <w:basedOn w:val="Normal"/>
    <w:uiPriority w:val="99"/>
    <w:unhideWhenUsed/>
    <w:rsid w:val="0017184A"/>
    <w:pPr>
      <w:ind w:left="283" w:hanging="283"/>
      <w:contextualSpacing/>
    </w:pPr>
  </w:style>
  <w:style w:type="paragraph" w:styleId="Legenda">
    <w:name w:val="caption"/>
    <w:basedOn w:val="Normal"/>
    <w:qFormat/>
    <w:pPr>
      <w:suppressLineNumbers/>
      <w:spacing w:before="120" w:after="120"/>
    </w:pPr>
    <w:rPr>
      <w:rFonts w:cs="Arial"/>
      <w:i/>
      <w:iCs/>
      <w:szCs w:val="24"/>
    </w:rPr>
  </w:style>
  <w:style w:type="paragraph" w:customStyle="1" w:styleId="ndice">
    <w:name w:val="Índice"/>
    <w:basedOn w:val="Normal"/>
    <w:qFormat/>
    <w:pPr>
      <w:suppressLineNumbers/>
    </w:pPr>
    <w:rPr>
      <w:rFonts w:cs="Arial"/>
    </w:rPr>
  </w:style>
  <w:style w:type="paragraph" w:styleId="Textodenotaderodap">
    <w:name w:val="footnote text"/>
    <w:basedOn w:val="Normal"/>
    <w:link w:val="TextodenotaderodapChar"/>
    <w:uiPriority w:val="99"/>
    <w:unhideWhenUsed/>
    <w:qFormat/>
    <w:rsid w:val="003F3B06"/>
    <w:pPr>
      <w:spacing w:line="240" w:lineRule="auto"/>
    </w:pPr>
    <w:rPr>
      <w:rFonts w:ascii="Times New Roman" w:hAnsi="Times New Roman"/>
      <w:sz w:val="20"/>
      <w:szCs w:val="20"/>
    </w:rPr>
  </w:style>
  <w:style w:type="paragraph" w:customStyle="1" w:styleId="anppomcitacaoBloco">
    <w:name w:val="anppom_citacaoBloco"/>
    <w:next w:val="Normal"/>
    <w:autoRedefine/>
    <w:qFormat/>
    <w:rsid w:val="003C4563"/>
    <w:pPr>
      <w:ind w:left="2268" w:right="11" w:firstLine="1134"/>
      <w:jc w:val="both"/>
    </w:pPr>
    <w:rPr>
      <w:rFonts w:ascii="Times New Roman" w:eastAsia="Times" w:hAnsi="Times New Roman" w:cs="Times New Roman"/>
      <w:color w:val="000000"/>
      <w:sz w:val="20"/>
      <w:szCs w:val="20"/>
    </w:rPr>
  </w:style>
  <w:style w:type="paragraph" w:styleId="SemEspaamento">
    <w:name w:val="No Spacing"/>
    <w:uiPriority w:val="1"/>
    <w:qFormat/>
    <w:rsid w:val="00290590"/>
    <w:pPr>
      <w:ind w:firstLine="1134"/>
      <w:jc w:val="both"/>
    </w:pPr>
  </w:style>
  <w:style w:type="paragraph" w:styleId="PargrafodaLista">
    <w:name w:val="List Paragraph"/>
    <w:basedOn w:val="Normal"/>
    <w:uiPriority w:val="34"/>
    <w:qFormat/>
    <w:rsid w:val="000A4DBF"/>
    <w:pPr>
      <w:ind w:left="720"/>
      <w:contextualSpacing/>
    </w:pPr>
  </w:style>
  <w:style w:type="paragraph" w:customStyle="1" w:styleId="normal-p">
    <w:name w:val="normal-p"/>
    <w:basedOn w:val="Normal"/>
    <w:qFormat/>
    <w:rsid w:val="002524B0"/>
    <w:pPr>
      <w:spacing w:beforeAutospacing="1" w:afterAutospacing="1" w:line="240" w:lineRule="auto"/>
    </w:pPr>
    <w:rPr>
      <w:rFonts w:ascii="Times New Roman" w:eastAsia="Times New Roman" w:hAnsi="Times New Roman" w:cs="Times New Roman"/>
      <w:szCs w:val="24"/>
    </w:rPr>
  </w:style>
  <w:style w:type="paragraph" w:styleId="Textodebalo">
    <w:name w:val="Balloon Text"/>
    <w:basedOn w:val="Normal"/>
    <w:link w:val="TextodebaloChar"/>
    <w:uiPriority w:val="99"/>
    <w:semiHidden/>
    <w:unhideWhenUsed/>
    <w:qFormat/>
    <w:rsid w:val="00152C98"/>
    <w:pPr>
      <w:spacing w:line="240" w:lineRule="auto"/>
    </w:pPr>
    <w:rPr>
      <w:rFonts w:ascii="Tahoma" w:hAnsi="Tahoma" w:cs="Tahoma"/>
      <w:sz w:val="16"/>
      <w:szCs w:val="16"/>
    </w:rPr>
  </w:style>
  <w:style w:type="paragraph" w:styleId="Pr-formataoHTML">
    <w:name w:val="HTML Preformatted"/>
    <w:basedOn w:val="Normal"/>
    <w:link w:val="Pr-formataoHTMLChar"/>
    <w:uiPriority w:val="99"/>
    <w:unhideWhenUsed/>
    <w:qFormat/>
    <w:rsid w:val="007A2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CC3AEB"/>
    <w:pPr>
      <w:tabs>
        <w:tab w:val="center" w:pos="4252"/>
        <w:tab w:val="right" w:pos="8504"/>
      </w:tabs>
      <w:spacing w:line="240" w:lineRule="auto"/>
    </w:pPr>
  </w:style>
  <w:style w:type="paragraph" w:styleId="Rodap">
    <w:name w:val="footer"/>
    <w:basedOn w:val="Normal"/>
    <w:link w:val="RodapChar"/>
    <w:uiPriority w:val="99"/>
    <w:unhideWhenUsed/>
    <w:rsid w:val="00CC3AEB"/>
    <w:pPr>
      <w:tabs>
        <w:tab w:val="center" w:pos="4252"/>
        <w:tab w:val="right" w:pos="8504"/>
      </w:tabs>
      <w:spacing w:line="240" w:lineRule="auto"/>
    </w:pPr>
  </w:style>
  <w:style w:type="paragraph" w:styleId="Ttulodendiceremissivo">
    <w:name w:val="index heading"/>
    <w:basedOn w:val="Ttulo"/>
  </w:style>
  <w:style w:type="paragraph" w:styleId="CabealhodoSumrio">
    <w:name w:val="TOC Heading"/>
    <w:basedOn w:val="Ttulo1"/>
    <w:next w:val="Normal"/>
    <w:uiPriority w:val="39"/>
    <w:unhideWhenUsed/>
    <w:qFormat/>
    <w:rsid w:val="002A2A34"/>
    <w:pPr>
      <w:outlineLvl w:val="9"/>
    </w:pPr>
  </w:style>
  <w:style w:type="paragraph" w:styleId="Sumrio1">
    <w:name w:val="toc 1"/>
    <w:basedOn w:val="Normal"/>
    <w:next w:val="Normal"/>
    <w:autoRedefine/>
    <w:uiPriority w:val="39"/>
    <w:unhideWhenUsed/>
    <w:qFormat/>
    <w:rsid w:val="00FE41EC"/>
    <w:pPr>
      <w:tabs>
        <w:tab w:val="left" w:pos="284"/>
        <w:tab w:val="left" w:pos="567"/>
        <w:tab w:val="right" w:leader="dot" w:pos="9071"/>
      </w:tabs>
      <w:spacing w:before="120"/>
      <w:ind w:left="1134" w:hanging="1134"/>
    </w:pPr>
    <w:rPr>
      <w:b/>
    </w:rPr>
  </w:style>
  <w:style w:type="paragraph" w:styleId="Sumrio3">
    <w:name w:val="toc 3"/>
    <w:basedOn w:val="Normal"/>
    <w:next w:val="Normal"/>
    <w:autoRedefine/>
    <w:uiPriority w:val="39"/>
    <w:unhideWhenUsed/>
    <w:qFormat/>
    <w:rsid w:val="00FE41EC"/>
    <w:pPr>
      <w:tabs>
        <w:tab w:val="left" w:pos="567"/>
        <w:tab w:val="right" w:leader="dot" w:pos="9071"/>
      </w:tabs>
      <w:spacing w:before="120"/>
      <w:ind w:left="1134" w:hanging="1134"/>
    </w:pPr>
    <w:rPr>
      <w:rFonts w:ascii="Times New Roman" w:hAnsi="Times New Roman" w:cs="Times New Roman"/>
      <w:bCs/>
    </w:rPr>
  </w:style>
  <w:style w:type="paragraph" w:styleId="Sumrio2">
    <w:name w:val="toc 2"/>
    <w:basedOn w:val="Normal"/>
    <w:next w:val="Normal"/>
    <w:autoRedefine/>
    <w:uiPriority w:val="39"/>
    <w:unhideWhenUsed/>
    <w:qFormat/>
    <w:rsid w:val="00FE41EC"/>
    <w:pPr>
      <w:tabs>
        <w:tab w:val="left" w:pos="567"/>
        <w:tab w:val="right" w:leader="dot" w:pos="9071"/>
      </w:tabs>
      <w:spacing w:before="120"/>
      <w:ind w:left="1134" w:hanging="1134"/>
      <w:jc w:val="right"/>
    </w:pPr>
  </w:style>
  <w:style w:type="paragraph" w:styleId="Sumrio4">
    <w:name w:val="toc 4"/>
    <w:basedOn w:val="Normal"/>
    <w:next w:val="Normal"/>
    <w:autoRedefine/>
    <w:uiPriority w:val="39"/>
    <w:semiHidden/>
    <w:unhideWhenUsed/>
    <w:rsid w:val="000408BD"/>
    <w:pPr>
      <w:spacing w:after="100"/>
      <w:ind w:left="660"/>
    </w:pPr>
  </w:style>
  <w:style w:type="paragraph" w:styleId="Sumrio6">
    <w:name w:val="toc 6"/>
    <w:basedOn w:val="Normal"/>
    <w:next w:val="Normal"/>
    <w:autoRedefine/>
    <w:uiPriority w:val="39"/>
    <w:semiHidden/>
    <w:unhideWhenUsed/>
    <w:rsid w:val="000408BD"/>
    <w:pPr>
      <w:spacing w:after="100"/>
      <w:ind w:left="1100"/>
    </w:pPr>
  </w:style>
  <w:style w:type="paragraph" w:styleId="ndicedeilustraes">
    <w:name w:val="table of figures"/>
    <w:basedOn w:val="Normal"/>
    <w:next w:val="Normal"/>
    <w:uiPriority w:val="99"/>
    <w:unhideWhenUsed/>
    <w:qFormat/>
    <w:rsid w:val="00130EEC"/>
    <w:pPr>
      <w:ind w:left="440" w:hanging="440"/>
    </w:pPr>
    <w:rPr>
      <w:rFonts w:eastAsia="Calibri" w:cstheme="minorHAnsi"/>
      <w:smallCaps/>
      <w:sz w:val="20"/>
      <w:szCs w:val="20"/>
      <w:lang w:eastAsia="en-US"/>
    </w:rPr>
  </w:style>
  <w:style w:type="paragraph" w:customStyle="1" w:styleId="Estilo1">
    <w:name w:val="Estilo1"/>
    <w:basedOn w:val="Normal"/>
    <w:autoRedefine/>
    <w:qFormat/>
    <w:rsid w:val="00600872"/>
    <w:pPr>
      <w:spacing w:line="240" w:lineRule="auto"/>
      <w:ind w:firstLine="0"/>
    </w:pPr>
    <w:rPr>
      <w:rFonts w:ascii="Times New Roman" w:hAnsi="Times New Roman" w:cs="Times New Roman"/>
      <w:szCs w:val="24"/>
      <w:lang w:eastAsia="en-US"/>
    </w:rPr>
  </w:style>
  <w:style w:type="paragraph" w:customStyle="1" w:styleId="NotadeRodap">
    <w:name w:val="Nota de Rodapé"/>
    <w:basedOn w:val="Normal"/>
    <w:link w:val="NotadeRodapChar"/>
    <w:qFormat/>
    <w:rsid w:val="00323C6A"/>
    <w:pPr>
      <w:spacing w:line="240" w:lineRule="auto"/>
      <w:ind w:firstLine="0"/>
    </w:pPr>
    <w:rPr>
      <w:rFonts w:ascii="Times New Roman" w:eastAsia="Calibri" w:hAnsi="Times New Roman" w:cs="Times New Roman"/>
      <w:sz w:val="20"/>
      <w:szCs w:val="20"/>
      <w:lang w:eastAsia="en-US"/>
    </w:rPr>
  </w:style>
  <w:style w:type="paragraph" w:styleId="Numerada3">
    <w:name w:val="List Number 3"/>
    <w:basedOn w:val="Normal"/>
    <w:uiPriority w:val="99"/>
    <w:semiHidden/>
    <w:unhideWhenUsed/>
    <w:qFormat/>
    <w:rsid w:val="00111CC9"/>
    <w:pPr>
      <w:numPr>
        <w:numId w:val="1"/>
      </w:numPr>
      <w:contextualSpacing/>
    </w:pPr>
    <w:rPr>
      <w:rFonts w:ascii="Times New Roman" w:eastAsia="Calibri" w:hAnsi="Times New Roman" w:cs="Times New Roman"/>
      <w:szCs w:val="24"/>
      <w:lang w:eastAsia="en-US"/>
    </w:rPr>
  </w:style>
  <w:style w:type="paragraph" w:styleId="Commarcadores3">
    <w:name w:val="List Bullet 3"/>
    <w:basedOn w:val="Normal"/>
    <w:uiPriority w:val="99"/>
    <w:unhideWhenUsed/>
    <w:qFormat/>
    <w:rsid w:val="0017184A"/>
    <w:pPr>
      <w:ind w:left="566" w:hanging="283"/>
      <w:contextualSpacing/>
    </w:pPr>
  </w:style>
  <w:style w:type="paragraph" w:styleId="Commarcadores4">
    <w:name w:val="List Bullet 4"/>
    <w:basedOn w:val="Normal"/>
    <w:uiPriority w:val="99"/>
    <w:unhideWhenUsed/>
    <w:qFormat/>
    <w:rsid w:val="0017184A"/>
    <w:pPr>
      <w:ind w:left="849" w:hanging="283"/>
      <w:contextualSpacing/>
    </w:pPr>
  </w:style>
  <w:style w:type="paragraph" w:styleId="Commarcadores5">
    <w:name w:val="List Bullet 5"/>
    <w:basedOn w:val="Normal"/>
    <w:uiPriority w:val="99"/>
    <w:unhideWhenUsed/>
    <w:qFormat/>
    <w:rsid w:val="0017184A"/>
    <w:pPr>
      <w:ind w:left="1132" w:hanging="283"/>
      <w:contextualSpacing/>
    </w:pPr>
  </w:style>
  <w:style w:type="paragraph" w:styleId="Numerada">
    <w:name w:val="List Number"/>
    <w:basedOn w:val="Normal"/>
    <w:uiPriority w:val="99"/>
    <w:unhideWhenUsed/>
    <w:qFormat/>
    <w:rsid w:val="0017184A"/>
    <w:pPr>
      <w:ind w:left="1415" w:hanging="283"/>
      <w:contextualSpacing/>
    </w:pPr>
  </w:style>
  <w:style w:type="paragraph" w:styleId="Saudao">
    <w:name w:val="Salutation"/>
    <w:basedOn w:val="Normal"/>
    <w:next w:val="Normal"/>
    <w:link w:val="SaudaoChar"/>
    <w:uiPriority w:val="99"/>
    <w:unhideWhenUsed/>
    <w:rsid w:val="0017184A"/>
  </w:style>
  <w:style w:type="paragraph" w:styleId="Listadecontinuao2">
    <w:name w:val="List Continue 2"/>
    <w:basedOn w:val="Normal"/>
    <w:uiPriority w:val="99"/>
    <w:unhideWhenUsed/>
    <w:qFormat/>
    <w:rsid w:val="0017184A"/>
    <w:pPr>
      <w:spacing w:after="120"/>
      <w:ind w:left="566"/>
      <w:contextualSpacing/>
    </w:pPr>
  </w:style>
  <w:style w:type="paragraph" w:styleId="Listadecontinuao3">
    <w:name w:val="List Continue 3"/>
    <w:basedOn w:val="Normal"/>
    <w:uiPriority w:val="99"/>
    <w:unhideWhenUsed/>
    <w:qFormat/>
    <w:rsid w:val="0017184A"/>
    <w:pPr>
      <w:spacing w:after="120"/>
      <w:ind w:left="849"/>
      <w:contextualSpacing/>
    </w:pPr>
  </w:style>
  <w:style w:type="paragraph" w:styleId="Listadecontinuao4">
    <w:name w:val="List Continue 4"/>
    <w:basedOn w:val="Normal"/>
    <w:uiPriority w:val="99"/>
    <w:unhideWhenUsed/>
    <w:qFormat/>
    <w:rsid w:val="0017184A"/>
    <w:pPr>
      <w:spacing w:after="120"/>
      <w:ind w:left="1132"/>
      <w:contextualSpacing/>
    </w:pPr>
  </w:style>
  <w:style w:type="paragraph" w:customStyle="1" w:styleId="Endereointerno">
    <w:name w:val="Endereço interno"/>
    <w:basedOn w:val="Normal"/>
    <w:qFormat/>
    <w:rsid w:val="0017184A"/>
  </w:style>
  <w:style w:type="paragraph" w:styleId="Recuodecorpodetexto">
    <w:name w:val="Body Text Indent"/>
    <w:basedOn w:val="Corpodetexto"/>
    <w:link w:val="RecuodecorpodetextoChar1"/>
    <w:uiPriority w:val="99"/>
    <w:unhideWhenUsed/>
    <w:qFormat/>
    <w:rsid w:val="0017184A"/>
    <w:pPr>
      <w:spacing w:after="0"/>
      <w:ind w:firstLine="360"/>
    </w:pPr>
  </w:style>
  <w:style w:type="paragraph" w:styleId="Subttulo">
    <w:name w:val="Subtitle"/>
    <w:basedOn w:val="Normal"/>
    <w:next w:val="Normal"/>
    <w:link w:val="SubttuloChar"/>
    <w:uiPriority w:val="11"/>
    <w:qFormat/>
    <w:rsid w:val="0017184A"/>
    <w:rPr>
      <w:rFonts w:asciiTheme="majorHAnsi" w:eastAsiaTheme="majorEastAsia" w:hAnsiTheme="majorHAnsi" w:cstheme="majorBidi"/>
      <w:i/>
      <w:iCs/>
      <w:color w:val="4F81BD" w:themeColor="accent1"/>
      <w:spacing w:val="15"/>
      <w:szCs w:val="24"/>
    </w:rPr>
  </w:style>
  <w:style w:type="paragraph" w:customStyle="1" w:styleId="Referncia">
    <w:name w:val="Referência"/>
    <w:basedOn w:val="Corpodetexto"/>
    <w:qFormat/>
    <w:rsid w:val="0017184A"/>
  </w:style>
  <w:style w:type="paragraph" w:styleId="Primeirorecuodecorpodetexto2">
    <w:name w:val="Body Text First Indent 2"/>
    <w:basedOn w:val="Recuodecorpodetexto"/>
    <w:link w:val="Primeirorecuodecorpodetexto2Char"/>
    <w:uiPriority w:val="99"/>
    <w:unhideWhenUsed/>
    <w:qFormat/>
    <w:rsid w:val="0017184A"/>
    <w:pPr>
      <w:ind w:left="360"/>
    </w:pPr>
  </w:style>
  <w:style w:type="paragraph" w:customStyle="1" w:styleId="noindent">
    <w:name w:val="noindent"/>
    <w:basedOn w:val="Normal"/>
    <w:qFormat/>
    <w:rsid w:val="001B670B"/>
    <w:pPr>
      <w:spacing w:beforeAutospacing="1" w:afterAutospacing="1" w:line="240" w:lineRule="auto"/>
      <w:ind w:firstLine="0"/>
      <w:jc w:val="left"/>
    </w:pPr>
    <w:rPr>
      <w:rFonts w:ascii="Times New Roman" w:eastAsia="Times New Roman" w:hAnsi="Times New Roman" w:cs="Times New Roman"/>
      <w:szCs w:val="24"/>
    </w:rPr>
  </w:style>
  <w:style w:type="paragraph" w:styleId="Textodecomentrio">
    <w:name w:val="annotation text"/>
    <w:basedOn w:val="Normal"/>
    <w:link w:val="TextodecomentrioChar"/>
    <w:uiPriority w:val="99"/>
    <w:semiHidden/>
    <w:unhideWhenUsed/>
    <w:qFormat/>
    <w:rsid w:val="00945407"/>
    <w:pPr>
      <w:spacing w:line="240" w:lineRule="auto"/>
    </w:pPr>
    <w:rPr>
      <w:sz w:val="20"/>
      <w:szCs w:val="20"/>
    </w:rPr>
  </w:style>
  <w:style w:type="paragraph" w:styleId="Assuntodocomentrio">
    <w:name w:val="annotation subject"/>
    <w:basedOn w:val="Textodecomentrio"/>
    <w:next w:val="Textodecomentrio"/>
    <w:link w:val="AssuntodocomentrioChar"/>
    <w:uiPriority w:val="99"/>
    <w:semiHidden/>
    <w:unhideWhenUsed/>
    <w:qFormat/>
    <w:rsid w:val="00945407"/>
    <w:rPr>
      <w:b/>
      <w:bCs/>
    </w:rPr>
  </w:style>
  <w:style w:type="paragraph" w:customStyle="1" w:styleId="Contedodoquadro">
    <w:name w:val="Conteúdo do quadro"/>
    <w:basedOn w:val="Normal"/>
    <w:qFormat/>
  </w:style>
  <w:style w:type="paragraph" w:styleId="Sumrio5">
    <w:name w:val="toc 5"/>
    <w:basedOn w:val="ndice"/>
    <w:pPr>
      <w:tabs>
        <w:tab w:val="right" w:leader="dot" w:pos="7937"/>
      </w:tabs>
      <w:ind w:left="1134" w:firstLine="0"/>
    </w:pPr>
  </w:style>
  <w:style w:type="numbering" w:customStyle="1" w:styleId="Semlista1">
    <w:name w:val="Sem lista1"/>
    <w:uiPriority w:val="99"/>
    <w:semiHidden/>
    <w:unhideWhenUsed/>
    <w:qFormat/>
    <w:rsid w:val="002556DD"/>
  </w:style>
  <w:style w:type="table" w:styleId="Tabelacomgrade">
    <w:name w:val="Table Grid"/>
    <w:basedOn w:val="Tabelanormal"/>
    <w:uiPriority w:val="59"/>
    <w:rsid w:val="00C43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uiPriority w:val="59"/>
    <w:rsid w:val="0006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uiPriority w:val="59"/>
    <w:rsid w:val="0006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uiPriority w:val="59"/>
    <w:rsid w:val="00255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B86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en.wikipedia.org/wiki/Philadelphia" TargetMode="External"/><Relationship Id="rId26" Type="http://schemas.openxmlformats.org/officeDocument/2006/relationships/hyperlink" Target="http://chase.leeds.ac.uk/" TargetMode="External"/><Relationship Id="rId39" Type="http://schemas.openxmlformats.org/officeDocument/2006/relationships/chart" Target="charts/chart10.xml"/><Relationship Id="rId21" Type="http://schemas.openxmlformats.org/officeDocument/2006/relationships/hyperlink" Target="https://en.wikipedia.org/wiki/Max_Rostal" TargetMode="External"/><Relationship Id="rId34" Type="http://schemas.openxmlformats.org/officeDocument/2006/relationships/chart" Target="charts/chart5.xml"/><Relationship Id="rId42" Type="http://schemas.openxmlformats.org/officeDocument/2006/relationships/chart" Target="charts/chart13.xml"/><Relationship Id="rId47" Type="http://schemas.openxmlformats.org/officeDocument/2006/relationships/chart" Target="charts/chart18.xm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eprints.hud.ac.uk/22141" TargetMode="External"/><Relationship Id="rId11" Type="http://schemas.openxmlformats.org/officeDocument/2006/relationships/hyperlink" Target="http://www.researchgate.net/" TargetMode="External"/><Relationship Id="rId24" Type="http://schemas.openxmlformats.org/officeDocument/2006/relationships/image" Target="media/image12.jpeg"/><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chart" Target="charts/chart16.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chart" Target="charts/chart2.xml"/><Relationship Id="rId44" Type="http://schemas.openxmlformats.org/officeDocument/2006/relationships/chart" Target="charts/chart15.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jpeg"/><Relationship Id="rId27" Type="http://schemas.openxmlformats.org/officeDocument/2006/relationships/hyperlink" Target="https://imslp.org/wiki/Schott" TargetMode="External"/><Relationship Id="rId30" Type="http://schemas.openxmlformats.org/officeDocument/2006/relationships/chart" Target="charts/chart1.xml"/><Relationship Id="rId35" Type="http://schemas.openxmlformats.org/officeDocument/2006/relationships/chart" Target="charts/chart6.xml"/><Relationship Id="rId43" Type="http://schemas.openxmlformats.org/officeDocument/2006/relationships/chart" Target="charts/chart14.xml"/><Relationship Id="rId48" Type="http://schemas.openxmlformats.org/officeDocument/2006/relationships/chart" Target="charts/chart19.xml"/><Relationship Id="rId8" Type="http://schemas.openxmlformats.org/officeDocument/2006/relationships/image" Target="media/image1.jpe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en.wikipedia.org/wiki/Amsterdam" TargetMode="External"/><Relationship Id="rId25" Type="http://schemas.openxmlformats.org/officeDocument/2006/relationships/hyperlink" Target="http://mhm.hud.ac.uk/" TargetMode="External"/><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chart" Target="charts/chart17.xml"/><Relationship Id="rId20" Type="http://schemas.openxmlformats.org/officeDocument/2006/relationships/hyperlink" Target="https://books.google.com/books?id=yntWOgAACAAJ" TargetMode="External"/><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jpeg"/><Relationship Id="rId28" Type="http://schemas.openxmlformats.org/officeDocument/2006/relationships/hyperlink" Target="https://www.youtube.com/watch?v=uD3NgOB91fg" TargetMode="External"/><Relationship Id="rId36" Type="http://schemas.openxmlformats.org/officeDocument/2006/relationships/chart" Target="charts/chart7.xml"/><Relationship Id="rId49" Type="http://schemas.openxmlformats.org/officeDocument/2006/relationships/hyperlink" Target="Anexo%201%20-%20Entrevistas.doc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ndex.php?title=Perry_Hart&amp;action=edit&amp;redlink=1" TargetMode="External"/><Relationship Id="rId2" Type="http://schemas.openxmlformats.org/officeDocument/2006/relationships/hyperlink" Target="https://en.wikipedia.org/w/index.php?title=Eli_Goren&amp;action=edit&amp;redlink=1" TargetMode="External"/><Relationship Id="rId1" Type="http://schemas.openxmlformats.org/officeDocument/2006/relationships/hyperlink" Target="https://en.wikipedia.org/w/index.php?title=Homi_Kanger&amp;action=edit&amp;redlink=1" TargetMode="External"/><Relationship Id="rId4" Type="http://schemas.openxmlformats.org/officeDocument/2006/relationships/hyperlink" Target="https://en.wikipedia.org/w/index.php?title=Sydney_Fixman&amp;action=edit&amp;redlink=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5.0250000000000003E-2"/>
          <c:y val="8.6777777777777801E-2"/>
          <c:w val="0.46450000000000002"/>
          <c:h val="0.83511111111111103"/>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4D4E-4840-9D45-312241030F14}"/>
              </c:ext>
            </c:extLst>
          </c:dPt>
          <c:dPt>
            <c:idx val="1"/>
            <c:bubble3D val="0"/>
            <c:spPr>
              <a:solidFill>
                <a:srgbClr val="8064A2"/>
              </a:solidFill>
              <a:ln w="0">
                <a:noFill/>
              </a:ln>
            </c:spPr>
            <c:extLst>
              <c:ext xmlns:c16="http://schemas.microsoft.com/office/drawing/2014/chart" uri="{C3380CC4-5D6E-409C-BE32-E72D297353CC}">
                <c16:uniqueId val="{00000003-4D4E-4840-9D45-312241030F14}"/>
              </c:ext>
            </c:extLst>
          </c:dPt>
          <c:dPt>
            <c:idx val="2"/>
            <c:bubble3D val="0"/>
            <c:spPr>
              <a:solidFill>
                <a:srgbClr val="948A54"/>
              </a:solidFill>
              <a:ln w="0">
                <a:noFill/>
              </a:ln>
            </c:spPr>
            <c:extLst>
              <c:ext xmlns:c16="http://schemas.microsoft.com/office/drawing/2014/chart" uri="{C3380CC4-5D6E-409C-BE32-E72D297353CC}">
                <c16:uniqueId val="{00000005-4D4E-4840-9D45-312241030F14}"/>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4D4E-4840-9D45-312241030F14}"/>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4D4E-4840-9D45-312241030F14}"/>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4D4E-4840-9D45-312241030F14}"/>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 Sobre as duas pernas </c:v>
                </c:pt>
                <c:pt idx="1">
                  <c:v> Sobre a perna esquerda</c:v>
                </c:pt>
                <c:pt idx="2">
                  <c:v>Outra resposta. Variável</c:v>
                </c:pt>
              </c:strCache>
            </c:strRef>
          </c:cat>
          <c:val>
            <c:numRef>
              <c:f>0</c:f>
              <c:numCache>
                <c:formatCode>General</c:formatCode>
                <c:ptCount val="3"/>
                <c:pt idx="0">
                  <c:v>44</c:v>
                </c:pt>
                <c:pt idx="1">
                  <c:v>4</c:v>
                </c:pt>
                <c:pt idx="2">
                  <c:v>2</c:v>
                </c:pt>
              </c:numCache>
            </c:numRef>
          </c:val>
          <c:extLst>
            <c:ext xmlns:c16="http://schemas.microsoft.com/office/drawing/2014/chart" uri="{C3380CC4-5D6E-409C-BE32-E72D297353CC}">
              <c16:uniqueId val="{00000006-4D4E-4840-9D45-312241030F14}"/>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0575000000000001"/>
          <c:y val="0.247"/>
          <c:w val="0.34402150134383402"/>
          <c:h val="0.51150127791976896"/>
        </c:manualLayout>
      </c:layout>
      <c:overlay val="0"/>
      <c:spPr>
        <a:solidFill>
          <a:srgbClr val="FFFFFF">
            <a:alpha val="39000"/>
          </a:srgbClr>
        </a:solid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noFill/>
    <a:ln w="9360">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218125"/>
          <c:y val="0.110222222222222"/>
          <c:w val="0.40206249999999999"/>
          <c:h val="0.86799999999999999"/>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5546-44EB-A313-E49D75256152}"/>
              </c:ext>
            </c:extLst>
          </c:dPt>
          <c:dPt>
            <c:idx val="1"/>
            <c:bubble3D val="0"/>
            <c:spPr>
              <a:solidFill>
                <a:srgbClr val="8064A2"/>
              </a:solidFill>
              <a:ln w="0">
                <a:noFill/>
              </a:ln>
            </c:spPr>
            <c:extLst>
              <c:ext xmlns:c16="http://schemas.microsoft.com/office/drawing/2014/chart" uri="{C3380CC4-5D6E-409C-BE32-E72D297353CC}">
                <c16:uniqueId val="{00000003-5546-44EB-A313-E49D75256152}"/>
              </c:ext>
            </c:extLst>
          </c:dPt>
          <c:dPt>
            <c:idx val="2"/>
            <c:bubble3D val="0"/>
            <c:spPr>
              <a:solidFill>
                <a:srgbClr val="948A54"/>
              </a:solidFill>
              <a:ln w="0">
                <a:noFill/>
              </a:ln>
            </c:spPr>
            <c:extLst>
              <c:ext xmlns:c16="http://schemas.microsoft.com/office/drawing/2014/chart" uri="{C3380CC4-5D6E-409C-BE32-E72D297353CC}">
                <c16:uniqueId val="{00000005-5546-44EB-A313-E49D75256152}"/>
              </c:ext>
            </c:extLst>
          </c:dPt>
          <c:dPt>
            <c:idx val="3"/>
            <c:bubble3D val="0"/>
            <c:spPr>
              <a:solidFill>
                <a:srgbClr val="772C2A"/>
              </a:solidFill>
              <a:ln w="0">
                <a:noFill/>
              </a:ln>
            </c:spPr>
            <c:extLst>
              <c:ext xmlns:c16="http://schemas.microsoft.com/office/drawing/2014/chart" uri="{C3380CC4-5D6E-409C-BE32-E72D297353CC}">
                <c16:uniqueId val="{00000007-5546-44EB-A313-E49D75256152}"/>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5546-44EB-A313-E49D75256152}"/>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5546-44EB-A313-E49D75256152}"/>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5546-44EB-A313-E49D75256152}"/>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5546-44EB-A313-E49D75256152}"/>
                </c:ext>
              </c:extLst>
            </c:dLbl>
            <c:spPr>
              <a:noFill/>
              <a:ln>
                <a:noFill/>
              </a:ln>
              <a:effectLst/>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Encostado ao braço do violino</c:v>
                </c:pt>
                <c:pt idx="1">
                  <c:v>Próximo ao braço do violino</c:v>
                </c:pt>
                <c:pt idx="2">
                  <c:v>Distanciado do braço do violino</c:v>
                </c:pt>
                <c:pt idx="3">
                  <c:v>Outra resposta. Sem importância; eu não sei</c:v>
                </c:pt>
              </c:strCache>
            </c:strRef>
          </c:cat>
          <c:val>
            <c:numRef>
              <c:f>0</c:f>
              <c:numCache>
                <c:formatCode>General</c:formatCode>
                <c:ptCount val="4"/>
                <c:pt idx="0">
                  <c:v>31</c:v>
                </c:pt>
                <c:pt idx="1">
                  <c:v>14</c:v>
                </c:pt>
                <c:pt idx="2">
                  <c:v>3</c:v>
                </c:pt>
                <c:pt idx="3">
                  <c:v>2</c:v>
                </c:pt>
              </c:numCache>
            </c:numRef>
          </c:val>
          <c:extLst>
            <c:ext xmlns:c16="http://schemas.microsoft.com/office/drawing/2014/chart" uri="{C3380CC4-5D6E-409C-BE32-E72D297353CC}">
              <c16:uniqueId val="{00000008-5546-44EB-A313-E49D75256152}"/>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0250000000000004"/>
          <c:y val="0.14777777777777801"/>
          <c:w val="0.33095818488655498"/>
          <c:h val="0.75897321924658301"/>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16875"/>
          <c:y val="9.2777777777777806E-2"/>
          <c:w val="0.45093749999999999"/>
          <c:h val="0.80766666666666698"/>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82CA-4449-AC0E-A1F26A60FB85}"/>
              </c:ext>
            </c:extLst>
          </c:dPt>
          <c:dPt>
            <c:idx val="1"/>
            <c:bubble3D val="0"/>
            <c:spPr>
              <a:solidFill>
                <a:srgbClr val="8064A2"/>
              </a:solidFill>
              <a:ln w="0">
                <a:noFill/>
              </a:ln>
            </c:spPr>
            <c:extLst>
              <c:ext xmlns:c16="http://schemas.microsoft.com/office/drawing/2014/chart" uri="{C3380CC4-5D6E-409C-BE32-E72D297353CC}">
                <c16:uniqueId val="{00000003-82CA-4449-AC0E-A1F26A60FB85}"/>
              </c:ext>
            </c:extLst>
          </c:dPt>
          <c:dPt>
            <c:idx val="2"/>
            <c:bubble3D val="0"/>
            <c:spPr>
              <a:solidFill>
                <a:srgbClr val="948A54"/>
              </a:solidFill>
              <a:ln w="0">
                <a:noFill/>
              </a:ln>
            </c:spPr>
            <c:extLst>
              <c:ext xmlns:c16="http://schemas.microsoft.com/office/drawing/2014/chart" uri="{C3380CC4-5D6E-409C-BE32-E72D297353CC}">
                <c16:uniqueId val="{00000005-82CA-4449-AC0E-A1F26A60FB85}"/>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82CA-4449-AC0E-A1F26A60FB85}"/>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82CA-4449-AC0E-A1F26A60FB85}"/>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82CA-4449-AC0E-A1F26A60FB85}"/>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Perpendiculares</c:v>
                </c:pt>
                <c:pt idx="1">
                  <c:v>Na direção das cordas</c:v>
                </c:pt>
                <c:pt idx="2">
                  <c:v>Outra resposta. Variável</c:v>
                </c:pt>
              </c:strCache>
            </c:strRef>
          </c:cat>
          <c:val>
            <c:numRef>
              <c:f>0</c:f>
              <c:numCache>
                <c:formatCode>General</c:formatCode>
                <c:ptCount val="3"/>
                <c:pt idx="0">
                  <c:v>10</c:v>
                </c:pt>
                <c:pt idx="1">
                  <c:v>38</c:v>
                </c:pt>
                <c:pt idx="2">
                  <c:v>2</c:v>
                </c:pt>
              </c:numCache>
            </c:numRef>
          </c:val>
          <c:extLst>
            <c:ext xmlns:c16="http://schemas.microsoft.com/office/drawing/2014/chart" uri="{C3380CC4-5D6E-409C-BE32-E72D297353CC}">
              <c16:uniqueId val="{00000006-82CA-4449-AC0E-A1F26A60FB85}"/>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3600000000000001"/>
          <c:y val="0.17899999999999999"/>
          <c:w val="0.27751734483405199"/>
          <c:h val="0.64196021780197798"/>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7206250000000001"/>
          <c:y val="4.8666666666666698E-2"/>
          <c:w val="0.39631250000000001"/>
          <c:h val="0.89588888888888896"/>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1760-497B-8FD6-143BA53DBD52}"/>
              </c:ext>
            </c:extLst>
          </c:dPt>
          <c:dPt>
            <c:idx val="1"/>
            <c:bubble3D val="0"/>
            <c:spPr>
              <a:solidFill>
                <a:srgbClr val="8064A2"/>
              </a:solidFill>
              <a:ln w="0">
                <a:noFill/>
              </a:ln>
            </c:spPr>
            <c:extLst>
              <c:ext xmlns:c16="http://schemas.microsoft.com/office/drawing/2014/chart" uri="{C3380CC4-5D6E-409C-BE32-E72D297353CC}">
                <c16:uniqueId val="{00000003-1760-497B-8FD6-143BA53DBD52}"/>
              </c:ext>
            </c:extLst>
          </c:dPt>
          <c:dPt>
            <c:idx val="2"/>
            <c:bubble3D val="0"/>
            <c:spPr>
              <a:solidFill>
                <a:srgbClr val="948A54"/>
              </a:solidFill>
              <a:ln w="0">
                <a:noFill/>
              </a:ln>
            </c:spPr>
            <c:extLst>
              <c:ext xmlns:c16="http://schemas.microsoft.com/office/drawing/2014/chart" uri="{C3380CC4-5D6E-409C-BE32-E72D297353CC}">
                <c16:uniqueId val="{00000005-1760-497B-8FD6-143BA53DBD52}"/>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1760-497B-8FD6-143BA53DBD52}"/>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1760-497B-8FD6-143BA53DBD52}"/>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1760-497B-8FD6-143BA53DBD52}"/>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Prioritariamente próximos ao espelho</c:v>
                </c:pt>
                <c:pt idx="1">
                  <c:v>Se elevam consideravelmente do espelho</c:v>
                </c:pt>
                <c:pt idx="2">
                  <c:v>Outra resposta. Variável</c:v>
                </c:pt>
              </c:strCache>
            </c:strRef>
          </c:cat>
          <c:val>
            <c:numRef>
              <c:f>0</c:f>
              <c:numCache>
                <c:formatCode>General</c:formatCode>
                <c:ptCount val="3"/>
                <c:pt idx="0">
                  <c:v>31</c:v>
                </c:pt>
                <c:pt idx="1">
                  <c:v>11</c:v>
                </c:pt>
                <c:pt idx="2">
                  <c:v>8</c:v>
                </c:pt>
              </c:numCache>
            </c:numRef>
          </c:val>
          <c:extLst>
            <c:ext xmlns:c16="http://schemas.microsoft.com/office/drawing/2014/chart" uri="{C3380CC4-5D6E-409C-BE32-E72D297353CC}">
              <c16:uniqueId val="{00000006-1760-497B-8FD6-143BA53DBD52}"/>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3824999999999998"/>
          <c:y val="0.10100000000000001"/>
          <c:w val="0.330520657541096"/>
          <c:h val="0.74119346594066005"/>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29375"/>
          <c:y val="4.8111111111111098E-2"/>
          <c:w val="0.43162499999999998"/>
          <c:h val="0.95188888888888901"/>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01CB-4345-9970-95B99418FA53}"/>
              </c:ext>
            </c:extLst>
          </c:dPt>
          <c:dPt>
            <c:idx val="1"/>
            <c:bubble3D val="0"/>
            <c:spPr>
              <a:solidFill>
                <a:srgbClr val="8064A2"/>
              </a:solidFill>
              <a:ln w="0">
                <a:noFill/>
              </a:ln>
            </c:spPr>
            <c:extLst>
              <c:ext xmlns:c16="http://schemas.microsoft.com/office/drawing/2014/chart" uri="{C3380CC4-5D6E-409C-BE32-E72D297353CC}">
                <c16:uniqueId val="{00000003-01CB-4345-9970-95B99418FA53}"/>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01CB-4345-9970-95B99418FA53}"/>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01CB-4345-9970-95B99418FA53}"/>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2"/>
                <c:pt idx="0">
                  <c:v>Separação equidistante de todos os dedos</c:v>
                </c:pt>
                <c:pt idx="1">
                  <c:v>Dedo indicador um pouco mais distante do dedo médio</c:v>
                </c:pt>
              </c:strCache>
            </c:strRef>
          </c:cat>
          <c:val>
            <c:numRef>
              <c:f>0</c:f>
              <c:numCache>
                <c:formatCode>General</c:formatCode>
                <c:ptCount val="2"/>
                <c:pt idx="0">
                  <c:v>34</c:v>
                </c:pt>
                <c:pt idx="1">
                  <c:v>16</c:v>
                </c:pt>
              </c:numCache>
            </c:numRef>
          </c:val>
          <c:extLst>
            <c:ext xmlns:c16="http://schemas.microsoft.com/office/drawing/2014/chart" uri="{C3380CC4-5D6E-409C-BE32-E72D297353CC}">
              <c16:uniqueId val="{00000004-01CB-4345-9970-95B99418FA53}"/>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9818749999999998"/>
          <c:y val="0.196777777777778"/>
          <c:w val="0.32770798174885901"/>
          <c:h val="0.60451161240137796"/>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2725"/>
          <c:y val="8.8111111111111098E-2"/>
          <c:w val="0.39168750000000002"/>
          <c:h val="0.824888888888889"/>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02B1-4E14-ACC7-9248EBBE1909}"/>
              </c:ext>
            </c:extLst>
          </c:dPt>
          <c:dPt>
            <c:idx val="1"/>
            <c:bubble3D val="0"/>
            <c:spPr>
              <a:solidFill>
                <a:srgbClr val="8064A2"/>
              </a:solidFill>
              <a:ln w="0">
                <a:noFill/>
              </a:ln>
            </c:spPr>
            <c:extLst>
              <c:ext xmlns:c16="http://schemas.microsoft.com/office/drawing/2014/chart" uri="{C3380CC4-5D6E-409C-BE32-E72D297353CC}">
                <c16:uniqueId val="{00000003-02B1-4E14-ACC7-9248EBBE1909}"/>
              </c:ext>
            </c:extLst>
          </c:dPt>
          <c:dPt>
            <c:idx val="2"/>
            <c:bubble3D val="0"/>
            <c:spPr>
              <a:solidFill>
                <a:srgbClr val="948A54"/>
              </a:solidFill>
              <a:ln w="0">
                <a:noFill/>
              </a:ln>
            </c:spPr>
            <c:extLst>
              <c:ext xmlns:c16="http://schemas.microsoft.com/office/drawing/2014/chart" uri="{C3380CC4-5D6E-409C-BE32-E72D297353CC}">
                <c16:uniqueId val="{00000005-02B1-4E14-ACC7-9248EBBE1909}"/>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02B1-4E14-ACC7-9248EBBE1909}"/>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02B1-4E14-ACC7-9248EBBE1909}"/>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02B1-4E14-ACC7-9248EBBE1909}"/>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Na articulação interfalangeana proximal.  </c:v>
                </c:pt>
                <c:pt idx="1">
                  <c:v>Ao centro da falange média</c:v>
                </c:pt>
                <c:pt idx="2">
                  <c:v>Na articulação interfalangeana distal</c:v>
                </c:pt>
              </c:strCache>
            </c:strRef>
          </c:cat>
          <c:val>
            <c:numRef>
              <c:f>0</c:f>
              <c:numCache>
                <c:formatCode>General</c:formatCode>
                <c:ptCount val="3"/>
                <c:pt idx="0">
                  <c:v>10</c:v>
                </c:pt>
                <c:pt idx="1">
                  <c:v>28</c:v>
                </c:pt>
                <c:pt idx="2">
                  <c:v>12</c:v>
                </c:pt>
              </c:numCache>
            </c:numRef>
          </c:val>
          <c:extLst>
            <c:ext xmlns:c16="http://schemas.microsoft.com/office/drawing/2014/chart" uri="{C3380CC4-5D6E-409C-BE32-E72D297353CC}">
              <c16:uniqueId val="{00000006-02B1-4E14-ACC7-9248EBBE1909}"/>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9775"/>
          <c:y val="0.11700000000000001"/>
          <c:w val="0.32883305206575397"/>
          <c:h val="0.78030892321369005"/>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40625"/>
          <c:y val="0.111666666666667"/>
          <c:w val="0.41725000000000001"/>
          <c:h val="0.84888888888888903"/>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9ACF-4E0C-8582-3BC6F8678639}"/>
              </c:ext>
            </c:extLst>
          </c:dPt>
          <c:dPt>
            <c:idx val="1"/>
            <c:bubble3D val="0"/>
            <c:spPr>
              <a:solidFill>
                <a:srgbClr val="8064A2"/>
              </a:solidFill>
              <a:ln w="0">
                <a:noFill/>
              </a:ln>
            </c:spPr>
            <c:extLst>
              <c:ext xmlns:c16="http://schemas.microsoft.com/office/drawing/2014/chart" uri="{C3380CC4-5D6E-409C-BE32-E72D297353CC}">
                <c16:uniqueId val="{00000003-9ACF-4E0C-8582-3BC6F8678639}"/>
              </c:ext>
            </c:extLst>
          </c:dPt>
          <c:dPt>
            <c:idx val="2"/>
            <c:bubble3D val="0"/>
            <c:spPr>
              <a:solidFill>
                <a:srgbClr val="948A54"/>
              </a:solidFill>
              <a:ln w="0">
                <a:noFill/>
              </a:ln>
            </c:spPr>
            <c:extLst>
              <c:ext xmlns:c16="http://schemas.microsoft.com/office/drawing/2014/chart" uri="{C3380CC4-5D6E-409C-BE32-E72D297353CC}">
                <c16:uniqueId val="{00000005-9ACF-4E0C-8582-3BC6F8678639}"/>
              </c:ext>
            </c:extLst>
          </c:dPt>
          <c:dPt>
            <c:idx val="3"/>
            <c:bubble3D val="0"/>
            <c:spPr>
              <a:solidFill>
                <a:srgbClr val="772C2A"/>
              </a:solidFill>
              <a:ln w="0">
                <a:noFill/>
              </a:ln>
            </c:spPr>
            <c:extLst>
              <c:ext xmlns:c16="http://schemas.microsoft.com/office/drawing/2014/chart" uri="{C3380CC4-5D6E-409C-BE32-E72D297353CC}">
                <c16:uniqueId val="{00000007-9ACF-4E0C-8582-3BC6F8678639}"/>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9ACF-4E0C-8582-3BC6F8678639}"/>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9ACF-4E0C-8582-3BC6F8678639}"/>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9ACF-4E0C-8582-3BC6F8678639}"/>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9ACF-4E0C-8582-3BC6F8678639}"/>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Ao centro da falange média</c:v>
                </c:pt>
                <c:pt idx="1">
                  <c:v>Na articulação interfalangeana distal</c:v>
                </c:pt>
                <c:pt idx="2">
                  <c:v>Outra resposta. Na falange distal, controle dos dedos</c:v>
                </c:pt>
                <c:pt idx="3">
                  <c:v>Outra resposta. Onde o dedo se posiciona naturalmente</c:v>
                </c:pt>
              </c:strCache>
            </c:strRef>
          </c:cat>
          <c:val>
            <c:numRef>
              <c:f>0</c:f>
              <c:numCache>
                <c:formatCode>General</c:formatCode>
                <c:ptCount val="4"/>
                <c:pt idx="0">
                  <c:v>27</c:v>
                </c:pt>
                <c:pt idx="1">
                  <c:v>20</c:v>
                </c:pt>
                <c:pt idx="2">
                  <c:v>1</c:v>
                </c:pt>
                <c:pt idx="3">
                  <c:v>2</c:v>
                </c:pt>
              </c:numCache>
            </c:numRef>
          </c:val>
          <c:extLst>
            <c:ext xmlns:c16="http://schemas.microsoft.com/office/drawing/2014/chart" uri="{C3380CC4-5D6E-409C-BE32-E72D297353CC}">
              <c16:uniqueId val="{00000008-9ACF-4E0C-8582-3BC6F8678639}"/>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0524999999999995"/>
          <c:y val="9.3777777777777793E-2"/>
          <c:w val="0.32864554034627202"/>
          <c:h val="0.80797866429603304"/>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695625"/>
          <c:y val="0.134777777777778"/>
          <c:w val="0.41425000000000001"/>
          <c:h val="0.77688888888888896"/>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9208-4A34-8132-D429830B9346}"/>
              </c:ext>
            </c:extLst>
          </c:dPt>
          <c:dPt>
            <c:idx val="1"/>
            <c:bubble3D val="0"/>
            <c:spPr>
              <a:solidFill>
                <a:srgbClr val="8064A2"/>
              </a:solidFill>
              <a:ln w="0">
                <a:noFill/>
              </a:ln>
            </c:spPr>
            <c:extLst>
              <c:ext xmlns:c16="http://schemas.microsoft.com/office/drawing/2014/chart" uri="{C3380CC4-5D6E-409C-BE32-E72D297353CC}">
                <c16:uniqueId val="{00000003-9208-4A34-8132-D429830B9346}"/>
              </c:ext>
            </c:extLst>
          </c:dPt>
          <c:dPt>
            <c:idx val="2"/>
            <c:bubble3D val="0"/>
            <c:spPr>
              <a:solidFill>
                <a:srgbClr val="948A54"/>
              </a:solidFill>
              <a:ln w="0">
                <a:noFill/>
              </a:ln>
            </c:spPr>
            <c:extLst>
              <c:ext xmlns:c16="http://schemas.microsoft.com/office/drawing/2014/chart" uri="{C3380CC4-5D6E-409C-BE32-E72D297353CC}">
                <c16:uniqueId val="{00000005-9208-4A34-8132-D429830B9346}"/>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9208-4A34-8132-D429830B9346}"/>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9208-4A34-8132-D429830B9346}"/>
                </c:ext>
              </c:extLst>
            </c:dLbl>
            <c:dLbl>
              <c:idx val="2"/>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9208-4A34-8132-D429830B9346}"/>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Acentuada</c:v>
                </c:pt>
                <c:pt idx="1">
                  <c:v>Moderada</c:v>
                </c:pt>
                <c:pt idx="2">
                  <c:v>Mínima</c:v>
                </c:pt>
              </c:strCache>
            </c:strRef>
          </c:cat>
          <c:val>
            <c:numRef>
              <c:f>0</c:f>
              <c:numCache>
                <c:formatCode>General</c:formatCode>
                <c:ptCount val="3"/>
                <c:pt idx="0">
                  <c:v>5</c:v>
                </c:pt>
                <c:pt idx="1">
                  <c:v>19</c:v>
                </c:pt>
                <c:pt idx="2">
                  <c:v>26</c:v>
                </c:pt>
              </c:numCache>
            </c:numRef>
          </c:val>
          <c:extLst>
            <c:ext xmlns:c16="http://schemas.microsoft.com/office/drawing/2014/chart" uri="{C3380CC4-5D6E-409C-BE32-E72D297353CC}">
              <c16:uniqueId val="{00000006-9208-4A34-8132-D429830B9346}"/>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2456250000000002"/>
          <c:y val="0.21766666666666701"/>
          <c:w val="0.24226514157134801"/>
          <c:h val="0.50472274697188602"/>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3343749999999999"/>
          <c:y val="5.2111111111111101E-2"/>
          <c:w val="0.42312499999999997"/>
          <c:h val="0.947888888888889"/>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5599-4356-8179-D1568098546B}"/>
              </c:ext>
            </c:extLst>
          </c:dPt>
          <c:dPt>
            <c:idx val="1"/>
            <c:bubble3D val="0"/>
            <c:spPr>
              <a:solidFill>
                <a:srgbClr val="8064A2"/>
              </a:solidFill>
              <a:ln w="0">
                <a:noFill/>
              </a:ln>
            </c:spPr>
            <c:extLst>
              <c:ext xmlns:c16="http://schemas.microsoft.com/office/drawing/2014/chart" uri="{C3380CC4-5D6E-409C-BE32-E72D297353CC}">
                <c16:uniqueId val="{00000003-5599-4356-8179-D1568098546B}"/>
              </c:ext>
            </c:extLst>
          </c:dPt>
          <c:dPt>
            <c:idx val="2"/>
            <c:bubble3D val="0"/>
            <c:spPr>
              <a:solidFill>
                <a:srgbClr val="948A54"/>
              </a:solidFill>
              <a:ln w="0">
                <a:noFill/>
              </a:ln>
            </c:spPr>
            <c:extLst>
              <c:ext xmlns:c16="http://schemas.microsoft.com/office/drawing/2014/chart" uri="{C3380CC4-5D6E-409C-BE32-E72D297353CC}">
                <c16:uniqueId val="{00000005-5599-4356-8179-D1568098546B}"/>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5599-4356-8179-D1568098546B}"/>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5599-4356-8179-D1568098546B}"/>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5599-4356-8179-D1568098546B}"/>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Prioritariamente inclinados</c:v>
                </c:pt>
                <c:pt idx="1">
                  <c:v>Prioritariamente perpendiculares</c:v>
                </c:pt>
                <c:pt idx="2">
                  <c:v>Outra resposta. Ambos</c:v>
                </c:pt>
              </c:strCache>
            </c:strRef>
          </c:cat>
          <c:val>
            <c:numRef>
              <c:f>0</c:f>
              <c:numCache>
                <c:formatCode>General</c:formatCode>
                <c:ptCount val="3"/>
                <c:pt idx="0">
                  <c:v>31</c:v>
                </c:pt>
                <c:pt idx="1">
                  <c:v>12</c:v>
                </c:pt>
                <c:pt idx="2">
                  <c:v>7</c:v>
                </c:pt>
              </c:numCache>
            </c:numRef>
          </c:val>
          <c:extLst>
            <c:ext xmlns:c16="http://schemas.microsoft.com/office/drawing/2014/chart" uri="{C3380CC4-5D6E-409C-BE32-E72D297353CC}">
              <c16:uniqueId val="{00000006-5599-4356-8179-D1568098546B}"/>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1862499999999998"/>
          <c:y val="0.191"/>
          <c:w val="0.30495655978498698"/>
          <c:h val="0.65640626736303997"/>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95625"/>
          <c:y val="0.10811111111111101"/>
          <c:w val="0.35799999999999998"/>
          <c:h val="0.87788888888888905"/>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9010-4A31-B537-05828A9ECC7A}"/>
              </c:ext>
            </c:extLst>
          </c:dPt>
          <c:dPt>
            <c:idx val="1"/>
            <c:bubble3D val="0"/>
            <c:spPr>
              <a:solidFill>
                <a:srgbClr val="8064A2"/>
              </a:solidFill>
              <a:ln w="0">
                <a:noFill/>
              </a:ln>
            </c:spPr>
            <c:extLst>
              <c:ext xmlns:c16="http://schemas.microsoft.com/office/drawing/2014/chart" uri="{C3380CC4-5D6E-409C-BE32-E72D297353CC}">
                <c16:uniqueId val="{00000003-9010-4A31-B537-05828A9ECC7A}"/>
              </c:ext>
            </c:extLst>
          </c:dPt>
          <c:dPt>
            <c:idx val="2"/>
            <c:bubble3D val="0"/>
            <c:spPr>
              <a:solidFill>
                <a:srgbClr val="948A54"/>
              </a:solidFill>
              <a:ln w="0">
                <a:noFill/>
              </a:ln>
            </c:spPr>
            <c:extLst>
              <c:ext xmlns:c16="http://schemas.microsoft.com/office/drawing/2014/chart" uri="{C3380CC4-5D6E-409C-BE32-E72D297353CC}">
                <c16:uniqueId val="{00000005-9010-4A31-B537-05828A9ECC7A}"/>
              </c:ext>
            </c:extLst>
          </c:dPt>
          <c:dPt>
            <c:idx val="3"/>
            <c:bubble3D val="0"/>
            <c:spPr>
              <a:solidFill>
                <a:srgbClr val="772C2A"/>
              </a:solidFill>
              <a:ln w="0">
                <a:noFill/>
              </a:ln>
            </c:spPr>
            <c:extLst>
              <c:ext xmlns:c16="http://schemas.microsoft.com/office/drawing/2014/chart" uri="{C3380CC4-5D6E-409C-BE32-E72D297353CC}">
                <c16:uniqueId val="{00000007-9010-4A31-B537-05828A9ECC7A}"/>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9010-4A31-B537-05828A9ECC7A}"/>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9010-4A31-B537-05828A9ECC7A}"/>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9010-4A31-B537-05828A9ECC7A}"/>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9010-4A31-B537-05828A9ECC7A}"/>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Acentuado. Consideravelmente acima da altura do cotovelo</c:v>
                </c:pt>
                <c:pt idx="1">
                  <c:v>Moderado</c:v>
                </c:pt>
                <c:pt idx="2">
                  <c:v>Mínimo. Manutenção do pulso no eixo do braço e da mão</c:v>
                </c:pt>
                <c:pt idx="3">
                  <c:v>Outra resposta. Variável</c:v>
                </c:pt>
              </c:strCache>
            </c:strRef>
          </c:cat>
          <c:val>
            <c:numRef>
              <c:f>0</c:f>
              <c:numCache>
                <c:formatCode>General</c:formatCode>
                <c:ptCount val="4"/>
                <c:pt idx="0">
                  <c:v>6</c:v>
                </c:pt>
                <c:pt idx="1">
                  <c:v>35</c:v>
                </c:pt>
                <c:pt idx="2">
                  <c:v>8</c:v>
                </c:pt>
                <c:pt idx="3">
                  <c:v>1</c:v>
                </c:pt>
              </c:numCache>
            </c:numRef>
          </c:val>
          <c:extLst>
            <c:ext xmlns:c16="http://schemas.microsoft.com/office/drawing/2014/chart" uri="{C3380CC4-5D6E-409C-BE32-E72D297353CC}">
              <c16:uniqueId val="{00000008-9010-4A31-B537-05828A9ECC7A}"/>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6156249999999996"/>
          <c:y val="7.2999999999999995E-2"/>
          <c:w val="0.38896181011313202"/>
          <c:h val="0.893765973997111"/>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1525000000000001"/>
          <c:y val="0.11255555555555601"/>
          <c:w val="0.36206250000000001"/>
          <c:h val="0.73055555555555596"/>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D641-4FB7-BCE9-50F6D7AB01A5}"/>
              </c:ext>
            </c:extLst>
          </c:dPt>
          <c:dPt>
            <c:idx val="1"/>
            <c:bubble3D val="0"/>
            <c:spPr>
              <a:solidFill>
                <a:srgbClr val="8064A2"/>
              </a:solidFill>
              <a:ln w="0">
                <a:noFill/>
              </a:ln>
            </c:spPr>
            <c:extLst>
              <c:ext xmlns:c16="http://schemas.microsoft.com/office/drawing/2014/chart" uri="{C3380CC4-5D6E-409C-BE32-E72D297353CC}">
                <c16:uniqueId val="{00000003-D641-4FB7-BCE9-50F6D7AB01A5}"/>
              </c:ext>
            </c:extLst>
          </c:dPt>
          <c:dPt>
            <c:idx val="2"/>
            <c:bubble3D val="0"/>
            <c:spPr>
              <a:solidFill>
                <a:srgbClr val="948A54"/>
              </a:solidFill>
              <a:ln w="0">
                <a:noFill/>
              </a:ln>
            </c:spPr>
            <c:extLst>
              <c:ext xmlns:c16="http://schemas.microsoft.com/office/drawing/2014/chart" uri="{C3380CC4-5D6E-409C-BE32-E72D297353CC}">
                <c16:uniqueId val="{00000005-D641-4FB7-BCE9-50F6D7AB01A5}"/>
              </c:ext>
            </c:extLst>
          </c:dPt>
          <c:dPt>
            <c:idx val="3"/>
            <c:bubble3D val="0"/>
            <c:spPr>
              <a:solidFill>
                <a:srgbClr val="772C2A"/>
              </a:solidFill>
              <a:ln w="0">
                <a:noFill/>
              </a:ln>
            </c:spPr>
            <c:extLst>
              <c:ext xmlns:c16="http://schemas.microsoft.com/office/drawing/2014/chart" uri="{C3380CC4-5D6E-409C-BE32-E72D297353CC}">
                <c16:uniqueId val="{00000007-D641-4FB7-BCE9-50F6D7AB01A5}"/>
              </c:ext>
            </c:extLst>
          </c:dPt>
          <c:dLbls>
            <c:dLbl>
              <c:idx val="0"/>
              <c:spPr/>
              <c:txPr>
                <a:bodyPr wrap="square"/>
                <a:lstStyle/>
                <a:p>
                  <a:pPr>
                    <a:defRPr sz="1000" b="0"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D641-4FB7-BCE9-50F6D7AB01A5}"/>
                </c:ext>
              </c:extLst>
            </c:dLbl>
            <c:dLbl>
              <c:idx val="1"/>
              <c:spPr/>
              <c:txPr>
                <a:bodyPr wrap="square"/>
                <a:lstStyle/>
                <a:p>
                  <a:pPr>
                    <a:defRPr sz="1000" b="0"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D641-4FB7-BCE9-50F6D7AB01A5}"/>
                </c:ext>
              </c:extLst>
            </c:dLbl>
            <c:dLbl>
              <c:idx val="2"/>
              <c:spPr/>
              <c:txPr>
                <a:bodyPr wrap="square"/>
                <a:lstStyle/>
                <a:p>
                  <a:pPr>
                    <a:defRPr sz="1000" b="0"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D641-4FB7-BCE9-50F6D7AB01A5}"/>
                </c:ext>
              </c:extLst>
            </c:dLbl>
            <c:dLbl>
              <c:idx val="3"/>
              <c:spPr/>
              <c:txPr>
                <a:bodyPr wrap="square"/>
                <a:lstStyle/>
                <a:p>
                  <a:pPr>
                    <a:defRPr sz="1000" b="0"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D641-4FB7-BCE9-50F6D7AB01A5}"/>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Prioritariamente plano</c:v>
                </c:pt>
                <c:pt idx="1">
                  <c:v>Prioritariamente inclinado</c:v>
                </c:pt>
                <c:pt idx="2">
                  <c:v>Inclinado ao se aproximar do talão</c:v>
                </c:pt>
                <c:pt idx="3">
                  <c:v>Outra resposta. Variável</c:v>
                </c:pt>
              </c:strCache>
            </c:strRef>
          </c:cat>
          <c:val>
            <c:numRef>
              <c:f>0</c:f>
              <c:numCache>
                <c:formatCode>General</c:formatCode>
                <c:ptCount val="4"/>
                <c:pt idx="0">
                  <c:v>10</c:v>
                </c:pt>
                <c:pt idx="1">
                  <c:v>20</c:v>
                </c:pt>
                <c:pt idx="2">
                  <c:v>13</c:v>
                </c:pt>
                <c:pt idx="3">
                  <c:v>7</c:v>
                </c:pt>
              </c:numCache>
            </c:numRef>
          </c:val>
          <c:extLst>
            <c:ext xmlns:c16="http://schemas.microsoft.com/office/drawing/2014/chart" uri="{C3380CC4-5D6E-409C-BE32-E72D297353CC}">
              <c16:uniqueId val="{00000008-D641-4FB7-BCE9-50F6D7AB01A5}"/>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4368749999999999"/>
          <c:y val="0.13800000000000001"/>
          <c:w val="0.34802175135946001"/>
          <c:h val="0.72863651516835204"/>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9.8062499999999997E-2"/>
          <c:y val="0.112444444444444"/>
          <c:w val="0.3480625"/>
          <c:h val="0.74522222222222201"/>
        </c:manualLayout>
      </c:layout>
      <c:pieChart>
        <c:varyColors val="1"/>
        <c:ser>
          <c:idx val="0"/>
          <c:order val="0"/>
          <c:tx>
            <c:strRef>
              <c:f>label 0</c:f>
              <c:strCache>
                <c:ptCount val="1"/>
                <c:pt idx="0">
                  <c:v>Série 1</c:v>
                </c:pt>
              </c:strCache>
            </c:strRef>
          </c:tx>
          <c:spPr>
            <a:solidFill>
              <a:srgbClr val="C0504D"/>
            </a:solidFill>
            <a:ln w="0">
              <a:noFill/>
            </a:ln>
          </c:spPr>
          <c:dPt>
            <c:idx val="0"/>
            <c:bubble3D val="0"/>
            <c:extLst>
              <c:ext xmlns:c16="http://schemas.microsoft.com/office/drawing/2014/chart" uri="{C3380CC4-5D6E-409C-BE32-E72D297353CC}">
                <c16:uniqueId val="{00000001-ACBC-4104-BF86-98FFD8B254E1}"/>
              </c:ext>
            </c:extLst>
          </c:dPt>
          <c:dPt>
            <c:idx val="1"/>
            <c:bubble3D val="0"/>
            <c:spPr>
              <a:solidFill>
                <a:srgbClr val="8064A2"/>
              </a:solidFill>
              <a:ln w="0">
                <a:noFill/>
              </a:ln>
            </c:spPr>
            <c:extLst>
              <c:ext xmlns:c16="http://schemas.microsoft.com/office/drawing/2014/chart" uri="{C3380CC4-5D6E-409C-BE32-E72D297353CC}">
                <c16:uniqueId val="{00000003-ACBC-4104-BF86-98FFD8B254E1}"/>
              </c:ext>
            </c:extLst>
          </c:dPt>
          <c:dPt>
            <c:idx val="2"/>
            <c:bubble3D val="0"/>
            <c:spPr>
              <a:solidFill>
                <a:srgbClr val="948A54"/>
              </a:solidFill>
              <a:ln w="0">
                <a:noFill/>
              </a:ln>
            </c:spPr>
            <c:extLst>
              <c:ext xmlns:c16="http://schemas.microsoft.com/office/drawing/2014/chart" uri="{C3380CC4-5D6E-409C-BE32-E72D297353CC}">
                <c16:uniqueId val="{00000005-ACBC-4104-BF86-98FFD8B254E1}"/>
              </c:ext>
            </c:extLst>
          </c:dPt>
          <c:dPt>
            <c:idx val="3"/>
            <c:bubble3D val="0"/>
            <c:spPr>
              <a:solidFill>
                <a:srgbClr val="772C2A"/>
              </a:solidFill>
              <a:ln w="0">
                <a:noFill/>
              </a:ln>
            </c:spPr>
            <c:extLst>
              <c:ext xmlns:c16="http://schemas.microsoft.com/office/drawing/2014/chart" uri="{C3380CC4-5D6E-409C-BE32-E72D297353CC}">
                <c16:uniqueId val="{00000007-ACBC-4104-BF86-98FFD8B254E1}"/>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ACBC-4104-BF86-98FFD8B254E1}"/>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ACBC-4104-BF86-98FFD8B254E1}"/>
                </c:ext>
              </c:extLst>
            </c:dLbl>
            <c:dLbl>
              <c:idx val="2"/>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ACBC-4104-BF86-98FFD8B254E1}"/>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ACBC-4104-BF86-98FFD8B254E1}"/>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Prioritariamente com o apoio da cabeça e com pouco auxílio da mão esquerda</c:v>
                </c:pt>
                <c:pt idx="1">
                  <c:v>Prioritariamente com a mão esquerda e com pouco auxílio da cabeça</c:v>
                </c:pt>
                <c:pt idx="2">
                  <c:v>Com suporte equilibrado entre a cabeça e a mão esquerda. </c:v>
                </c:pt>
                <c:pt idx="3">
                  <c:v>Outra resposta. Variável</c:v>
                </c:pt>
              </c:strCache>
            </c:strRef>
          </c:cat>
          <c:val>
            <c:numRef>
              <c:f>0</c:f>
              <c:numCache>
                <c:formatCode>General</c:formatCode>
                <c:ptCount val="4"/>
                <c:pt idx="0">
                  <c:v>18</c:v>
                </c:pt>
                <c:pt idx="1">
                  <c:v>6</c:v>
                </c:pt>
                <c:pt idx="2">
                  <c:v>24</c:v>
                </c:pt>
                <c:pt idx="3">
                  <c:v>2</c:v>
                </c:pt>
              </c:numCache>
            </c:numRef>
          </c:val>
          <c:extLst>
            <c:ext xmlns:c16="http://schemas.microsoft.com/office/drawing/2014/chart" uri="{C3380CC4-5D6E-409C-BE32-E72D297353CC}">
              <c16:uniqueId val="{00000008-ACBC-4104-BF86-98FFD8B254E1}"/>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A-ACBC-4104-BF86-98FFD8B254E1}"/>
              </c:ext>
            </c:extLst>
          </c:dPt>
          <c:dPt>
            <c:idx val="1"/>
            <c:bubble3D val="0"/>
            <c:spPr>
              <a:solidFill>
                <a:srgbClr val="8064A2"/>
              </a:solidFill>
              <a:ln w="0">
                <a:noFill/>
              </a:ln>
            </c:spPr>
            <c:extLst>
              <c:ext xmlns:c16="http://schemas.microsoft.com/office/drawing/2014/chart" uri="{C3380CC4-5D6E-409C-BE32-E72D297353CC}">
                <c16:uniqueId val="{0000000C-ACBC-4104-BF86-98FFD8B254E1}"/>
              </c:ext>
            </c:extLst>
          </c:dPt>
          <c:dPt>
            <c:idx val="2"/>
            <c:bubble3D val="0"/>
            <c:spPr>
              <a:solidFill>
                <a:srgbClr val="948A54"/>
              </a:solidFill>
              <a:ln w="0">
                <a:noFill/>
              </a:ln>
            </c:spPr>
            <c:extLst>
              <c:ext xmlns:c16="http://schemas.microsoft.com/office/drawing/2014/chart" uri="{C3380CC4-5D6E-409C-BE32-E72D297353CC}">
                <c16:uniqueId val="{0000000E-ACBC-4104-BF86-98FFD8B254E1}"/>
              </c:ext>
            </c:extLst>
          </c:dPt>
          <c:dPt>
            <c:idx val="3"/>
            <c:bubble3D val="0"/>
            <c:spPr>
              <a:solidFill>
                <a:srgbClr val="772C2A"/>
              </a:solidFill>
              <a:ln w="0">
                <a:noFill/>
              </a:ln>
            </c:spPr>
            <c:extLst>
              <c:ext xmlns:c16="http://schemas.microsoft.com/office/drawing/2014/chart" uri="{C3380CC4-5D6E-409C-BE32-E72D297353CC}">
                <c16:uniqueId val="{00000010-ACBC-4104-BF86-98FFD8B254E1}"/>
              </c:ext>
            </c:extLst>
          </c:dPt>
          <c:dLbls>
            <c:dLbl>
              <c:idx val="0"/>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ACBC-4104-BF86-98FFD8B254E1}"/>
                </c:ext>
              </c:extLst>
            </c:dLbl>
            <c:dLbl>
              <c:idx val="1"/>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ACBC-4104-BF86-98FFD8B254E1}"/>
                </c:ext>
              </c:extLst>
            </c:dLbl>
            <c:dLbl>
              <c:idx val="2"/>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E-ACBC-4104-BF86-98FFD8B254E1}"/>
                </c:ext>
              </c:extLst>
            </c:dLbl>
            <c:dLbl>
              <c:idx val="3"/>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10-ACBC-4104-BF86-98FFD8B254E1}"/>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Prioritariamente com o apoio da cabeça e com pouco auxílio da mão esquerda</c:v>
                </c:pt>
                <c:pt idx="1">
                  <c:v>Prioritariamente com a mão esquerda e com pouco auxílio da cabeça</c:v>
                </c:pt>
                <c:pt idx="2">
                  <c:v>Com suporte equilibrado entre a cabeça e a mão esquerda. </c:v>
                </c:pt>
                <c:pt idx="3">
                  <c:v>Outra resposta. Variável</c:v>
                </c:pt>
              </c:strCache>
            </c:strRef>
          </c:cat>
          <c:val>
            <c:numRef>
              <c:f>1</c:f>
              <c:numCache>
                <c:formatCode>General</c:formatCode>
                <c:ptCount val="4"/>
                <c:pt idx="0">
                  <c:v>5</c:v>
                </c:pt>
                <c:pt idx="1">
                  <c:v>39</c:v>
                </c:pt>
                <c:pt idx="2">
                  <c:v>4</c:v>
                </c:pt>
                <c:pt idx="3">
                  <c:v>2</c:v>
                </c:pt>
              </c:numCache>
            </c:numRef>
          </c:val>
          <c:extLst>
            <c:ext xmlns:c16="http://schemas.microsoft.com/office/drawing/2014/chart" uri="{C3380CC4-5D6E-409C-BE32-E72D297353CC}">
              <c16:uniqueId val="{00000011-ACBC-4104-BF86-98FFD8B254E1}"/>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2093750000000005"/>
          <c:y val="0.13600000000000001"/>
          <c:w val="0.35833489593099599"/>
          <c:h val="0.86387376375152802"/>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5112500000000001"/>
          <c:y val="0.119888888888889"/>
          <c:w val="0.35218749999999999"/>
          <c:h val="0.77100000000000002"/>
        </c:manualLayout>
      </c:layout>
      <c:pieChart>
        <c:varyColors val="1"/>
        <c:ser>
          <c:idx val="0"/>
          <c:order val="0"/>
          <c:tx>
            <c:strRef>
              <c:f>label 0</c:f>
              <c:strCache>
                <c:ptCount val="1"/>
                <c:pt idx="0">
                  <c:v>Série 1</c:v>
                </c:pt>
              </c:strCache>
            </c:strRef>
          </c:tx>
          <c:spPr>
            <a:solidFill>
              <a:srgbClr val="4F81BD"/>
            </a:solidFill>
            <a:ln w="0">
              <a:noFill/>
            </a:ln>
          </c:spPr>
          <c:explosion val="1"/>
          <c:dPt>
            <c:idx val="0"/>
            <c:bubble3D val="0"/>
            <c:spPr>
              <a:solidFill>
                <a:srgbClr val="C0504D"/>
              </a:solidFill>
              <a:ln w="0">
                <a:noFill/>
              </a:ln>
            </c:spPr>
            <c:extLst>
              <c:ext xmlns:c16="http://schemas.microsoft.com/office/drawing/2014/chart" uri="{C3380CC4-5D6E-409C-BE32-E72D297353CC}">
                <c16:uniqueId val="{00000001-8F51-4EB6-BAC0-C55D5C4DC33A}"/>
              </c:ext>
            </c:extLst>
          </c:dPt>
          <c:dPt>
            <c:idx val="1"/>
            <c:bubble3D val="0"/>
            <c:spPr>
              <a:solidFill>
                <a:srgbClr val="8064A2"/>
              </a:solidFill>
              <a:ln w="0">
                <a:noFill/>
              </a:ln>
            </c:spPr>
            <c:extLst>
              <c:ext xmlns:c16="http://schemas.microsoft.com/office/drawing/2014/chart" uri="{C3380CC4-5D6E-409C-BE32-E72D297353CC}">
                <c16:uniqueId val="{00000003-8F51-4EB6-BAC0-C55D5C4DC33A}"/>
              </c:ext>
            </c:extLst>
          </c:dPt>
          <c:dPt>
            <c:idx val="2"/>
            <c:bubble3D val="0"/>
            <c:spPr>
              <a:solidFill>
                <a:srgbClr val="948A54"/>
              </a:solidFill>
              <a:ln w="0">
                <a:noFill/>
              </a:ln>
            </c:spPr>
            <c:extLst>
              <c:ext xmlns:c16="http://schemas.microsoft.com/office/drawing/2014/chart" uri="{C3380CC4-5D6E-409C-BE32-E72D297353CC}">
                <c16:uniqueId val="{00000005-8F51-4EB6-BAC0-C55D5C4DC33A}"/>
              </c:ext>
            </c:extLst>
          </c:dPt>
          <c:dPt>
            <c:idx val="3"/>
            <c:bubble3D val="0"/>
            <c:spPr>
              <a:solidFill>
                <a:srgbClr val="772C2A"/>
              </a:solidFill>
              <a:ln w="0">
                <a:noFill/>
              </a:ln>
            </c:spPr>
            <c:extLst>
              <c:ext xmlns:c16="http://schemas.microsoft.com/office/drawing/2014/chart" uri="{C3380CC4-5D6E-409C-BE32-E72D297353CC}">
                <c16:uniqueId val="{00000007-8F51-4EB6-BAC0-C55D5C4DC33A}"/>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8F51-4EB6-BAC0-C55D5C4DC33A}"/>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8F51-4EB6-BAC0-C55D5C4DC33A}"/>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8F51-4EB6-BAC0-C55D5C4DC33A}"/>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8F51-4EB6-BAC0-C55D5C4DC33A}"/>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Voluta mais baixa do que o plano horizontal</c:v>
                </c:pt>
                <c:pt idx="1">
                  <c:v>Horizontal (paralelo em relação ao solo) </c:v>
                </c:pt>
                <c:pt idx="2">
                  <c:v>Voluta mais elevada do que o plano horizontal</c:v>
                </c:pt>
                <c:pt idx="3">
                  <c:v>Outra resposta. Variável</c:v>
                </c:pt>
              </c:strCache>
            </c:strRef>
          </c:cat>
          <c:val>
            <c:numRef>
              <c:f>0</c:f>
              <c:numCache>
                <c:formatCode>General</c:formatCode>
                <c:ptCount val="4"/>
                <c:pt idx="0">
                  <c:v>5</c:v>
                </c:pt>
                <c:pt idx="1">
                  <c:v>39</c:v>
                </c:pt>
                <c:pt idx="2">
                  <c:v>4</c:v>
                </c:pt>
                <c:pt idx="3">
                  <c:v>2</c:v>
                </c:pt>
              </c:numCache>
            </c:numRef>
          </c:val>
          <c:extLst>
            <c:ext xmlns:c16="http://schemas.microsoft.com/office/drawing/2014/chart" uri="{C3380CC4-5D6E-409C-BE32-E72D297353CC}">
              <c16:uniqueId val="{00000008-8F51-4EB6-BAC0-C55D5C4DC33A}"/>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6837499999999996"/>
          <c:y val="0.137777777777778"/>
          <c:w val="0.34652165760359999"/>
          <c:h val="0.73441493499277699"/>
        </c:manualLayout>
      </c:layout>
      <c:overlay val="0"/>
      <c:spPr>
        <a:solidFill>
          <a:srgbClr val="FFFFFF">
            <a:alpha val="39000"/>
          </a:srgbClr>
        </a:solid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23125"/>
          <c:y val="5.8000000000000003E-2"/>
          <c:w val="0.28187499999999999"/>
          <c:h val="0.81211111111111101"/>
        </c:manualLayout>
      </c:layout>
      <c:pieChart>
        <c:varyColors val="1"/>
        <c:ser>
          <c:idx val="0"/>
          <c:order val="0"/>
          <c:tx>
            <c:strRef>
              <c:f>label 0</c:f>
              <c:strCache>
                <c:ptCount val="1"/>
                <c:pt idx="0">
                  <c:v>Série 1</c:v>
                </c:pt>
              </c:strCache>
            </c:strRef>
          </c:tx>
          <c:spPr>
            <a:solidFill>
              <a:srgbClr val="C0504D"/>
            </a:solidFill>
            <a:ln w="0">
              <a:noFill/>
            </a:ln>
          </c:spPr>
          <c:dPt>
            <c:idx val="0"/>
            <c:bubble3D val="0"/>
            <c:extLst>
              <c:ext xmlns:c16="http://schemas.microsoft.com/office/drawing/2014/chart" uri="{C3380CC4-5D6E-409C-BE32-E72D297353CC}">
                <c16:uniqueId val="{00000001-E70E-44B6-9CF1-6185CE21D55E}"/>
              </c:ext>
            </c:extLst>
          </c:dPt>
          <c:dPt>
            <c:idx val="1"/>
            <c:bubble3D val="0"/>
            <c:spPr>
              <a:solidFill>
                <a:srgbClr val="8064A2"/>
              </a:solidFill>
              <a:ln w="0">
                <a:noFill/>
              </a:ln>
            </c:spPr>
            <c:extLst>
              <c:ext xmlns:c16="http://schemas.microsoft.com/office/drawing/2014/chart" uri="{C3380CC4-5D6E-409C-BE32-E72D297353CC}">
                <c16:uniqueId val="{00000003-E70E-44B6-9CF1-6185CE21D55E}"/>
              </c:ext>
            </c:extLst>
          </c:dPt>
          <c:dPt>
            <c:idx val="2"/>
            <c:bubble3D val="0"/>
            <c:spPr>
              <a:solidFill>
                <a:srgbClr val="948A54"/>
              </a:solidFill>
              <a:ln w="0">
                <a:noFill/>
              </a:ln>
            </c:spPr>
            <c:extLst>
              <c:ext xmlns:c16="http://schemas.microsoft.com/office/drawing/2014/chart" uri="{C3380CC4-5D6E-409C-BE32-E72D297353CC}">
                <c16:uniqueId val="{00000005-E70E-44B6-9CF1-6185CE21D55E}"/>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E70E-44B6-9CF1-6185CE21D55E}"/>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E70E-44B6-9CF1-6185CE21D55E}"/>
                </c:ext>
              </c:extLst>
            </c:dLbl>
            <c:dLbl>
              <c:idx val="2"/>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E70E-44B6-9CF1-6185CE21D55E}"/>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Ao lado do estandarte</c:v>
                </c:pt>
                <c:pt idx="1">
                  <c:v>Entre o lado esquerdo e o estandarte</c:v>
                </c:pt>
                <c:pt idx="2">
                  <c:v>Ao centro (queixeira central)</c:v>
                </c:pt>
              </c:strCache>
            </c:strRef>
          </c:cat>
          <c:val>
            <c:numRef>
              <c:f>0</c:f>
              <c:numCache>
                <c:formatCode>General</c:formatCode>
                <c:ptCount val="3"/>
                <c:pt idx="0">
                  <c:v>11</c:v>
                </c:pt>
                <c:pt idx="1">
                  <c:v>36</c:v>
                </c:pt>
                <c:pt idx="2">
                  <c:v>3</c:v>
                </c:pt>
              </c:numCache>
            </c:numRef>
          </c:val>
          <c:extLst>
            <c:ext xmlns:c16="http://schemas.microsoft.com/office/drawing/2014/chart" uri="{C3380CC4-5D6E-409C-BE32-E72D297353CC}">
              <c16:uniqueId val="{00000006-E70E-44B6-9CF1-6185CE21D55E}"/>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8-E70E-44B6-9CF1-6185CE21D55E}"/>
              </c:ext>
            </c:extLst>
          </c:dPt>
          <c:dPt>
            <c:idx val="1"/>
            <c:bubble3D val="0"/>
            <c:spPr>
              <a:solidFill>
                <a:srgbClr val="8064A2"/>
              </a:solidFill>
              <a:ln w="0">
                <a:noFill/>
              </a:ln>
            </c:spPr>
            <c:extLst>
              <c:ext xmlns:c16="http://schemas.microsoft.com/office/drawing/2014/chart" uri="{C3380CC4-5D6E-409C-BE32-E72D297353CC}">
                <c16:uniqueId val="{0000000A-E70E-44B6-9CF1-6185CE21D55E}"/>
              </c:ext>
            </c:extLst>
          </c:dPt>
          <c:dPt>
            <c:idx val="2"/>
            <c:bubble3D val="0"/>
            <c:spPr>
              <a:solidFill>
                <a:srgbClr val="948A54"/>
              </a:solidFill>
              <a:ln w="0">
                <a:noFill/>
              </a:ln>
            </c:spPr>
            <c:extLst>
              <c:ext xmlns:c16="http://schemas.microsoft.com/office/drawing/2014/chart" uri="{C3380CC4-5D6E-409C-BE32-E72D297353CC}">
                <c16:uniqueId val="{0000000C-E70E-44B6-9CF1-6185CE21D55E}"/>
              </c:ext>
            </c:extLst>
          </c:dPt>
          <c:dLbls>
            <c:dLbl>
              <c:idx val="0"/>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8-E70E-44B6-9CF1-6185CE21D55E}"/>
                </c:ext>
              </c:extLst>
            </c:dLbl>
            <c:dLbl>
              <c:idx val="1"/>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E70E-44B6-9CF1-6185CE21D55E}"/>
                </c:ext>
              </c:extLst>
            </c:dLbl>
            <c:dLbl>
              <c:idx val="2"/>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E70E-44B6-9CF1-6185CE21D55E}"/>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Ao lado do estandarte</c:v>
                </c:pt>
                <c:pt idx="1">
                  <c:v>Entre o lado esquerdo e o estandarte</c:v>
                </c:pt>
                <c:pt idx="2">
                  <c:v>Ao centro (queixeira central)</c:v>
                </c:pt>
              </c:strCache>
            </c:strRef>
          </c:cat>
          <c:val>
            <c:numRef>
              <c:f>1</c:f>
              <c:numCache>
                <c:formatCode>General</c:formatCode>
                <c:ptCount val="3"/>
                <c:pt idx="0">
                  <c:v>11</c:v>
                </c:pt>
                <c:pt idx="1">
                  <c:v>36</c:v>
                </c:pt>
                <c:pt idx="2">
                  <c:v>3</c:v>
                </c:pt>
              </c:numCache>
            </c:numRef>
          </c:val>
          <c:extLst>
            <c:ext xmlns:c16="http://schemas.microsoft.com/office/drawing/2014/chart" uri="{C3380CC4-5D6E-409C-BE32-E72D297353CC}">
              <c16:uniqueId val="{0000000D-E70E-44B6-9CF1-6185CE21D55E}"/>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46012500000000001"/>
          <c:y val="0.12966666666666701"/>
          <c:w val="0.33489593099568699"/>
          <c:h val="0.59428825425047205"/>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4031250000000001"/>
          <c:y val="0.114111111111111"/>
          <c:w val="0.3163125"/>
          <c:h val="0.75688888888888906"/>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6E96-45D7-9E0D-7294E5E13BB8}"/>
              </c:ext>
            </c:extLst>
          </c:dPt>
          <c:dPt>
            <c:idx val="1"/>
            <c:bubble3D val="0"/>
            <c:spPr>
              <a:solidFill>
                <a:srgbClr val="8064A2"/>
              </a:solidFill>
              <a:ln w="0">
                <a:noFill/>
              </a:ln>
            </c:spPr>
            <c:extLst>
              <c:ext xmlns:c16="http://schemas.microsoft.com/office/drawing/2014/chart" uri="{C3380CC4-5D6E-409C-BE32-E72D297353CC}">
                <c16:uniqueId val="{00000003-6E96-45D7-9E0D-7294E5E13BB8}"/>
              </c:ext>
            </c:extLst>
          </c:dPt>
          <c:dPt>
            <c:idx val="2"/>
            <c:bubble3D val="0"/>
            <c:spPr>
              <a:solidFill>
                <a:srgbClr val="948A54"/>
              </a:solidFill>
              <a:ln w="0">
                <a:noFill/>
              </a:ln>
            </c:spPr>
            <c:extLst>
              <c:ext xmlns:c16="http://schemas.microsoft.com/office/drawing/2014/chart" uri="{C3380CC4-5D6E-409C-BE32-E72D297353CC}">
                <c16:uniqueId val="{00000005-6E96-45D7-9E0D-7294E5E13BB8}"/>
              </c:ext>
            </c:extLst>
          </c:dPt>
          <c:dPt>
            <c:idx val="3"/>
            <c:bubble3D val="0"/>
            <c:spPr>
              <a:solidFill>
                <a:srgbClr val="772C2A"/>
              </a:solidFill>
              <a:ln w="0">
                <a:noFill/>
              </a:ln>
            </c:spPr>
            <c:extLst>
              <c:ext xmlns:c16="http://schemas.microsoft.com/office/drawing/2014/chart" uri="{C3380CC4-5D6E-409C-BE32-E72D297353CC}">
                <c16:uniqueId val="{00000007-6E96-45D7-9E0D-7294E5E13BB8}"/>
              </c:ext>
            </c:extLst>
          </c:dPt>
          <c:dLbls>
            <c:dLbl>
              <c:idx val="0"/>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1-6E96-45D7-9E0D-7294E5E13BB8}"/>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6E96-45D7-9E0D-7294E5E13BB8}"/>
                </c:ext>
              </c:extLst>
            </c:dLbl>
            <c:dLbl>
              <c:idx val="2"/>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5-6E96-45D7-9E0D-7294E5E13BB8}"/>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6E96-45D7-9E0D-7294E5E13BB8}"/>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Voltada para frente</c:v>
                </c:pt>
                <c:pt idx="1">
                  <c:v>Entre o centro e o espelho</c:v>
                </c:pt>
                <c:pt idx="2">
                  <c:v>Voltada para a direção do espelho</c:v>
                </c:pt>
                <c:pt idx="3">
                  <c:v>Outra resposta. Variável</c:v>
                </c:pt>
              </c:strCache>
            </c:strRef>
          </c:cat>
          <c:val>
            <c:numRef>
              <c:f>0</c:f>
              <c:numCache>
                <c:formatCode>General</c:formatCode>
                <c:ptCount val="4"/>
                <c:pt idx="0">
                  <c:v>10</c:v>
                </c:pt>
                <c:pt idx="1">
                  <c:v>23</c:v>
                </c:pt>
                <c:pt idx="2">
                  <c:v>11</c:v>
                </c:pt>
                <c:pt idx="3">
                  <c:v>6</c:v>
                </c:pt>
              </c:numCache>
            </c:numRef>
          </c:val>
          <c:extLst>
            <c:ext xmlns:c16="http://schemas.microsoft.com/office/drawing/2014/chart" uri="{C3380CC4-5D6E-409C-BE32-E72D297353CC}">
              <c16:uniqueId val="{00000008-6E96-45D7-9E0D-7294E5E13BB8}"/>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4810625"/>
          <c:y val="0.173777777777778"/>
          <c:w val="0.33683355209700599"/>
          <c:h val="0.72174686076230699"/>
        </c:manualLayout>
      </c:layout>
      <c:overlay val="0"/>
      <c:spPr>
        <a:solidFill>
          <a:srgbClr val="FFFFFF">
            <a:alpha val="39000"/>
          </a:srgbClr>
        </a:solid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solidFill>
        <a:srgbClr val="FFFFFF"/>
      </a:solidFill>
      <a:round/>
    </a:ln>
  </c:spPr>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7.7562500000000006E-2"/>
          <c:y val="8.9333333333333306E-2"/>
          <c:w val="0.4405"/>
          <c:h val="0.87866666666666704"/>
        </c:manualLayout>
      </c:layout>
      <c:pieChart>
        <c:varyColors val="1"/>
        <c:ser>
          <c:idx val="0"/>
          <c:order val="0"/>
          <c:tx>
            <c:strRef>
              <c:f>label 0</c:f>
              <c:strCache>
                <c:ptCount val="1"/>
                <c:pt idx="0">
                  <c:v>Série 1</c:v>
                </c:pt>
              </c:strCache>
            </c:strRef>
          </c:tx>
          <c:spPr>
            <a:solidFill>
              <a:srgbClr val="C0504D"/>
            </a:solidFill>
            <a:ln w="0">
              <a:noFill/>
            </a:ln>
          </c:spPr>
          <c:explosion val="1"/>
          <c:dPt>
            <c:idx val="0"/>
            <c:bubble3D val="0"/>
            <c:extLst>
              <c:ext xmlns:c16="http://schemas.microsoft.com/office/drawing/2014/chart" uri="{C3380CC4-5D6E-409C-BE32-E72D297353CC}">
                <c16:uniqueId val="{00000001-CEB2-4127-A794-B7CA01BE6960}"/>
              </c:ext>
            </c:extLst>
          </c:dPt>
          <c:dPt>
            <c:idx val="1"/>
            <c:bubble3D val="0"/>
            <c:spPr>
              <a:solidFill>
                <a:srgbClr val="8064A2"/>
              </a:solidFill>
              <a:ln w="0">
                <a:noFill/>
              </a:ln>
            </c:spPr>
            <c:extLst>
              <c:ext xmlns:c16="http://schemas.microsoft.com/office/drawing/2014/chart" uri="{C3380CC4-5D6E-409C-BE32-E72D297353CC}">
                <c16:uniqueId val="{00000003-CEB2-4127-A794-B7CA01BE6960}"/>
              </c:ext>
            </c:extLst>
          </c:dPt>
          <c:dPt>
            <c:idx val="2"/>
            <c:bubble3D val="0"/>
            <c:spPr>
              <a:solidFill>
                <a:srgbClr val="948A54"/>
              </a:solidFill>
              <a:ln w="0">
                <a:noFill/>
              </a:ln>
            </c:spPr>
            <c:extLst>
              <c:ext xmlns:c16="http://schemas.microsoft.com/office/drawing/2014/chart" uri="{C3380CC4-5D6E-409C-BE32-E72D297353CC}">
                <c16:uniqueId val="{00000005-CEB2-4127-A794-B7CA01BE6960}"/>
              </c:ext>
            </c:extLst>
          </c:dPt>
          <c:dPt>
            <c:idx val="3"/>
            <c:bubble3D val="0"/>
            <c:spPr>
              <a:solidFill>
                <a:srgbClr val="772C2A"/>
              </a:solidFill>
              <a:ln w="0">
                <a:noFill/>
              </a:ln>
            </c:spPr>
            <c:extLst>
              <c:ext xmlns:c16="http://schemas.microsoft.com/office/drawing/2014/chart" uri="{C3380CC4-5D6E-409C-BE32-E72D297353CC}">
                <c16:uniqueId val="{00000007-CEB2-4127-A794-B7CA01BE6960}"/>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CEB2-4127-A794-B7CA01BE6960}"/>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CEB2-4127-A794-B7CA01BE6960}"/>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CEB2-4127-A794-B7CA01BE6960}"/>
                </c:ext>
              </c:extLst>
            </c:dLbl>
            <c:dLbl>
              <c:idx val="3"/>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7-CEB2-4127-A794-B7CA01BE6960}"/>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Mínimo (em frente ao ombro)</c:v>
                </c:pt>
                <c:pt idx="1">
                  <c:v>Moderado</c:v>
                </c:pt>
                <c:pt idx="2">
                  <c:v>Acentuado para a esquerda</c:v>
                </c:pt>
                <c:pt idx="3">
                  <c:v>Outra resposta. Variável</c:v>
                </c:pt>
              </c:strCache>
            </c:strRef>
          </c:cat>
          <c:val>
            <c:numRef>
              <c:f>0</c:f>
              <c:numCache>
                <c:formatCode>General</c:formatCode>
                <c:ptCount val="4"/>
                <c:pt idx="0">
                  <c:v>3</c:v>
                </c:pt>
                <c:pt idx="1">
                  <c:v>42</c:v>
                </c:pt>
                <c:pt idx="2">
                  <c:v>4</c:v>
                </c:pt>
                <c:pt idx="3">
                  <c:v>1</c:v>
                </c:pt>
              </c:numCache>
            </c:numRef>
          </c:val>
          <c:extLst>
            <c:ext xmlns:c16="http://schemas.microsoft.com/office/drawing/2014/chart" uri="{C3380CC4-5D6E-409C-BE32-E72D297353CC}">
              <c16:uniqueId val="{00000008-CEB2-4127-A794-B7CA01BE6960}"/>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A-CEB2-4127-A794-B7CA01BE6960}"/>
              </c:ext>
            </c:extLst>
          </c:dPt>
          <c:dPt>
            <c:idx val="1"/>
            <c:bubble3D val="0"/>
            <c:spPr>
              <a:solidFill>
                <a:srgbClr val="8064A2"/>
              </a:solidFill>
              <a:ln w="0">
                <a:noFill/>
              </a:ln>
            </c:spPr>
            <c:extLst>
              <c:ext xmlns:c16="http://schemas.microsoft.com/office/drawing/2014/chart" uri="{C3380CC4-5D6E-409C-BE32-E72D297353CC}">
                <c16:uniqueId val="{0000000C-CEB2-4127-A794-B7CA01BE6960}"/>
              </c:ext>
            </c:extLst>
          </c:dPt>
          <c:dPt>
            <c:idx val="2"/>
            <c:bubble3D val="0"/>
            <c:spPr>
              <a:solidFill>
                <a:srgbClr val="948A54"/>
              </a:solidFill>
              <a:ln w="0">
                <a:noFill/>
              </a:ln>
            </c:spPr>
            <c:extLst>
              <c:ext xmlns:c16="http://schemas.microsoft.com/office/drawing/2014/chart" uri="{C3380CC4-5D6E-409C-BE32-E72D297353CC}">
                <c16:uniqueId val="{0000000E-CEB2-4127-A794-B7CA01BE6960}"/>
              </c:ext>
            </c:extLst>
          </c:dPt>
          <c:dPt>
            <c:idx val="3"/>
            <c:bubble3D val="0"/>
            <c:spPr>
              <a:solidFill>
                <a:srgbClr val="8064A2"/>
              </a:solidFill>
              <a:ln w="0">
                <a:noFill/>
              </a:ln>
            </c:spPr>
            <c:extLst>
              <c:ext xmlns:c16="http://schemas.microsoft.com/office/drawing/2014/chart" uri="{C3380CC4-5D6E-409C-BE32-E72D297353CC}">
                <c16:uniqueId val="{00000010-CEB2-4127-A794-B7CA01BE6960}"/>
              </c:ext>
            </c:extLst>
          </c:dPt>
          <c:dLbls>
            <c:dLbl>
              <c:idx val="0"/>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CEB2-4127-A794-B7CA01BE6960}"/>
                </c:ext>
              </c:extLst>
            </c:dLbl>
            <c:dLbl>
              <c:idx val="1"/>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CEB2-4127-A794-B7CA01BE6960}"/>
                </c:ext>
              </c:extLst>
            </c:dLbl>
            <c:dLbl>
              <c:idx val="2"/>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E-CEB2-4127-A794-B7CA01BE6960}"/>
                </c:ext>
              </c:extLst>
            </c:dLbl>
            <c:dLbl>
              <c:idx val="3"/>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10-CEB2-4127-A794-B7CA01BE6960}"/>
                </c:ext>
              </c:extLst>
            </c:dLbl>
            <c:spPr>
              <a:noFill/>
              <a:ln>
                <a:noFill/>
              </a:ln>
              <a:effectLst/>
            </c:spPr>
            <c:txPr>
              <a:bodyPr wrap="square"/>
              <a:lstStyle/>
              <a:p>
                <a:pPr>
                  <a:defRPr sz="1000" b="0"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Mínimo (em frente ao ombro)</c:v>
                </c:pt>
                <c:pt idx="1">
                  <c:v>Moderado</c:v>
                </c:pt>
                <c:pt idx="2">
                  <c:v>Acentuado para a esquerda</c:v>
                </c:pt>
                <c:pt idx="3">
                  <c:v>Outra resposta. Variável</c:v>
                </c:pt>
              </c:strCache>
            </c:strRef>
          </c:cat>
          <c:val>
            <c:numRef>
              <c:f>1</c:f>
              <c:numCache>
                <c:formatCode>General</c:formatCode>
                <c:ptCount val="4"/>
                <c:pt idx="0">
                  <c:v>11</c:v>
                </c:pt>
                <c:pt idx="1">
                  <c:v>36</c:v>
                </c:pt>
                <c:pt idx="2">
                  <c:v>3</c:v>
                </c:pt>
              </c:numCache>
            </c:numRef>
          </c:val>
          <c:extLst>
            <c:ext xmlns:c16="http://schemas.microsoft.com/office/drawing/2014/chart" uri="{C3380CC4-5D6E-409C-BE32-E72D297353CC}">
              <c16:uniqueId val="{00000011-CEB2-4127-A794-B7CA01BE6960}"/>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035625"/>
          <c:y val="0.141666666666667"/>
          <c:w val="0.31458216138508699"/>
          <c:h val="0.67651961329036603"/>
        </c:manualLayout>
      </c:layout>
      <c:overlay val="0"/>
      <c:spPr>
        <a:noFill/>
        <a:ln w="0">
          <a:noFill/>
        </a:ln>
      </c:spPr>
      <c:txPr>
        <a:bodyPr/>
        <a:lstStyle/>
        <a:p>
          <a:pPr>
            <a:defRPr sz="900" b="0" strike="noStrike" spc="-1">
              <a:solidFill>
                <a:srgbClr val="00000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7556250000000001"/>
          <c:y val="8.2777777777777797E-2"/>
          <c:w val="0.385625"/>
          <c:h val="0.78044444444444505"/>
        </c:manualLayout>
      </c:layout>
      <c:pieChart>
        <c:varyColors val="1"/>
        <c:ser>
          <c:idx val="0"/>
          <c:order val="0"/>
          <c:tx>
            <c:strRef>
              <c:f>label 0</c:f>
              <c:strCache>
                <c:ptCount val="1"/>
                <c:pt idx="0">
                  <c:v>Série 1</c:v>
                </c:pt>
              </c:strCache>
            </c:strRef>
          </c:tx>
          <c:spPr>
            <a:solidFill>
              <a:srgbClr val="C0504D"/>
            </a:solidFill>
            <a:ln w="0">
              <a:noFill/>
            </a:ln>
          </c:spPr>
          <c:dPt>
            <c:idx val="0"/>
            <c:bubble3D val="0"/>
            <c:extLst>
              <c:ext xmlns:c16="http://schemas.microsoft.com/office/drawing/2014/chart" uri="{C3380CC4-5D6E-409C-BE32-E72D297353CC}">
                <c16:uniqueId val="{00000001-BFF6-41F6-BE3F-1E69D4864468}"/>
              </c:ext>
            </c:extLst>
          </c:dPt>
          <c:dPt>
            <c:idx val="1"/>
            <c:bubble3D val="0"/>
            <c:spPr>
              <a:solidFill>
                <a:srgbClr val="8064A2"/>
              </a:solidFill>
              <a:ln w="0">
                <a:noFill/>
              </a:ln>
            </c:spPr>
            <c:extLst>
              <c:ext xmlns:c16="http://schemas.microsoft.com/office/drawing/2014/chart" uri="{C3380CC4-5D6E-409C-BE32-E72D297353CC}">
                <c16:uniqueId val="{00000003-BFF6-41F6-BE3F-1E69D4864468}"/>
              </c:ext>
            </c:extLst>
          </c:dPt>
          <c:dPt>
            <c:idx val="2"/>
            <c:bubble3D val="0"/>
            <c:spPr>
              <a:solidFill>
                <a:srgbClr val="948A54"/>
              </a:solidFill>
              <a:ln w="0">
                <a:noFill/>
              </a:ln>
            </c:spPr>
            <c:extLst>
              <c:ext xmlns:c16="http://schemas.microsoft.com/office/drawing/2014/chart" uri="{C3380CC4-5D6E-409C-BE32-E72D297353CC}">
                <c16:uniqueId val="{00000005-BFF6-41F6-BE3F-1E69D4864468}"/>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BFF6-41F6-BE3F-1E69D4864468}"/>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BFF6-41F6-BE3F-1E69D4864468}"/>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BFF6-41F6-BE3F-1E69D4864468}"/>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Restrita</c:v>
                </c:pt>
                <c:pt idx="1">
                  <c:v>Considerável</c:v>
                </c:pt>
                <c:pt idx="2">
                  <c:v>Outra resposta. Variável</c:v>
                </c:pt>
              </c:strCache>
            </c:strRef>
          </c:cat>
          <c:val>
            <c:numRef>
              <c:f>0</c:f>
              <c:numCache>
                <c:formatCode>General</c:formatCode>
                <c:ptCount val="3"/>
                <c:pt idx="0">
                  <c:v>35</c:v>
                </c:pt>
                <c:pt idx="1">
                  <c:v>9</c:v>
                </c:pt>
                <c:pt idx="2">
                  <c:v>6</c:v>
                </c:pt>
              </c:numCache>
            </c:numRef>
          </c:val>
          <c:extLst>
            <c:ext xmlns:c16="http://schemas.microsoft.com/office/drawing/2014/chart" uri="{C3380CC4-5D6E-409C-BE32-E72D297353CC}">
              <c16:uniqueId val="{00000006-BFF6-41F6-BE3F-1E69D4864468}"/>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8-BFF6-41F6-BE3F-1E69D4864468}"/>
              </c:ext>
            </c:extLst>
          </c:dPt>
          <c:dPt>
            <c:idx val="1"/>
            <c:bubble3D val="0"/>
            <c:spPr>
              <a:solidFill>
                <a:srgbClr val="8064A2"/>
              </a:solidFill>
              <a:ln w="0">
                <a:noFill/>
              </a:ln>
            </c:spPr>
            <c:extLst>
              <c:ext xmlns:c16="http://schemas.microsoft.com/office/drawing/2014/chart" uri="{C3380CC4-5D6E-409C-BE32-E72D297353CC}">
                <c16:uniqueId val="{0000000A-BFF6-41F6-BE3F-1E69D4864468}"/>
              </c:ext>
            </c:extLst>
          </c:dPt>
          <c:dPt>
            <c:idx val="2"/>
            <c:bubble3D val="0"/>
            <c:spPr>
              <a:solidFill>
                <a:srgbClr val="948A54"/>
              </a:solidFill>
              <a:ln w="0">
                <a:noFill/>
              </a:ln>
            </c:spPr>
            <c:extLst>
              <c:ext xmlns:c16="http://schemas.microsoft.com/office/drawing/2014/chart" uri="{C3380CC4-5D6E-409C-BE32-E72D297353CC}">
                <c16:uniqueId val="{0000000C-BFF6-41F6-BE3F-1E69D4864468}"/>
              </c:ext>
            </c:extLst>
          </c:dPt>
          <c:dLbls>
            <c:dLbl>
              <c:idx val="0"/>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8-BFF6-41F6-BE3F-1E69D4864468}"/>
                </c:ext>
              </c:extLst>
            </c:dLbl>
            <c:dLbl>
              <c:idx val="1"/>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BFF6-41F6-BE3F-1E69D4864468}"/>
                </c:ext>
              </c:extLst>
            </c:dLbl>
            <c:dLbl>
              <c:idx val="2"/>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BFF6-41F6-BE3F-1E69D4864468}"/>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Restrita</c:v>
                </c:pt>
                <c:pt idx="1">
                  <c:v>Considerável</c:v>
                </c:pt>
                <c:pt idx="2">
                  <c:v>Outra resposta. Variável</c:v>
                </c:pt>
              </c:strCache>
            </c:strRef>
          </c:cat>
          <c:val>
            <c:numRef>
              <c:f>1</c:f>
              <c:numCache>
                <c:formatCode>General</c:formatCode>
                <c:ptCount val="3"/>
                <c:pt idx="0">
                  <c:v>11</c:v>
                </c:pt>
                <c:pt idx="1">
                  <c:v>36</c:v>
                </c:pt>
                <c:pt idx="2">
                  <c:v>3</c:v>
                </c:pt>
              </c:numCache>
            </c:numRef>
          </c:val>
          <c:extLst>
            <c:ext xmlns:c16="http://schemas.microsoft.com/office/drawing/2014/chart" uri="{C3380CC4-5D6E-409C-BE32-E72D297353CC}">
              <c16:uniqueId val="{0000000D-BFF6-41F6-BE3F-1E69D4864468}"/>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1599999999999999"/>
          <c:y val="0.167777777777778"/>
          <c:w val="0.28983061441340102"/>
          <c:h val="0.58173130347816404"/>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9.2749999999999999E-2"/>
          <c:y val="9.7000000000000003E-2"/>
          <c:w val="0.43556250000000002"/>
          <c:h val="0.90300000000000002"/>
        </c:manualLayout>
      </c:layout>
      <c:pieChart>
        <c:varyColors val="1"/>
        <c:ser>
          <c:idx val="0"/>
          <c:order val="0"/>
          <c:tx>
            <c:strRef>
              <c:f>label 0</c:f>
              <c:strCache>
                <c:ptCount val="1"/>
                <c:pt idx="0">
                  <c:v>Série 1</c:v>
                </c:pt>
              </c:strCache>
            </c:strRef>
          </c:tx>
          <c:spPr>
            <a:solidFill>
              <a:srgbClr val="C0504D"/>
            </a:solidFill>
            <a:ln w="0">
              <a:noFill/>
            </a:ln>
          </c:spPr>
          <c:dPt>
            <c:idx val="0"/>
            <c:bubble3D val="0"/>
            <c:extLst>
              <c:ext xmlns:c16="http://schemas.microsoft.com/office/drawing/2014/chart" uri="{C3380CC4-5D6E-409C-BE32-E72D297353CC}">
                <c16:uniqueId val="{00000001-839E-48A4-978B-B14978ABCF63}"/>
              </c:ext>
            </c:extLst>
          </c:dPt>
          <c:dPt>
            <c:idx val="1"/>
            <c:bubble3D val="0"/>
            <c:spPr>
              <a:solidFill>
                <a:srgbClr val="8064A2"/>
              </a:solidFill>
              <a:ln w="0">
                <a:noFill/>
              </a:ln>
            </c:spPr>
            <c:extLst>
              <c:ext xmlns:c16="http://schemas.microsoft.com/office/drawing/2014/chart" uri="{C3380CC4-5D6E-409C-BE32-E72D297353CC}">
                <c16:uniqueId val="{00000003-839E-48A4-978B-B14978ABCF63}"/>
              </c:ext>
            </c:extLst>
          </c:dPt>
          <c:dPt>
            <c:idx val="2"/>
            <c:bubble3D val="0"/>
            <c:spPr>
              <a:solidFill>
                <a:srgbClr val="948A54"/>
              </a:solidFill>
              <a:ln w="0">
                <a:noFill/>
              </a:ln>
            </c:spPr>
            <c:extLst>
              <c:ext xmlns:c16="http://schemas.microsoft.com/office/drawing/2014/chart" uri="{C3380CC4-5D6E-409C-BE32-E72D297353CC}">
                <c16:uniqueId val="{00000005-839E-48A4-978B-B14978ABCF63}"/>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839E-48A4-978B-B14978ABCF63}"/>
                </c:ext>
              </c:extLst>
            </c:dLbl>
            <c:dLbl>
              <c:idx val="1"/>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3-839E-48A4-978B-B14978ABCF63}"/>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839E-48A4-978B-B14978ABCF63}"/>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Falange proximal</c:v>
                </c:pt>
                <c:pt idx="1">
                  <c:v>Articulação interfalangeana proximal</c:v>
                </c:pt>
                <c:pt idx="2">
                  <c:v>Falange distal</c:v>
                </c:pt>
              </c:strCache>
            </c:strRef>
          </c:cat>
          <c:val>
            <c:numRef>
              <c:f>0</c:f>
              <c:numCache>
                <c:formatCode>General</c:formatCode>
                <c:ptCount val="3"/>
                <c:pt idx="0">
                  <c:v>4</c:v>
                </c:pt>
                <c:pt idx="1">
                  <c:v>18</c:v>
                </c:pt>
                <c:pt idx="2">
                  <c:v>28</c:v>
                </c:pt>
              </c:numCache>
            </c:numRef>
          </c:val>
          <c:extLst>
            <c:ext xmlns:c16="http://schemas.microsoft.com/office/drawing/2014/chart" uri="{C3380CC4-5D6E-409C-BE32-E72D297353CC}">
              <c16:uniqueId val="{00000006-839E-48A4-978B-B14978ABCF63}"/>
            </c:ext>
          </c:extLst>
        </c:ser>
        <c:ser>
          <c:idx val="1"/>
          <c:order val="1"/>
          <c:tx>
            <c:strRef>
              <c:f>label 1</c:f>
              <c:strCache>
                <c:ptCount val="1"/>
                <c:pt idx="0">
                  <c:v>Série 2</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8-839E-48A4-978B-B14978ABCF63}"/>
              </c:ext>
            </c:extLst>
          </c:dPt>
          <c:dPt>
            <c:idx val="1"/>
            <c:bubble3D val="0"/>
            <c:spPr>
              <a:solidFill>
                <a:srgbClr val="8064A2"/>
              </a:solidFill>
              <a:ln w="0">
                <a:noFill/>
              </a:ln>
            </c:spPr>
            <c:extLst>
              <c:ext xmlns:c16="http://schemas.microsoft.com/office/drawing/2014/chart" uri="{C3380CC4-5D6E-409C-BE32-E72D297353CC}">
                <c16:uniqueId val="{0000000A-839E-48A4-978B-B14978ABCF63}"/>
              </c:ext>
            </c:extLst>
          </c:dPt>
          <c:dPt>
            <c:idx val="2"/>
            <c:bubble3D val="0"/>
            <c:spPr>
              <a:solidFill>
                <a:srgbClr val="948A54"/>
              </a:solidFill>
              <a:ln w="0">
                <a:noFill/>
              </a:ln>
            </c:spPr>
            <c:extLst>
              <c:ext xmlns:c16="http://schemas.microsoft.com/office/drawing/2014/chart" uri="{C3380CC4-5D6E-409C-BE32-E72D297353CC}">
                <c16:uniqueId val="{0000000C-839E-48A4-978B-B14978ABCF63}"/>
              </c:ext>
            </c:extLst>
          </c:dPt>
          <c:dLbls>
            <c:dLbl>
              <c:idx val="0"/>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8-839E-48A4-978B-B14978ABCF63}"/>
                </c:ext>
              </c:extLst>
            </c:dLbl>
            <c:dLbl>
              <c:idx val="1"/>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A-839E-48A4-978B-B14978ABCF63}"/>
                </c:ext>
              </c:extLst>
            </c:dLbl>
            <c:dLbl>
              <c:idx val="2"/>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C-839E-48A4-978B-B14978ABCF63}"/>
                </c:ext>
              </c:extLst>
            </c:dLbl>
            <c:spPr>
              <a:noFill/>
              <a:ln>
                <a:noFill/>
              </a:ln>
              <a:effectLst/>
            </c:spPr>
            <c:txPr>
              <a:bodyPr wrap="square"/>
              <a:lstStyle/>
              <a:p>
                <a:pPr>
                  <a:defRPr sz="1000" b="1" strike="noStrike" spc="-1">
                    <a:solidFill>
                      <a:srgbClr val="FFFFFF"/>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3"/>
                <c:pt idx="0">
                  <c:v>Falange proximal</c:v>
                </c:pt>
                <c:pt idx="1">
                  <c:v>Articulação interfalangeana proximal</c:v>
                </c:pt>
                <c:pt idx="2">
                  <c:v>Falange distal</c:v>
                </c:pt>
              </c:strCache>
            </c:strRef>
          </c:cat>
          <c:val>
            <c:numRef>
              <c:f>1</c:f>
              <c:numCache>
                <c:formatCode>General</c:formatCode>
                <c:ptCount val="3"/>
                <c:pt idx="0">
                  <c:v>11</c:v>
                </c:pt>
                <c:pt idx="1">
                  <c:v>36</c:v>
                </c:pt>
                <c:pt idx="2">
                  <c:v>3</c:v>
                </c:pt>
              </c:numCache>
            </c:numRef>
          </c:val>
          <c:extLst>
            <c:ext xmlns:c16="http://schemas.microsoft.com/office/drawing/2014/chart" uri="{C3380CC4-5D6E-409C-BE32-E72D297353CC}">
              <c16:uniqueId val="{0000000D-839E-48A4-978B-B14978ABCF63}"/>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59987500000000005"/>
          <c:y val="0.186"/>
          <c:w val="0.29908119257453603"/>
          <c:h val="0.80897877541949104"/>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autoTitleDeleted val="1"/>
    <c:plotArea>
      <c:layout>
        <c:manualLayout>
          <c:layoutTarget val="inner"/>
          <c:xMode val="edge"/>
          <c:yMode val="edge"/>
          <c:x val="0.122375"/>
          <c:y val="6.8555555555555606E-2"/>
          <c:w val="0.41587499999999999"/>
          <c:h val="0.80066666666666697"/>
        </c:manualLayout>
      </c:layout>
      <c:pieChart>
        <c:varyColors val="1"/>
        <c:ser>
          <c:idx val="0"/>
          <c:order val="0"/>
          <c:tx>
            <c:strRef>
              <c:f>label 0</c:f>
              <c:strCache>
                <c:ptCount val="1"/>
                <c:pt idx="0">
                  <c:v>Série 1</c:v>
                </c:pt>
              </c:strCache>
            </c:strRef>
          </c:tx>
          <c:spPr>
            <a:solidFill>
              <a:srgbClr val="4F81BD"/>
            </a:solidFill>
            <a:ln w="0">
              <a:noFill/>
            </a:ln>
          </c:spPr>
          <c:dPt>
            <c:idx val="0"/>
            <c:bubble3D val="0"/>
            <c:spPr>
              <a:solidFill>
                <a:srgbClr val="C0504D"/>
              </a:solidFill>
              <a:ln w="0">
                <a:noFill/>
              </a:ln>
            </c:spPr>
            <c:extLst>
              <c:ext xmlns:c16="http://schemas.microsoft.com/office/drawing/2014/chart" uri="{C3380CC4-5D6E-409C-BE32-E72D297353CC}">
                <c16:uniqueId val="{00000001-C9C7-4831-B32A-5C48EAC78FF8}"/>
              </c:ext>
            </c:extLst>
          </c:dPt>
          <c:dPt>
            <c:idx val="1"/>
            <c:bubble3D val="0"/>
            <c:spPr>
              <a:solidFill>
                <a:srgbClr val="8064A2"/>
              </a:solidFill>
              <a:ln w="0">
                <a:noFill/>
              </a:ln>
            </c:spPr>
            <c:extLst>
              <c:ext xmlns:c16="http://schemas.microsoft.com/office/drawing/2014/chart" uri="{C3380CC4-5D6E-409C-BE32-E72D297353CC}">
                <c16:uniqueId val="{00000003-C9C7-4831-B32A-5C48EAC78FF8}"/>
              </c:ext>
            </c:extLst>
          </c:dPt>
          <c:dPt>
            <c:idx val="2"/>
            <c:bubble3D val="0"/>
            <c:spPr>
              <a:solidFill>
                <a:srgbClr val="948A54"/>
              </a:solidFill>
              <a:ln w="0">
                <a:noFill/>
              </a:ln>
            </c:spPr>
            <c:extLst>
              <c:ext xmlns:c16="http://schemas.microsoft.com/office/drawing/2014/chart" uri="{C3380CC4-5D6E-409C-BE32-E72D297353CC}">
                <c16:uniqueId val="{00000005-C9C7-4831-B32A-5C48EAC78FF8}"/>
              </c:ext>
            </c:extLst>
          </c:dPt>
          <c:dPt>
            <c:idx val="3"/>
            <c:bubble3D val="0"/>
            <c:spPr>
              <a:solidFill>
                <a:srgbClr val="772C2A"/>
              </a:solidFill>
              <a:ln w="0">
                <a:noFill/>
              </a:ln>
            </c:spPr>
            <c:extLst>
              <c:ext xmlns:c16="http://schemas.microsoft.com/office/drawing/2014/chart" uri="{C3380CC4-5D6E-409C-BE32-E72D297353CC}">
                <c16:uniqueId val="{00000007-C9C7-4831-B32A-5C48EAC78FF8}"/>
              </c:ext>
            </c:extLst>
          </c:dPt>
          <c:dLbls>
            <c:dLbl>
              <c:idx val="0"/>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1-C9C7-4831-B32A-5C48EAC78FF8}"/>
                </c:ext>
              </c:extLst>
            </c:dLbl>
            <c:dLbl>
              <c:idx val="1"/>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3-C9C7-4831-B32A-5C48EAC78FF8}"/>
                </c:ext>
              </c:extLst>
            </c:dLbl>
            <c:dLbl>
              <c:idx val="2"/>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5-C9C7-4831-B32A-5C48EAC78FF8}"/>
                </c:ext>
              </c:extLst>
            </c:dLbl>
            <c:dLbl>
              <c:idx val="3"/>
              <c:spPr/>
              <c:txPr>
                <a:bodyPr wrap="square"/>
                <a:lstStyle/>
                <a:p>
                  <a:pPr>
                    <a:defRPr sz="1000" b="1" strike="noStrike" spc="-1">
                      <a:solidFill>
                        <a:srgbClr val="000000"/>
                      </a:solidFill>
                      <a:latin typeface="Times New Roman"/>
                    </a:defRPr>
                  </a:pPr>
                  <a:endParaRPr lang="pt-BR"/>
                </a:p>
              </c:txPr>
              <c:dLblPos val="outEnd"/>
              <c:showLegendKey val="0"/>
              <c:showVal val="0"/>
              <c:showCatName val="0"/>
              <c:showSerName val="0"/>
              <c:showPercent val="1"/>
              <c:showBubbleSize val="1"/>
              <c:separator>
</c:separator>
              <c:extLst>
                <c:ext xmlns:c15="http://schemas.microsoft.com/office/drawing/2012/chart" uri="{CE6537A1-D6FC-4f65-9D91-7224C49458BB}"/>
                <c:ext xmlns:c16="http://schemas.microsoft.com/office/drawing/2014/chart" uri="{C3380CC4-5D6E-409C-BE32-E72D297353CC}">
                  <c16:uniqueId val="{00000007-C9C7-4831-B32A-5C48EAC78FF8}"/>
                </c:ext>
              </c:extLst>
            </c:dLbl>
            <c:spPr>
              <a:noFill/>
              <a:ln>
                <a:noFill/>
              </a:ln>
              <a:effectLst/>
            </c:spPr>
            <c:txPr>
              <a:bodyPr wrap="square"/>
              <a:lstStyle/>
              <a:p>
                <a:pPr>
                  <a:defRPr sz="1000" b="1" strike="noStrike" spc="-1">
                    <a:solidFill>
                      <a:srgbClr val="000000"/>
                    </a:solidFill>
                    <a:latin typeface="Times New Roman"/>
                  </a:defRPr>
                </a:pPr>
                <a:endParaRPr lang="pt-BR"/>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Falange proximal – base</c:v>
                </c:pt>
                <c:pt idx="1">
                  <c:v>Falange proximal</c:v>
                </c:pt>
                <c:pt idx="2">
                  <c:v>Articulação interfalangeana proximal</c:v>
                </c:pt>
                <c:pt idx="3">
                  <c:v>Falange média</c:v>
                </c:pt>
              </c:strCache>
            </c:strRef>
          </c:cat>
          <c:val>
            <c:numRef>
              <c:f>0</c:f>
              <c:numCache>
                <c:formatCode>General</c:formatCode>
                <c:ptCount val="4"/>
                <c:pt idx="0">
                  <c:v>14</c:v>
                </c:pt>
                <c:pt idx="1">
                  <c:v>27</c:v>
                </c:pt>
                <c:pt idx="2">
                  <c:v>5</c:v>
                </c:pt>
                <c:pt idx="3">
                  <c:v>4</c:v>
                </c:pt>
              </c:numCache>
            </c:numRef>
          </c:val>
          <c:extLst>
            <c:ext xmlns:c16="http://schemas.microsoft.com/office/drawing/2014/chart" uri="{C3380CC4-5D6E-409C-BE32-E72D297353CC}">
              <c16:uniqueId val="{00000008-C9C7-4831-B32A-5C48EAC78FF8}"/>
            </c:ext>
          </c:extLst>
        </c:ser>
        <c:dLbls>
          <c:showLegendKey val="0"/>
          <c:showVal val="0"/>
          <c:showCatName val="0"/>
          <c:showSerName val="0"/>
          <c:showPercent val="0"/>
          <c:showBubbleSize val="0"/>
          <c:showLeaderLines val="1"/>
        </c:dLbls>
        <c:firstSliceAng val="0"/>
      </c:pieChart>
      <c:spPr>
        <a:noFill/>
        <a:ln w="0">
          <a:noFill/>
        </a:ln>
      </c:spPr>
    </c:plotArea>
    <c:legend>
      <c:legendPos val="r"/>
      <c:layout>
        <c:manualLayout>
          <c:xMode val="edge"/>
          <c:yMode val="edge"/>
          <c:x val="0.61793750000000003"/>
          <c:y val="6.4777777777777795E-2"/>
          <c:w val="0.33714607162947702"/>
          <c:h val="0.89121013445938402"/>
        </c:manualLayout>
      </c:layout>
      <c:overlay val="0"/>
      <c:spPr>
        <a:noFill/>
        <a:ln w="0">
          <a:noFill/>
        </a:ln>
      </c:spPr>
      <c:txPr>
        <a:bodyPr/>
        <a:lstStyle/>
        <a:p>
          <a:pPr>
            <a:defRPr sz="900" b="0" strike="noStrike" spc="-1">
              <a:solidFill>
                <a:srgbClr val="404040"/>
              </a:solidFill>
              <a:latin typeface="Times New Roman"/>
            </a:defRPr>
          </a:pPr>
          <a:endParaRPr lang="pt-BR"/>
        </a:p>
      </c:txPr>
    </c:legend>
    <c:plotVisOnly val="1"/>
    <c:dispBlanksAs val="gap"/>
    <c:showDLblsOverMax val="1"/>
  </c:chart>
  <c:spPr>
    <a:solidFill>
      <a:srgbClr val="FFFFFF"/>
    </a:solidFill>
    <a:ln w="9360">
      <a:noFill/>
    </a:ln>
  </c:spPr>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ada 1">
      <a:majorFont>
        <a:latin typeface="Times New Roman"/>
        <a:ea typeface=""/>
        <a:cs typeface=""/>
      </a:majorFont>
      <a:minorFont>
        <a:latin typeface="Times New Roman"/>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18FF8-D966-4343-BF5E-E94AAC810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132</Pages>
  <Words>37253</Words>
  <Characters>201171</Characters>
  <Application>Microsoft Office Word</Application>
  <DocSecurity>0</DocSecurity>
  <Lines>1676</Lines>
  <Paragraphs>475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dc:description/>
  <cp:lastModifiedBy>Fernando Pereira</cp:lastModifiedBy>
  <cp:revision>16</cp:revision>
  <cp:lastPrinted>2021-02-04T18:42:00Z</cp:lastPrinted>
  <dcterms:created xsi:type="dcterms:W3CDTF">2026-01-18T11:39:00Z</dcterms:created>
  <dcterms:modified xsi:type="dcterms:W3CDTF">2026-01-20T14:07:00Z</dcterms:modified>
  <dc:language>pt-BR</dc:language>
</cp:coreProperties>
</file>