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E09EE2" w14:textId="77777777" w:rsidR="00E61D07" w:rsidRPr="00E962C5" w:rsidRDefault="00E61D07" w:rsidP="000806D9">
      <w:pPr>
        <w:pStyle w:val="Ttulo"/>
        <w:pBdr>
          <w:top w:val="nil"/>
          <w:left w:val="nil"/>
          <w:bottom w:val="nil"/>
          <w:right w:val="nil"/>
          <w:between w:val="nil"/>
        </w:pBdr>
        <w:ind w:left="720"/>
        <w:jc w:val="center"/>
        <w:rPr>
          <w:rFonts w:ascii="HGPSoeiKakugothicUB" w:eastAsia="HGPSoeiKakugothicUB" w:hAnsi="HGPSoeiKakugothicUB" w:cs="Times New Roman"/>
          <w:sz w:val="40"/>
          <w:szCs w:val="40"/>
        </w:rPr>
      </w:pPr>
      <w:r w:rsidRPr="00E962C5">
        <w:rPr>
          <w:rFonts w:ascii="HGPSoeiKakugothicUB" w:eastAsia="HGPSoeiKakugothicUB" w:hAnsi="HGPSoeiKakugothicUB" w:cs="Times New Roman"/>
          <w:sz w:val="40"/>
          <w:szCs w:val="40"/>
        </w:rPr>
        <w:t>DO SOCIAL</w:t>
      </w:r>
    </w:p>
    <w:p w14:paraId="503C2E80" w14:textId="77777777" w:rsidR="00E61D07" w:rsidRPr="00E962C5" w:rsidRDefault="00E61D07" w:rsidP="0025634B">
      <w:pPr>
        <w:pStyle w:val="Ttulo"/>
        <w:pBdr>
          <w:top w:val="nil"/>
          <w:left w:val="nil"/>
          <w:bottom w:val="nil"/>
          <w:right w:val="nil"/>
          <w:between w:val="nil"/>
        </w:pBdr>
        <w:ind w:left="720"/>
        <w:jc w:val="center"/>
        <w:rPr>
          <w:rFonts w:ascii="HGPSoeiKakugothicUB" w:eastAsia="HGPSoeiKakugothicUB" w:hAnsi="HGPSoeiKakugothicUB" w:cs="Times New Roman"/>
          <w:sz w:val="40"/>
          <w:szCs w:val="40"/>
        </w:rPr>
      </w:pPr>
      <w:r w:rsidRPr="00E962C5">
        <w:rPr>
          <w:rFonts w:ascii="HGPSoeiKakugothicUB" w:eastAsia="HGPSoeiKakugothicUB" w:hAnsi="HGPSoeiKakugothicUB" w:cs="Times New Roman"/>
          <w:color w:val="38761D"/>
          <w:sz w:val="40"/>
          <w:szCs w:val="40"/>
        </w:rPr>
        <w:t>PARA AS REDES SOCIAIS</w:t>
      </w:r>
    </w:p>
    <w:p w14:paraId="2FD0BBA5" w14:textId="77777777" w:rsidR="00E61D07" w:rsidRPr="00AE63F6" w:rsidRDefault="00E61D07" w:rsidP="00DE62C2">
      <w:pPr>
        <w:pStyle w:val="Subttulo"/>
        <w:rPr>
          <w:sz w:val="24"/>
          <w:szCs w:val="24"/>
        </w:rPr>
      </w:pPr>
      <w:r w:rsidRPr="00AE63F6">
        <w:rPr>
          <w:sz w:val="24"/>
          <w:szCs w:val="24"/>
        </w:rPr>
        <w:t>A Importância da Representatividade Ética Profissional Feminina em Tempos Digitais</w:t>
      </w:r>
    </w:p>
    <w:p w14:paraId="43527971" w14:textId="77777777" w:rsidR="000259E7" w:rsidRPr="006B1274" w:rsidRDefault="000259E7" w:rsidP="0035017D">
      <w:pPr>
        <w:pBdr>
          <w:top w:val="nil"/>
          <w:left w:val="nil"/>
          <w:bottom w:val="nil"/>
          <w:right w:val="nil"/>
          <w:between w:val="nil"/>
        </w:pBdr>
        <w:tabs>
          <w:tab w:val="num" w:pos="720"/>
        </w:tabs>
        <w:ind w:left="720" w:hanging="360"/>
        <w:jc w:val="center"/>
        <w:rPr>
          <w:rFonts w:ascii="Times New Roman" w:hAnsi="Times New Roman" w:cs="Times New Roman"/>
        </w:rPr>
      </w:pPr>
    </w:p>
    <w:p w14:paraId="6146A100" w14:textId="77777777" w:rsidR="000259E7" w:rsidRPr="006B1274" w:rsidRDefault="000259E7" w:rsidP="0035017D">
      <w:pPr>
        <w:pStyle w:val="Ttulo"/>
        <w:numPr>
          <w:ilvl w:val="0"/>
          <w:numId w:val="1"/>
        </w:numPr>
        <w:pBdr>
          <w:top w:val="nil"/>
          <w:left w:val="nil"/>
          <w:bottom w:val="nil"/>
          <w:right w:val="nil"/>
          <w:between w:val="nil"/>
        </w:pBdr>
        <w:jc w:val="center"/>
        <w:rPr>
          <w:rFonts w:ascii="Times New Roman" w:hAnsi="Times New Roman" w:cs="Times New Roman"/>
        </w:rPr>
      </w:pPr>
    </w:p>
    <w:p w14:paraId="7E19EAD2" w14:textId="6D9B5BEF" w:rsidR="000259E7" w:rsidRPr="006B1274" w:rsidRDefault="00636E6D" w:rsidP="00B36B27">
      <w:pPr>
        <w:pStyle w:val="Ttulo"/>
        <w:pBdr>
          <w:top w:val="nil"/>
          <w:left w:val="nil"/>
          <w:bottom w:val="nil"/>
          <w:right w:val="nil"/>
          <w:between w:val="nil"/>
        </w:pBdr>
        <w:spacing w:line="360" w:lineRule="auto"/>
        <w:ind w:left="720"/>
        <w:jc w:val="center"/>
        <w:rPr>
          <w:rFonts w:ascii="Times New Roman" w:hAnsi="Times New Roman" w:cs="Times New Roman"/>
        </w:rPr>
      </w:pPr>
      <w:r w:rsidRPr="006B1274">
        <w:rPr>
          <w:rFonts w:ascii="Times New Roman" w:hAnsi="Times New Roman" w:cs="Times New Roman"/>
          <w:sz w:val="66"/>
          <w:szCs w:val="66"/>
        </w:rPr>
        <w:t>DO SOCIAL</w:t>
      </w:r>
    </w:p>
    <w:p w14:paraId="0B2180CF" w14:textId="413735DB" w:rsidR="00636E6D" w:rsidRPr="006B1274" w:rsidRDefault="00636E6D" w:rsidP="00B36B27">
      <w:pPr>
        <w:pStyle w:val="Ttulo"/>
        <w:pBdr>
          <w:top w:val="nil"/>
          <w:left w:val="nil"/>
          <w:bottom w:val="nil"/>
          <w:right w:val="nil"/>
          <w:between w:val="nil"/>
        </w:pBdr>
        <w:spacing w:line="360" w:lineRule="auto"/>
        <w:ind w:left="720"/>
        <w:jc w:val="center"/>
        <w:rPr>
          <w:rFonts w:ascii="Times New Roman" w:hAnsi="Times New Roman" w:cs="Times New Roman"/>
        </w:rPr>
      </w:pPr>
      <w:r w:rsidRPr="006B1274">
        <w:rPr>
          <w:rFonts w:ascii="Times New Roman" w:hAnsi="Times New Roman" w:cs="Times New Roman"/>
          <w:color w:val="38761D"/>
          <w:sz w:val="66"/>
          <w:szCs w:val="66"/>
        </w:rPr>
        <w:t>PARA AS REDES</w:t>
      </w:r>
      <w:r w:rsidRPr="006B1274">
        <w:rPr>
          <w:rFonts w:ascii="Times New Roman" w:hAnsi="Times New Roman" w:cs="Times New Roman"/>
          <w:color w:val="38761D"/>
          <w:sz w:val="60"/>
          <w:szCs w:val="60"/>
        </w:rPr>
        <w:t xml:space="preserve"> SOCIAIS</w:t>
      </w:r>
    </w:p>
    <w:p w14:paraId="1F572F3C" w14:textId="77777777" w:rsidR="00636E6D" w:rsidRPr="006B1274" w:rsidRDefault="00636E6D" w:rsidP="00B36B27">
      <w:pPr>
        <w:pStyle w:val="Subttulo"/>
        <w:pBdr>
          <w:top w:val="nil"/>
          <w:left w:val="nil"/>
          <w:bottom w:val="nil"/>
          <w:right w:val="nil"/>
          <w:between w:val="nil"/>
        </w:pBdr>
        <w:spacing w:line="360" w:lineRule="auto"/>
        <w:rPr>
          <w:rFonts w:ascii="Times New Roman" w:hAnsi="Times New Roman" w:cs="Times New Roman"/>
          <w:sz w:val="36"/>
          <w:szCs w:val="36"/>
        </w:rPr>
      </w:pPr>
      <w:bookmarkStart w:id="0" w:name="_4ln4q8facorn" w:colFirst="0" w:colLast="0"/>
      <w:bookmarkEnd w:id="0"/>
      <w:r w:rsidRPr="006B1274">
        <w:rPr>
          <w:rFonts w:ascii="Times New Roman" w:hAnsi="Times New Roman" w:cs="Times New Roman"/>
          <w:sz w:val="36"/>
          <w:szCs w:val="36"/>
        </w:rPr>
        <w:t>A Importância da Representatividade Ética Profissional Feminina em Tempos Digitais</w:t>
      </w:r>
    </w:p>
    <w:p w14:paraId="47EEFDED" w14:textId="6EBBE6D0" w:rsidR="001C11E3" w:rsidRPr="006B1274" w:rsidRDefault="001C11E3" w:rsidP="00B36B27">
      <w:pPr>
        <w:pBdr>
          <w:top w:val="nil"/>
          <w:left w:val="nil"/>
          <w:bottom w:val="nil"/>
          <w:right w:val="nil"/>
          <w:between w:val="nil"/>
        </w:pBdr>
        <w:spacing w:before="1400" w:line="360" w:lineRule="auto"/>
        <w:jc w:val="center"/>
        <w:rPr>
          <w:rFonts w:ascii="Times New Roman" w:hAnsi="Times New Roman" w:cs="Times New Roman"/>
        </w:rPr>
      </w:pPr>
    </w:p>
    <w:p w14:paraId="1DFD922E"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23DDB0F3"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0ADA23A3"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6D95D105"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27809E7C" w14:textId="77777777" w:rsidR="001C11E3" w:rsidRPr="006B1274" w:rsidRDefault="001C11E3" w:rsidP="00B36B27">
      <w:pPr>
        <w:pBdr>
          <w:top w:val="nil"/>
          <w:left w:val="nil"/>
          <w:bottom w:val="nil"/>
          <w:right w:val="nil"/>
          <w:between w:val="nil"/>
        </w:pBdr>
        <w:spacing w:line="360" w:lineRule="auto"/>
        <w:ind w:left="-1440" w:right="1440"/>
        <w:rPr>
          <w:rFonts w:ascii="Times New Roman" w:hAnsi="Times New Roman" w:cs="Times New Roman"/>
          <w:color w:val="999999"/>
          <w:sz w:val="20"/>
          <w:szCs w:val="20"/>
        </w:rPr>
      </w:pPr>
    </w:p>
    <w:p w14:paraId="0C4CC3A8" w14:textId="77777777" w:rsidR="001C11E3" w:rsidRPr="006B1274" w:rsidRDefault="00576533" w:rsidP="00B36B27">
      <w:pPr>
        <w:spacing w:before="240" w:after="240" w:line="360" w:lineRule="auto"/>
        <w:jc w:val="right"/>
        <w:rPr>
          <w:rFonts w:ascii="Times New Roman" w:hAnsi="Times New Roman" w:cs="Times New Roman"/>
          <w:i/>
          <w:iCs/>
          <w:color w:val="274E13"/>
          <w:sz w:val="20"/>
          <w:szCs w:val="20"/>
        </w:rPr>
      </w:pPr>
      <w:r w:rsidRPr="006B1274">
        <w:rPr>
          <w:rFonts w:ascii="Times New Roman" w:hAnsi="Times New Roman" w:cs="Times New Roman"/>
          <w:i/>
          <w:iCs/>
          <w:color w:val="274E13"/>
          <w:sz w:val="20"/>
          <w:szCs w:val="20"/>
        </w:rPr>
        <w:t xml:space="preserve">Acompanhamento Diplomático da Administração Pública em Políticas Sustentáveis:  </w:t>
      </w:r>
    </w:p>
    <w:p w14:paraId="77FAB7E1" w14:textId="5EC80ACE" w:rsidR="00FA703A" w:rsidRDefault="00863503" w:rsidP="00B36B27">
      <w:pPr>
        <w:spacing w:before="240" w:after="240" w:line="360" w:lineRule="auto"/>
        <w:jc w:val="right"/>
        <w:rPr>
          <w:rFonts w:ascii="Times New Roman" w:hAnsi="Times New Roman" w:cs="Times New Roman"/>
          <w:i/>
          <w:iCs/>
          <w:color w:val="274E13"/>
          <w:sz w:val="20"/>
          <w:szCs w:val="20"/>
        </w:rPr>
      </w:pPr>
      <w:r>
        <w:rPr>
          <w:rFonts w:ascii="Times New Roman" w:hAnsi="Times New Roman" w:cs="Times New Roman"/>
          <w:i/>
          <w:iCs/>
          <w:color w:val="274E13"/>
          <w:sz w:val="20"/>
          <w:szCs w:val="20"/>
        </w:rPr>
        <w:t>Direitos Humanos na Atualidade em Esfera Global</w:t>
      </w:r>
    </w:p>
    <w:p w14:paraId="342D3010" w14:textId="77777777" w:rsidR="009E5AEE" w:rsidRDefault="00FA703A" w:rsidP="00534A5B">
      <w:pPr>
        <w:rPr>
          <w:rFonts w:ascii="Times New Roman" w:hAnsi="Times New Roman" w:cs="Times New Roman"/>
          <w:i/>
          <w:iCs/>
          <w:color w:val="274E13"/>
          <w:sz w:val="20"/>
          <w:szCs w:val="20"/>
        </w:rPr>
      </w:pPr>
      <w:r>
        <w:rPr>
          <w:rFonts w:ascii="Times New Roman" w:hAnsi="Times New Roman" w:cs="Times New Roman"/>
          <w:i/>
          <w:iCs/>
          <w:color w:val="274E13"/>
          <w:sz w:val="20"/>
          <w:szCs w:val="20"/>
        </w:rPr>
        <w:lastRenderedPageBreak/>
        <w:br w:type="page"/>
      </w:r>
    </w:p>
    <w:p w14:paraId="2ED1C316" w14:textId="016FAC2F" w:rsidR="009F5D04" w:rsidRPr="009E5AEE" w:rsidRDefault="009F5D04" w:rsidP="00534A5B">
      <w:pPr>
        <w:rPr>
          <w:rFonts w:ascii="Times New Roman" w:hAnsi="Times New Roman" w:cs="Times New Roman"/>
          <w:i/>
          <w:iCs/>
          <w:color w:val="274E13"/>
          <w:sz w:val="20"/>
          <w:szCs w:val="20"/>
        </w:rPr>
      </w:pPr>
      <w:r w:rsidRPr="00086B6C">
        <w:rPr>
          <w:rFonts w:ascii="Times New Roman" w:hAnsi="Times New Roman" w:cs="Times New Roman"/>
          <w:color w:val="1A1A1A" w:themeColor="background1" w:themeShade="1A"/>
          <w:sz w:val="40"/>
          <w:szCs w:val="40"/>
        </w:rPr>
        <w:lastRenderedPageBreak/>
        <w:t>Sumário</w:t>
      </w:r>
    </w:p>
    <w:p w14:paraId="4035E8C0" w14:textId="77777777" w:rsidR="009F5D04" w:rsidRPr="009E11ED" w:rsidRDefault="009F5D04"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Apresentação</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5</w:t>
      </w:r>
    </w:p>
    <w:p w14:paraId="6F2EEBB5" w14:textId="77777777" w:rsidR="009F5D04" w:rsidRPr="009E11ED" w:rsidRDefault="009F5D04"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Direitos Humanos na Atualidade</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10</w:t>
      </w:r>
    </w:p>
    <w:p w14:paraId="5DE2C72D" w14:textId="77777777" w:rsidR="00FC3BA1" w:rsidRDefault="00FC3BA1" w:rsidP="00534A5B">
      <w:pPr>
        <w:rPr>
          <w:rFonts w:ascii="Times New Roman" w:hAnsi="Times New Roman" w:cs="Times New Roman"/>
          <w:sz w:val="24"/>
          <w:szCs w:val="24"/>
        </w:rPr>
      </w:pPr>
    </w:p>
    <w:p w14:paraId="3C1F5EAD" w14:textId="31EC7F06" w:rsidR="004527D4" w:rsidRDefault="004527D4" w:rsidP="00534A5B">
      <w:pPr>
        <w:rPr>
          <w:rFonts w:ascii="Times New Roman" w:hAnsi="Times New Roman" w:cs="Times New Roman"/>
          <w:sz w:val="24"/>
          <w:szCs w:val="24"/>
        </w:rPr>
      </w:pPr>
      <w:r w:rsidRPr="00855209">
        <w:rPr>
          <w:rFonts w:ascii="Times New Roman" w:hAnsi="Times New Roman" w:cs="Times New Roman"/>
          <w:sz w:val="24"/>
          <w:szCs w:val="24"/>
        </w:rPr>
        <w:t xml:space="preserve">A Comunicação </w:t>
      </w:r>
      <w:r>
        <w:rPr>
          <w:rFonts w:ascii="Times New Roman" w:hAnsi="Times New Roman" w:cs="Times New Roman"/>
          <w:sz w:val="24"/>
          <w:szCs w:val="24"/>
        </w:rPr>
        <w:t>Como Ferramenta Transformadora</w:t>
      </w:r>
      <w:r w:rsidR="00FC3BA1">
        <w:rPr>
          <w:rFonts w:ascii="Times New Roman" w:hAnsi="Times New Roman" w:cs="Times New Roman"/>
          <w:sz w:val="24"/>
          <w:szCs w:val="24"/>
        </w:rPr>
        <w:t xml:space="preserve"> </w:t>
      </w:r>
      <w:r w:rsidR="00102B37">
        <w:rPr>
          <w:rFonts w:ascii="Times New Roman" w:hAnsi="Times New Roman" w:cs="Times New Roman"/>
          <w:sz w:val="24"/>
          <w:szCs w:val="24"/>
        </w:rPr>
        <w:t>------------------- 17</w:t>
      </w:r>
    </w:p>
    <w:p w14:paraId="5FA90A04" w14:textId="77777777" w:rsidR="00A266D6" w:rsidRDefault="00A266D6" w:rsidP="00534A5B">
      <w:pPr>
        <w:rPr>
          <w:rFonts w:ascii="Times New Roman" w:hAnsi="Times New Roman" w:cs="Times New Roman"/>
          <w:sz w:val="24"/>
          <w:szCs w:val="24"/>
        </w:rPr>
      </w:pPr>
    </w:p>
    <w:p w14:paraId="4CD9E7E6" w14:textId="5CD6071B" w:rsidR="00A266D6" w:rsidRPr="00855209" w:rsidRDefault="00A266D6" w:rsidP="00534A5B">
      <w:pPr>
        <w:rPr>
          <w:rFonts w:ascii="Times New Roman" w:hAnsi="Times New Roman" w:cs="Times New Roman"/>
          <w:sz w:val="24"/>
          <w:szCs w:val="24"/>
        </w:rPr>
      </w:pPr>
      <w:r>
        <w:rPr>
          <w:rFonts w:ascii="Times New Roman" w:hAnsi="Times New Roman" w:cs="Times New Roman"/>
          <w:sz w:val="24"/>
          <w:szCs w:val="24"/>
        </w:rPr>
        <w:t>10 Anos de Fato ------------------------------------------------------------- 23</w:t>
      </w:r>
    </w:p>
    <w:p w14:paraId="76157669" w14:textId="77777777" w:rsidR="009F5D04" w:rsidRDefault="009F5D04" w:rsidP="00534A5B">
      <w:pPr>
        <w:pStyle w:val="Ttulo1"/>
        <w:pBdr>
          <w:top w:val="nil"/>
          <w:left w:val="nil"/>
          <w:bottom w:val="nil"/>
          <w:right w:val="nil"/>
          <w:between w:val="nil"/>
        </w:pBdr>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Postulação Ética Diplomática</w:t>
      </w:r>
      <w:r>
        <w:rPr>
          <w:rFonts w:ascii="Times New Roman" w:hAnsi="Times New Roman" w:cs="Times New Roman"/>
          <w:color w:val="1A1A1A" w:themeColor="background1" w:themeShade="1A"/>
          <w:sz w:val="24"/>
          <w:szCs w:val="24"/>
        </w:rPr>
        <w:t>:</w:t>
      </w:r>
    </w:p>
    <w:p w14:paraId="306C9D7F" w14:textId="7074B929" w:rsidR="009F5D04" w:rsidRDefault="009F5D04" w:rsidP="00534A5B">
      <w:pPr>
        <w:pStyle w:val="Ttulo1"/>
        <w:pBdr>
          <w:top w:val="nil"/>
          <w:left w:val="nil"/>
          <w:bottom w:val="nil"/>
          <w:right w:val="nil"/>
          <w:between w:val="nil"/>
        </w:pBdr>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 xml:space="preserve"> "</w:t>
      </w:r>
      <w:r w:rsidRPr="00586D92">
        <w:rPr>
          <w:rFonts w:ascii="Times New Roman" w:hAnsi="Times New Roman" w:cs="Times New Roman"/>
          <w:i/>
          <w:iCs/>
          <w:color w:val="1A1A1A" w:themeColor="background1" w:themeShade="1A"/>
          <w:sz w:val="24"/>
          <w:szCs w:val="24"/>
        </w:rPr>
        <w:t>Especial COP 30: O Feed do Radar Informação"</w:t>
      </w:r>
      <w:r>
        <w:rPr>
          <w:rFonts w:ascii="Times New Roman" w:hAnsi="Times New Roman" w:cs="Times New Roman"/>
          <w:i/>
          <w:iCs/>
          <w:color w:val="1A1A1A" w:themeColor="background1" w:themeShade="1A"/>
          <w:sz w:val="24"/>
          <w:szCs w:val="24"/>
        </w:rPr>
        <w:t xml:space="preserve"> </w:t>
      </w:r>
      <w:r>
        <w:rPr>
          <w:rFonts w:ascii="Times New Roman" w:hAnsi="Times New Roman" w:cs="Times New Roman"/>
          <w:color w:val="1A1A1A" w:themeColor="background1" w:themeShade="1A"/>
          <w:sz w:val="24"/>
          <w:szCs w:val="24"/>
        </w:rPr>
        <w:t>-------------------</w:t>
      </w:r>
      <w:r w:rsidR="00C2251B">
        <w:rPr>
          <w:rFonts w:ascii="Times New Roman" w:hAnsi="Times New Roman" w:cs="Times New Roman"/>
          <w:color w:val="1A1A1A" w:themeColor="background1" w:themeShade="1A"/>
          <w:sz w:val="24"/>
          <w:szCs w:val="24"/>
        </w:rPr>
        <w:t>-</w:t>
      </w:r>
      <w:r w:rsidRPr="00586D92">
        <w:rPr>
          <w:rFonts w:ascii="Times New Roman" w:hAnsi="Times New Roman" w:cs="Times New Roman"/>
          <w:i/>
          <w:iCs/>
          <w:color w:val="1A1A1A" w:themeColor="background1" w:themeShade="1A"/>
          <w:sz w:val="24"/>
          <w:szCs w:val="24"/>
        </w:rPr>
        <w:t xml:space="preserve"> </w:t>
      </w:r>
      <w:r w:rsidRPr="00562529">
        <w:rPr>
          <w:rFonts w:ascii="Times New Roman" w:hAnsi="Times New Roman" w:cs="Times New Roman"/>
          <w:color w:val="1A1A1A" w:themeColor="background1" w:themeShade="1A"/>
          <w:sz w:val="24"/>
          <w:szCs w:val="24"/>
        </w:rPr>
        <w:t>26</w:t>
      </w:r>
    </w:p>
    <w:p w14:paraId="51E2D4A5" w14:textId="77777777" w:rsidR="009F5D04" w:rsidRPr="009E11ED" w:rsidRDefault="009F5D04"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Referências</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371</w:t>
      </w:r>
    </w:p>
    <w:p w14:paraId="0604B109" w14:textId="77777777" w:rsidR="009F5D04" w:rsidRPr="009E11ED" w:rsidRDefault="009F5D04"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Documento</w:t>
      </w:r>
      <w:r>
        <w:rPr>
          <w:rFonts w:ascii="Times New Roman" w:hAnsi="Times New Roman" w:cs="Times New Roman"/>
          <w:color w:val="1A1A1A" w:themeColor="background1" w:themeShade="1A"/>
          <w:sz w:val="24"/>
          <w:szCs w:val="24"/>
        </w:rPr>
        <w:t>s -------------------------------------------------------------------</w:t>
      </w:r>
      <w:r w:rsidRPr="009E11ED">
        <w:rPr>
          <w:rFonts w:ascii="Times New Roman" w:hAnsi="Times New Roman" w:cs="Times New Roman"/>
          <w:color w:val="1A1A1A" w:themeColor="background1" w:themeShade="1A"/>
          <w:sz w:val="24"/>
          <w:szCs w:val="24"/>
        </w:rPr>
        <w:t xml:space="preserve"> 372</w:t>
      </w:r>
    </w:p>
    <w:p w14:paraId="3B536E4F" w14:textId="7D0859BE" w:rsidR="00FA703A" w:rsidRDefault="00FA703A">
      <w:pPr>
        <w:rPr>
          <w:rFonts w:ascii="Times New Roman" w:hAnsi="Times New Roman" w:cs="Times New Roman"/>
          <w:i/>
          <w:iCs/>
          <w:color w:val="274E13"/>
          <w:sz w:val="20"/>
          <w:szCs w:val="20"/>
        </w:rPr>
      </w:pPr>
    </w:p>
    <w:p w14:paraId="7F4A41B7" w14:textId="77777777" w:rsidR="001C11E3" w:rsidRPr="006B1274" w:rsidRDefault="001C11E3" w:rsidP="00B36B27">
      <w:pPr>
        <w:spacing w:before="240" w:after="240" w:line="360" w:lineRule="auto"/>
        <w:jc w:val="right"/>
        <w:rPr>
          <w:rFonts w:ascii="Times New Roman" w:hAnsi="Times New Roman" w:cs="Times New Roman"/>
          <w:i/>
          <w:iCs/>
          <w:color w:val="E31C60"/>
          <w:sz w:val="20"/>
          <w:szCs w:val="20"/>
        </w:rPr>
      </w:pPr>
    </w:p>
    <w:p w14:paraId="29B424B5" w14:textId="77777777" w:rsidR="002572E6" w:rsidRDefault="002572E6" w:rsidP="00B36B27">
      <w:pPr>
        <w:pStyle w:val="Ttulo1"/>
        <w:pBdr>
          <w:top w:val="nil"/>
          <w:left w:val="nil"/>
          <w:bottom w:val="nil"/>
          <w:right w:val="nil"/>
          <w:between w:val="nil"/>
        </w:pBdr>
        <w:spacing w:line="360" w:lineRule="auto"/>
        <w:rPr>
          <w:rFonts w:ascii="Times New Roman" w:hAnsi="Times New Roman" w:cs="Times New Roman"/>
        </w:rPr>
      </w:pPr>
      <w:bookmarkStart w:id="1" w:name="_nwkngl9co1yl" w:colFirst="0" w:colLast="0"/>
      <w:bookmarkEnd w:id="1"/>
    </w:p>
    <w:p w14:paraId="5342C163" w14:textId="77777777" w:rsidR="009E5AEE" w:rsidRDefault="009E5AEE" w:rsidP="00B36B27">
      <w:pPr>
        <w:pStyle w:val="Ttulo1"/>
        <w:pBdr>
          <w:top w:val="nil"/>
          <w:left w:val="nil"/>
          <w:bottom w:val="nil"/>
          <w:right w:val="nil"/>
          <w:between w:val="nil"/>
        </w:pBdr>
        <w:spacing w:line="360" w:lineRule="auto"/>
        <w:rPr>
          <w:rFonts w:ascii="Times New Roman" w:hAnsi="Times New Roman" w:cs="Times New Roman"/>
        </w:rPr>
      </w:pPr>
    </w:p>
    <w:p w14:paraId="686D2740" w14:textId="44999700" w:rsidR="001C11E3" w:rsidRPr="006B1274" w:rsidRDefault="00576533" w:rsidP="00B36B27">
      <w:pPr>
        <w:pStyle w:val="Ttulo1"/>
        <w:pBdr>
          <w:top w:val="nil"/>
          <w:left w:val="nil"/>
          <w:bottom w:val="nil"/>
          <w:right w:val="nil"/>
          <w:between w:val="nil"/>
        </w:pBdr>
        <w:spacing w:line="360" w:lineRule="auto"/>
        <w:rPr>
          <w:rFonts w:ascii="Times New Roman" w:hAnsi="Times New Roman" w:cs="Times New Roman"/>
        </w:rPr>
      </w:pPr>
      <w:r w:rsidRPr="006B1274">
        <w:rPr>
          <w:rFonts w:ascii="Times New Roman" w:hAnsi="Times New Roman" w:cs="Times New Roman"/>
        </w:rPr>
        <w:t>ESPECIAL COP30</w:t>
      </w:r>
    </w:p>
    <w:p w14:paraId="3E87AD79" w14:textId="77777777" w:rsidR="001C11E3" w:rsidRPr="006B1274" w:rsidRDefault="00576533" w:rsidP="00B36B27">
      <w:pPr>
        <w:pBdr>
          <w:top w:val="nil"/>
          <w:left w:val="nil"/>
          <w:bottom w:val="nil"/>
          <w:right w:val="nil"/>
          <w:between w:val="nil"/>
        </w:pBdr>
        <w:spacing w:before="0" w:line="360" w:lineRule="auto"/>
        <w:rPr>
          <w:rFonts w:ascii="Times New Roman" w:eastAsia="Covered By Your Grace" w:hAnsi="Times New Roman" w:cs="Times New Roman"/>
          <w:sz w:val="36"/>
          <w:szCs w:val="36"/>
        </w:rPr>
      </w:pPr>
      <w:r w:rsidRPr="006B1274">
        <w:rPr>
          <w:rFonts w:ascii="Times New Roman" w:eastAsia="Covered By Your Grace" w:hAnsi="Times New Roman" w:cs="Times New Roman"/>
          <w:sz w:val="36"/>
          <w:szCs w:val="36"/>
        </w:rPr>
        <w:t>- - - - X</w:t>
      </w:r>
    </w:p>
    <w:p w14:paraId="7616D205" w14:textId="77777777" w:rsidR="001C11E3" w:rsidRPr="006B1274" w:rsidRDefault="00576533" w:rsidP="00B36B27">
      <w:pPr>
        <w:spacing w:before="240" w:after="240" w:line="360" w:lineRule="auto"/>
        <w:rPr>
          <w:rFonts w:ascii="Times New Roman" w:eastAsia="Covered By Your Grace" w:hAnsi="Times New Roman" w:cs="Times New Roman"/>
          <w:sz w:val="36"/>
          <w:szCs w:val="36"/>
        </w:rPr>
      </w:pPr>
      <w:r w:rsidRPr="006B1274">
        <w:rPr>
          <w:rFonts w:ascii="Times New Roman" w:eastAsia="Covered By Your Grace" w:hAnsi="Times New Roman" w:cs="Times New Roman"/>
          <w:sz w:val="36"/>
          <w:szCs w:val="36"/>
        </w:rPr>
        <w:t>Diálogo em Mediação Ética Publicitária</w:t>
      </w:r>
    </w:p>
    <w:p w14:paraId="64840C90" w14:textId="77777777" w:rsidR="001C11E3" w:rsidRPr="006B1274" w:rsidRDefault="00576533" w:rsidP="00B36B27">
      <w:pPr>
        <w:pBdr>
          <w:top w:val="nil"/>
          <w:left w:val="nil"/>
          <w:bottom w:val="nil"/>
          <w:right w:val="nil"/>
          <w:between w:val="nil"/>
        </w:pBdr>
        <w:spacing w:line="360" w:lineRule="auto"/>
        <w:rPr>
          <w:rFonts w:ascii="Times New Roman" w:hAnsi="Times New Roman" w:cs="Times New Roman"/>
        </w:rPr>
      </w:pPr>
      <w:r w:rsidRPr="006B1274">
        <w:rPr>
          <w:rFonts w:ascii="Times New Roman" w:hAnsi="Times New Roman" w:cs="Times New Roman"/>
        </w:rPr>
        <w:t>Especialidade de Políticas Públicas com Informação, Dicas, Conteúdo Ético e Transparência das Informações do Brasil e Parcerias de Implementação em Acordos Cooperacionais.</w:t>
      </w:r>
    </w:p>
    <w:p w14:paraId="38E2EF2B" w14:textId="77777777" w:rsidR="001C11E3" w:rsidRPr="006B1274" w:rsidRDefault="00576533" w:rsidP="00B36B27">
      <w:pPr>
        <w:pBdr>
          <w:top w:val="nil"/>
          <w:left w:val="nil"/>
          <w:bottom w:val="nil"/>
          <w:right w:val="nil"/>
          <w:between w:val="nil"/>
        </w:pBdr>
        <w:spacing w:before="0" w:line="360" w:lineRule="auto"/>
        <w:jc w:val="center"/>
        <w:rPr>
          <w:rFonts w:ascii="Times New Roman" w:hAnsi="Times New Roman" w:cs="Times New Roman"/>
          <w:color w:val="999999"/>
          <w:sz w:val="40"/>
          <w:szCs w:val="40"/>
        </w:rPr>
      </w:pPr>
      <w:r w:rsidRPr="006B1274">
        <w:rPr>
          <w:rFonts w:ascii="Times New Roman" w:hAnsi="Times New Roman" w:cs="Times New Roman"/>
          <w:color w:val="999999"/>
          <w:sz w:val="40"/>
          <w:szCs w:val="40"/>
        </w:rPr>
        <w:t>“</w:t>
      </w:r>
    </w:p>
    <w:p w14:paraId="74FE0BF3" w14:textId="77777777" w:rsidR="001C11E3" w:rsidRPr="006B1274" w:rsidRDefault="00576533" w:rsidP="00B36B27">
      <w:pPr>
        <w:spacing w:before="240" w:after="240" w:line="360" w:lineRule="auto"/>
        <w:jc w:val="center"/>
        <w:rPr>
          <w:rFonts w:ascii="Times New Roman" w:eastAsia="Oswald" w:hAnsi="Times New Roman" w:cs="Times New Roman"/>
          <w:sz w:val="24"/>
          <w:szCs w:val="24"/>
        </w:rPr>
      </w:pPr>
      <w:r w:rsidRPr="006B1274">
        <w:rPr>
          <w:rFonts w:ascii="Times New Roman" w:eastAsia="Oswald" w:hAnsi="Times New Roman" w:cs="Times New Roman"/>
          <w:sz w:val="24"/>
          <w:szCs w:val="24"/>
        </w:rPr>
        <w:t>Temática Inserção Contemporânea Século XXI</w:t>
      </w:r>
    </w:p>
    <w:p w14:paraId="511D667B" w14:textId="77777777" w:rsidR="001C11E3" w:rsidRPr="006B1274" w:rsidRDefault="00576533" w:rsidP="00B36B27">
      <w:pPr>
        <w:spacing w:before="240" w:after="240" w:line="360" w:lineRule="auto"/>
        <w:jc w:val="center"/>
        <w:rPr>
          <w:rFonts w:ascii="Times New Roman" w:eastAsia="Oswald" w:hAnsi="Times New Roman" w:cs="Times New Roman"/>
          <w:sz w:val="24"/>
          <w:szCs w:val="24"/>
        </w:rPr>
      </w:pPr>
      <w:r w:rsidRPr="006B1274">
        <w:rPr>
          <w:rFonts w:ascii="Times New Roman" w:eastAsia="Oswald" w:hAnsi="Times New Roman" w:cs="Times New Roman"/>
          <w:sz w:val="24"/>
          <w:szCs w:val="24"/>
        </w:rPr>
        <w:t>INDÚSTRIA 4.0 DIGITAL EM INOVAÇÃO CIENTÍFICA</w:t>
      </w:r>
    </w:p>
    <w:p w14:paraId="6FF16A9A" w14:textId="77777777" w:rsidR="001C11E3" w:rsidRPr="006B1274" w:rsidRDefault="00576533" w:rsidP="00B36B27">
      <w:pPr>
        <w:spacing w:before="240" w:after="240" w:line="360" w:lineRule="auto"/>
        <w:jc w:val="center"/>
        <w:rPr>
          <w:rFonts w:ascii="Times New Roman" w:eastAsia="Oswald" w:hAnsi="Times New Roman" w:cs="Times New Roman"/>
          <w:sz w:val="24"/>
          <w:szCs w:val="24"/>
        </w:rPr>
      </w:pPr>
      <w:r w:rsidRPr="006B1274">
        <w:rPr>
          <w:rFonts w:ascii="Times New Roman" w:eastAsia="Oswald" w:hAnsi="Times New Roman" w:cs="Times New Roman"/>
          <w:sz w:val="24"/>
          <w:szCs w:val="24"/>
        </w:rPr>
        <w:t>STARTUPS E TRANSIÇÕES ENERGÉTICAS</w:t>
      </w:r>
    </w:p>
    <w:p w14:paraId="1B9381B2" w14:textId="54D04B30" w:rsidR="001C11E3" w:rsidRPr="006B1274" w:rsidRDefault="00576533" w:rsidP="00B36B27">
      <w:pPr>
        <w:spacing w:before="240" w:after="240" w:line="360" w:lineRule="auto"/>
        <w:jc w:val="center"/>
        <w:rPr>
          <w:rFonts w:ascii="Times New Roman" w:eastAsia="Oswald" w:hAnsi="Times New Roman" w:cs="Times New Roman"/>
          <w:sz w:val="24"/>
          <w:szCs w:val="24"/>
        </w:rPr>
      </w:pPr>
      <w:r w:rsidRPr="006B1274">
        <w:rPr>
          <w:rFonts w:ascii="Times New Roman" w:eastAsia="Oswald" w:hAnsi="Times New Roman" w:cs="Times New Roman"/>
          <w:sz w:val="24"/>
          <w:szCs w:val="24"/>
        </w:rPr>
        <w:t xml:space="preserve">Tese Autoral em Monografia pela Universidade Estácio de Sá. Metodologia de Ensino </w:t>
      </w:r>
      <w:r w:rsidR="00EA3995" w:rsidRPr="006B1274">
        <w:rPr>
          <w:rFonts w:ascii="Times New Roman" w:eastAsia="Oswald" w:hAnsi="Times New Roman" w:cs="Times New Roman"/>
          <w:sz w:val="24"/>
          <w:szCs w:val="24"/>
        </w:rPr>
        <w:t>Harvard</w:t>
      </w:r>
      <w:r w:rsidRPr="006B1274">
        <w:rPr>
          <w:rFonts w:ascii="Times New Roman" w:eastAsia="Oswald" w:hAnsi="Times New Roman" w:cs="Times New Roman"/>
          <w:sz w:val="24"/>
          <w:szCs w:val="24"/>
        </w:rPr>
        <w:t xml:space="preserve"> e Projeto Científico em Comunicação e Desenvolvimento Sustentável pela Universidade Federal do Rio de Janeiro (UFRJ)</w:t>
      </w:r>
    </w:p>
    <w:p w14:paraId="04E344C9" w14:textId="77777777" w:rsidR="001C11E3" w:rsidRPr="006B1274" w:rsidRDefault="00576533" w:rsidP="00B36B27">
      <w:pPr>
        <w:spacing w:before="240" w:after="240" w:line="360" w:lineRule="auto"/>
        <w:jc w:val="center"/>
        <w:rPr>
          <w:rFonts w:ascii="Times New Roman" w:eastAsia="Oswald" w:hAnsi="Times New Roman" w:cs="Times New Roman"/>
          <w:sz w:val="24"/>
          <w:szCs w:val="24"/>
        </w:rPr>
      </w:pPr>
      <w:r w:rsidRPr="006B1274">
        <w:rPr>
          <w:rFonts w:ascii="Times New Roman" w:eastAsia="Oswald" w:hAnsi="Times New Roman" w:cs="Times New Roman"/>
          <w:sz w:val="24"/>
          <w:szCs w:val="24"/>
        </w:rPr>
        <w:t>Aplicação de conhecimento em Projeto Autoral Pedagógico de Jornalismo Especializado (Comunitário, Rural e Empreendimento Científico) em Desenvolvimento da Classe Acadêmica.</w:t>
      </w:r>
    </w:p>
    <w:p w14:paraId="1DD29290" w14:textId="2FDF469C" w:rsidR="001C11E3" w:rsidRPr="006B1274" w:rsidRDefault="00576533" w:rsidP="00B36B27">
      <w:pPr>
        <w:spacing w:before="240" w:after="240" w:line="360" w:lineRule="auto"/>
        <w:jc w:val="center"/>
        <w:rPr>
          <w:rFonts w:ascii="Times New Roman" w:hAnsi="Times New Roman" w:cs="Times New Roman"/>
          <w:color w:val="274E13"/>
          <w:sz w:val="24"/>
          <w:szCs w:val="24"/>
        </w:rPr>
      </w:pPr>
      <w:r w:rsidRPr="006B1274">
        <w:rPr>
          <w:rFonts w:ascii="Times New Roman" w:hAnsi="Times New Roman" w:cs="Times New Roman"/>
          <w:color w:val="274E13"/>
          <w:sz w:val="24"/>
          <w:szCs w:val="24"/>
        </w:rPr>
        <w:t>-</w:t>
      </w:r>
    </w:p>
    <w:p w14:paraId="324D52FD" w14:textId="77777777" w:rsidR="001C11E3" w:rsidRPr="006B1274" w:rsidRDefault="00576533" w:rsidP="00B36B27">
      <w:pPr>
        <w:spacing w:before="240" w:after="240" w:line="360" w:lineRule="auto"/>
        <w:jc w:val="center"/>
        <w:rPr>
          <w:rFonts w:ascii="Times New Roman" w:hAnsi="Times New Roman" w:cs="Times New Roman"/>
        </w:rPr>
      </w:pPr>
      <w:r w:rsidRPr="006B1274">
        <w:rPr>
          <w:rFonts w:ascii="Times New Roman" w:hAnsi="Times New Roman" w:cs="Times New Roman"/>
          <w:color w:val="999999"/>
          <w:sz w:val="40"/>
          <w:szCs w:val="40"/>
        </w:rPr>
        <w:t>”</w:t>
      </w:r>
      <w:r w:rsidRPr="006B1274">
        <w:rPr>
          <w:rFonts w:ascii="Times New Roman" w:hAnsi="Times New Roman" w:cs="Times New Roman"/>
          <w:noProof/>
        </w:rPr>
        <w:drawing>
          <wp:inline distT="114300" distB="114300" distL="114300" distR="114300" wp14:anchorId="7748DD11" wp14:editId="4155BB61">
            <wp:extent cx="5943600" cy="38100"/>
            <wp:effectExtent l="0" t="0" r="0" b="0"/>
            <wp:docPr id="14" name="image2.png" descr="linha horizontal"/>
            <wp:cNvGraphicFramePr/>
            <a:graphic xmlns:a="http://schemas.openxmlformats.org/drawingml/2006/main">
              <a:graphicData uri="http://schemas.openxmlformats.org/drawingml/2006/picture">
                <pic:pic xmlns:pic="http://schemas.openxmlformats.org/drawingml/2006/picture">
                  <pic:nvPicPr>
                    <pic:cNvPr id="0" name="image2.png" descr="linha horizontal"/>
                    <pic:cNvPicPr preferRelativeResize="0"/>
                  </pic:nvPicPr>
                  <pic:blipFill>
                    <a:blip r:embed="rId7"/>
                    <a:srcRect/>
                    <a:stretch>
                      <a:fillRect/>
                    </a:stretch>
                  </pic:blipFill>
                  <pic:spPr>
                    <a:xfrm>
                      <a:off x="0" y="0"/>
                      <a:ext cx="5943600" cy="38100"/>
                    </a:xfrm>
                    <a:prstGeom prst="rect">
                      <a:avLst/>
                    </a:prstGeom>
                    <a:ln/>
                  </pic:spPr>
                </pic:pic>
              </a:graphicData>
            </a:graphic>
          </wp:inline>
        </w:drawing>
      </w:r>
    </w:p>
    <w:p w14:paraId="5B7581FC" w14:textId="77777777" w:rsidR="001C11E3" w:rsidRPr="006B1274" w:rsidRDefault="00576533" w:rsidP="00B36B27">
      <w:pPr>
        <w:spacing w:line="360" w:lineRule="auto"/>
        <w:jc w:val="center"/>
        <w:rPr>
          <w:rFonts w:ascii="Times New Roman" w:hAnsi="Times New Roman" w:cs="Times New Roman"/>
        </w:rPr>
      </w:pPr>
      <w:r w:rsidRPr="006B1274">
        <w:rPr>
          <w:rFonts w:ascii="Times New Roman" w:hAnsi="Times New Roman" w:cs="Times New Roman"/>
          <w:noProof/>
        </w:rPr>
        <w:lastRenderedPageBreak/>
        <w:drawing>
          <wp:inline distT="114300" distB="114300" distL="114300" distR="114300" wp14:anchorId="110248CA" wp14:editId="1FAF2AFA">
            <wp:extent cx="5943600" cy="2311400"/>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5943600" cy="2311400"/>
                    </a:xfrm>
                    <a:prstGeom prst="rect">
                      <a:avLst/>
                    </a:prstGeom>
                    <a:ln/>
                  </pic:spPr>
                </pic:pic>
              </a:graphicData>
            </a:graphic>
          </wp:inline>
        </w:drawing>
      </w:r>
    </w:p>
    <w:p w14:paraId="460884BA" w14:textId="77777777" w:rsidR="001C11E3" w:rsidRPr="006B1274" w:rsidRDefault="00576533" w:rsidP="00B36B27">
      <w:pPr>
        <w:pBdr>
          <w:top w:val="nil"/>
          <w:left w:val="nil"/>
          <w:bottom w:val="nil"/>
          <w:right w:val="nil"/>
          <w:between w:val="nil"/>
        </w:pBdr>
        <w:spacing w:before="0" w:line="360" w:lineRule="auto"/>
        <w:rPr>
          <w:rFonts w:ascii="Times New Roman" w:hAnsi="Times New Roman" w:cs="Times New Roman"/>
        </w:rPr>
      </w:pPr>
      <w:r w:rsidRPr="006B1274">
        <w:rPr>
          <w:rFonts w:ascii="Times New Roman" w:eastAsia="Covered By Your Grace" w:hAnsi="Times New Roman" w:cs="Times New Roman"/>
          <w:sz w:val="36"/>
          <w:szCs w:val="36"/>
        </w:rPr>
        <w:t>- - - - X</w:t>
      </w:r>
    </w:p>
    <w:p w14:paraId="4FD8A7CA" w14:textId="77777777" w:rsidR="001C11E3" w:rsidRPr="006B1274" w:rsidRDefault="00576533" w:rsidP="00B36B27">
      <w:pPr>
        <w:spacing w:before="240" w:after="240" w:line="360" w:lineRule="auto"/>
        <w:rPr>
          <w:rFonts w:ascii="Times New Roman" w:hAnsi="Times New Roman" w:cs="Times New Roman"/>
          <w:sz w:val="20"/>
          <w:szCs w:val="20"/>
        </w:rPr>
      </w:pPr>
      <w:r w:rsidRPr="006B1274">
        <w:rPr>
          <w:rFonts w:ascii="Times New Roman" w:hAnsi="Times New Roman" w:cs="Times New Roman"/>
          <w:sz w:val="20"/>
          <w:szCs w:val="20"/>
        </w:rPr>
        <w:t xml:space="preserve">Publicitária, Redatora e Economista: </w:t>
      </w:r>
    </w:p>
    <w:p w14:paraId="45A9D084" w14:textId="58781EB6" w:rsidR="001C11E3" w:rsidRPr="006B1274" w:rsidRDefault="00576533" w:rsidP="00B36B27">
      <w:pPr>
        <w:spacing w:before="240" w:after="240" w:line="360" w:lineRule="auto"/>
        <w:rPr>
          <w:rFonts w:ascii="Times New Roman" w:hAnsi="Times New Roman" w:cs="Times New Roman"/>
          <w:sz w:val="20"/>
          <w:szCs w:val="20"/>
        </w:rPr>
      </w:pPr>
      <w:r w:rsidRPr="006B1274">
        <w:rPr>
          <w:rFonts w:ascii="Times New Roman" w:hAnsi="Times New Roman" w:cs="Times New Roman"/>
          <w:sz w:val="20"/>
          <w:szCs w:val="20"/>
        </w:rPr>
        <w:t>.</w:t>
      </w:r>
    </w:p>
    <w:p w14:paraId="1EB13385" w14:textId="77777777" w:rsidR="001C11E3" w:rsidRPr="006B1274" w:rsidRDefault="00576533" w:rsidP="00B36B27">
      <w:pPr>
        <w:spacing w:before="240" w:after="240" w:line="360" w:lineRule="auto"/>
        <w:rPr>
          <w:rFonts w:ascii="Times New Roman" w:hAnsi="Times New Roman" w:cs="Times New Roman"/>
          <w:sz w:val="20"/>
          <w:szCs w:val="20"/>
        </w:rPr>
      </w:pPr>
      <w:r w:rsidRPr="006B1274">
        <w:rPr>
          <w:rFonts w:ascii="Times New Roman" w:hAnsi="Times New Roman" w:cs="Times New Roman"/>
          <w:sz w:val="20"/>
          <w:szCs w:val="20"/>
        </w:rPr>
        <w:t>Temática Social: Do Social para as Redes Sociais, a Importância da Representatividade Ética Profissional Feminina em Tempos Digitais.</w:t>
      </w:r>
    </w:p>
    <w:p w14:paraId="0F122772" w14:textId="2D9D1715" w:rsidR="001C11E3" w:rsidRPr="006B1274" w:rsidRDefault="00576533" w:rsidP="00B36B27">
      <w:pPr>
        <w:spacing w:before="240" w:after="240" w:line="360" w:lineRule="auto"/>
        <w:rPr>
          <w:rFonts w:ascii="Times New Roman" w:hAnsi="Times New Roman" w:cs="Times New Roman"/>
          <w:sz w:val="20"/>
          <w:szCs w:val="20"/>
        </w:rPr>
      </w:pPr>
      <w:r w:rsidRPr="006B1274">
        <w:rPr>
          <w:rFonts w:ascii="Times New Roman" w:hAnsi="Times New Roman" w:cs="Times New Roman"/>
          <w:color w:val="000000"/>
          <w:sz w:val="20"/>
          <w:szCs w:val="20"/>
          <w:highlight w:val="white"/>
        </w:rPr>
        <w:t>Como cidadã Brasileira, mulher, ativa academicamente em sociedade em Carreira Diplomática, Doutora em Comunicação Social, solicito atenção especial à condução das Obras do Estado do Rio de Janeiro relativas ao Projeto de Revitalização do Centro do Rio de Janeiro em extensão de linhas férreas do Metrô, VLT e Trens. Desde início das obras, a segurança e qualidade de vida dos moradores do Estado foram prejudicadas em respeito da Administração Pública no gerenciamento entre as formas de bilhetagem de forma integrativa entre a Capital e a Região Fluminense composta de região Metropolitana, Baixada e Região Oeste do Estado. Com hábitos mais conservadores e indícios de feminicídios, os moradores de áreas isoladas trazem à capital a presença de milícias, concentração de pessoas em vulnerabilidade em uso de drogas, mulheres ativas em hiperssexualização feminina, e hábitos de empreendedorismo facilitadores à atividades ilícitas como jogos, venda de medicamentos internacionais, mercadorias internacionais, entre outras situações que implicam em segurança do Estado do Rio de Janeiro controladas em partes pela Prefeitura e sobrecarregadas na assistência à Capital. A questão não envolve apenas êxodo rural, mas imigrantes e alto número de turismo com locações de casas em bairros residenciais. A sobrecarga do Estado do Rio de Janeiro, tem retirado a oportunidade de cidadãos e cidadãs naturais do Estado, reduzindo em dignidade a vida da população afetada em saneamento, vagas de Hospitais e Assistência Jurídica, entre outros casos que implicam em crescimento desordenado da cidade e falha da assistência do Estado pela alta demanda concentrada. Sendo o Rio de Janeiro, já o segundo Estado mais populoso do País, com uma das menores áreas territoriais, implicando em invasão de territórios protegidos ambientalmente para construções irregulares, resultando em exploração territorial, escravização da população e popularização tipificando processo de Favelização. Destinada carta de minha autoria, , como porta-voz das denúncias através do Fórum de Ciência e Cultura da Universidade Federal do Rio de Janeiro (UFRJ) "Vozes Pelo Clima" criado para visibilidade de assuntos pertinentes aos Direitos Humanos, Cidadania, Justiça Climática e Desenvolvimento Sócioambiental Sustentável. Veiculando assim, em minhas Redes Sociais e em Página Independente “Radar Informação” uma Cobertura Diplomática em acompanhamento de Políticas Públicas em escala Global tratados durante a COP 30 Brasil.</w:t>
      </w:r>
    </w:p>
    <w:p w14:paraId="468007BF" w14:textId="77777777" w:rsidR="001C11E3" w:rsidRPr="006B1274" w:rsidRDefault="001C11E3" w:rsidP="00B36B27">
      <w:pPr>
        <w:spacing w:before="240" w:after="240" w:line="360" w:lineRule="auto"/>
        <w:rPr>
          <w:rFonts w:ascii="Times New Roman" w:hAnsi="Times New Roman" w:cs="Times New Roman"/>
          <w:sz w:val="20"/>
          <w:szCs w:val="20"/>
        </w:rPr>
      </w:pPr>
    </w:p>
    <w:p w14:paraId="38B6013B" w14:textId="77777777" w:rsidR="001C11E3" w:rsidRPr="006B1274" w:rsidRDefault="001C11E3" w:rsidP="00B36B27">
      <w:pPr>
        <w:pBdr>
          <w:top w:val="nil"/>
          <w:left w:val="nil"/>
          <w:bottom w:val="nil"/>
          <w:right w:val="nil"/>
          <w:between w:val="nil"/>
        </w:pBdr>
        <w:spacing w:line="360" w:lineRule="auto"/>
        <w:rPr>
          <w:rFonts w:ascii="Times New Roman" w:hAnsi="Times New Roman" w:cs="Times New Roman"/>
          <w:sz w:val="20"/>
          <w:szCs w:val="20"/>
        </w:rPr>
      </w:pPr>
    </w:p>
    <w:p w14:paraId="3959FBEA" w14:textId="77777777" w:rsidR="001C11E3" w:rsidRPr="006B1274" w:rsidRDefault="00576533" w:rsidP="00B36B27">
      <w:pPr>
        <w:pBdr>
          <w:top w:val="nil"/>
          <w:left w:val="nil"/>
          <w:bottom w:val="nil"/>
          <w:right w:val="nil"/>
          <w:between w:val="nil"/>
        </w:pBdr>
        <w:spacing w:before="0" w:line="360" w:lineRule="auto"/>
        <w:jc w:val="center"/>
        <w:rPr>
          <w:rFonts w:ascii="Times New Roman" w:hAnsi="Times New Roman" w:cs="Times New Roman"/>
        </w:rPr>
      </w:pPr>
      <w:r w:rsidRPr="006B1274">
        <w:rPr>
          <w:rFonts w:ascii="Times New Roman" w:hAnsi="Times New Roman" w:cs="Times New Roman"/>
          <w:noProof/>
        </w:rPr>
        <w:drawing>
          <wp:inline distT="114300" distB="114300" distL="114300" distR="114300" wp14:anchorId="1E107823" wp14:editId="78DD9CD8">
            <wp:extent cx="5943600" cy="7924800"/>
            <wp:effectExtent l="0" t="0" r="0" b="0"/>
            <wp:docPr id="1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9"/>
                    <a:srcRect/>
                    <a:stretch>
                      <a:fillRect/>
                    </a:stretch>
                  </pic:blipFill>
                  <pic:spPr>
                    <a:xfrm>
                      <a:off x="0" y="0"/>
                      <a:ext cx="5943600" cy="7924800"/>
                    </a:xfrm>
                    <a:prstGeom prst="rect">
                      <a:avLst/>
                    </a:prstGeom>
                    <a:ln/>
                  </pic:spPr>
                </pic:pic>
              </a:graphicData>
            </a:graphic>
          </wp:inline>
        </w:drawing>
      </w:r>
      <w:r w:rsidRPr="006B1274">
        <w:rPr>
          <w:rFonts w:ascii="Times New Roman" w:hAnsi="Times New Roman" w:cs="Times New Roman"/>
          <w:noProof/>
        </w:rPr>
        <w:drawing>
          <wp:inline distT="114300" distB="114300" distL="114300" distR="114300" wp14:anchorId="68D70B45" wp14:editId="0E0A4856">
            <wp:extent cx="3448050" cy="5523865"/>
            <wp:effectExtent l="0" t="0" r="6350" b="635"/>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448753" cy="5524991"/>
                    </a:xfrm>
                    <a:prstGeom prst="rect">
                      <a:avLst/>
                    </a:prstGeom>
                    <a:ln/>
                  </pic:spPr>
                </pic:pic>
              </a:graphicData>
            </a:graphic>
          </wp:inline>
        </w:drawing>
      </w:r>
    </w:p>
    <w:p w14:paraId="48E905E4" w14:textId="77777777" w:rsidR="00C35559" w:rsidRPr="00437725" w:rsidRDefault="00576533" w:rsidP="00B36B27">
      <w:pPr>
        <w:pBdr>
          <w:top w:val="nil"/>
          <w:left w:val="nil"/>
          <w:bottom w:val="nil"/>
          <w:right w:val="nil"/>
          <w:between w:val="nil"/>
        </w:pBdr>
        <w:spacing w:before="0" w:line="360" w:lineRule="auto"/>
        <w:jc w:val="center"/>
        <w:rPr>
          <w:rFonts w:ascii="Times New Roman" w:hAnsi="Times New Roman" w:cs="Times New Roman"/>
          <w:color w:val="000000"/>
          <w:sz w:val="20"/>
          <w:szCs w:val="20"/>
        </w:rPr>
      </w:pPr>
      <w:r w:rsidRPr="00437725">
        <w:rPr>
          <w:rFonts w:ascii="Times New Roman" w:hAnsi="Times New Roman" w:cs="Times New Roman"/>
          <w:color w:val="000000"/>
          <w:sz w:val="20"/>
          <w:szCs w:val="20"/>
        </w:rPr>
        <w:t>Museu de Arte Contemporânea - Niterói, Rio de Janeiro, Brasil.</w:t>
      </w:r>
    </w:p>
    <w:p w14:paraId="54EA189F" w14:textId="1C034196" w:rsidR="001C11E3" w:rsidRDefault="000D313C" w:rsidP="00B36B27">
      <w:pPr>
        <w:pBdr>
          <w:top w:val="nil"/>
          <w:left w:val="nil"/>
          <w:bottom w:val="nil"/>
          <w:right w:val="nil"/>
          <w:between w:val="nil"/>
        </w:pBdr>
        <w:spacing w:before="0" w:line="360" w:lineRule="auto"/>
        <w:jc w:val="center"/>
        <w:rPr>
          <w:rFonts w:ascii="Times New Roman" w:hAnsi="Times New Roman" w:cs="Times New Roman"/>
          <w:sz w:val="20"/>
          <w:szCs w:val="20"/>
        </w:rPr>
      </w:pPr>
      <w:r>
        <w:rPr>
          <w:rFonts w:ascii="Times New Roman" w:hAnsi="Times New Roman" w:cs="Times New Roman"/>
          <w:color w:val="000000"/>
          <w:sz w:val="20"/>
          <w:szCs w:val="20"/>
        </w:rPr>
        <w:t>A</w:t>
      </w:r>
      <w:r w:rsidR="00576533" w:rsidRPr="00437725">
        <w:rPr>
          <w:rFonts w:ascii="Times New Roman" w:hAnsi="Times New Roman" w:cs="Times New Roman"/>
          <w:color w:val="000000"/>
          <w:sz w:val="20"/>
          <w:szCs w:val="20"/>
        </w:rPr>
        <w:t>no 2025: 525 anos de Descobrimento do Brasil e 95 anos de Ministérios da República Federativa do Brasil</w:t>
      </w:r>
    </w:p>
    <w:p w14:paraId="56FC6302" w14:textId="77777777" w:rsidR="000D313C" w:rsidRPr="006B1274" w:rsidRDefault="000D313C" w:rsidP="00B36B27">
      <w:pPr>
        <w:pBdr>
          <w:top w:val="nil"/>
          <w:left w:val="nil"/>
          <w:bottom w:val="nil"/>
          <w:right w:val="nil"/>
          <w:between w:val="nil"/>
        </w:pBdr>
        <w:spacing w:before="0" w:line="360" w:lineRule="auto"/>
        <w:jc w:val="center"/>
        <w:rPr>
          <w:rFonts w:ascii="Times New Roman" w:hAnsi="Times New Roman" w:cs="Times New Roman"/>
          <w:sz w:val="20"/>
          <w:szCs w:val="20"/>
        </w:rPr>
      </w:pPr>
    </w:p>
    <w:p w14:paraId="33BF714A" w14:textId="77777777" w:rsidR="001C11E3" w:rsidRPr="006B1274" w:rsidRDefault="00576533" w:rsidP="002B407B">
      <w:pPr>
        <w:spacing w:before="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Toda escola superior deveria oferecer aulas de filosofia e história. Assim fugiríamos da figura do especialista e ganharíamos profissionais capacitados a conversar sobre a vida.</w:t>
      </w:r>
    </w:p>
    <w:p w14:paraId="526A0271" w14:textId="77777777" w:rsidR="001C11E3" w:rsidRPr="006B1274" w:rsidRDefault="00576533" w:rsidP="002B407B">
      <w:pPr>
        <w:spacing w:before="0" w:line="360" w:lineRule="auto"/>
        <w:ind w:left="2160"/>
        <w:jc w:val="both"/>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Oscar Niemeyer. A Efetividade do Direito e do Processo de Trabalho, Campus Jurídico, 2010.</w:t>
      </w:r>
    </w:p>
    <w:p w14:paraId="266EF980" w14:textId="77777777" w:rsidR="009A35D4" w:rsidRPr="006B1274" w:rsidRDefault="009A35D4" w:rsidP="00B36B27">
      <w:pPr>
        <w:spacing w:before="0" w:line="360" w:lineRule="auto"/>
        <w:ind w:left="1440"/>
        <w:jc w:val="both"/>
        <w:rPr>
          <w:rFonts w:ascii="Times New Roman" w:hAnsi="Times New Roman" w:cs="Times New Roman"/>
          <w:b/>
          <w:bCs/>
          <w:color w:val="000000"/>
          <w:sz w:val="20"/>
          <w:szCs w:val="20"/>
        </w:rPr>
      </w:pPr>
    </w:p>
    <w:p w14:paraId="7D05728D" w14:textId="77777777" w:rsidR="00C35559" w:rsidRDefault="00C35559" w:rsidP="00B36B27">
      <w:pPr>
        <w:spacing w:before="0" w:line="360" w:lineRule="auto"/>
        <w:rPr>
          <w:rFonts w:ascii="Times New Roman" w:hAnsi="Times New Roman" w:cs="Times New Roman"/>
          <w:color w:val="000000"/>
          <w:sz w:val="20"/>
          <w:szCs w:val="20"/>
          <w:highlight w:val="white"/>
        </w:rPr>
      </w:pPr>
    </w:p>
    <w:p w14:paraId="47EC8BBB" w14:textId="721A7B9F" w:rsidR="001C11E3" w:rsidRPr="006B1274" w:rsidRDefault="00576533" w:rsidP="008567E9">
      <w:pPr>
        <w:spacing w:before="0" w:line="360" w:lineRule="auto"/>
        <w:ind w:firstLine="720"/>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Os Objetivos de Desenvolvimento Sustentável correlacionam 17 eixos temáticos em metas para cumprimento de intenções em aplicação de Políticas Públicas de forma eficaz às necessidades de cada Nação integrante da Organização das Nações Unidas.</w:t>
      </w:r>
    </w:p>
    <w:p w14:paraId="58B9673D" w14:textId="77777777" w:rsidR="001C11E3" w:rsidRPr="006B1274" w:rsidRDefault="001C11E3" w:rsidP="00B36B27">
      <w:pPr>
        <w:spacing w:before="0" w:line="360" w:lineRule="auto"/>
        <w:rPr>
          <w:rFonts w:ascii="Times New Roman" w:hAnsi="Times New Roman" w:cs="Times New Roman"/>
          <w:color w:val="000000"/>
          <w:sz w:val="20"/>
          <w:szCs w:val="20"/>
        </w:rPr>
      </w:pPr>
    </w:p>
    <w:p w14:paraId="5BBA74FD" w14:textId="77777777" w:rsidR="001C11E3" w:rsidRPr="006B1274" w:rsidRDefault="00576533" w:rsidP="00B36B27">
      <w:pPr>
        <w:spacing w:before="0" w:line="360" w:lineRule="auto"/>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Uma proposta implementada pela Universidade Federal do Rio de Janeiro (UFRJ), pela Escola de Comunicação (ECO), no ano de 1992, no Rio de Janeiro, reuniu os principais líderes mundiais e representantes de Estado para a garantia de equidade em Direitos Humanos.</w:t>
      </w:r>
    </w:p>
    <w:p w14:paraId="1B26E1FB" w14:textId="77777777" w:rsidR="001C11E3" w:rsidRPr="006B1274" w:rsidRDefault="001C11E3" w:rsidP="00B36B27">
      <w:pPr>
        <w:spacing w:before="0" w:line="360" w:lineRule="auto"/>
        <w:rPr>
          <w:rFonts w:ascii="Times New Roman" w:hAnsi="Times New Roman" w:cs="Times New Roman"/>
          <w:color w:val="000000"/>
          <w:sz w:val="20"/>
          <w:szCs w:val="20"/>
        </w:rPr>
      </w:pPr>
    </w:p>
    <w:p w14:paraId="3DB82C61" w14:textId="77777777" w:rsidR="001C11E3" w:rsidRPr="006B1274" w:rsidRDefault="00576533" w:rsidP="00B36B27">
      <w:pPr>
        <w:spacing w:before="0" w:line="360" w:lineRule="auto"/>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 xml:space="preserve">A partir deste ato, nascia a Conferência das Partes das Nações Unidas, a COP. Em sua trigésima versão em 2025, de volta ao Brasil, com duas décadas do Novo Século XXI as avaliações de Acordos, Metas em NDCs e os danos e riscos causados à Amazônia e à saúde do Planeta em novo milênio, foram debatidas de 10 à </w:t>
      </w:r>
      <w:r w:rsidRPr="006B1274">
        <w:rPr>
          <w:rFonts w:ascii="Times New Roman" w:hAnsi="Times New Roman" w:cs="Times New Roman"/>
          <w:color w:val="000000"/>
          <w:sz w:val="20"/>
          <w:szCs w:val="20"/>
        </w:rPr>
        <w:t>21 de Novembro</w:t>
      </w:r>
      <w:r w:rsidRPr="006B1274">
        <w:rPr>
          <w:rFonts w:ascii="Times New Roman" w:hAnsi="Times New Roman" w:cs="Times New Roman"/>
          <w:color w:val="000000"/>
          <w:sz w:val="20"/>
          <w:szCs w:val="20"/>
          <w:highlight w:val="white"/>
        </w:rPr>
        <w:t xml:space="preserve"> de 2025 em Belém (PA).</w:t>
      </w:r>
    </w:p>
    <w:p w14:paraId="5D8B690B" w14:textId="77777777" w:rsidR="001C11E3" w:rsidRPr="006B1274" w:rsidRDefault="001C11E3" w:rsidP="00B36B27">
      <w:pPr>
        <w:spacing w:before="0" w:line="360" w:lineRule="auto"/>
        <w:rPr>
          <w:rFonts w:ascii="Times New Roman" w:hAnsi="Times New Roman" w:cs="Times New Roman"/>
          <w:color w:val="000000"/>
          <w:sz w:val="20"/>
          <w:szCs w:val="20"/>
        </w:rPr>
      </w:pPr>
    </w:p>
    <w:p w14:paraId="4849A2BD" w14:textId="13166C93" w:rsidR="001C11E3" w:rsidRPr="006B1274" w:rsidRDefault="00576533" w:rsidP="00B36B27">
      <w:pPr>
        <w:spacing w:before="0" w:line="360" w:lineRule="auto"/>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 xml:space="preserve">Não somente sobre Meio Ambiente, Biologia e Botânica são os debates da Conferência, além de questões ambientais o objetivo é tratar sobre Justiça Climática muitas vezes desbalanceada entre os </w:t>
      </w:r>
      <w:r w:rsidR="00921651" w:rsidRPr="006B1274">
        <w:rPr>
          <w:rFonts w:ascii="Times New Roman" w:hAnsi="Times New Roman" w:cs="Times New Roman"/>
          <w:color w:val="000000"/>
          <w:sz w:val="20"/>
          <w:szCs w:val="20"/>
          <w:highlight w:val="white"/>
        </w:rPr>
        <w:t>hemisférios</w:t>
      </w:r>
      <w:r w:rsidRPr="006B1274">
        <w:rPr>
          <w:rFonts w:ascii="Times New Roman" w:hAnsi="Times New Roman" w:cs="Times New Roman"/>
          <w:color w:val="000000"/>
          <w:sz w:val="20"/>
          <w:szCs w:val="20"/>
          <w:highlight w:val="white"/>
        </w:rPr>
        <w:t>, colocando em centro do debate os Direitos Humanos em dignidade habitável para se existir vida sobre a Terra. Isto envolve questões climáticas, saneamento, segurança ambiental e os desdobramentos da indústria que nos abastece em consumo.</w:t>
      </w:r>
    </w:p>
    <w:p w14:paraId="4BF4FB09" w14:textId="77777777" w:rsidR="001C11E3" w:rsidRPr="006B1274" w:rsidRDefault="001C11E3" w:rsidP="00B36B27">
      <w:pPr>
        <w:spacing w:before="0" w:line="360" w:lineRule="auto"/>
        <w:rPr>
          <w:rFonts w:ascii="Times New Roman" w:hAnsi="Times New Roman" w:cs="Times New Roman"/>
          <w:color w:val="000000"/>
          <w:sz w:val="20"/>
          <w:szCs w:val="20"/>
        </w:rPr>
      </w:pPr>
    </w:p>
    <w:p w14:paraId="104F61F6" w14:textId="3EC17043" w:rsidR="001C11E3" w:rsidRPr="006B1274" w:rsidRDefault="00576533" w:rsidP="00B36B27">
      <w:pPr>
        <w:spacing w:before="0" w:line="360" w:lineRule="auto"/>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 xml:space="preserve">O Brasil, mediador do </w:t>
      </w:r>
      <w:r w:rsidR="00921651" w:rsidRPr="006B1274">
        <w:rPr>
          <w:rFonts w:ascii="Times New Roman" w:hAnsi="Times New Roman" w:cs="Times New Roman"/>
          <w:color w:val="000000"/>
          <w:sz w:val="20"/>
          <w:szCs w:val="20"/>
          <w:highlight w:val="white"/>
        </w:rPr>
        <w:t>Fórum</w:t>
      </w:r>
      <w:r w:rsidRPr="006B1274">
        <w:rPr>
          <w:rFonts w:ascii="Times New Roman" w:hAnsi="Times New Roman" w:cs="Times New Roman"/>
          <w:color w:val="000000"/>
          <w:sz w:val="20"/>
          <w:szCs w:val="20"/>
          <w:highlight w:val="white"/>
        </w:rPr>
        <w:t xml:space="preserve"> em questões Diplomáticas visa a soberania da Democracia Constitucional nos Pilares de Igualdade Social e o papel do Estado em defesa dos cidadãos ao que tange a segurança fronteiriça em extensão do Território da República Federativa do Brasil, assim como, suas matas, solo e limites Fazendários.</w:t>
      </w:r>
    </w:p>
    <w:p w14:paraId="506DDE1A" w14:textId="77777777" w:rsidR="001C11E3" w:rsidRPr="006B1274" w:rsidRDefault="001C11E3" w:rsidP="00B36B27">
      <w:pPr>
        <w:spacing w:before="0" w:line="360" w:lineRule="auto"/>
        <w:rPr>
          <w:rFonts w:ascii="Times New Roman" w:hAnsi="Times New Roman" w:cs="Times New Roman"/>
          <w:color w:val="000000"/>
          <w:sz w:val="20"/>
          <w:szCs w:val="20"/>
        </w:rPr>
      </w:pPr>
    </w:p>
    <w:p w14:paraId="21EE6D14" w14:textId="77777777" w:rsidR="001C11E3" w:rsidRPr="006B1274" w:rsidRDefault="00576533" w:rsidP="00B36B27">
      <w:pPr>
        <w:pBdr>
          <w:top w:val="nil"/>
          <w:left w:val="nil"/>
          <w:bottom w:val="nil"/>
          <w:right w:val="nil"/>
          <w:between w:val="nil"/>
        </w:pBdr>
        <w:spacing w:before="0" w:line="360" w:lineRule="auto"/>
        <w:rPr>
          <w:rFonts w:ascii="Times New Roman" w:hAnsi="Times New Roman" w:cs="Times New Roman"/>
          <w:color w:val="000000"/>
          <w:sz w:val="20"/>
          <w:szCs w:val="20"/>
          <w:highlight w:val="white"/>
        </w:rPr>
      </w:pPr>
      <w:r w:rsidRPr="006B1274">
        <w:rPr>
          <w:rFonts w:ascii="Times New Roman" w:hAnsi="Times New Roman" w:cs="Times New Roman"/>
          <w:color w:val="000000"/>
          <w:sz w:val="20"/>
          <w:szCs w:val="20"/>
          <w:highlight w:val="white"/>
        </w:rPr>
        <w:t>Ao que tange a dignidade para haver vida sobre a Terra, na defesa dos Direitos Humanos, o Disque 100 funciona 24 horas para atendimento ao cidadão.</w:t>
      </w:r>
    </w:p>
    <w:p w14:paraId="52DB65BE" w14:textId="77777777" w:rsidR="001C11E3" w:rsidRPr="006B1274" w:rsidRDefault="001C11E3" w:rsidP="00B36B27">
      <w:pPr>
        <w:pBdr>
          <w:top w:val="nil"/>
          <w:left w:val="nil"/>
          <w:bottom w:val="nil"/>
          <w:right w:val="nil"/>
          <w:between w:val="nil"/>
        </w:pBdr>
        <w:spacing w:before="0" w:line="360" w:lineRule="auto"/>
        <w:rPr>
          <w:rFonts w:ascii="Times New Roman" w:hAnsi="Times New Roman" w:cs="Times New Roman"/>
          <w:color w:val="000000"/>
          <w:sz w:val="20"/>
          <w:szCs w:val="20"/>
          <w:highlight w:val="white"/>
        </w:rPr>
      </w:pPr>
    </w:p>
    <w:p w14:paraId="45DAFCD2" w14:textId="77777777" w:rsidR="001C11E3" w:rsidRPr="006B1274" w:rsidRDefault="00576533" w:rsidP="00B36B27">
      <w:pPr>
        <w:pBdr>
          <w:top w:val="nil"/>
          <w:left w:val="nil"/>
          <w:bottom w:val="nil"/>
          <w:right w:val="nil"/>
          <w:between w:val="nil"/>
        </w:pBdr>
        <w:spacing w:before="0" w:line="360" w:lineRule="auto"/>
        <w:jc w:val="center"/>
        <w:rPr>
          <w:rFonts w:ascii="Times New Roman" w:hAnsi="Times New Roman" w:cs="Times New Roman"/>
          <w:color w:val="000000"/>
          <w:sz w:val="24"/>
          <w:szCs w:val="24"/>
          <w:highlight w:val="white"/>
        </w:rPr>
      </w:pPr>
      <w:r w:rsidRPr="006B1274">
        <w:rPr>
          <w:rFonts w:ascii="Times New Roman" w:hAnsi="Times New Roman" w:cs="Times New Roman"/>
          <w:noProof/>
          <w:color w:val="000000"/>
          <w:sz w:val="24"/>
          <w:szCs w:val="24"/>
          <w:highlight w:val="white"/>
        </w:rPr>
        <w:drawing>
          <wp:inline distT="114300" distB="114300" distL="114300" distR="114300" wp14:anchorId="2E1718EB" wp14:editId="4D326B94">
            <wp:extent cx="3724275" cy="7143750"/>
            <wp:effectExtent l="0" t="0" r="0" b="6350"/>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3724394" cy="7143979"/>
                    </a:xfrm>
                    <a:prstGeom prst="rect">
                      <a:avLst/>
                    </a:prstGeom>
                    <a:ln/>
                  </pic:spPr>
                </pic:pic>
              </a:graphicData>
            </a:graphic>
          </wp:inline>
        </w:drawing>
      </w:r>
      <w:r w:rsidRPr="006B1274">
        <w:rPr>
          <w:rFonts w:ascii="Times New Roman" w:hAnsi="Times New Roman" w:cs="Times New Roman"/>
          <w:color w:val="000000"/>
          <w:sz w:val="24"/>
          <w:szCs w:val="24"/>
          <w:highlight w:val="white"/>
        </w:rPr>
        <w:t xml:space="preserve">   </w:t>
      </w:r>
    </w:p>
    <w:p w14:paraId="7D21D31C" w14:textId="77777777" w:rsidR="001C11E3" w:rsidRPr="000D313C" w:rsidRDefault="00576533" w:rsidP="00B36B27">
      <w:pPr>
        <w:pBdr>
          <w:top w:val="nil"/>
          <w:left w:val="nil"/>
          <w:bottom w:val="nil"/>
          <w:right w:val="nil"/>
          <w:between w:val="nil"/>
        </w:pBdr>
        <w:spacing w:before="0" w:line="360" w:lineRule="auto"/>
        <w:jc w:val="center"/>
        <w:rPr>
          <w:rFonts w:ascii="Times New Roman" w:hAnsi="Times New Roman" w:cs="Times New Roman"/>
          <w:color w:val="000000"/>
          <w:sz w:val="20"/>
          <w:szCs w:val="20"/>
          <w:highlight w:val="white"/>
        </w:rPr>
      </w:pPr>
      <w:r w:rsidRPr="000D313C">
        <w:rPr>
          <w:rFonts w:ascii="Times New Roman" w:hAnsi="Times New Roman" w:cs="Times New Roman"/>
          <w:color w:val="000000"/>
          <w:sz w:val="20"/>
          <w:szCs w:val="20"/>
          <w:highlight w:val="white"/>
        </w:rPr>
        <w:t>Disque 100 - Direitos Humanos</w:t>
      </w:r>
    </w:p>
    <w:p w14:paraId="15ACDCAD" w14:textId="77777777" w:rsidR="001C11E3" w:rsidRPr="006B1274" w:rsidRDefault="00576533" w:rsidP="00B36B27">
      <w:pPr>
        <w:pBdr>
          <w:top w:val="nil"/>
          <w:left w:val="nil"/>
          <w:bottom w:val="nil"/>
          <w:right w:val="nil"/>
          <w:between w:val="nil"/>
        </w:pBdr>
        <w:spacing w:before="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aumento de construções no Estado do Rio de Janeiro, tanto da Capital como da Região Fluminense do Estado em cumprimento de empreendimentos de construções em Obras Públicas de grande porte em centros e áreas para atendimento de desenvolvimento populacional planejados pelo PAC, tem refletido em questões ambientais de alerta Nacional para atuação em reversão.</w:t>
      </w:r>
    </w:p>
    <w:p w14:paraId="239A83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Além de obras públicas o aumento de construções irregulares em áreas de encosta e de condomínios habitacionais providos pelo Programa Social Minha Casa Minha Vida financiados em repasses públicos ou construções privadas, tem gerado prejuízo e impactos orçamentários Fazendários e de condições habitáveis em dignidade quanto a administração do Estado do Rio de Janeiro, que em sua máxima capacidade, em primeiro CENSO do IBGE em duas décadas de século XXI no ano de 2022, o  revelou como o 2º Estado mais populoso do Brasil e em Índice de Progresso Social regressivo em qualidade de vida dos moradores dado o aumento do fluxo migratório no Estado.</w:t>
      </w:r>
    </w:p>
    <w:p w14:paraId="79C42C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 temos o entendimento de Estado como interventor para legislação e execução prática de conceitos éticos em prol da Ordem e perfeito funcionamento. Um setor jurídico para julgar e averiguar a condução deste ciclo em funcionalidades se faz preciso.</w:t>
      </w:r>
    </w:p>
    <w:p w14:paraId="75E4AD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Um exemplo da ineficiência em Estado, no estado do Rio de Janeiro, é a Segurança. Esta como forma de controle opressor em articulação impacta em controle de todos os outros eixos da Administração Pública. O exemplo, são os carros privativos em serviço da UBER como primeira metodologia de StartUps de empreendimento jurídico privatizado empresarial aqui instaurados mesmo sem regulamentações. O segundo exemplo são os empreendimentos científicos em cosméticos, postos em prática com auxílio de Organizações Criminosas para a produção com insumos químicos regulados pela Agência Nacional de Saúde tidos como lícitos ou não, mas que não são comercializados com venda direta ao consumidor. O terceiro exemplo são os empreendimentos científicos em eficiência técnica de recursos da engenharia, estes executados no formato científico, afinal, o Estado não configura como livre os recursos em Aço, Metalurgia ou suas derivações para confecção de forma leiga pelo cidadão, indicando o aumento do empreendedorismo e uma ideologia violadora de Direitos de outros cidadãos prejudicados pela forma amadora de direcionamento empreendedor considerado ilegal, pois somente foi incluso em Código Civil em 2021 o Marco Legal das StartUps, e este, ainda não sancionado e regulado, exemplo da pressão aplicado pelo Crime Organizado ao Legislativo em articulação da precariedade em serviços, serviços estes que as próprias Organizações Criminosas prejudicam para por em prejuízo a Ordem do Estado.</w:t>
      </w:r>
    </w:p>
    <w:p w14:paraId="60D8BA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medidas empreendedoras de transições energéticas não consideradas como premissas na curva de consumo histórico, podem justificar a redução das máquinas em geração de energia elétrica tidos como o parâmetro de consumo de Hidroelétricas na redução do consumo regulado e o encarecimento das contas de luz. O desajuste além de alagamentos por alta capacidade dos reservatórios não ajustados às premissas de histórico, refletem na redução do empenho das máquinas em usina para geração de energia dada a invisibilidade dos recursos paliativos como fontes alternativas de energia e aumento de energia clandestinas, logo, mesmo com reservatórios apresentando alta capacidade o controle não ajustado em premissas implica no funcionamento avaliado considerando dados históricos do abastecimento de energia.</w:t>
      </w:r>
    </w:p>
    <w:p w14:paraId="757AEA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Sem o alinhamento de premissas em usinas de e energia, alagamentos voltaram a ser um cenário preocupante nos grandes centros urbanos. E prejuízo aos Cofres Públicos e da população com lavagem de dinheiro em favor de serviços ainda não regulados fomentados por ações de empreendedorismo de economia sustentável de áreas periféricas, transferindo fonte de investimento da Administração Pública para medidas empreendedoras de civis em empreendimentos de transições energéticas.</w:t>
      </w:r>
    </w:p>
    <w:p w14:paraId="0772D6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aumento de ações de medidas empreendedoras habitacionais urbanas a comunidade de emergentes periféricos apresenta avanço em índices de Desenvolvimento Socioeconômico em melhores condições de vida, mas onerando em prejuízo  Classe Média pagante de serviços por longos anos e deduções fiscais em fonte tributária por desequilíbrio em Administração Pública.</w:t>
      </w:r>
    </w:p>
    <w:p w14:paraId="5B8BD5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Empreendimento científico se difere de empreendimento de subsistência, que em plena Capital do Rio de Janeiro segunda maior Economia do Sudeste e entre as principais capitais econômicas do País, não podem ser confundidas, como está ocorrendo o incentivo de "economia circular periférica empreendedora" invalidando o Estado.</w:t>
      </w:r>
    </w:p>
    <w:p w14:paraId="1E7CCD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característica de subsistência se deriva de áreas rurais e de povos originários, no Estado do Rio de Janeiro, o que está havendo é a invasão para exploração de recursos e de terras na forma fazendária econômica diante da ineficiência do Estado em controle de índices sociais de outras partes do País, ficando identificado o colapso por concentração desigual populacional de imigrantes em retirada da oportunidade de povos naturais do Estado. Deste modo o conceito de favelização NUNCA termina, pois o fluxo de êxodo nunca reduz não dando oportunidade de evolução socioeconômica do Estado, sempre preso no abismo da desigualdade.</w:t>
      </w:r>
    </w:p>
    <w:p w14:paraId="34E09D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Independente de capital privado os interesses éticos em dignidade da vida humana, e consequentemente, do Meio Ambiente para o não colapso em Catástrofes Climáticas, para que se possa existir vida sobre a Terra, é de obrigação do Estado o controle da Ordem para segurança de todos os que habitam o limite geográfico da Nação.</w:t>
      </w:r>
    </w:p>
    <w:p w14:paraId="2808AF05" w14:textId="110E9E7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Logo, para a contenção da invasão por exploração territorial do Estado do Rio de Janeiro e reversão do desencadeamento do caos como guerra indireta em índices de desenvolvimentos </w:t>
      </w:r>
      <w:r w:rsidR="008054A7" w:rsidRPr="006B1274">
        <w:rPr>
          <w:rFonts w:ascii="Times New Roman" w:hAnsi="Times New Roman" w:cs="Times New Roman"/>
          <w:color w:val="000000"/>
          <w:sz w:val="20"/>
          <w:szCs w:val="20"/>
        </w:rPr>
        <w:t>socioeconômicos</w:t>
      </w:r>
      <w:r w:rsidRPr="006B1274">
        <w:rPr>
          <w:rFonts w:ascii="Times New Roman" w:hAnsi="Times New Roman" w:cs="Times New Roman"/>
          <w:color w:val="000000"/>
          <w:sz w:val="20"/>
          <w:szCs w:val="20"/>
        </w:rPr>
        <w:t xml:space="preserve"> e saneamento, é dever do Estado se mostrar presente para a atuação. Tendo a Diplomacia a condução de parcerias e intenções humanitárias para o controle, eis o papel da Conferência das Partes das Nações Unidas, a COP 30, eis o Brasil Sustentável do Século XXI. Não somente através de empreendimentos e ações civis conseguiremos melhores resultados na reversão do cenário de redução da qualidade de vida e do processo de "favelização" do Estado.</w:t>
      </w:r>
    </w:p>
    <w:p w14:paraId="702F1E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Dividido entre poder Legislativo, Executivo e Judiciário, o Sistema Presidencialista é o vigente na República Federativa do Brasil para condução em soberania de Direitos em sociedade atendendo a dignidade humana e necessidades básicas no Desenvolvimento do País, como a Saúde para atendimento à vida; a Educação para evolução e continuidade do desenvolvimento por gerações; o Saneamento como salubridade e essencialidade para preservação da dignidade humana com o meio o qual habita; a Segurança como forma de prover Ordem, resguardar e proteger sua população; a Cultura como fonte de identidade própria e histórico de um povo; e a Seguridade Social para amparo da população em Direitos Sociais.</w:t>
      </w:r>
    </w:p>
    <w:p w14:paraId="5AA913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Quando não regulamentada, a Administração do Estado ou abandonada sem intervenção do Estado, além de improbidade administrativa, implica em tortura e escravização do indivíduo em sua essência.</w:t>
      </w:r>
    </w:p>
    <w:p w14:paraId="235F39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então, com posicionamento em preocupação às condições climáticas e saúde, foi que a indústria brasileira se desenvolveu aos diversos tratamentos e sistema de recursos básicos de primeiros socorros para assistência humanitária.</w:t>
      </w:r>
    </w:p>
    <w:p w14:paraId="173833F4" w14:textId="78E0E0A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Pacto de 100 anos após proclamação da República, tendo o Rio de Janeiro, antes em era Imperial como Colônia Real. No novo formato administrativo Republicano faz da cidade do Rio de Janeiro a Capital administrativa, tendo as primeiras obras em andamento no formato universalizado de construções em ares Parisiense de um estilo Neo-Clássico com a mistura de Vitrais em Arte Sacra e colunas Clássicas inspiradas em obras Européias. Ruas amplas para recepção dos primeiros meios de transporte, e então introdução de metodologia de ensino à classe civil para educação, cultura e desporto em 1902 com início da grande reforma urbanística do Rio, começando pelo </w:t>
      </w:r>
      <w:proofErr w:type="spellStart"/>
      <w:r w:rsidRPr="006B1274">
        <w:rPr>
          <w:rFonts w:ascii="Times New Roman" w:hAnsi="Times New Roman" w:cs="Times New Roman"/>
          <w:color w:val="000000"/>
          <w:sz w:val="20"/>
          <w:szCs w:val="20"/>
        </w:rPr>
        <w:t>Theatro</w:t>
      </w:r>
      <w:proofErr w:type="spellEnd"/>
      <w:r w:rsidRPr="006B1274">
        <w:rPr>
          <w:rFonts w:ascii="Times New Roman" w:hAnsi="Times New Roman" w:cs="Times New Roman"/>
          <w:color w:val="000000"/>
          <w:sz w:val="20"/>
          <w:szCs w:val="20"/>
        </w:rPr>
        <w:t xml:space="preserve"> Munici</w:t>
      </w:r>
      <w:r w:rsidR="008054A7" w:rsidRPr="006B1274">
        <w:rPr>
          <w:rFonts w:ascii="Times New Roman" w:hAnsi="Times New Roman" w:cs="Times New Roman"/>
          <w:color w:val="000000"/>
          <w:sz w:val="20"/>
          <w:szCs w:val="20"/>
        </w:rPr>
        <w:t>p</w:t>
      </w:r>
      <w:r w:rsidRPr="006B1274">
        <w:rPr>
          <w:rFonts w:ascii="Times New Roman" w:hAnsi="Times New Roman" w:cs="Times New Roman"/>
          <w:color w:val="000000"/>
          <w:sz w:val="20"/>
          <w:szCs w:val="20"/>
        </w:rPr>
        <w:t>al e as ruas do centro do Rio de Janeiro.</w:t>
      </w:r>
    </w:p>
    <w:p w14:paraId="622DD5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a partir de então que a engenharia brasileira ganha destaque, tendo a linha ferroviária a mais antiga forma de consenso entre os continentes Europeu e Americano em metodologia de mobilidade urbana como cidadania, diferentemente, de americanos que defendem o transporte particular e carros automobilísticos.</w:t>
      </w:r>
    </w:p>
    <w:p w14:paraId="13517E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foco em Desenvolvimento Social através de programas de educação, saneamento, cultura, saúde, desporto e seguridade social é que se mantém o conceito de Desenvolvimento Sustentável para a garantia de direitos em sociedade.</w:t>
      </w:r>
    </w:p>
    <w:p w14:paraId="386EC6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então acordos e diálogos entre as Nações trazem em inovação e troca de melhores práticas a forma de contínua evolução em cíclica da era moderna. Mas a corrupção iniciada por golpes fazendários, continua sendo sinal de alerta e controle em Segurança das contas Públicas e de Bancos Internacionais.</w:t>
      </w:r>
    </w:p>
    <w:p w14:paraId="0CD4FD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através da diplomacia, especialidade em Políticas Públicas, diálogo mediador e empreendimentos diplomáticos que soluções eficazes são encontradas e mediadas a cada Conferência das Partes para contínuo Desenvolvimento Sustentável e aproveitamento em recursos administrativos internacionais entre os Países.</w:t>
      </w:r>
    </w:p>
    <w:p w14:paraId="621F40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640987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5C9D52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1A7542B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Apesar de todo charme arquitetônico, algumas soluções urbanas européias não funcionam no Brasil dada as condições de Mata Atlântica, além da diferente realidade em cultura de brasileiros, muito mais precária em cordialidade e conscientização humanitária pelo índice desordenado de controle social e urbano de áreas periféricas e a alta taxa de desigualdade social.</w:t>
      </w:r>
    </w:p>
    <w:p w14:paraId="1F8D4F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Dados Demográficos Rio de Janeiro</w:t>
      </w:r>
    </w:p>
    <w:p w14:paraId="0B33C11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Rio de Janeiro, com uma área de 43.752,8 km², é o vigésimo quarto estado brasileiro em extensão territorial e 1,3 milhão de hectares de Mata Atlântica remanescente, o que representa 29,9% do seu território.</w:t>
      </w:r>
    </w:p>
    <w:p w14:paraId="5B82F8F3"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"Área Total IBGE 43.752,8 km²</w:t>
      </w:r>
    </w:p>
    <w:p w14:paraId="4A957691"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Área urbana IBGE/2019 640,3 365 km²</w:t>
      </w:r>
    </w:p>
    <w:p w14:paraId="62F26EEB"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Área Verde 1,3 milhão hectares</w:t>
      </w:r>
    </w:p>
    <w:p w14:paraId="099609D6"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PIB IBGE/2017 R$ 671,3 bilhões</w:t>
      </w:r>
    </w:p>
    <w:p w14:paraId="5C040FC3"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 xml:space="preserve">PIB IBGE/2018 758.859 milhões </w:t>
      </w:r>
    </w:p>
    <w:p w14:paraId="22DD8E73"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PIB IBGE/2019 R$ 779,9 bilhões</w:t>
      </w:r>
    </w:p>
    <w:p w14:paraId="28AE86C1"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PIB IBGE/2020 R$ 753,83 bilhões</w:t>
      </w:r>
    </w:p>
    <w:p w14:paraId="4A745DB3"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PIB IBGE/2021 R$ 949,3 bilhões</w:t>
      </w:r>
    </w:p>
    <w:p w14:paraId="6D3B6FB8"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 xml:space="preserve">    </w:t>
      </w:r>
    </w:p>
    <w:p w14:paraId="1C39E1ED"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 xml:space="preserve">    </w:t>
      </w:r>
    </w:p>
    <w:p w14:paraId="739D1324"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Dados Comparativo Estadual 2022</w:t>
      </w:r>
    </w:p>
    <w:p w14:paraId="6BF4484F" w14:textId="77777777" w:rsidR="001C11E3" w:rsidRPr="00CE34B2" w:rsidRDefault="00576533" w:rsidP="00CE34B2">
      <w:pPr>
        <w:spacing w:before="240" w:after="240" w:line="360" w:lineRule="auto"/>
        <w:ind w:left="2160"/>
        <w:jc w:val="both"/>
        <w:rPr>
          <w:rFonts w:ascii="Times New Roman" w:hAnsi="Times New Roman" w:cs="Times New Roman"/>
          <w:color w:val="000000"/>
        </w:rPr>
      </w:pPr>
      <w:r w:rsidRPr="00CE34B2">
        <w:rPr>
          <w:rFonts w:ascii="Times New Roman" w:hAnsi="Times New Roman" w:cs="Times New Roman"/>
          <w:color w:val="000000"/>
        </w:rPr>
        <w:t xml:space="preserve">Posição | Unidade federativa | PIB Participação* </w:t>
      </w:r>
    </w:p>
    <w:p w14:paraId="1586DE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p>
    <w:p w14:paraId="7219AD46" w14:textId="77777777" w:rsidR="001C11E3"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1 São Paulo 3.130.333.000 Aumento 31,1</w:t>
      </w:r>
    </w:p>
    <w:p w14:paraId="5E193E21" w14:textId="77777777" w:rsidR="001C11E3"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2 Rio de Janeiro 1.153.512.000 Aumento 11,4</w:t>
      </w:r>
    </w:p>
    <w:p w14:paraId="097160D1" w14:textId="77777777" w:rsidR="001C11E3"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3 Minas Gerais 906.731.000 Baixa 9,0</w:t>
      </w:r>
    </w:p>
    <w:p w14:paraId="5D9BE9D2" w14:textId="77777777" w:rsidR="001C11E3"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4 Paraná 614.611.000 Estável 6,1</w:t>
      </w:r>
    </w:p>
    <w:p w14:paraId="101CF92A" w14:textId="77777777" w:rsidR="00FD1585"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 xml:space="preserve">5 Rio Grande do Sul 593.634.000 Baixa 5,9" </w:t>
      </w:r>
    </w:p>
    <w:p w14:paraId="41660A76" w14:textId="54104B13" w:rsidR="001C11E3" w:rsidRPr="00E86223" w:rsidRDefault="00576533" w:rsidP="00E86223">
      <w:pPr>
        <w:spacing w:before="240" w:after="240" w:line="360" w:lineRule="auto"/>
        <w:ind w:left="2160"/>
        <w:jc w:val="both"/>
        <w:rPr>
          <w:rFonts w:ascii="Times New Roman" w:hAnsi="Times New Roman" w:cs="Times New Roman"/>
          <w:color w:val="000000"/>
        </w:rPr>
      </w:pPr>
      <w:r w:rsidRPr="00E86223">
        <w:rPr>
          <w:rFonts w:ascii="Times New Roman" w:hAnsi="Times New Roman" w:cs="Times New Roman"/>
          <w:color w:val="000000"/>
        </w:rPr>
        <w:t>Fonte: Wikipédia</w:t>
      </w:r>
    </w:p>
    <w:p w14:paraId="02AC1D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Logo, por uma lógica de extensão de linhas férreas, a ampliação de Linhas do MetrôRio e Supervia para integração total do Estado do Rio de Janeiro e a sua Capital Rio de Janeiro (Região Central), vão completamente contra a noção lógica em preservação da vegetação originária em visão sustentável, social e econômica. Uma vez que o trecho percorrido ainda em sua máxima extensão, envolveria um alto custo de tráfego por tamanho da região comparada a outras Capitas, tendo o maior custo efetivo por menor trecho percorrido referente a bilhetagem única. Causando ônus à Concessionária da prestação de Serviços e aos passageiros envolvendo o alto custo do bilhete.</w:t>
      </w:r>
    </w:p>
    <w:p w14:paraId="1FECAA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Vale lembrar que atualmente a cidade do Rio de Janeiro possui a passagem mais cara entre as Capitais do Brasil, sendo, a menor área regional e maior população com segundo lugar em ranking do PIB Brasileiro. Resultando na Capital mais Populosa. Uma completa desigualdade com a Capital de referência econômica, São Paulo, estado com maior número populacional formado por mão-de-obra trabalhista, logo, o maior colaborador aos transportes públicos custeados por empregadores.</w:t>
      </w:r>
    </w:p>
    <w:p w14:paraId="5558AB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 ainda assim, empresas se negam na contratação de mão-de-obra com custos elevados em transporte, gerando roteirizações para corte de gastos e impacto direto na saúde laboral dos trabalhadores. Um prejuízo em índices sociais, espelhando gastos com obras públicas como o metrô, apenas, para fomentar êxodo entre regiões afastadas e a capital do Rio de Janeiro em função trabalhista visando estações com maior número de pólos trabalhistas. </w:t>
      </w:r>
    </w:p>
    <w:p w14:paraId="45BA7B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Indo mais além o êxodo entre metrópoles e regiões isoladas da capital apenas por jornada trabalhista, mascara em índices, o dever do Estado, em desenvolvimento consciente e sustentável da população. Além de impacto na liberdade civil em seu ir e vir como pedestres. </w:t>
      </w:r>
    </w:p>
    <w:p w14:paraId="1E2DE0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visão macro, as consequências são, aumento em sedentarismo, perda da qualidade de vida e de objetivos de compromisso social no que tange a Cultura, o Lazer, o Desporto e o Desenvolvimento Social como inclusivo, indo contra a ética e responsabilidade em gastos públicos de forma eficiente e coerente. Indicando lavagem de dinheiro e obras públicas sem efetivo uso por toda sociedade. </w:t>
      </w:r>
    </w:p>
    <w:p w14:paraId="61129E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fim, temos uma temática delicada e preocupante como alerta ao aumento nos preços por trecho percorrido refletidos em manutenções, valores de passagens unitárias e infraestrutura. Cada vez mais modernas e tecnológicas, repassados em impostos e seus reajustes de déficit fiscais, prejudicando a saúde financeira de todo o País e dívidas externas com os prestadores de serviço externo, como é o caso com o Japão e vagões da BYD. Sendo necessário a efetiva atuação nos acordos cooperacionais para estabilização dos preços e manutenções eficazes, sem prejudicar o serviço onerando contratos com obras ineficazes.</w:t>
      </w:r>
    </w:p>
    <w:p w14:paraId="22611686" w14:textId="77777777" w:rsidR="001C11E3" w:rsidRPr="006B1274" w:rsidRDefault="00576533" w:rsidP="00B36B27">
      <w:pPr>
        <w:spacing w:before="240" w:after="240" w:line="360" w:lineRule="auto"/>
        <w:rPr>
          <w:rFonts w:ascii="Times New Roman" w:eastAsia="Arial" w:hAnsi="Times New Roman" w:cs="Times New Roman"/>
          <w:b/>
          <w:bCs/>
          <w:color w:val="000000"/>
          <w:sz w:val="24"/>
          <w:szCs w:val="24"/>
        </w:rPr>
      </w:pPr>
      <w:r w:rsidRPr="006B1274">
        <w:rPr>
          <w:rFonts w:ascii="Times New Roman" w:eastAsia="Arial" w:hAnsi="Times New Roman" w:cs="Times New Roman"/>
          <w:b/>
          <w:bCs/>
          <w:color w:val="000000"/>
          <w:sz w:val="24"/>
          <w:szCs w:val="24"/>
        </w:rPr>
        <w:t>A Comunicação como Ferramenta Transformadora</w:t>
      </w:r>
    </w:p>
    <w:p w14:paraId="01A9E6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comunicação, processo inato e cognitivo de todo ser humano em expressar-se e interagir com o meio ao qual habita. Tem através da sinapse cerebral a cognição e reflexos motores, sonoros e visuais de estímulo em troca interlocutora do sistema nervoso.</w:t>
      </w:r>
    </w:p>
    <w:p w14:paraId="6DF4E6B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ferramentas às quais expressa-se a comunicação são relativas à necessidade do homem em evoluir e preservar sua integridade humana. Como sociedade global, é através da comunicação, da arte, de tecnologias, da cultura e da indústria que promovemos o avanço social em codificar, transcender e globalizar a propagação de hábitos, costumes e consumos próprios favoráveis para adaptação e desenvolvimento humano.</w:t>
      </w:r>
    </w:p>
    <w:p w14:paraId="67441D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era pré-histórica a simbologia codificada é o que rege a estrutura da comunicação. Em visão universal, carácteres globais nos possibilitam a identificação, assimilação cognitiva e a forma mais básica da comunicação.</w:t>
      </w:r>
    </w:p>
    <w:p w14:paraId="3B27CC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educação e a comunicação são as atividade mais essenciais e perpétuas da humanidade. Através da troca de conhecimento regemos o direcionamento de desenvolvimento social no compromisso de instruir, capacitar e integrar diferentes nações aos princípios de Direitos Humanos em dignidade em prol da vida e Direitos Assistenciais de forma livre e emancipadora ao saber. Norteando costumes, hábitos e deveres de todo ser humano com o Planeta. Dentro de limites constitucionais e formação de aptos cidadãos em exercício ao Estado.</w:t>
      </w:r>
    </w:p>
    <w:p w14:paraId="00ECC2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educação sócioambiental, além de relembrar a importância da preservação do Meio Ambiente em equilíbrio de seu ecossistema para existência da VIDA, reforça a particularidade em características climáticas, sociais, cognitivas aplicadas em Políticas Públicas inerentes ao Novo Século XXI, globalizado, ágil e volátil da Nova Indústria 4.0.</w:t>
      </w:r>
    </w:p>
    <w:p w14:paraId="15F79A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conexão entre o ser humano, Nações e o Planeta, formam a estruturação social em pilares de Desenvolvimento em direitos e deveres no mínimo e sustentável equilíbrio para que se alicerce e construa gerações sólidas, justas, equitativas e integradas. Respeitando a individualidade cultural e o pluralismo multilateral em conceitos que orientam a economia, a comunicação e costumes próprios de tradições sociais.</w:t>
      </w:r>
    </w:p>
    <w:p w14:paraId="56DE23A4" w14:textId="38ED01A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Acordos Cooperacionais, Alianças Governamentais e Ação Social Global são as principais diretrizes para garantia do Desenvolvimento Social, a Integridade Informacional e a Democratização Globalizatória. No objetivo de alavancar resultados soci</w:t>
      </w:r>
      <w:r w:rsidR="008148F2"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econômicos eficazes para o futuro e gerações.</w:t>
      </w:r>
    </w:p>
    <w:p w14:paraId="230A29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reconhecimento da necessidade em responsabilidade sócioambiental por países de culturas mais restritas no Oriente Médio, como o mais recente Fundo TFFF pelo BRICS, ou a 1º intenção ambiental universal com a ECO 92 pelo Brasil e as Conferências das Partes pelas Nações Unidas, demonstram a Responsabilidade Social e Ambiental de líderes equilibrarem consensos econômicos e sociais para garantia sustentável do Planeta através do diálogo e diplomacia.</w:t>
      </w:r>
    </w:p>
    <w:p w14:paraId="57D4B6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documentos oficiais de Rota Expedicionária das Capitanias Hereditárias em Descoberta do Brasil, com ofícios por cartas desde 1534, as rotas brasileiras em Capitanias deram início a divisão administrativa territorial do Brasil em expansões marítimas Portuguesas pelo Continente Americano. Tendo os primeiros vestígios documentais desde cartas e prensas gráficas do Real Gabinete Português Brasileiro em formação da Imprensa Nacional em solo Brasileiro.</w:t>
      </w:r>
    </w:p>
    <w:p w14:paraId="166F0419" w14:textId="4EB6BF2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cidade do Rio de Janeiro, conhecida pela Imprensa Régia Brasileira desde era colonial e descobrimento de Terras brasileiras, inspira em princípio do descobrimento das Américas, por Cristóvão Colombo, um governo ari</w:t>
      </w:r>
      <w:r w:rsidR="00AF7147" w:rsidRPr="006B1274">
        <w:rPr>
          <w:rFonts w:ascii="Times New Roman" w:hAnsi="Times New Roman" w:cs="Times New Roman"/>
          <w:color w:val="000000"/>
          <w:sz w:val="20"/>
          <w:szCs w:val="20"/>
        </w:rPr>
        <w:t>s</w:t>
      </w:r>
      <w:r w:rsidRPr="006B1274">
        <w:rPr>
          <w:rFonts w:ascii="Times New Roman" w:hAnsi="Times New Roman" w:cs="Times New Roman"/>
          <w:color w:val="000000"/>
          <w:sz w:val="20"/>
          <w:szCs w:val="20"/>
        </w:rPr>
        <w:t>tocrático, justo em soberania e difusão idealitária de desenvolvimento econômico s</w:t>
      </w:r>
      <w:r w:rsidR="00AF7147"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ciosustentável.</w:t>
      </w:r>
    </w:p>
    <w:p w14:paraId="3BFD03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objetivo comercial de importação e exportação de especiarias, o Brasil, é até os dias atuais o líder em mercado Sul-Americano em Acordos Cooperacionais de livre comércio regulado e conscientemente responsável com o meio ambiente.</w:t>
      </w:r>
    </w:p>
    <w:p w14:paraId="746CFC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Hemisfério Norte-Americano, em 1974, durante  governo de Richard Nixon, principal presidente dos Estados Unidos após Franklin Roosevelt e plano Pós II Guerra Mundial em continuação ao New </w:t>
      </w:r>
      <w:proofErr w:type="spellStart"/>
      <w:r w:rsidRPr="006B1274">
        <w:rPr>
          <w:rFonts w:ascii="Times New Roman" w:hAnsi="Times New Roman" w:cs="Times New Roman"/>
          <w:color w:val="000000"/>
          <w:sz w:val="20"/>
          <w:szCs w:val="20"/>
        </w:rPr>
        <w:t>Deal</w:t>
      </w:r>
      <w:proofErr w:type="spellEnd"/>
      <w:r w:rsidRPr="006B1274">
        <w:rPr>
          <w:rFonts w:ascii="Times New Roman" w:hAnsi="Times New Roman" w:cs="Times New Roman"/>
          <w:color w:val="000000"/>
          <w:sz w:val="20"/>
          <w:szCs w:val="20"/>
        </w:rPr>
        <w:t>. Nixon, correlacionando planos de desenvolvimento social e econômico aristocrático que mobilizou o mundo em intenções pró-sociais. Para o não colapso social e econômico, com movimento globalizatório pré-disposto ao reforço de desigualdades quando temos milhares de famílias desprovidas de rendas e bens em convívio livre em sociedade. Nixon, implementou com seu protagonismo e discernimento social de um mundo globalizado, intenções intervencionistas em combate à desigualdades raciais e sociais.</w:t>
      </w:r>
    </w:p>
    <w:p w14:paraId="1419BE7F" w14:textId="7D87E7B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Richard Nixon, deixando seu governo em 1995 com principais conquistas universais em Acordos Cooperacionais Sócio-econômicos, em âmbito diplomático, lançou uma candidatura pró-americana intervindo em condições exploratórias tanto em dignidade humana em não compensação salarial diante de explorações trabalhistas opressivas, mediando a defesa de direitos trabalhistas, como sócio</w:t>
      </w:r>
      <w:r w:rsidR="00FB0AEB"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ambientais pela Agência Americana de Proteção Ambiental criada em 1970.</w:t>
      </w:r>
    </w:p>
    <w:p w14:paraId="3AADD1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em 1995 em Ação Global, idealizada, organizada e mediada pelo Brasil conforme intenções universais de 1992 pela ECO 92, que a ONU Brasil em parceria com Organizações e Instituições Eficazes como a Unesco Brasil e UNICEF Brasil despertaram ações globais em desenvolvimento sustentável, saúde, saneamento e direitos universais. Propagando pela educação e cultura o diálogo em consenso global de um mundo mais justo e em intenções de Paz.</w:t>
      </w:r>
    </w:p>
    <w:p w14:paraId="39509A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em início de Acordos Comerciais entre Estados Unidos, China e Rússia, que em 1972, o Brasil viu os reflexos negativos socioeconômicos do Continente Americano em disputas e guerras por bens de produção após era colonial e Pós II Guerra Mundial. Os objetivos além de industriais provisionavam o fim da exploração territorial européia para disseminação idealitária ortodoxa, principal causa que fomenta disputas em tensão pela Europa e Oriente Médio. Tendo em 1980 revisões intencionais em ações globais em intenção de paz e dignidade em Direitos Humanos com redução de corrida bélica para expansão industrial.</w:t>
      </w:r>
    </w:p>
    <w:p w14:paraId="6431FE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crise do mercado do Petróleo e a necessidade de uma união interna entre os Estados Brasileiros, que através do Governo Federal Brasileiro pós criação de Brasília, se fez um Brasil mais democrático, inclusivo e de acesso à direitos sociais básicos como saúde, necessário à todos, até recursos básicos e essenciais como a água e o ar, antes em níveis alarmantes em Região do Nordeste Brasileiro em escassez por decorrência exploratória, implicando em restrição e precariedade salubre.</w:t>
      </w:r>
    </w:p>
    <w:p w14:paraId="6D06B7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Nessas condições de principal evolução tecnológica em mitigação em impacto global pela indústria, que o audiovisual, rede conectada à internet e imprensa, ganharam destaque para o acesso democrático informacional globalizado. Reduzindo em emissões de  resíduos poluentes com transferência da imprensa em mídia física para a rede global de internet, atualmente, em constante evolução garantido educação, cultura, cidadania e desenvolvimento social de forma menos poluente, mais democrática e consciente.</w:t>
      </w:r>
    </w:p>
    <w:p w14:paraId="35A993D7" w14:textId="77777777" w:rsidR="001C11E3" w:rsidRPr="006B1274" w:rsidRDefault="00576533" w:rsidP="00B36B27">
      <w:pPr>
        <w:spacing w:before="240" w:after="240" w:line="360" w:lineRule="auto"/>
        <w:rPr>
          <w:rFonts w:ascii="Times New Roman" w:eastAsia="Arial" w:hAnsi="Times New Roman" w:cs="Times New Roman"/>
          <w:b/>
          <w:bCs/>
          <w:color w:val="000000"/>
          <w:sz w:val="24"/>
          <w:szCs w:val="24"/>
        </w:rPr>
      </w:pPr>
      <w:r w:rsidRPr="006B1274">
        <w:rPr>
          <w:rFonts w:ascii="Times New Roman" w:eastAsia="Arial" w:hAnsi="Times New Roman" w:cs="Times New Roman"/>
          <w:b/>
          <w:bCs/>
          <w:color w:val="000000"/>
          <w:sz w:val="24"/>
          <w:szCs w:val="24"/>
        </w:rPr>
        <w:t xml:space="preserve">O Conceito de Telecomunicações em era de Globalização </w:t>
      </w:r>
    </w:p>
    <w:p w14:paraId="45996D68"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6B1274">
        <w:rPr>
          <w:rFonts w:ascii="Times New Roman" w:hAnsi="Times New Roman" w:cs="Times New Roman"/>
          <w:color w:val="000000"/>
          <w:sz w:val="20"/>
          <w:szCs w:val="20"/>
        </w:rPr>
        <w:t xml:space="preserve">              </w:t>
      </w:r>
      <w:r w:rsidRPr="002D72B3">
        <w:rPr>
          <w:rFonts w:ascii="Times New Roman" w:hAnsi="Times New Roman" w:cs="Times New Roman"/>
          <w:color w:val="000000"/>
        </w:rPr>
        <w:t xml:space="preserve">A União Internacional de Telecomunicações (UIT) (em francês: Union </w:t>
      </w:r>
      <w:proofErr w:type="spellStart"/>
      <w:r w:rsidRPr="002D72B3">
        <w:rPr>
          <w:rFonts w:ascii="Times New Roman" w:hAnsi="Times New Roman" w:cs="Times New Roman"/>
          <w:color w:val="000000"/>
        </w:rPr>
        <w:t>internationale</w:t>
      </w:r>
      <w:proofErr w:type="spellEnd"/>
      <w:r w:rsidRPr="002D72B3">
        <w:rPr>
          <w:rFonts w:ascii="Times New Roman" w:hAnsi="Times New Roman" w:cs="Times New Roman"/>
          <w:color w:val="000000"/>
        </w:rPr>
        <w:t xml:space="preserve"> </w:t>
      </w:r>
      <w:proofErr w:type="spellStart"/>
      <w:r w:rsidRPr="002D72B3">
        <w:rPr>
          <w:rFonts w:ascii="Times New Roman" w:hAnsi="Times New Roman" w:cs="Times New Roman"/>
          <w:color w:val="000000"/>
        </w:rPr>
        <w:t>des</w:t>
      </w:r>
      <w:proofErr w:type="spellEnd"/>
      <w:r w:rsidRPr="002D72B3">
        <w:rPr>
          <w:rFonts w:ascii="Times New Roman" w:hAnsi="Times New Roman" w:cs="Times New Roman"/>
          <w:color w:val="000000"/>
        </w:rPr>
        <w:t xml:space="preserve"> </w:t>
      </w:r>
      <w:proofErr w:type="spellStart"/>
      <w:r w:rsidRPr="002D72B3">
        <w:rPr>
          <w:rFonts w:ascii="Times New Roman" w:hAnsi="Times New Roman" w:cs="Times New Roman"/>
          <w:color w:val="000000"/>
        </w:rPr>
        <w:t>télécommunications</w:t>
      </w:r>
      <w:proofErr w:type="spellEnd"/>
      <w:r w:rsidRPr="002D72B3">
        <w:rPr>
          <w:rFonts w:ascii="Times New Roman" w:hAnsi="Times New Roman" w:cs="Times New Roman"/>
          <w:color w:val="000000"/>
        </w:rPr>
        <w:t xml:space="preserve">; em inglês: International </w:t>
      </w:r>
      <w:proofErr w:type="spellStart"/>
      <w:r w:rsidRPr="002D72B3">
        <w:rPr>
          <w:rFonts w:ascii="Times New Roman" w:hAnsi="Times New Roman" w:cs="Times New Roman"/>
          <w:color w:val="000000"/>
        </w:rPr>
        <w:t>Telecommunication</w:t>
      </w:r>
      <w:proofErr w:type="spellEnd"/>
      <w:r w:rsidRPr="002D72B3">
        <w:rPr>
          <w:rFonts w:ascii="Times New Roman" w:hAnsi="Times New Roman" w:cs="Times New Roman"/>
          <w:color w:val="000000"/>
        </w:rPr>
        <w:t xml:space="preserve"> Union) é a agência da ONU especializada em tecnologias de informação e comunicação. Destinada a padronizar e regular as ondas de rádio e telecomunicações internacionais, a agência é composta por todos os 193 países membros da ONU e por mais de 700 entidades do setor privado e acadêmico.</w:t>
      </w:r>
    </w:p>
    <w:p w14:paraId="2A070181"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69D179B8"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Foi fundada como International Telegraph Union (União Internacional de Telégrafos), em Paris, no dia 17 de maio de 1865 e é hoje a organização internacional mais antiga do mundo. Suas principais ações incluem estabelecer a alocação de espectros de ondas de rádio e organizar os arranjos de interconexões entre todos os países permitindo, assim, ligações de telefone internacionais. É uma das agências especializadas da Organização das Nações Unidas (ONU), tendo sua sede em Genebra, na Suíça, próximo ao principal campus da ONU.</w:t>
      </w:r>
    </w:p>
    <w:p w14:paraId="2437691A"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7CC7DB70"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Os padrões internacionais que são produzidos pela UIT são denominados Recomendações (com a primeira letra em maiúsculo, para diferenciar do significado comum da palavra recomendação). A longevidade da UIT como organização internacional e sua posição de agência especializada da ONU confere maior reconhecimento internacional[carece de fontes] sobre os padrões promovidos por outras organizações que publicam especificações técnicas similares.</w:t>
      </w:r>
    </w:p>
    <w:p w14:paraId="1A3A6574"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4D52E017"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O trabalho da UIT é todo conduzido por seus membros. Como parte da estrutura das Nações Unidas, um país pode ser membro, nesse caso sendo chamado de Membro de Estado. Companhias e outras organizações podem possuir outra classe de associação, sendo chamados de Membro de Setor ou status de Associado. Membros de Setor e Associados possuem participação direta no desenvolvimento de padrões (o que não é permitido em outras organizações de padronização, como a Organização Internacional para Padronização (ISO).</w:t>
      </w:r>
    </w:p>
    <w:p w14:paraId="7F6BC119"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63DBC7C1"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A UIT é composta internamente por três setores, contando ainda com a UIT Telecom, que organiza grandes eventos mundiais de TIC, e com uma Secretaria Geral, que gerencia o trabalho do dia a dia e os seus setores.</w:t>
      </w:r>
    </w:p>
    <w:p w14:paraId="018B11B5"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4F32F105"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Cada setor conta com um grupo consultivo e uma comissão de estudo, e gerencia um aspecto diferente dos assuntos tratados pela União:</w:t>
      </w:r>
    </w:p>
    <w:p w14:paraId="7055235B"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0D3A5DDC" w14:textId="77777777" w:rsidR="001C11E3" w:rsidRPr="002D72B3" w:rsidRDefault="00576533" w:rsidP="002D72B3">
      <w:pPr>
        <w:spacing w:before="240" w:after="240" w:line="360" w:lineRule="auto"/>
        <w:ind w:left="2160"/>
        <w:jc w:val="both"/>
        <w:rPr>
          <w:rFonts w:ascii="Times New Roman" w:hAnsi="Times New Roman" w:cs="Times New Roman"/>
          <w:b/>
          <w:bCs/>
          <w:color w:val="000000"/>
        </w:rPr>
      </w:pPr>
      <w:r w:rsidRPr="002D72B3">
        <w:rPr>
          <w:rFonts w:ascii="Times New Roman" w:hAnsi="Times New Roman" w:cs="Times New Roman"/>
          <w:color w:val="000000"/>
        </w:rPr>
        <w:t xml:space="preserve">              </w:t>
      </w:r>
      <w:r w:rsidRPr="002D72B3">
        <w:rPr>
          <w:rFonts w:ascii="Times New Roman" w:hAnsi="Times New Roman" w:cs="Times New Roman"/>
          <w:b/>
          <w:bCs/>
          <w:color w:val="000000"/>
        </w:rPr>
        <w:t>Radiocomunicações (UIT-R)</w:t>
      </w:r>
    </w:p>
    <w:p w14:paraId="132F87E2"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Responsável pela gestão do espectro de radiofrequência internacional e recursos de órbita de satélite mediante a elaboração de normas para o uso eficaz do espectro de radiofrequências. Realiza estudos sobre o desenvolvimento de sistemas de radiocomunicações e sobre as operações de ajuda em caso de catástrofes, incluindo previsão, detecção, alerta e assistência em caso de desastre.</w:t>
      </w:r>
    </w:p>
    <w:p w14:paraId="217C9D1B"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52F5AB91" w14:textId="77777777" w:rsidR="000040FA"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44A3CA88" w14:textId="2255DC6B" w:rsidR="001C11E3" w:rsidRPr="002D72B3" w:rsidRDefault="00576533" w:rsidP="00B5189A">
      <w:pPr>
        <w:spacing w:before="240" w:after="240" w:line="360" w:lineRule="auto"/>
        <w:ind w:left="2880"/>
        <w:jc w:val="both"/>
        <w:rPr>
          <w:rFonts w:ascii="Times New Roman" w:hAnsi="Times New Roman" w:cs="Times New Roman"/>
          <w:b/>
          <w:bCs/>
          <w:color w:val="000000"/>
        </w:rPr>
      </w:pPr>
      <w:r w:rsidRPr="002D72B3">
        <w:rPr>
          <w:rFonts w:ascii="Times New Roman" w:hAnsi="Times New Roman" w:cs="Times New Roman"/>
          <w:b/>
          <w:bCs/>
          <w:color w:val="000000"/>
        </w:rPr>
        <w:t>Desenvolvimento (UIT-D)</w:t>
      </w:r>
    </w:p>
    <w:p w14:paraId="5A9DA64F"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Responsável por ajudar a difundir o acesso equitativo, sustentável e barato à infraestrutura e aos serviços de tecnologias de informação e comunicação, com a finalidade de garantir a todos os habitantes do planeta o direito à comunicação.</w:t>
      </w:r>
    </w:p>
    <w:p w14:paraId="6D021BE8"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04F5931D" w14:textId="77777777" w:rsidR="001C11E3" w:rsidRPr="002D72B3" w:rsidRDefault="00576533" w:rsidP="002D72B3">
      <w:pPr>
        <w:spacing w:before="240" w:after="240" w:line="360" w:lineRule="auto"/>
        <w:ind w:left="2160"/>
        <w:jc w:val="both"/>
        <w:rPr>
          <w:rFonts w:ascii="Times New Roman" w:hAnsi="Times New Roman" w:cs="Times New Roman"/>
          <w:b/>
          <w:bCs/>
          <w:color w:val="000000"/>
        </w:rPr>
      </w:pPr>
      <w:r w:rsidRPr="002D72B3">
        <w:rPr>
          <w:rFonts w:ascii="Times New Roman" w:hAnsi="Times New Roman" w:cs="Times New Roman"/>
          <w:color w:val="000000"/>
        </w:rPr>
        <w:t xml:space="preserve">               </w:t>
      </w:r>
      <w:r w:rsidRPr="002D72B3">
        <w:rPr>
          <w:rFonts w:ascii="Times New Roman" w:hAnsi="Times New Roman" w:cs="Times New Roman"/>
          <w:b/>
          <w:bCs/>
          <w:color w:val="000000"/>
        </w:rPr>
        <w:t>Normatização (UIT-T)</w:t>
      </w:r>
    </w:p>
    <w:p w14:paraId="5C196E5D"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Responsável pela elaboração, a partir do diálogo com o setor industrial, de padrões e normas consensuais sobre tecnologia que garantam o funcionamento, a interoperabilidade e a integração dos sistemas de comunicação em todo mundo com a finalidade de facilitar o acesso das indústrias aos diferentes mercados de cada país. Antes de 1992 era conhecida como Comitê Consultivo Internacional Telefônico e Telegráfico ou CCITT (de seu nome francês "Comité </w:t>
      </w:r>
      <w:proofErr w:type="spellStart"/>
      <w:r w:rsidRPr="002D72B3">
        <w:rPr>
          <w:rFonts w:ascii="Times New Roman" w:hAnsi="Times New Roman" w:cs="Times New Roman"/>
          <w:color w:val="000000"/>
        </w:rPr>
        <w:t>consultatif</w:t>
      </w:r>
      <w:proofErr w:type="spellEnd"/>
      <w:r w:rsidRPr="002D72B3">
        <w:rPr>
          <w:rFonts w:ascii="Times New Roman" w:hAnsi="Times New Roman" w:cs="Times New Roman"/>
          <w:color w:val="000000"/>
        </w:rPr>
        <w:t xml:space="preserve"> internacional </w:t>
      </w:r>
      <w:proofErr w:type="spellStart"/>
      <w:r w:rsidRPr="002D72B3">
        <w:rPr>
          <w:rFonts w:ascii="Times New Roman" w:hAnsi="Times New Roman" w:cs="Times New Roman"/>
          <w:color w:val="000000"/>
        </w:rPr>
        <w:t>téléphonique</w:t>
      </w:r>
      <w:proofErr w:type="spellEnd"/>
      <w:r w:rsidRPr="002D72B3">
        <w:rPr>
          <w:rFonts w:ascii="Times New Roman" w:hAnsi="Times New Roman" w:cs="Times New Roman"/>
          <w:color w:val="000000"/>
        </w:rPr>
        <w:t xml:space="preserve"> et </w:t>
      </w:r>
      <w:proofErr w:type="spellStart"/>
      <w:r w:rsidRPr="002D72B3">
        <w:rPr>
          <w:rFonts w:ascii="Times New Roman" w:hAnsi="Times New Roman" w:cs="Times New Roman"/>
          <w:color w:val="000000"/>
        </w:rPr>
        <w:t>télégrahique</w:t>
      </w:r>
      <w:proofErr w:type="spellEnd"/>
      <w:r w:rsidRPr="002D72B3">
        <w:rPr>
          <w:rFonts w:ascii="Times New Roman" w:hAnsi="Times New Roman" w:cs="Times New Roman"/>
          <w:color w:val="000000"/>
        </w:rPr>
        <w:t>").</w:t>
      </w:r>
    </w:p>
    <w:p w14:paraId="56ABD3C7"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w:t>
      </w:r>
    </w:p>
    <w:p w14:paraId="18E86C03" w14:textId="77777777" w:rsidR="001C11E3" w:rsidRPr="002D72B3" w:rsidRDefault="00576533" w:rsidP="002D72B3">
      <w:pPr>
        <w:spacing w:before="240" w:after="240" w:line="360" w:lineRule="auto"/>
        <w:ind w:left="2160"/>
        <w:jc w:val="both"/>
        <w:rPr>
          <w:rFonts w:ascii="Times New Roman" w:hAnsi="Times New Roman" w:cs="Times New Roman"/>
          <w:color w:val="000000"/>
        </w:rPr>
      </w:pPr>
      <w:r w:rsidRPr="002D72B3">
        <w:rPr>
          <w:rFonts w:ascii="Times New Roman" w:hAnsi="Times New Roman" w:cs="Times New Roman"/>
          <w:color w:val="000000"/>
        </w:rPr>
        <w:t xml:space="preserve">                A UIT promoveu em Dubai, entre 03 e 14 de dezembro de 2012, a Conferência Mundial das Telecomunicações Internacionais (WCIT-12, do inglês World Conference on International </w:t>
      </w:r>
      <w:proofErr w:type="spellStart"/>
      <w:r w:rsidRPr="002D72B3">
        <w:rPr>
          <w:rFonts w:ascii="Times New Roman" w:hAnsi="Times New Roman" w:cs="Times New Roman"/>
          <w:color w:val="000000"/>
        </w:rPr>
        <w:t>Telecommunications</w:t>
      </w:r>
      <w:proofErr w:type="spellEnd"/>
      <w:r w:rsidRPr="002D72B3">
        <w:rPr>
          <w:rFonts w:ascii="Times New Roman" w:hAnsi="Times New Roman" w:cs="Times New Roman"/>
          <w:color w:val="000000"/>
        </w:rPr>
        <w:t>), um evento para atualizar os Regulamentos Internacionais de Telecomunicação (ITRs).A conferência anterior para atualizar os ITRs ocorreu em Melbourne em 1988.</w:t>
      </w:r>
    </w:p>
    <w:p w14:paraId="27846617" w14:textId="77777777" w:rsidR="001C11E3" w:rsidRPr="002D72B3" w:rsidRDefault="00576533" w:rsidP="00765E64">
      <w:pPr>
        <w:spacing w:before="240" w:after="240" w:line="360" w:lineRule="auto"/>
        <w:ind w:left="6480"/>
        <w:rPr>
          <w:rFonts w:ascii="Times New Roman" w:hAnsi="Times New Roman" w:cs="Times New Roman"/>
          <w:color w:val="000000"/>
        </w:rPr>
      </w:pPr>
      <w:r w:rsidRPr="006B1274">
        <w:rPr>
          <w:rFonts w:ascii="Times New Roman" w:hAnsi="Times New Roman" w:cs="Times New Roman"/>
          <w:color w:val="000000"/>
          <w:sz w:val="20"/>
          <w:szCs w:val="20"/>
        </w:rPr>
        <w:t xml:space="preserve">                        </w:t>
      </w:r>
      <w:r w:rsidRPr="002D72B3">
        <w:rPr>
          <w:rFonts w:ascii="Times New Roman" w:hAnsi="Times New Roman" w:cs="Times New Roman"/>
          <w:color w:val="000000"/>
        </w:rPr>
        <w:t>Fonte:Wikipédia</w:t>
      </w:r>
    </w:p>
    <w:p w14:paraId="1D4D4046" w14:textId="77777777" w:rsidR="001C11E3" w:rsidRPr="006B1274" w:rsidRDefault="00576533" w:rsidP="00B36B27">
      <w:pPr>
        <w:spacing w:before="240" w:after="240" w:line="360" w:lineRule="auto"/>
        <w:rPr>
          <w:rFonts w:ascii="Times New Roman" w:eastAsia="Arial" w:hAnsi="Times New Roman" w:cs="Times New Roman"/>
          <w:b/>
          <w:bCs/>
          <w:color w:val="000000"/>
          <w:sz w:val="24"/>
          <w:szCs w:val="24"/>
        </w:rPr>
      </w:pPr>
      <w:r w:rsidRPr="006B1274">
        <w:rPr>
          <w:rFonts w:ascii="Times New Roman" w:eastAsia="Arial" w:hAnsi="Times New Roman" w:cs="Times New Roman"/>
          <w:b/>
          <w:bCs/>
          <w:color w:val="000000"/>
          <w:sz w:val="24"/>
          <w:szCs w:val="24"/>
        </w:rPr>
        <w:t>10 ANOS DE FATOS</w:t>
      </w:r>
    </w:p>
    <w:p w14:paraId="37A76E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Nota-se com a cultura digital como o marco da internet auxilia na propagação da cultura, hábitos e consumo divididos em produtor e consumidor em sociedade. E como a comunicação adaptada ao mundo pós-moderno evolui da rede social, e chega em um dos maiores meios de comunicação de massa, a televisão, auxiliando em processo de Desenvolvimento Social e Democratização da Informação. Com trabalho conclusivo à nível de Doutorado em pesquisa midiática e empírica com cobertura informacional e projeto publicitário com </w:t>
      </w:r>
      <w:proofErr w:type="spellStart"/>
      <w:r w:rsidRPr="006B1274">
        <w:rPr>
          <w:rFonts w:ascii="Times New Roman" w:hAnsi="Times New Roman" w:cs="Times New Roman"/>
          <w:color w:val="000000"/>
          <w:sz w:val="20"/>
          <w:szCs w:val="20"/>
        </w:rPr>
        <w:t>realeses</w:t>
      </w:r>
      <w:proofErr w:type="spellEnd"/>
      <w:r w:rsidRPr="006B1274">
        <w:rPr>
          <w:rFonts w:ascii="Times New Roman" w:hAnsi="Times New Roman" w:cs="Times New Roman"/>
          <w:color w:val="000000"/>
          <w:sz w:val="20"/>
          <w:szCs w:val="20"/>
        </w:rPr>
        <w:t xml:space="preserve"> econômicos e censitários em página de Redes Sociais, através da emissora Globo com sua diversidade em audiência e influenciadores fomenta a população a grandes debates pelas redes sociais e inclusão em equidade digital. Abordagem dos impactos da comunicação em sociedade em século XXI e análise em Redes Sociais. No digital com perfis oficiais de influenciadores e chefes-de-estado, percebe-se como mesmo que sem intenção, está envolvida uma lembrança televisiva nos usuários da internet, fato que representa a importância da emissora como ferramenta no processo de convergência midiática e cobertura informacional de 100 anos da Imprensa Brasileira em referência de influência e credibilidade informacional.</w:t>
      </w:r>
    </w:p>
    <w:p w14:paraId="2D4A29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nova linguagem da publicidade na televisão através de produtores de conteúdo digital aliada a convergência midiática nos veículos de informação, traçam o processo de democratização da informação em nosso País, compreendendo, 95 anos de ministérios brasileiros. Em século XXI, no ano de 2025, transcende-se 100 anos do Departamento de Imprensa Brasileira e 60 anos da emissora Rede Globo.</w:t>
      </w:r>
    </w:p>
    <w:p w14:paraId="1138A8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Instituído pela UNESCO, dedicado à Liberdade de Imprensa em proposta de Acordos Cooperacionais pela ONU pós II Guerra Mundial. Estruturado por pilares de Desenvolvimento Social de forma Sustentável, no Brasil, o regimento do Código de Conduta Brasileiro em Autorregulamentação Publicitária (CONAR) e Direitos Constitucionais pós Promulgação Constituinte de 1988. Orientam os conceitos de publicidade e seus multimeios a estratégia da comunicação de incluir socialmente e desenvolver a sociedade com conteúdo democrático de informação. Em era digital a representatividade na internet convergidas na televisão, mantém e auxilia a interação cognitiva e complementa o processo de acessibilidade à educação, no dever do Estado de desenvolver e instruir o público como sociedade mais justa e responsável. Os perfis digitais na internet, nos possibilitam compreender a recepção do público da televisão de influenciadores digitais em uma nova ótica, com interação e troca do cotidiano em rotina compartilhados na internet além da bolha de estratificação social e distanciamento entre classes sociais, demonstrando os reflexos da equidade digital e audiência inclusiva mediante a evolução do conceito de transmídia da emissora Globo.</w:t>
      </w:r>
    </w:p>
    <w:p w14:paraId="45A1F9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o fluxo comunicacional estabelecido pelos influenciadores como personalidades influentes em perfis de produtores de conteúdo, a troca entre o público da internet e o público telespectador como sociedade, em século XXI  possibilita enxergar o “choque” entre as mídias e as relações interpessoais do mundo Globalizado. Globalização esta que melhora qualidade de vida em índices de desenvolvimento conforme relatórios segundo a ONU e censo do IBGE por inclusão de Políticas Públicas em Desenvolvimento Social, mas por alta atratividade em entretenimento reduzem o censo ético, cordial e financeiro no que tange economia circular criativa em sociedade nos tempos atuais de convergências </w:t>
      </w:r>
      <w:proofErr w:type="spellStart"/>
      <w:r w:rsidRPr="006B1274">
        <w:rPr>
          <w:rFonts w:ascii="Times New Roman" w:hAnsi="Times New Roman" w:cs="Times New Roman"/>
          <w:color w:val="000000"/>
          <w:sz w:val="20"/>
          <w:szCs w:val="20"/>
        </w:rPr>
        <w:t>sóciocultural</w:t>
      </w:r>
      <w:proofErr w:type="spellEnd"/>
      <w:r w:rsidRPr="006B1274">
        <w:rPr>
          <w:rFonts w:ascii="Times New Roman" w:hAnsi="Times New Roman" w:cs="Times New Roman"/>
          <w:color w:val="000000"/>
          <w:sz w:val="20"/>
          <w:szCs w:val="20"/>
        </w:rPr>
        <w:t xml:space="preserve"> e econômica. Pilar em processo de desenvolvimento social conhecido como, redução das desigualdades, que em sua condução não pode ser sucumbido pelo processo de favelização e perda de direitos sociais. Atualmente tangidos por meio digital em redemocratização brasileira e desburocratização administrativa.</w:t>
      </w:r>
    </w:p>
    <w:p w14:paraId="71FABF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Pois a percepção do fluxo comunicacional democratizado, possibilita e fomenta vários pontos críticos e analíticos com relevância social. Norteando costumes e consumos culturais que a publicidade influencia através dos seus meios. A identificação com um determinado modo interpessoal de identidade nas relações </w:t>
      </w:r>
      <w:proofErr w:type="spellStart"/>
      <w:r w:rsidRPr="006B1274">
        <w:rPr>
          <w:rFonts w:ascii="Times New Roman" w:hAnsi="Times New Roman" w:cs="Times New Roman"/>
          <w:color w:val="000000"/>
          <w:sz w:val="20"/>
          <w:szCs w:val="20"/>
        </w:rPr>
        <w:t>sócioculturais</w:t>
      </w:r>
      <w:proofErr w:type="spellEnd"/>
      <w:r w:rsidRPr="006B1274">
        <w:rPr>
          <w:rFonts w:ascii="Times New Roman" w:hAnsi="Times New Roman" w:cs="Times New Roman"/>
          <w:color w:val="000000"/>
          <w:sz w:val="20"/>
          <w:szCs w:val="20"/>
        </w:rPr>
        <w:t xml:space="preserve"> baseado em hábitos relevantes direciona e impulsiona o público para análise e discernimento dos comportamentos do que é moral ou imoral, do que é real ou circunstancial só embasado por tendências.</w:t>
      </w:r>
    </w:p>
    <w:p w14:paraId="3B97C1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processo midiático auxilia a comunicação em massa e os meios os quais há a divulgação de conteúdo podendo ser adaptado ou produzido para o meio necessário. A televisão com o audiovisual permite a adaptação do conteúdo para diversos meios levando ao entretenimento do público e criando conteúdo embasatório para análise de questões sociais que auxiliam na avaliação da evolução comunicacional e das relações humanas, que aprofundadas possibilitam o entendimento do caráter ético de um grupo como público; produtor como consumidor; indivíduo como sociedade para que assim haja a continuidade deste fluxo adaptado para o tempo e era em questão na comunicação.</w:t>
      </w:r>
    </w:p>
    <w:p w14:paraId="47EE4A30" w14:textId="7EE0BA3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Políticas Públicas em prol de uma sociedade sã os Planos em Desenvolvimento de uma indústria em Século XXI do processo  econômico e social,  reservados para o Brasil, como anfitrião do ciclo de 10 anos (2014-2024) como principal País Diplomático do Grupo das 20 maiores economias mundiais, em prover democratização informacional e educação em equidade digital estando à frente como anfitrião do G20 Brasil e liderança do BRICS em transparência de Políticas Públicas em Comunicação, Desporto, Cultura e Desenvolvimento Social. Principalmente pelo Governo Do Estado do Rio de Janeiro e Pacto Federativo do eixo Sul e Sudeste, para duas décadas de novo Milênio, o Brasil ganhou destaque representado pelo Marco Olímpico da XXXI Olimpíada de Verão, a Rio 2016. Como alusão à Semana de 1922, Primeiro centenário de Independência Brasileira com a reunião de toda a classe civil do Brasil no Rio de Janeiro e São Paulo para prestigiar a classe militar participante da primeira turma civil formada de artilharia Brasileira. Em Paris, na Europa, paralelo aos movimentos de emancipação Nacional Brasileira (1921-1924),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 Em seu Bicentenário em 2022, a democratização do acesso à informação pela educação e cultura com auxílio do digital e audiovisual ganharam espaço em mus</w:t>
      </w:r>
      <w:r w:rsidR="005441EF" w:rsidRPr="006B1274">
        <w:rPr>
          <w:rFonts w:ascii="Times New Roman" w:hAnsi="Times New Roman" w:cs="Times New Roman"/>
          <w:color w:val="000000"/>
          <w:sz w:val="20"/>
          <w:szCs w:val="20"/>
        </w:rPr>
        <w:t xml:space="preserve">eus </w:t>
      </w:r>
      <w:r w:rsidRPr="006B1274">
        <w:rPr>
          <w:rFonts w:ascii="Times New Roman" w:hAnsi="Times New Roman" w:cs="Times New Roman"/>
          <w:color w:val="000000"/>
          <w:sz w:val="20"/>
          <w:szCs w:val="20"/>
        </w:rPr>
        <w:t xml:space="preserve">e </w:t>
      </w:r>
      <w:proofErr w:type="spellStart"/>
      <w:r w:rsidRPr="006B1274">
        <w:rPr>
          <w:rFonts w:ascii="Times New Roman" w:hAnsi="Times New Roman" w:cs="Times New Roman"/>
          <w:color w:val="000000"/>
          <w:sz w:val="20"/>
          <w:szCs w:val="20"/>
        </w:rPr>
        <w:t>tours</w:t>
      </w:r>
      <w:proofErr w:type="spellEnd"/>
      <w:r w:rsidRPr="006B1274">
        <w:rPr>
          <w:rFonts w:ascii="Times New Roman" w:hAnsi="Times New Roman" w:cs="Times New Roman"/>
          <w:color w:val="000000"/>
          <w:sz w:val="20"/>
          <w:szCs w:val="20"/>
        </w:rPr>
        <w:t xml:space="preserve"> virtuais como reflexo da Globalização. Demonstrando mesmo em meio à Pandemia de COVID-19 a eficiência de um desenvolvimento inclusivo com cobertura da mídia televisiva e digital. Seguido da Presidência do G20 Brasil, evento de alinhamento Global com sede no Rio de Janeiro em 2024 o principal fórum econômico entre as Nações Unidas, após a Rio 92 e início da Diplomacia Sustentável colocando o Brasil como membro interlocutor da ONU em Diplomacia de Relações Exteriores.</w:t>
      </w:r>
    </w:p>
    <w:p w14:paraId="1BA0F7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Encerrando assim em 2025, ciclo como líder e principal anfitrião da Diplomacia Global dos últimos 20 anos, por auxílio do acesso informacional e desempenho ministerial em rendimento de melhores índices do Brasil em acesso à educação ao Ensino Superior como País Sustentável em Desenvolvimento e líder representativo do Mercado de Carbono Regulado por Marco Legal Ambiental. Tendo a COP 30 em Belém, principal evento sociosustentàvel mediado pela Indústria Brasil 4.0 Digital, como um marco da evolução industrial, Globalização em século XXI e responsabilidade sustentável de consumo em sociedade.</w:t>
      </w:r>
    </w:p>
    <w:p w14:paraId="094B1C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Conscientizar a sociedade por ferramentas de acesso à informação com cobertura midiática e integração social, é um trabalho desempenhado há 100 anos pelo Grupo Globo por papel da Imprensa Nacional e 95 Anos de compromisso Ministerial Federativo, provido pelo Ministério da Educação e Ministérios da República Federativa do Brasil.</w:t>
      </w:r>
    </w:p>
    <w:p w14:paraId="2190C3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Texto de tese autoral, não autorizado o compartilhamento por terceiros.</w:t>
      </w:r>
    </w:p>
    <w:p w14:paraId="49A5E22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Postulação Ética Diplomática</w:t>
      </w:r>
    </w:p>
    <w:p w14:paraId="7BE286F3" w14:textId="028762C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w:t>
      </w:r>
      <w:r w:rsidR="00634231" w:rsidRPr="006B1274">
        <w:rPr>
          <w:rFonts w:ascii="Times New Roman" w:hAnsi="Times New Roman" w:cs="Times New Roman"/>
          <w:color w:val="000000"/>
          <w:sz w:val="20"/>
          <w:szCs w:val="20"/>
        </w:rPr>
        <w:t>i</w:t>
      </w:r>
      <w:r w:rsidRPr="006B1274">
        <w:rPr>
          <w:rFonts w:ascii="Times New Roman" w:hAnsi="Times New Roman" w:cs="Times New Roman"/>
          <w:color w:val="000000"/>
          <w:sz w:val="20"/>
          <w:szCs w:val="20"/>
        </w:rPr>
        <w:t>dicamente normas eficazes em suas Instituições como Estado ou Desenvolvimento em suas classes de seguridade social.</w:t>
      </w:r>
    </w:p>
    <w:p w14:paraId="3C6017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4D7B39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0B62516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DA15DD" w14:textId="351F637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Durante 2023 e 2024, como extensão em pesquisa, eu, </w:t>
      </w:r>
      <w:r w:rsidR="0067480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a Publicitária que lhes escreve este </w:t>
      </w:r>
      <w:proofErr w:type="spellStart"/>
      <w:r w:rsidRPr="006B1274">
        <w:rPr>
          <w:rFonts w:ascii="Times New Roman" w:hAnsi="Times New Roman" w:cs="Times New Roman"/>
          <w:color w:val="000000"/>
          <w:sz w:val="20"/>
          <w:szCs w:val="20"/>
        </w:rPr>
        <w:t>realese</w:t>
      </w:r>
      <w:proofErr w:type="spellEnd"/>
      <w:r w:rsidRPr="006B1274">
        <w:rPr>
          <w:rFonts w:ascii="Times New Roman" w:hAnsi="Times New Roman" w:cs="Times New Roman"/>
          <w:color w:val="000000"/>
          <w:sz w:val="20"/>
          <w:szCs w:val="20"/>
        </w:rPr>
        <w:t xml:space="preserve"> dos últimos 10 anos em contexto macroeconômico brasileiro, em tese dissertativa, deixo publicações compartilhadas em minhas redes sociais pessoais e em página à qual sou Diretora, Radar Informação, com cobertura extra-oficial dos eventos G20 Brasil 2024, BRICS Brasil 2025 e Educação Sócioambiental à Classe Universitária em preparação para a COP30 Brasil 2025.</w:t>
      </w:r>
    </w:p>
    <w:p w14:paraId="05340DD2" w14:textId="77777777" w:rsidR="00672A50" w:rsidRPr="006B1274" w:rsidRDefault="00672A50" w:rsidP="00B36B27">
      <w:pPr>
        <w:spacing w:before="240" w:after="240" w:line="360" w:lineRule="auto"/>
        <w:rPr>
          <w:rFonts w:ascii="Times New Roman" w:hAnsi="Times New Roman" w:cs="Times New Roman"/>
          <w:color w:val="000000"/>
          <w:sz w:val="20"/>
          <w:szCs w:val="20"/>
        </w:rPr>
      </w:pPr>
    </w:p>
    <w:p w14:paraId="65892D2E" w14:textId="6B1E51C6"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NOVEMBRO PLANEJADO</w:t>
      </w:r>
    </w:p>
    <w:p w14:paraId="5A971D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Cobertura Oficial G20 Brasil - Rio de Janeiro </w:t>
      </w:r>
      <w:r w:rsidRPr="006B1274">
        <w:rPr>
          <w:rFonts w:ascii="Apple Color Emoji" w:hAnsi="Apple Color Emoji" w:cs="Apple Color Emoji"/>
          <w:color w:val="000000"/>
          <w:sz w:val="20"/>
          <w:szCs w:val="20"/>
        </w:rPr>
        <w:t>🌎</w:t>
      </w:r>
    </w:p>
    <w:p w14:paraId="725823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19 de Novembro de 2024 | 10:28 AM</w:t>
      </w:r>
    </w:p>
    <w:p w14:paraId="3A53A4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data de hoje, 19 de Novembro, a reunião Internacional de 2024 de Líderes do G20 no evento da Cidade do Rio de Janeiro encerra a 3º sessão da Cúpula dos Chefes-de-Estado.</w:t>
      </w:r>
    </w:p>
    <w:p w14:paraId="35E339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cobertura jornalística oficial, pode ser acompanhada através da CNNBrasil e da Agência Gov BR pelo Canal Gov.</w:t>
      </w:r>
    </w:p>
    <w:p w14:paraId="692C68B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CNN </w:t>
      </w:r>
    </w:p>
    <w:p w14:paraId="67B979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https://www.youtube.com/live/nV_sgQFauPs?si=PY__hn0BfP1WLmzu</w:t>
      </w:r>
    </w:p>
    <w:p w14:paraId="5188B1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CANAL GOV</w:t>
      </w:r>
    </w:p>
    <w:p w14:paraId="040F55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https://www.youtube.com/live/9zf-SWnC3FE?si=K0CdQz2ZF49Gy-Ei</w:t>
      </w:r>
    </w:p>
    <w:p w14:paraId="5B5941B9" w14:textId="12AFD5C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0A3B3F09" w14:textId="46E8450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Redigido por: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DEDF42B" w14:textId="39AE270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Video </w:t>
      </w:r>
      <w:proofErr w:type="spellStart"/>
      <w:r w:rsidRPr="006B1274">
        <w:rPr>
          <w:rFonts w:ascii="Times New Roman" w:hAnsi="Times New Roman" w:cs="Times New Roman"/>
          <w:color w:val="000000"/>
          <w:sz w:val="20"/>
          <w:szCs w:val="20"/>
        </w:rPr>
        <w:t>Maker</w:t>
      </w:r>
      <w:proofErr w:type="spellEnd"/>
      <w:r w:rsidRPr="006B1274">
        <w:rPr>
          <w:rFonts w:ascii="Times New Roman" w:hAnsi="Times New Roman" w:cs="Times New Roman"/>
          <w:color w:val="000000"/>
          <w:sz w:val="20"/>
          <w:szCs w:val="20"/>
        </w:rPr>
        <w:t xml:space="preserve">: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CBCDC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ESG, “</w:t>
      </w:r>
      <w:proofErr w:type="spellStart"/>
      <w:r w:rsidRPr="006B1274">
        <w:rPr>
          <w:rFonts w:ascii="Times New Roman" w:hAnsi="Times New Roman" w:cs="Times New Roman"/>
          <w:color w:val="000000"/>
          <w:sz w:val="20"/>
          <w:szCs w:val="20"/>
        </w:rPr>
        <w:t>Enviroment</w:t>
      </w:r>
      <w:proofErr w:type="spellEnd"/>
      <w:r w:rsidRPr="006B1274">
        <w:rPr>
          <w:rFonts w:ascii="Times New Roman" w:hAnsi="Times New Roman" w:cs="Times New Roman"/>
          <w:color w:val="000000"/>
          <w:sz w:val="20"/>
          <w:szCs w:val="20"/>
        </w:rPr>
        <w:t xml:space="preserve">, Social and </w:t>
      </w:r>
      <w:proofErr w:type="spellStart"/>
      <w:r w:rsidRPr="006B1274">
        <w:rPr>
          <w:rFonts w:ascii="Times New Roman" w:hAnsi="Times New Roman" w:cs="Times New Roman"/>
          <w:color w:val="000000"/>
          <w:sz w:val="20"/>
          <w:szCs w:val="20"/>
        </w:rPr>
        <w:t>Governance</w:t>
      </w:r>
      <w:proofErr w:type="spellEnd"/>
      <w:r w:rsidRPr="006B1274">
        <w:rPr>
          <w:rFonts w:ascii="Times New Roman" w:hAnsi="Times New Roman" w:cs="Times New Roman"/>
          <w:color w:val="000000"/>
          <w:sz w:val="20"/>
          <w:szCs w:val="20"/>
        </w:rPr>
        <w:t>”. Na tradução: Meio Ambiente, Social e Governança. Essa será a pauta no dia de hoje relacionada ao Desenvolvimento Sustentável.</w:t>
      </w:r>
    </w:p>
    <w:p w14:paraId="046134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Ontem (18), com foco em Governança de forma ética seguindo pilares dos Direitos Humanos, universalizados pela Carta da ONU, as 2 sessões do dia incluíam a temática social de equidade digital mantendo a democracia e escuta das vozes da sociedade para formarem Nações justas e eficazes em cidadania.</w:t>
      </w:r>
    </w:p>
    <w:p w14:paraId="20239E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resultado foi a oficialização do Documento pelos líderes com 25 páginas e consenso unânime entre os Países, com adesão de 82 Países, a Argentina também foi incluída em Aliança Global, diante da alta inflação que afeta o País. </w:t>
      </w:r>
    </w:p>
    <w:p w14:paraId="117C85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Nestas mesmas sessões, o fim da Guerra da Ucrânia e Gaza, foi aprovado por todos e citados em documento como forma de paz. Assim como a decisão tomada no decorrer da agenda deste principal evento da Cúpula no Brasil em anos anteriores das alianças formadas, acordos firmados e anexação da Ucrânia à OTAM no objetivo de reconhecimento territorial e redução das disputas com a Rússia.</w:t>
      </w:r>
    </w:p>
    <w:p w14:paraId="711698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Nesta 3º rodada da reunião deste segundo dia, 19 de Novembro de 2024, as reuniões terão foco sustentável, objetivando frisar objetivos da ONU e acordo de Paris da redução de emissão de gases favoráveis às Mudanças Climáticas e Efeito Estufa.</w:t>
      </w:r>
    </w:p>
    <w:p w14:paraId="0ADDEB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três principais Bancos Financiadores o FMI, BNDES e Consórcio Europeu estiveram reunidos em eventos da COP para expressar os valores financiados de metas e concessões financeiras e a presença de líderes na Amazônia, firmaram as ações para preservação da Amazônia em perímetro de Carbono.</w:t>
      </w:r>
    </w:p>
    <w:p w14:paraId="7E8DA3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Hoje (19), pós o almoço, às 14h30 o presidente Luis Inácio da Silva, participará da última reunião bilateral do G20 Brasil com Joe Biden e transição de Governo Americano de portas fechadas. Encerrando formalmente a agenda oficial do evento em solo brasileiro, mas permanecendo com as ações complementares do Fórum Internacional, como a COP e demais eventos de Desporto e Desenvolvimento Universal.</w:t>
      </w:r>
    </w:p>
    <w:p w14:paraId="1AC7A9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Evento Oficial do G20 foi oficializado e teve o objetivo social de acelerar o desenvolvimento do Brasil. Como sede dos principais eventos como a Copa do Mundo, Jogos Olímpicos da Rio 2016, Arena Empreendedora </w:t>
      </w:r>
      <w:proofErr w:type="spellStart"/>
      <w:r w:rsidRPr="006B1274">
        <w:rPr>
          <w:rFonts w:ascii="Times New Roman" w:hAnsi="Times New Roman" w:cs="Times New Roman"/>
          <w:color w:val="000000"/>
          <w:sz w:val="20"/>
          <w:szCs w:val="20"/>
        </w:rPr>
        <w:t>Summit</w:t>
      </w:r>
      <w:proofErr w:type="spellEnd"/>
      <w:r w:rsidRPr="006B1274">
        <w:rPr>
          <w:rFonts w:ascii="Times New Roman" w:hAnsi="Times New Roman" w:cs="Times New Roman"/>
          <w:color w:val="000000"/>
          <w:sz w:val="20"/>
          <w:szCs w:val="20"/>
        </w:rPr>
        <w:t xml:space="preserve"> e outras atrações Culturais, passaram por aqui os principais líderes Chefes-de-Estado e o próximo compromisso é receber a COP 30 na Amazônia em 2025 que prevê a faixa verde territorial de proteção ambiental.</w:t>
      </w:r>
    </w:p>
    <w:p w14:paraId="78C2EC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Assim como a Semana de 1922 projetando um Brasil Modernista e Universalizado, conseguimos manter a identidade do Brasil, desenvolvido, mas mantendo a originalidade do nosso País. </w:t>
      </w:r>
    </w:p>
    <w:p w14:paraId="690A7089" w14:textId="6E684B3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após bicentenário da Independência do Brasil em 1922, neste Novembro de 2024, completamos 135 anos da República Federativa do Brasil cumprindo o papel de um País democrático, inclusivo e representado pela Justiça e as</w:t>
      </w:r>
      <w:r w:rsidR="00455DCB">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Instituições Eficazes regidas pela República Federativa do Brasil e Congresso Nacional Brasileiro frente à Corte Universal das Nações Unidas e seu líderes Chefes-de-Estado.</w:t>
      </w:r>
    </w:p>
    <w:p w14:paraId="508C34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2DCDA2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44EC21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31C212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7D4E2B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3AF122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4FCAC8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3184E3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Estácio | EBC | TV Globo</w:t>
      </w:r>
    </w:p>
    <w:p w14:paraId="520D90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Campanha Publicitária autoral, não autorizado o compartilhamento.</w:t>
      </w:r>
    </w:p>
    <w:p w14:paraId="6D7D5C5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4C4EB1"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7373DB7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9 de Fevereiro de 2025 | 13:15 PM</w:t>
      </w:r>
    </w:p>
    <w:p w14:paraId="3EB6D46C" w14:textId="4AB8533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070000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2625390B" w14:textId="6D354A2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7D0A2D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TENDEM a ser considerados como especialmente recomendados para crianças e adolescentes, obras, diversões e espetáculos que contenham predominantemente os conteúdos contextualizadores e/ ou positivos, apresentados como elementos importantes no desenvolvimento e socialização.</w:t>
      </w:r>
    </w:p>
    <w:p w14:paraId="0A91535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435F8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259CA1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04DE25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94FFBBA"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41024446" wp14:editId="0F0214DD">
            <wp:extent cx="4664075" cy="8237501"/>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664075" cy="8237501"/>
                    </a:xfrm>
                    <a:prstGeom prst="rect">
                      <a:avLst/>
                    </a:prstGeom>
                    <a:ln/>
                  </pic:spPr>
                </pic:pic>
              </a:graphicData>
            </a:graphic>
          </wp:inline>
        </w:drawing>
      </w:r>
    </w:p>
    <w:p w14:paraId="79726808"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350DF9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Carreira Acadêmica Internacional:</w:t>
      </w:r>
    </w:p>
    <w:p w14:paraId="742DB5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Relações Exteriores x Correspondentes Digitais</w:t>
      </w:r>
    </w:p>
    <w:p w14:paraId="1898FB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Rumo à COP 30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p>
    <w:p w14:paraId="400528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CHECK-IN DE CARNAVAL </w:t>
      </w:r>
      <w:r w:rsidRPr="006B1274">
        <w:rPr>
          <w:rFonts w:ascii="Apple Color Emoji" w:hAnsi="Apple Color Emoji" w:cs="Apple Color Emoji"/>
          <w:color w:val="000000"/>
          <w:sz w:val="20"/>
          <w:szCs w:val="20"/>
        </w:rPr>
        <w:t>🎉</w:t>
      </w:r>
    </w:p>
    <w:p w14:paraId="21021162" w14:textId="71BFF1A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7619B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em Tempos Digitais.</w:t>
      </w:r>
    </w:p>
    <w:p w14:paraId="268A8D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23 de Fevereiro de 2025 | 21:38 PM</w:t>
      </w:r>
    </w:p>
    <w:p w14:paraId="2C6EA866" w14:textId="6C4234B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2C3F0A0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Sistema de abastecimento e saneamento no Estado do Rio de Janeiro, idealizado em fase inicial em 1723, com abastecimento hídrico nos Arcos da Lapa, transformaram o Estado do Rio de Janeiro na então Capital Real à família Portuguesa na época, e a única, até então com padrões Europeus de fornecimento sustentável e inteligente de água. Concluindo as obras na região do Rio de Janeiro na área conhecida dos Arcos da Lapa em 1896. </w:t>
      </w:r>
    </w:p>
    <w:p w14:paraId="096F7D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em outras áreas como Paraty e Búzios a presença de Europeus começa em 1503, na Baía de Guanabara na Região de Búzios ocupada por franceses e colonizada. No Rio de Janeiro, as primeiras civilizações temporárias iniciaram-se em 1501 por Portugueses como rota e local de fluxo migratório de exploração à outras regiões do País através das Capitanias Hereditárias.</w:t>
      </w:r>
    </w:p>
    <w:p w14:paraId="1533B5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Paraty colonizada e explorada como porto Principal para o abastecimento de Açúcar ao continente Europeu, foi o primeiro grande Porto do Rio de Janeiro para evasão de especiarias, antes do descobrimento e colonização de toda a América. Como constam relatos oficiais, disponível em Wikipédia:</w:t>
      </w:r>
    </w:p>
    <w:p w14:paraId="7BCD710E" w14:textId="77777777" w:rsidR="001C11E3" w:rsidRPr="000D000E" w:rsidRDefault="00576533" w:rsidP="0046649A">
      <w:pPr>
        <w:spacing w:before="240" w:after="240" w:line="360" w:lineRule="auto"/>
        <w:ind w:left="2160"/>
        <w:jc w:val="both"/>
        <w:rPr>
          <w:rFonts w:ascii="Times New Roman" w:hAnsi="Times New Roman" w:cs="Times New Roman"/>
          <w:color w:val="000000"/>
        </w:rPr>
      </w:pPr>
      <w:r w:rsidRPr="000D000E">
        <w:rPr>
          <w:rFonts w:ascii="Times New Roman" w:hAnsi="Times New Roman" w:cs="Times New Roman"/>
          <w:color w:val="000000"/>
        </w:rPr>
        <w:t xml:space="preserve">“(…) Em 1555, os tamoios fizeram uma aliança com a coroa francesa e autorizaram que os franceses estabelecessem uma colônia na margem ocidental da Baía de Guanabara, sob o comando do almirante e cavaleiro templário Nicolas Durand de </w:t>
      </w:r>
      <w:proofErr w:type="spellStart"/>
      <w:r w:rsidRPr="000D000E">
        <w:rPr>
          <w:rFonts w:ascii="Times New Roman" w:hAnsi="Times New Roman" w:cs="Times New Roman"/>
          <w:color w:val="000000"/>
        </w:rPr>
        <w:t>Villegagnon</w:t>
      </w:r>
      <w:proofErr w:type="spellEnd"/>
      <w:r w:rsidRPr="000D000E">
        <w:rPr>
          <w:rFonts w:ascii="Times New Roman" w:hAnsi="Times New Roman" w:cs="Times New Roman"/>
          <w:color w:val="000000"/>
        </w:rPr>
        <w:t xml:space="preserve">. Essa colônia recebeu o nome de "França Antártica" e tinha como capital </w:t>
      </w:r>
      <w:proofErr w:type="spellStart"/>
      <w:r w:rsidRPr="000D000E">
        <w:rPr>
          <w:rFonts w:ascii="Times New Roman" w:hAnsi="Times New Roman" w:cs="Times New Roman"/>
          <w:color w:val="000000"/>
        </w:rPr>
        <w:t>Henriville</w:t>
      </w:r>
      <w:proofErr w:type="spellEnd"/>
      <w:r w:rsidRPr="000D000E">
        <w:rPr>
          <w:rFonts w:ascii="Times New Roman" w:hAnsi="Times New Roman" w:cs="Times New Roman"/>
          <w:color w:val="000000"/>
        </w:rPr>
        <w:t xml:space="preserve"> (cidade de Henrique), localizada no atual bairro carioca do Flamengo. (…).</w:t>
      </w:r>
    </w:p>
    <w:p w14:paraId="137723AB" w14:textId="77777777" w:rsidR="001C11E3" w:rsidRPr="000D000E" w:rsidRDefault="00576533" w:rsidP="0046649A">
      <w:pPr>
        <w:spacing w:before="240" w:after="240" w:line="360" w:lineRule="auto"/>
        <w:ind w:left="2160"/>
        <w:jc w:val="both"/>
        <w:rPr>
          <w:rFonts w:ascii="Times New Roman" w:hAnsi="Times New Roman" w:cs="Times New Roman"/>
          <w:color w:val="000000"/>
        </w:rPr>
      </w:pPr>
      <w:r w:rsidRPr="000D000E">
        <w:rPr>
          <w:rFonts w:ascii="Times New Roman" w:hAnsi="Times New Roman" w:cs="Times New Roman"/>
          <w:color w:val="000000"/>
        </w:rPr>
        <w:t xml:space="preserve">(…) Logo após a criação da Capitania do Rio de Janeiro, foi introduzida, na região da Baía de Guanabara, o cultivo de cana-de-açúcar, que foi a base da economia fluminense na segunda metade do século XVI e no século XVII. A cana era cultivada em latifúndios, com o emprego intensivo da mão-de-obra escrava. Entre 1583 e 1623, a área de maior destaque de produção de açúcar, no centro-sul do Brasil, se deslocou de São Vicente para o Rio de Janeiro, na região da baía de Guanabara. Se, em 1629, havia sessenta engenhos em produção no Rio de Janeiro, em 1639, já havia 110 engenhos e o Rio de Janeiro passou a fornecer açúcar a Lisboa, devido à tomada de Pernambuco durante as invasões neerlandesas. Ao final do século, havia 120 engenhos na região. (…)” </w:t>
      </w:r>
    </w:p>
    <w:p w14:paraId="5CA01B14" w14:textId="77777777" w:rsidR="001C11E3" w:rsidRPr="000D000E" w:rsidRDefault="00576533" w:rsidP="0046649A">
      <w:pPr>
        <w:spacing w:before="240" w:after="240" w:line="360" w:lineRule="auto"/>
        <w:ind w:left="7200"/>
        <w:jc w:val="both"/>
        <w:rPr>
          <w:rFonts w:ascii="Times New Roman" w:hAnsi="Times New Roman" w:cs="Times New Roman"/>
          <w:color w:val="000000"/>
        </w:rPr>
      </w:pPr>
      <w:r w:rsidRPr="000D000E">
        <w:rPr>
          <w:rFonts w:ascii="Times New Roman" w:hAnsi="Times New Roman" w:cs="Times New Roman"/>
          <w:color w:val="000000"/>
        </w:rPr>
        <w:t>Fonte: Wikipédia</w:t>
      </w:r>
    </w:p>
    <w:p w14:paraId="053BC4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ABASTECIMENTO POPULACIONAL </w:t>
      </w:r>
      <w:r w:rsidRPr="006B1274">
        <w:rPr>
          <w:rFonts w:ascii="Apple Color Emoji" w:hAnsi="Apple Color Emoji" w:cs="Apple Color Emoji"/>
          <w:color w:val="000000"/>
          <w:sz w:val="20"/>
          <w:szCs w:val="20"/>
        </w:rPr>
        <w:t>🇫🇷🇧🇷</w:t>
      </w:r>
    </w:p>
    <w:p w14:paraId="60F9D3F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Nessas condições são montadas as primeiras grandes expedições para organização de serviços de abastecimento populacional. A inteligência de Moinhos de Vento, de tradição francesa, de grandes campos de colheitas Nórdicas, são inseridos na região do interior das cidades Brasileiras, e iniciam os primeiros vestígios de prestação de serviços para civilização e colonização do Brasil.</w:t>
      </w:r>
    </w:p>
    <w:p w14:paraId="6B44E5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Franceses, com tradições de Ultranacionalismo e Fascismo, de característica inata da cultura do País, por produção de subsistência para adaptação e melhores condições de vida, são constantes tradicionais que influenciaram a toda região da Europa, até a crise de batalhas entre famílias nobres para disputa de poder e hegemonia de difusão, exploração e colonização em avanço pelo mundo e queda da Bastilha Francesa em 14 de Julho (Quatorze </w:t>
      </w:r>
      <w:proofErr w:type="spellStart"/>
      <w:r w:rsidRPr="006B1274">
        <w:rPr>
          <w:rFonts w:ascii="Times New Roman" w:hAnsi="Times New Roman" w:cs="Times New Roman"/>
          <w:color w:val="000000"/>
          <w:sz w:val="20"/>
          <w:szCs w:val="20"/>
        </w:rPr>
        <w:t>Juillet</w:t>
      </w:r>
      <w:proofErr w:type="spellEnd"/>
      <w:r w:rsidRPr="006B1274">
        <w:rPr>
          <w:rFonts w:ascii="Times New Roman" w:hAnsi="Times New Roman" w:cs="Times New Roman"/>
          <w:color w:val="000000"/>
          <w:sz w:val="20"/>
          <w:szCs w:val="20"/>
        </w:rPr>
        <w:t>) .</w:t>
      </w:r>
    </w:p>
    <w:p w14:paraId="4D1999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inteligência e hábitos franceses, foram e são o que norteiam até os dias atuais as relações comerciais entre países. Sendo a União Europeia, formato tradicional de intercâmbios e parcerias educacionais. </w:t>
      </w:r>
    </w:p>
    <w:p w14:paraId="6A2DA0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Iniciado pela exposição de grande novidades por patentes acadêmicas, foram os franceses que nos trouxeram hábitos como eletricidade, cinema e exploração orgânica alinhada a engenharia de produção para fornecimento de cosméticos como maquiagens, perfumes loções corporais, entre outros. Tudo que aprenderam com índios Tamoios ocupantes da região da Baía de Guanabara.</w:t>
      </w:r>
    </w:p>
    <w:p w14:paraId="736563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Veja abaixo o que cita a fonte Wikipédia:</w:t>
      </w:r>
    </w:p>
    <w:p w14:paraId="139547EF" w14:textId="72866694" w:rsidR="001C11E3" w:rsidRPr="00874C3F" w:rsidRDefault="00576533" w:rsidP="00874C3F">
      <w:pPr>
        <w:spacing w:before="240" w:after="240" w:line="360" w:lineRule="auto"/>
        <w:ind w:left="2160"/>
        <w:jc w:val="both"/>
        <w:rPr>
          <w:rFonts w:ascii="Times New Roman" w:hAnsi="Times New Roman" w:cs="Times New Roman"/>
          <w:color w:val="000000"/>
        </w:rPr>
      </w:pPr>
      <w:r w:rsidRPr="00874C3F">
        <w:rPr>
          <w:rFonts w:ascii="Times New Roman" w:hAnsi="Times New Roman" w:cs="Times New Roman"/>
          <w:color w:val="000000"/>
        </w:rPr>
        <w:t xml:space="preserve">“(…) Em 1560, o governador-geral do Brasil, </w:t>
      </w:r>
      <w:proofErr w:type="spellStart"/>
      <w:r w:rsidRPr="00874C3F">
        <w:rPr>
          <w:rFonts w:ascii="Times New Roman" w:hAnsi="Times New Roman" w:cs="Times New Roman"/>
          <w:color w:val="000000"/>
        </w:rPr>
        <w:t>Mem</w:t>
      </w:r>
      <w:proofErr w:type="spellEnd"/>
      <w:r w:rsidRPr="00874C3F">
        <w:rPr>
          <w:rFonts w:ascii="Times New Roman" w:hAnsi="Times New Roman" w:cs="Times New Roman"/>
          <w:color w:val="000000"/>
        </w:rPr>
        <w:t xml:space="preserve"> de Sá, recebeu ordens para expulsar os franceses e as tropas portuguesas por ele lideradas derrotaram o inimigo, mas os franceses, com o auxílio dos tamoios, refugiaram-se nas matas e reocuparam as povoações na região da Baía de Guanabara. Em 1565, desembarcou, vindo de Portugal, Estácio de Sá, sobrinho de </w:t>
      </w:r>
      <w:proofErr w:type="spellStart"/>
      <w:r w:rsidRPr="00874C3F">
        <w:rPr>
          <w:rFonts w:ascii="Times New Roman" w:hAnsi="Times New Roman" w:cs="Times New Roman"/>
          <w:color w:val="000000"/>
        </w:rPr>
        <w:t>Mem</w:t>
      </w:r>
      <w:proofErr w:type="spellEnd"/>
      <w:r w:rsidRPr="00874C3F">
        <w:rPr>
          <w:rFonts w:ascii="Times New Roman" w:hAnsi="Times New Roman" w:cs="Times New Roman"/>
          <w:color w:val="000000"/>
        </w:rPr>
        <w:t xml:space="preserve"> de Sá, o qual fundou, junto com Dom Antônio de </w:t>
      </w:r>
      <w:proofErr w:type="spellStart"/>
      <w:r w:rsidRPr="00874C3F">
        <w:rPr>
          <w:rFonts w:ascii="Times New Roman" w:hAnsi="Times New Roman" w:cs="Times New Roman"/>
          <w:color w:val="000000"/>
        </w:rPr>
        <w:t>Mariz</w:t>
      </w:r>
      <w:proofErr w:type="spellEnd"/>
      <w:r w:rsidRPr="00874C3F">
        <w:rPr>
          <w:rFonts w:ascii="Times New Roman" w:hAnsi="Times New Roman" w:cs="Times New Roman"/>
          <w:color w:val="000000"/>
        </w:rPr>
        <w:t xml:space="preserve"> e o Padre José de </w:t>
      </w:r>
      <w:proofErr w:type="spellStart"/>
      <w:r w:rsidRPr="00874C3F">
        <w:rPr>
          <w:rFonts w:ascii="Times New Roman" w:hAnsi="Times New Roman" w:cs="Times New Roman"/>
          <w:color w:val="000000"/>
        </w:rPr>
        <w:t>Anchieta</w:t>
      </w:r>
      <w:proofErr w:type="spellEnd"/>
      <w:r w:rsidRPr="00874C3F">
        <w:rPr>
          <w:rFonts w:ascii="Times New Roman" w:hAnsi="Times New Roman" w:cs="Times New Roman"/>
          <w:color w:val="000000"/>
        </w:rPr>
        <w:t xml:space="preserve">, em 1° de março desse ano, em uma várzea entre o Pão de Açúcar e Morro Cara de Cão, a cidade de São Sebastião do Rio de Janeiro (atual Rio de Janeiro), para servir de quartel-general para a luta contra os franceses e para assegurar a posse portuguesa dessas terras. Em 1567, os franceses foram derrotados e, com isso, foi criada, nesse mesmo ano, a Capitania do Rio de Janeiro, a partir da porção setentrional da Capitania de São Vicente. Logo após o fim da guerra entre portugueses e franceses pelo controle da região da Baía de Guanabara, indígenas que ajudaram os portugueses receberam recompensas, como </w:t>
      </w:r>
      <w:proofErr w:type="spellStart"/>
      <w:r w:rsidRPr="00874C3F">
        <w:rPr>
          <w:rFonts w:ascii="Times New Roman" w:hAnsi="Times New Roman" w:cs="Times New Roman"/>
          <w:color w:val="000000"/>
        </w:rPr>
        <w:t>Ararib</w:t>
      </w:r>
      <w:r w:rsidR="00D62E4F" w:rsidRPr="00874C3F">
        <w:rPr>
          <w:rFonts w:ascii="Times New Roman" w:hAnsi="Times New Roman" w:cs="Times New Roman"/>
          <w:color w:val="000000"/>
        </w:rPr>
        <w:t>ó</w:t>
      </w:r>
      <w:r w:rsidRPr="00874C3F">
        <w:rPr>
          <w:rFonts w:ascii="Times New Roman" w:hAnsi="Times New Roman" w:cs="Times New Roman"/>
          <w:color w:val="000000"/>
        </w:rPr>
        <w:t>ia</w:t>
      </w:r>
      <w:proofErr w:type="spellEnd"/>
      <w:r w:rsidRPr="00874C3F">
        <w:rPr>
          <w:rFonts w:ascii="Times New Roman" w:hAnsi="Times New Roman" w:cs="Times New Roman"/>
          <w:color w:val="000000"/>
        </w:rPr>
        <w:t xml:space="preserve">, que recebeu uma sesmaria de quatro léguas na margem oriental da baía de Guanabara, na qual surgiu o povoado de São Lourenço dos Índios (atual Niterói). Em 1575, o último reduto da Confederação dos Tamoios foi liquidado em Cabo Frio. (…)” </w:t>
      </w:r>
    </w:p>
    <w:p w14:paraId="60F55272" w14:textId="77777777" w:rsidR="001C11E3" w:rsidRPr="00874C3F" w:rsidRDefault="00576533" w:rsidP="00874C3F">
      <w:pPr>
        <w:spacing w:before="240" w:after="240" w:line="360" w:lineRule="auto"/>
        <w:ind w:left="7200"/>
        <w:jc w:val="both"/>
        <w:rPr>
          <w:rFonts w:ascii="Times New Roman" w:hAnsi="Times New Roman" w:cs="Times New Roman"/>
          <w:color w:val="000000"/>
        </w:rPr>
      </w:pPr>
      <w:r w:rsidRPr="00874C3F">
        <w:rPr>
          <w:rFonts w:ascii="Times New Roman" w:hAnsi="Times New Roman" w:cs="Times New Roman"/>
          <w:color w:val="000000"/>
        </w:rPr>
        <w:t>Fonte: Wikipédia</w:t>
      </w:r>
    </w:p>
    <w:p w14:paraId="3E68C9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SÉCULO XX </w:t>
      </w:r>
      <w:r w:rsidRPr="006B1274">
        <w:rPr>
          <w:rFonts w:ascii="Apple Color Emoji" w:hAnsi="Apple Color Emoji" w:cs="Apple Color Emoji"/>
          <w:color w:val="000000"/>
          <w:sz w:val="20"/>
          <w:szCs w:val="20"/>
        </w:rPr>
        <w:t>🕰️</w:t>
      </w:r>
    </w:p>
    <w:p w14:paraId="54FC08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região da Lapa, bairro tradicional da capital do Estado do Rio de Janeiro, é um dos mais antigos em arquitetura e referências urbanas originais de período colonial.</w:t>
      </w:r>
    </w:p>
    <w:p w14:paraId="63E818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centro do Rio de Janeiro, conta a história do Brasil, com a reunião do maior acervo histórico brasileiro, disponíveis em Biblioteca Nacional. </w:t>
      </w:r>
    </w:p>
    <w:p w14:paraId="5A055D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1922, o Brasil após abolição da escravatura, promulgações constituintes e Independência de Estado por Proclamação da República, iniciou as primeiras obras com parâmetros de diretrizes acadêmicas universais, desempenhadas, construídas e idealizadas por grandes colaboradores científicos, acadêmicos e militares da época.</w:t>
      </w:r>
    </w:p>
    <w:p w14:paraId="1ACFE5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Inicia-se o movimento Nacionalista Brasileiro, ainda com costumes tradicionais de padrões europeus, mas que traziam pelas relações comerciais e externas um toque brasileiro de produtos de confecção e costumes regionais de um país Tropical. Diferentemente, de países europeus com tradições de vestuário, alimentares e de saneamento, mais propícios às condições climáticas da região européia com mais requinte e objetivo de aquecer ao corpo, pelas temperaturas abaixo de zero mesmo com a presença de luz solar. Os raios UV, que são muito mais expostos e nocivos na região da América Latina.</w:t>
      </w:r>
    </w:p>
    <w:p w14:paraId="349EDD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SÉCULO XXI </w:t>
      </w:r>
      <w:r w:rsidRPr="006B1274">
        <w:rPr>
          <w:rFonts w:ascii="Apple Color Emoji" w:hAnsi="Apple Color Emoji" w:cs="Apple Color Emoji"/>
          <w:color w:val="000000"/>
          <w:sz w:val="20"/>
          <w:szCs w:val="20"/>
        </w:rPr>
        <w:t>🕰️</w:t>
      </w:r>
    </w:p>
    <w:p w14:paraId="4D9AD0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o Brasil do século XXI, mais conectado, alfabetizado e principal país mediador das relações diplomáticas por todo o Mundo, é o principal exportador de acadêmicos ao mundo para colaboração intelectual científica. Sendo o Estado do Rio de Janeiro com o maior índice de alfabetizados do Brasil, conforme Censo 2022.</w:t>
      </w:r>
    </w:p>
    <w:p w14:paraId="473D4F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 antes o trabalho escravo era a força braçal. Em século atual e pela conectividade digital, um dos problemas encontrados no âmbito diplomático, são o Tráfico de Influência e a Exploração Intelectual. </w:t>
      </w:r>
    </w:p>
    <w:p w14:paraId="161A51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democratização da informação de conteúdo acessível, quando não autorizado pelo autor, pode prejudicar em tráfico de informações sigilosas correlatas ao detentor de patente intelectual ou da informação. Um dos problemas que as plataformas digitais como Facebook e </w:t>
      </w:r>
      <w:proofErr w:type="spellStart"/>
      <w:r w:rsidRPr="006B1274">
        <w:rPr>
          <w:rFonts w:ascii="Times New Roman" w:hAnsi="Times New Roman" w:cs="Times New Roman"/>
          <w:color w:val="000000"/>
          <w:sz w:val="20"/>
          <w:szCs w:val="20"/>
        </w:rPr>
        <w:t>Tik-Tok</w:t>
      </w:r>
      <w:proofErr w:type="spellEnd"/>
      <w:r w:rsidRPr="006B1274">
        <w:rPr>
          <w:rFonts w:ascii="Times New Roman" w:hAnsi="Times New Roman" w:cs="Times New Roman"/>
          <w:color w:val="000000"/>
          <w:sz w:val="20"/>
          <w:szCs w:val="20"/>
        </w:rPr>
        <w:t xml:space="preserve"> estão em processo de banimento e revisão de políticas pela Corte Jurídica Norte-Americana, por considerar invasivo a exploração de informação de agentes logados na plataforma (os usuários), para venda de informações à grandes empresas comerciais.</w:t>
      </w:r>
    </w:p>
    <w:p w14:paraId="0AAB82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SEU DESTINO MÍDIAS:</w:t>
      </w:r>
    </w:p>
    <w:p w14:paraId="70C107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SEGURANÇA EM REDES </w:t>
      </w:r>
      <w:r w:rsidRPr="006B1274">
        <w:rPr>
          <w:rFonts w:ascii="Apple Color Emoji" w:hAnsi="Apple Color Emoji" w:cs="Apple Color Emoji"/>
          <w:color w:val="000000"/>
          <w:sz w:val="20"/>
          <w:szCs w:val="20"/>
        </w:rPr>
        <w:t>🌐🌎🎓</w:t>
      </w:r>
    </w:p>
    <w:p w14:paraId="385545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Seja no meio social, ou em ambiente digital, sentir-se seguro para interagir e comunicar, é um dos fatores imprescindíveis para um bom relacionamento comercial. Relações exteriores acadêmicas de pesquisa envolvem consulta à fontes seguras, no objetivo de evitar desinformações ou equívocos que induzam ao erro os consumidores de informação.</w:t>
      </w:r>
    </w:p>
    <w:p w14:paraId="3A5152C0" w14:textId="5E202FE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apoio econômico e político do Governo em promover educação, atualmente, vai além do ambiente físico de escolas e universidades, mas da necessidade de conexão e suporte digital adequado para que a informação seja</w:t>
      </w:r>
      <w:r w:rsidR="00017273">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democrática e acessível com estabilidade e qualidade por todo Brasil. É o que prevê as diretrizes para equidade digital no País.</w:t>
      </w:r>
    </w:p>
    <w:p w14:paraId="5CE062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Educação vai muito além do formato tradicional de aprendizagem, mas de forma a estabelecer e despertar o interesse com um bom conteúdo informativo, orientador e que seja funcional, com praticidade de aplicabilidade para a realidade de quem irá interagir e colaborar com o processo educativo. Processo, este, cíclico que a cada dia se renova de acordo com a evolução humana. </w:t>
      </w:r>
    </w:p>
    <w:p w14:paraId="272304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SEU DESTINO MÍDIAS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p>
    <w:p w14:paraId="0569FC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sua viagem de navegação pela internet. Veja abaixo 5 dicas para uma boa experiência socioeducativa em tempos digitais:</w:t>
      </w:r>
    </w:p>
    <w:p w14:paraId="4DFF3F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Seguir Conteúdos: Uma parceria de qualidade e confiança com fornecedor de conteúdo, é o diferencial nas Redes ou nos locais de acesso a informação. Visitar museus, bibliotecas e espaços públicos trazem a relação de interpessoalidade e reconhecimento regional. Direito que todo cidadão tem seja por objetivos educacionais, de lazer ou cultura, para o desenvolvimento social, conforme Constituição Federal (CF/1988). Nas redes digitais não é diferente, ativar notificações ou seguir uma página, trazem uma relação de confiança entre seguidores e fornecedores de conteúdos digitais, hoje, os atuais influenciadores. Que tal começar interagir com as páginas de órgão realmente engajados em fornecer o verídico conteúdo de dever do Estado?! A página do Governo do Estado do Rio de Janeiro (GovRj) é um exemplo.</w:t>
      </w:r>
    </w:p>
    <w:p w14:paraId="5432FA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Reduzir o volume de Informações em Rede: Com o hábito da internet, passamos a nos manter mais tempo conectados e menos tempo perto de quem está “próximo”. A rotina ficou muito mais acelerada, porque estamos sempre disponíveis para o outro mesmo no formato à distância. Tanto acesso ao digital, nos afastou de hábitos saudáveis ou costumes antigos de lazer, desporto, descontração e interação que eram mais constantes em tempos atrás. Retomar as atividades do passado com ética e responsabilidade social é um dos objetivos de inclusão. Estes que não precisam ser voltados apenas no objetivo de “fazer o bem”, mas do hábito saudável e de cordialidade de interação entre seres humanos. Um perfil mais fechado e introspectivo é mais peculiar à Europeus, o nacionalismo e cultura brasileira podem andar juntos com a democratização da educação para um Brasil melhor.</w:t>
      </w:r>
    </w:p>
    <w:p w14:paraId="42BEBA0F" w14:textId="3BBA8ED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Postagens Conscientizadoras: Compartilhar hábitos em Redes Sociais, já tornou-se um costume dos Brasileiros. Postar uma selfie em família, ou uma foto de um momento especial nas redes sociais já se tornou constante. Mas e se tamanha exposição estiver prejudicando o relacionamento em família? Seja por uma mensagem compartilhada com um toque de humor do “tiozão” que faz piada na mesa do almoço, aquela “tia” que insiste em saber da sua vida amora, ou a “prima” que não sai das Redes Sociais por um minuto. Dialogue. Na subjetividade de relações humanas,</w:t>
      </w:r>
      <w:r w:rsidR="00017273">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o alto consumo do ambiente digital, pode ser um escape para uma rotina estressante ou problemas em ambiente social. Neste sentido a ajuda de profissionais habilitados em melhorar as relações sociais como psicólogos ou apoio psicopedagógico podem ajudar através da informação, a “quebrar” o gelo e manter um diálogo em família mais saudável.</w:t>
      </w:r>
    </w:p>
    <w:p w14:paraId="29F4B8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Evitar Mensagens Automáticas: Atualmente as ferramentas disponibilizam o envio de mensagens automáticas para um determinado grupo de forma programada. Evite. Mensagens automáticas além de serem invasivas, certas vezes, podem causar um “estranhamento” pelas pessoas abordadas que não estão tão conectadas como você. Isso vale para tia e as inúmeras fotos diárias de “bom dia” no grupo da família, ou nas relações comerciais de desempenho acadêmico profissional em Redes Sociais. Mensagens automáticas não transparecem um bom relacionamento de atendimento, e nada como o atendimento individualizado para fidelizar uma relação contratual, acadêmica ou profissional.</w:t>
      </w:r>
    </w:p>
    <w:p w14:paraId="2C5E90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Boa Imagem Pessoal: Geração 90, infelizmente ou felizmente chegamos aos 30, isso fica a cargo da subjetividade de cada um, mas envelhecer saudável e com ética, é bom para todos. Uma boa imagem pessoal nas Redes Sociais é necessário não somente para “ostentar” algum padrão inatingível de vida perfeita restrita à internet e as Redes Sociais, mas também porque temos agora crianças, filhos e jovens com acesso ao conteúdo digital que compartilhamos, por isso, manter uma comunicação pacífica e regular em redes sociais ou em ambientes acadêmicos e profissionais, é necessário diante da maturidade que nos encontramos.</w:t>
      </w:r>
    </w:p>
    <w:p w14:paraId="42D6B6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422078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B58329"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RIO 460 ANOS </w:t>
      </w: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w:t>
      </w:r>
    </w:p>
    <w:p w14:paraId="3875A8C4" w14:textId="77777777" w:rsidR="001C11E3" w:rsidRPr="006B1274" w:rsidRDefault="001C11E3" w:rsidP="00B36B27">
      <w:pPr>
        <w:spacing w:before="240" w:after="240" w:line="360" w:lineRule="auto"/>
        <w:rPr>
          <w:rFonts w:ascii="Times New Roman" w:hAnsi="Times New Roman" w:cs="Times New Roman"/>
          <w:b/>
          <w:bCs/>
          <w:color w:val="000000"/>
          <w:sz w:val="20"/>
          <w:szCs w:val="20"/>
        </w:rPr>
      </w:pPr>
    </w:p>
    <w:p w14:paraId="14D83E33" w14:textId="06C97A0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e Redatora: </w:t>
      </w:r>
      <w:r w:rsidR="00FB77AE" w:rsidRPr="006B1274">
        <w:rPr>
          <w:rFonts w:ascii="Times New Roman" w:hAnsi="Times New Roman" w:cs="Times New Roman"/>
          <w:color w:val="000000"/>
          <w:sz w:val="20"/>
          <w:szCs w:val="20"/>
        </w:rPr>
        <w:t xml:space="preserve"> </w:t>
      </w:r>
    </w:p>
    <w:p w14:paraId="46D6D9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B6605A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F431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24 de Fevereiro de 2025 | 19:30PM</w:t>
      </w:r>
    </w:p>
    <w:p w14:paraId="5A0CDD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A051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Estácio | Governo do Estado do Rio de Janeiro | Ministério da Educação</w:t>
      </w:r>
    </w:p>
    <w:p w14:paraId="336CCC7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EC3D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tempo é subjetivo. Há 6 anos atrás não imaginávamos que realmente se concretizaria um cenário de Lock </w:t>
      </w:r>
      <w:proofErr w:type="spellStart"/>
      <w:r w:rsidRPr="006B1274">
        <w:rPr>
          <w:rFonts w:ascii="Times New Roman" w:hAnsi="Times New Roman" w:cs="Times New Roman"/>
          <w:color w:val="000000"/>
          <w:sz w:val="20"/>
          <w:szCs w:val="20"/>
        </w:rPr>
        <w:t>Down</w:t>
      </w:r>
      <w:proofErr w:type="spellEnd"/>
      <w:r w:rsidRPr="006B1274">
        <w:rPr>
          <w:rFonts w:ascii="Times New Roman" w:hAnsi="Times New Roman" w:cs="Times New Roman"/>
          <w:color w:val="000000"/>
          <w:sz w:val="20"/>
          <w:szCs w:val="20"/>
        </w:rPr>
        <w:t xml:space="preserve"> e uma paralização de toda a indústria por medidas de saúde. 2019, pouco tempo se pensarmos no cenário mundial traçado com a vitória da extrema-direita na Alemanha, que por acordo diplomático mantém o partido representante desde 1945 isolado.</w:t>
      </w:r>
    </w:p>
    <w:p w14:paraId="54F5D80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6D45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2025 mal começou e já temos um bom resultado pela frente. 80 anos pós-guerra, 30 anos de uma geração. Conclusão da COP 30 novamente no Brasil, desde a ECO 92, desenhado Objetivos Sustentáveis de Desenvolvimento Social para próximas gerações, objetivos estes que permitiram o Brasil mudar para minha geração evoluir.</w:t>
      </w:r>
    </w:p>
    <w:p w14:paraId="58FF12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8832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80 Anos de Diplomacia mundial, 80 anos de um futuro com igualdade e fraternidade social. 80 anos livre de ações que violam a dignidade humana sendo reconhecidas como crime. </w:t>
      </w:r>
    </w:p>
    <w:p w14:paraId="2010BE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7B6F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Há 6 anos atrás estava na casa dos 20 concluindo estudos Universitários, hoje, cá estou eu na casa dos 30 planejando um futuro diplomaticamente melhor novamente.</w:t>
      </w:r>
    </w:p>
    <w:p w14:paraId="4383F75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56D970" w14:textId="35DD0D5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2025, em 01 de Março, a Cidade do Rio de Janeiro completa 460 anos de história Brasileira e habitação de forma recenseada no compromisso cívico do Estado com todos os cidadãos.</w:t>
      </w:r>
    </w:p>
    <w:p w14:paraId="33E068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 anos de um futuro que é hoje!</w:t>
      </w:r>
    </w:p>
    <w:p w14:paraId="4311A1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7A82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o compartilhamento.</w:t>
      </w:r>
    </w:p>
    <w:p w14:paraId="6C2344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matéria do G1 com imagens do processo de habitação do Estado do Rio de Janeiro:</w:t>
      </w:r>
    </w:p>
    <w:p w14:paraId="2002F5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A2A52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455 anos: obras recriam a ocupação urbana desde a fundação; veja o antes e o depois</w:t>
      </w:r>
    </w:p>
    <w:p w14:paraId="76A77B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Instituto Pereira Passos fará exposição com quadros do ilustrador Guta. Passagem do tempo também é vista no projeto Augusto Malta </w:t>
      </w:r>
      <w:proofErr w:type="spellStart"/>
      <w:r w:rsidRPr="006B1274">
        <w:rPr>
          <w:rFonts w:ascii="Times New Roman" w:hAnsi="Times New Roman" w:cs="Times New Roman"/>
          <w:color w:val="000000"/>
          <w:sz w:val="20"/>
          <w:szCs w:val="20"/>
        </w:rPr>
        <w:t>Revival</w:t>
      </w:r>
      <w:proofErr w:type="spellEnd"/>
      <w:r w:rsidRPr="006B1274">
        <w:rPr>
          <w:rFonts w:ascii="Times New Roman" w:hAnsi="Times New Roman" w:cs="Times New Roman"/>
          <w:color w:val="000000"/>
          <w:sz w:val="20"/>
          <w:szCs w:val="20"/>
        </w:rPr>
        <w:t xml:space="preserve"> e em trabalho de produtora.</w:t>
      </w:r>
    </w:p>
    <w:p w14:paraId="12443F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3BA9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Carlos Brito, G1 Rio</w:t>
      </w:r>
    </w:p>
    <w:p w14:paraId="0ED7351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1D71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01/03/2020 06h01  Atualizado há 4 anos</w:t>
      </w:r>
    </w:p>
    <w:p w14:paraId="11A0BE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B4E9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Disponível em: </w:t>
      </w:r>
      <w:hyperlink r:id="rId13">
        <w:r w:rsidRPr="006B1274">
          <w:rPr>
            <w:rFonts w:ascii="Times New Roman" w:hAnsi="Times New Roman" w:cs="Times New Roman"/>
            <w:color w:val="000000"/>
            <w:sz w:val="20"/>
            <w:szCs w:val="20"/>
            <w:u w:val="single"/>
          </w:rPr>
          <w:t>https://g1.globo.com/rj/rio-de-janeiro/noticia/2020/03/01/rio-455-anos-obras-recriam-a-ocupacao-urbana-desde-a-fundacao-veja-o-antes-e-o-depois.ghtml</w:t>
        </w:r>
      </w:hyperlink>
    </w:p>
    <w:p w14:paraId="5D7498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F89D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D084F0"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DICA</w:t>
      </w:r>
    </w:p>
    <w:p w14:paraId="0288C93A" w14:textId="3DEA4B0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49C67F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F4D94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3D2F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Tanta informação e influência de hábitos em consumo, as vezes podem nos trazer a sensação de exaustão de conteúdo midiático nas Redes Sociais.</w:t>
      </w:r>
    </w:p>
    <w:p w14:paraId="7C448F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3D1F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interação com os espaços públicos da nossa cidade como uma válvula de escape para tanta informação em plataformas digitais, ajuda no desenvolvimento cognitivo, melhora o condicionamento físico, além de ser uma oportunidade para aproveitar atividades ao ar livre, sociosustentáveis e desportivas.</w:t>
      </w:r>
    </w:p>
    <w:p w14:paraId="5CF52C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C879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o compartilhamento por terceiros.</w:t>
      </w:r>
    </w:p>
    <w:p w14:paraId="59F960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F9953A" w14:textId="6314012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00E11ACF">
        <w:rPr>
          <w:rFonts w:ascii="Apple Color Emoji" w:hAnsi="Apple Color Emoji" w:cs="Apple Color Emoji"/>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57DEBF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Descaso e Negligência - Improbidade Pública </w:t>
      </w:r>
    </w:p>
    <w:p w14:paraId="1752DA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8F05EF" w14:textId="6B9117F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9E382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81FEE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FADC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Quando dado problema afeta unanimemente a população à níveis alarmantes, cabe ao Estado o papel de intervenção para garantia da Ordem. Seja se o serviço é fornecido de forma Pública ou Privada interpreta-se a ação de omissão quando não há atuação do Estado para reversão. Configurando como o processo de improbidade.</w:t>
      </w:r>
    </w:p>
    <w:p w14:paraId="41F7896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5E6D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Estado do Rio de Janeiro, local de principal referência para atendimento de procedimentos complexos, sejam eles na esfera social abrangidos por educação, habitação e direitos, como em áreas de economia, da saúde ou segurança. Tem apresentado altos índices de colapso em Número de Demanda x Baixo Efetivo para atendimento.</w:t>
      </w:r>
    </w:p>
    <w:p w14:paraId="51AB606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9E4A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Aqui, na Capital do Estado do Rio de Janeiro, são prestados os principais serviços, tendo como sede informacional e referência da demanda a condução e resolução de forma estruturada e eficiente.</w:t>
      </w:r>
    </w:p>
    <w:p w14:paraId="71A3A0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6326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Assim são dirigidas principais serviços como a Educação pelo Governo do Estado do Rio de Janeiro, esta, referência em Inovação em Serviços Públicos. Tanta eficiência traz a 2º posição ao estado de mais populoso dentre os outros 25 Estados da Federação e 1 Distrito Federal. Nos trazendo o consenso unânime de que se não houvesse a necessidade de atuação em melhora de qualidade de vida por outras regiões do País, não teríamos aqui, altos níveis de êxodo rural, asilados e alto fluxo migratório urbano entre favelas e a área urbana da cidade.</w:t>
      </w:r>
    </w:p>
    <w:p w14:paraId="4FD954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87A20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Mas tanta inovação tem sido problema de choque social. A equidade digital, uma necessidade em tempos de informação tecnológica, nos coloca em um patamar de retrocesso quando a maior parte da população do Estado é de baixa renda, com pouca formação em níveis básico da educação completa dos migrantes recepcionados e, principalmente, de desvio postural de conduta pelo alto índice de criminalidade.</w:t>
      </w:r>
    </w:p>
    <w:p w14:paraId="715F99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87C4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situação se reflete e interfere na condução do tratamento social em piora das relações interpessoais, que prejudica consideravelmente a condução da educação e comunicação de forma ética e cordial.</w:t>
      </w:r>
    </w:p>
    <w:p w14:paraId="229508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8303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cidade e a esfera da sociedade civil aos cidadãos, tem perdido cada vez mais os níveis de respeito e tratamento cordial com uso formal da norma culta, popularizando desordenadamente e excessivamente a condução das relações de modo a incluir os menos instruídos, na forma de redução de desigualdades. </w:t>
      </w:r>
    </w:p>
    <w:p w14:paraId="1F3385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A704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Estágio de alerta e risco para o atraso das demais classes, choque social por integração e equidade, em um processo embrionário do não uso adequado e efetivo dos serviços prestados, como temos refletido em Centros Tecnológicos e Universidades, com alta evasão ou baixo uso com áreas vazias em suas instâncias práticas.</w:t>
      </w:r>
    </w:p>
    <w:p w14:paraId="2062F1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D370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estágio, o aforismo social, característico do processo de popularização social, deixam fugir e perder princípios básicos em saneamento, educação, comunicação, economia e segurança.  Os pilares básicos estruturais do Serviço Público de garantia Constitucional e Direitos Humanos acerca da preservação da dignidade e vida humana por gerações.</w:t>
      </w:r>
    </w:p>
    <w:p w14:paraId="13413216" w14:textId="77777777" w:rsidR="003C7F2F"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o compartilhamento.</w:t>
      </w:r>
    </w:p>
    <w:p w14:paraId="0E495DB4" w14:textId="627DE82F" w:rsidR="001C11E3" w:rsidRPr="003C7F2F"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2F9C6E9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Rumos Econômicos da Nova Indústria 4.0</w:t>
      </w:r>
    </w:p>
    <w:p w14:paraId="1F4BC3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Processo Condutório da era Digital</w:t>
      </w:r>
    </w:p>
    <w:p w14:paraId="38A5DE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609544" w14:textId="421EF5B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A4B40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3E8C1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581BF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25 de Março de 2025 | 03:07 AM</w:t>
      </w:r>
    </w:p>
    <w:p w14:paraId="1634D5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DF22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224417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29530D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722DB6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ECD209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7E6909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9554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Complementar ao G20 Brasil, evento de alinhamento entre Cúpulas das Nações Membro da ONU e dentre as 20 maiores economias mundiais, o objetivo é traçar as diretrizes econômicas em serviços e fomentar as parcerias econômicas entre o Bloco Econômico.</w:t>
      </w:r>
    </w:p>
    <w:p w14:paraId="61D9F0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EC56B0" w14:textId="1A1CAB4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Composto pelos 5 países principais em Desenvolvimento, Brasil, Rússia, Índia, China e África do Sul, tidos como potenciais Países à emergir à categoria de Países Desenvolvidos, ou seja, com uma economia sólida e capaz de</w:t>
      </w:r>
      <w:r w:rsidR="0030597E">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subsidiar em direitos à todos os cidadãos de forma plena. Neste grupo econômico o maior país representante de potência econômica é a Rússia, seguido do Brasil principal parceiro entre todos os continentes. Exportador e mediador diplomático, tendo também uma das maiores parcerias em projetos sociais de ciclo capital em economia social circular e negociador de C</w:t>
      </w:r>
      <w:r w:rsidR="00FC6C38" w:rsidRPr="006B1274">
        <w:rPr>
          <w:rFonts w:ascii="Times New Roman" w:hAnsi="Times New Roman" w:cs="Times New Roman"/>
          <w:color w:val="000000"/>
          <w:sz w:val="20"/>
          <w:szCs w:val="20"/>
        </w:rPr>
        <w:t>r</w:t>
      </w:r>
      <w:r w:rsidRPr="006B1274">
        <w:rPr>
          <w:rFonts w:ascii="Times New Roman" w:hAnsi="Times New Roman" w:cs="Times New Roman"/>
          <w:color w:val="000000"/>
          <w:sz w:val="20"/>
          <w:szCs w:val="20"/>
        </w:rPr>
        <w:t>éditos de Carbono.</w:t>
      </w:r>
    </w:p>
    <w:p w14:paraId="05C65E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3389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rumos para os próximos anos citados como pauta em ambas as reuniões que ocorreram de forma híbrida, uma mediada pelo grupo Globo com representantes oficiais dos Ministérios como Porta-Vozes da Presidência com a presença virtual de Geraldo Alckmin e presencialmente do Ministro da Fazenda Fernando Haddad, do Ministro da Justiça e Segurança Pública Ricardo Lewandowski, do ex-Ministro da Fazenda Pedro </w:t>
      </w:r>
      <w:proofErr w:type="spellStart"/>
      <w:r w:rsidRPr="006B1274">
        <w:rPr>
          <w:rFonts w:ascii="Times New Roman" w:hAnsi="Times New Roman" w:cs="Times New Roman"/>
          <w:color w:val="000000"/>
          <w:sz w:val="20"/>
          <w:szCs w:val="20"/>
        </w:rPr>
        <w:t>Malan</w:t>
      </w:r>
      <w:proofErr w:type="spellEnd"/>
      <w:r w:rsidRPr="006B1274">
        <w:rPr>
          <w:rFonts w:ascii="Times New Roman" w:hAnsi="Times New Roman" w:cs="Times New Roman"/>
          <w:color w:val="000000"/>
          <w:sz w:val="20"/>
          <w:szCs w:val="20"/>
        </w:rPr>
        <w:t xml:space="preserve"> e Virgínia Angelis Secretaria Nacional de Planejamento.</w:t>
      </w:r>
    </w:p>
    <w:p w14:paraId="223E3A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67435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reunião de nome: “O Brasil que Teremos e o Brasil que Queremos”, direcionada em compartilhar com a sociedade civil e especialistas da área temas Globais, foram abordados os principais pontos da reforma tributária, já tida como uma Reforma Administrativa para os servidores em curva previdenciária, revisão tributária com revisão de taxações em tributos similar ao IVA, implementada gradativamente até 2033 e os novos ingressantes no Serviço Público na estruturação do </w:t>
      </w:r>
      <w:proofErr w:type="spellStart"/>
      <w:r w:rsidRPr="006B1274">
        <w:rPr>
          <w:rFonts w:ascii="Times New Roman" w:hAnsi="Times New Roman" w:cs="Times New Roman"/>
          <w:color w:val="000000"/>
          <w:sz w:val="20"/>
          <w:szCs w:val="20"/>
        </w:rPr>
        <w:t>Fundeb</w:t>
      </w:r>
      <w:proofErr w:type="spellEnd"/>
      <w:r w:rsidRPr="006B1274">
        <w:rPr>
          <w:rFonts w:ascii="Times New Roman" w:hAnsi="Times New Roman" w:cs="Times New Roman"/>
          <w:color w:val="000000"/>
          <w:sz w:val="20"/>
          <w:szCs w:val="20"/>
        </w:rPr>
        <w:t xml:space="preserve">, além de reforço das preocupações da indústria e os desafios sustentáveis em Crédito Verde, contando com a presença do Governador do Estado do Pará, Helder Barbalho, que sediará a COP 30 em Novembro de 2025 e foi um dos principais destaques em posicionamento na última reunião de alinhamento em Nova York em conjunto com o Fórum Internacional de Justiça, que além do compromisso econômico, abordou os principais temas de exploração de novas tecnologias na Indústria e princípios éticos e sociais defendidos por Luís Roberto Barroso, Presidente do Supremo Tribunal Federal, complementar a Digitalização com uso da Inteligência Artificial, alinhamento necessário para a confecção do Relatório que será produzido por Especialistas da Área em norteamento dos rumos exploratórios em tecnologia ambiental na Amazônia Legal. </w:t>
      </w:r>
    </w:p>
    <w:p w14:paraId="3C8E58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F44E76" w14:textId="3D1B27C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Além da preocupação ecológica foram debatidos os temas em firmar os acordos diplomáticos envolvendo o Brasil, e estagnar a Dívida Pública com trabalho de cooperação entre blocos e abatimentos em Créditos Verdes. Mantendo o Brasil com parceria estratégica nas exportações aos Estados Unidos, e as subdivisões de exportação entre os Países do Bloco do BRICS, para equilíbrio do consumo produtor acerca do Protecionismo típico do País com elevação das taxações exatamente para não haver superprodução e nova crise sem o consumo principal de Países como Rússia e China, tendo o Brasil de cumprir o papel negociador visando novas possibilidades de mercado e fomento através de parcerias para aumento do consumo, como exemplo da redução do perfil agricultor de subsistência dos Países Asiáticos, como a China com produtos Agrícolas Tran</w:t>
      </w:r>
      <w:r w:rsidR="00FC6C38" w:rsidRPr="006B1274">
        <w:rPr>
          <w:rFonts w:ascii="Times New Roman" w:hAnsi="Times New Roman" w:cs="Times New Roman"/>
          <w:color w:val="000000"/>
          <w:sz w:val="20"/>
          <w:szCs w:val="20"/>
        </w:rPr>
        <w:t>s</w:t>
      </w:r>
      <w:r w:rsidRPr="006B1274">
        <w:rPr>
          <w:rFonts w:ascii="Times New Roman" w:hAnsi="Times New Roman" w:cs="Times New Roman"/>
          <w:color w:val="000000"/>
          <w:sz w:val="20"/>
          <w:szCs w:val="20"/>
        </w:rPr>
        <w:t>gênicos e Índia com grandes safras de empreendimento privado.</w:t>
      </w:r>
    </w:p>
    <w:p w14:paraId="2672CA7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CE7A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Já a segunda reunião do dia, também aberta à Sociedade Civil, foi liderada pela embaixadora Tatiana </w:t>
      </w:r>
      <w:proofErr w:type="spellStart"/>
      <w:r w:rsidRPr="006B1274">
        <w:rPr>
          <w:rFonts w:ascii="Times New Roman" w:hAnsi="Times New Roman" w:cs="Times New Roman"/>
          <w:color w:val="000000"/>
          <w:sz w:val="20"/>
          <w:szCs w:val="20"/>
        </w:rPr>
        <w:t>Rosito</w:t>
      </w:r>
      <w:proofErr w:type="spellEnd"/>
      <w:r w:rsidRPr="006B1274">
        <w:rPr>
          <w:rFonts w:ascii="Times New Roman" w:hAnsi="Times New Roman" w:cs="Times New Roman"/>
          <w:color w:val="000000"/>
          <w:sz w:val="20"/>
          <w:szCs w:val="20"/>
        </w:rPr>
        <w:t xml:space="preserve">, Secretária do Ministério da Fazenda e coordenadora da Trilha de Finanças do BRICS, junto das especialistas: Luciana Servo do IPEA, Júlia Braga do Ministério da Fazenda e Bianca </w:t>
      </w:r>
      <w:proofErr w:type="spellStart"/>
      <w:r w:rsidRPr="006B1274">
        <w:rPr>
          <w:rFonts w:ascii="Times New Roman" w:hAnsi="Times New Roman" w:cs="Times New Roman"/>
          <w:color w:val="000000"/>
          <w:sz w:val="20"/>
          <w:szCs w:val="20"/>
        </w:rPr>
        <w:t>Kivel</w:t>
      </w:r>
      <w:proofErr w:type="spellEnd"/>
      <w:r w:rsidRPr="006B1274">
        <w:rPr>
          <w:rFonts w:ascii="Times New Roman" w:hAnsi="Times New Roman" w:cs="Times New Roman"/>
          <w:color w:val="000000"/>
          <w:sz w:val="20"/>
          <w:szCs w:val="20"/>
        </w:rPr>
        <w:t xml:space="preserve"> do Banco Central. Sendo esta reunião mais focada no diálogo com a sociedade civil de forma mais estrutural e técnica, contou com apresentação de agendas, resultados em participação econômica em Comércio Internacional do BRICS pelos 5 Países principais, mais 14 os parceiros econômicos do Bloco. </w:t>
      </w:r>
    </w:p>
    <w:p w14:paraId="38385B8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1B66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reunião também enfatizou a meta principal de coordenar de forma organizacional e em governança aos resultados do Sistema Monetário e Financeiro Internacional, reforçando os indicadores principais correlacionados à NDC e parcerias para facilitação do comércio e investimento. Explicativo e didático para os especialistas de atuação privada e necessidade de visão global econômica. Na rodada de perguntas foram levantados aspectos sociais para levar o debate à mesa nas próximas reuniões, tendo a Governança o compromisso sócio-sustentável de alinhamento dos resultados econômicos, com os direitos básicos da sociedade, não podendo a visão econômica por em risco os rumos financeiros das Contas Públicas e endividamento por excesso de metas e promessas.</w:t>
      </w:r>
    </w:p>
    <w:p w14:paraId="6733CD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6C7D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autoral, não autorizado o compartilhamento por terceiros.</w:t>
      </w:r>
    </w:p>
    <w:p w14:paraId="62242E3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0DEC05"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2E242E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Combatendo o Etarismo: Envelhecimento Saudável </w:t>
      </w:r>
    </w:p>
    <w:p w14:paraId="3D25E2B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1714D6" w14:textId="77777777" w:rsidR="0030597E"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6CDBDED9" w14:textId="0DD7424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A010B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2B4014" w14:textId="2047455D"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Discriminação etária, discriminação geracional, eta</w:t>
      </w:r>
      <w:r w:rsidR="00AF35C2" w:rsidRPr="006B1274">
        <w:rPr>
          <w:rFonts w:ascii="Times New Roman" w:hAnsi="Times New Roman" w:cs="Times New Roman"/>
          <w:color w:val="000000"/>
          <w:sz w:val="20"/>
          <w:szCs w:val="20"/>
        </w:rPr>
        <w:t>r</w:t>
      </w:r>
      <w:r w:rsidR="00993447" w:rsidRPr="006B1274">
        <w:rPr>
          <w:rFonts w:ascii="Times New Roman" w:hAnsi="Times New Roman" w:cs="Times New Roman"/>
          <w:color w:val="000000"/>
          <w:sz w:val="20"/>
          <w:szCs w:val="20"/>
        </w:rPr>
        <w:t>i</w:t>
      </w:r>
      <w:r w:rsidRPr="006B1274">
        <w:rPr>
          <w:rFonts w:ascii="Times New Roman" w:hAnsi="Times New Roman" w:cs="Times New Roman"/>
          <w:color w:val="000000"/>
          <w:sz w:val="20"/>
          <w:szCs w:val="20"/>
        </w:rPr>
        <w:t xml:space="preserve">smo, </w:t>
      </w:r>
      <w:proofErr w:type="spellStart"/>
      <w:r w:rsidRPr="006B1274">
        <w:rPr>
          <w:rFonts w:ascii="Times New Roman" w:hAnsi="Times New Roman" w:cs="Times New Roman"/>
          <w:color w:val="000000"/>
          <w:sz w:val="20"/>
          <w:szCs w:val="20"/>
        </w:rPr>
        <w:t>idad</w:t>
      </w:r>
      <w:r w:rsidR="00993447" w:rsidRPr="006B1274">
        <w:rPr>
          <w:rFonts w:ascii="Times New Roman" w:hAnsi="Times New Roman" w:cs="Times New Roman"/>
          <w:color w:val="000000"/>
          <w:sz w:val="20"/>
          <w:szCs w:val="20"/>
        </w:rPr>
        <w:t>i</w:t>
      </w:r>
      <w:r w:rsidRPr="006B1274">
        <w:rPr>
          <w:rFonts w:ascii="Times New Roman" w:hAnsi="Times New Roman" w:cs="Times New Roman"/>
          <w:color w:val="000000"/>
          <w:sz w:val="20"/>
          <w:szCs w:val="20"/>
        </w:rPr>
        <w:t>smo</w:t>
      </w:r>
      <w:proofErr w:type="spellEnd"/>
      <w:r w:rsidRPr="006B1274">
        <w:rPr>
          <w:rFonts w:ascii="Times New Roman" w:hAnsi="Times New Roman" w:cs="Times New Roman"/>
          <w:color w:val="000000"/>
          <w:sz w:val="20"/>
          <w:szCs w:val="20"/>
        </w:rPr>
        <w:t xml:space="preserve"> ou ainda etarismo é um tipo de discriminação contra pessoas ou grupos baseado na idade. Quando este preconceito é a motivação principal por trás dos atos de discriminação contra aquela pessoa ou grupo, então tais atos constituem-se discriminação por idade.</w:t>
      </w:r>
    </w:p>
    <w:p w14:paraId="0745F584"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21E88FEA"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Embora etarismo possa se referir ao preconceito contra qualquer grupo etário, a discriminação por idade está geralmente associada a duas faixas etárias específicas:</w:t>
      </w:r>
    </w:p>
    <w:p w14:paraId="71E5B801"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14D100D1"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Adolescentes: a quem são atribuídos as características estereotipadas de imaturos, insubordinados e irresponsáveis;</w:t>
      </w:r>
    </w:p>
    <w:p w14:paraId="31190E8B"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294FC250"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Terceira idade: a quem são rotulados de lentos, fracos, dependentes e </w:t>
      </w:r>
      <w:proofErr w:type="spellStart"/>
      <w:r w:rsidRPr="006B1274">
        <w:rPr>
          <w:rFonts w:ascii="Times New Roman" w:hAnsi="Times New Roman" w:cs="Times New Roman"/>
          <w:color w:val="000000"/>
          <w:sz w:val="20"/>
          <w:szCs w:val="20"/>
        </w:rPr>
        <w:t>sênis</w:t>
      </w:r>
      <w:proofErr w:type="spellEnd"/>
      <w:r w:rsidRPr="006B1274">
        <w:rPr>
          <w:rFonts w:ascii="Times New Roman" w:hAnsi="Times New Roman" w:cs="Times New Roman"/>
          <w:color w:val="000000"/>
          <w:sz w:val="20"/>
          <w:szCs w:val="20"/>
        </w:rPr>
        <w:t>.</w:t>
      </w:r>
    </w:p>
    <w:p w14:paraId="73DE4C67"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3226075A"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Embora como todas as formas de discriminação, a discriminação por idade tenha sempre sido um problema, ela é mais séria no presente nas indústrias de entretenimento e computadores. Muitos atores, músicos, roteiristas, programadores e engenheiros elétricos idosos têm se queixado de como é difícil para eles encontrar trabalho, embora sejam bem qualificados em termos de educação e experiência.</w:t>
      </w:r>
    </w:p>
    <w:p w14:paraId="77F4CBCD"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053B7BF3"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discriminação etária nas contratações foi comprovada nos Estados Unidos. Joanna </w:t>
      </w:r>
      <w:proofErr w:type="spellStart"/>
      <w:r w:rsidRPr="006B1274">
        <w:rPr>
          <w:rFonts w:ascii="Times New Roman" w:hAnsi="Times New Roman" w:cs="Times New Roman"/>
          <w:color w:val="000000"/>
          <w:sz w:val="20"/>
          <w:szCs w:val="20"/>
        </w:rPr>
        <w:t>Lahey</w:t>
      </w:r>
      <w:proofErr w:type="spellEnd"/>
      <w:r w:rsidRPr="006B1274">
        <w:rPr>
          <w:rFonts w:ascii="Times New Roman" w:hAnsi="Times New Roman" w:cs="Times New Roman"/>
          <w:color w:val="000000"/>
          <w:sz w:val="20"/>
          <w:szCs w:val="20"/>
        </w:rPr>
        <w:t>, professora de economia na universidade Texas A&amp;M, descobriu que a probabilidade de um candidato jovem ser entrevistado por uma empresa é 40% maior do que a de um candidato idoso.</w:t>
      </w:r>
    </w:p>
    <w:p w14:paraId="560ED226"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11A0D07A"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Numa pesquisa da Universidade de Kent, Inglaterra, 29% dos entrevistados informaram ter sofrido discriminação por idade. Esta é uma proporção muito maior do que a discriminação por gênero ou raça. Dominic Abrams, professor de Psicologia Social na universidade, concluiu que o etarismo é a forma mais disseminada de preconceito experimentada pela população do Reino Unido.</w:t>
      </w:r>
    </w:p>
    <w:p w14:paraId="616A9589"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50F791F8"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Numa entrevista recente, o famoso ator Pierce </w:t>
      </w:r>
      <w:proofErr w:type="spellStart"/>
      <w:r w:rsidRPr="006B1274">
        <w:rPr>
          <w:rFonts w:ascii="Times New Roman" w:hAnsi="Times New Roman" w:cs="Times New Roman"/>
          <w:color w:val="000000"/>
          <w:sz w:val="20"/>
          <w:szCs w:val="20"/>
        </w:rPr>
        <w:t>Brosnan</w:t>
      </w:r>
      <w:proofErr w:type="spellEnd"/>
      <w:r w:rsidRPr="006B1274">
        <w:rPr>
          <w:rFonts w:ascii="Times New Roman" w:hAnsi="Times New Roman" w:cs="Times New Roman"/>
          <w:color w:val="000000"/>
          <w:sz w:val="20"/>
          <w:szCs w:val="20"/>
        </w:rPr>
        <w:t xml:space="preserve"> citou o etarismo como um dos fatores que contribuíram para que ele não mais fosse escalado como James Bond para o filme Casino </w:t>
      </w:r>
      <w:proofErr w:type="spellStart"/>
      <w:r w:rsidRPr="006B1274">
        <w:rPr>
          <w:rFonts w:ascii="Times New Roman" w:hAnsi="Times New Roman" w:cs="Times New Roman"/>
          <w:color w:val="000000"/>
          <w:sz w:val="20"/>
          <w:szCs w:val="20"/>
        </w:rPr>
        <w:t>Royale</w:t>
      </w:r>
      <w:proofErr w:type="spellEnd"/>
      <w:r w:rsidRPr="006B1274">
        <w:rPr>
          <w:rFonts w:ascii="Times New Roman" w:hAnsi="Times New Roman" w:cs="Times New Roman"/>
          <w:color w:val="000000"/>
          <w:sz w:val="20"/>
          <w:szCs w:val="20"/>
        </w:rPr>
        <w:t xml:space="preserve"> que foi lançado em 2006.</w:t>
      </w:r>
    </w:p>
    <w:p w14:paraId="44A7B1D5"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705E10F1"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LEGISLAÇÃO </w:t>
      </w:r>
      <w:r w:rsidRPr="006B1274">
        <w:rPr>
          <w:rFonts w:ascii="Apple Color Emoji" w:hAnsi="Apple Color Emoji" w:cs="Apple Color Emoji"/>
          <w:color w:val="000000"/>
          <w:sz w:val="20"/>
          <w:szCs w:val="20"/>
        </w:rPr>
        <w:t>⚖️</w:t>
      </w:r>
    </w:p>
    <w:p w14:paraId="63BCE236" w14:textId="77777777" w:rsidR="001C11E3" w:rsidRPr="006B1274" w:rsidRDefault="001C11E3" w:rsidP="00A00B8D">
      <w:pPr>
        <w:spacing w:before="240" w:after="240" w:line="360" w:lineRule="auto"/>
        <w:ind w:left="2160"/>
        <w:jc w:val="both"/>
        <w:rPr>
          <w:rFonts w:ascii="Times New Roman" w:hAnsi="Times New Roman" w:cs="Times New Roman"/>
          <w:color w:val="000000"/>
          <w:sz w:val="20"/>
          <w:szCs w:val="20"/>
        </w:rPr>
      </w:pPr>
    </w:p>
    <w:p w14:paraId="7258E31D" w14:textId="2331AC37" w:rsidR="001C11E3" w:rsidRPr="006B1274" w:rsidRDefault="00576533" w:rsidP="00137F62">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Muitos países, individual ou conjuntamente, decretaram leis contra a discriminação etária, incluindo:</w:t>
      </w:r>
    </w:p>
    <w:p w14:paraId="570DD309"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Brasil</w:t>
      </w:r>
    </w:p>
    <w:p w14:paraId="052B4455" w14:textId="25978B8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Estatuto da Criança e do Adolescente: Lei que dispõe sobre a proteção à criança e ao adolescente</w:t>
      </w:r>
    </w:p>
    <w:p w14:paraId="7641476F" w14:textId="41D08486"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Estatuto do Idoso: Lei que busca assegurar os direitos dos maiores de 60 anos</w:t>
      </w:r>
    </w:p>
    <w:p w14:paraId="415E6A3B" w14:textId="77777777"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Estados Unidos da América</w:t>
      </w:r>
    </w:p>
    <w:p w14:paraId="4676E38D" w14:textId="7101B7BB" w:rsidR="001C11E3" w:rsidRPr="006B1274" w:rsidRDefault="00576533" w:rsidP="00A00B8D">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The Age </w:t>
      </w:r>
      <w:proofErr w:type="spellStart"/>
      <w:r w:rsidRPr="006B1274">
        <w:rPr>
          <w:rFonts w:ascii="Times New Roman" w:hAnsi="Times New Roman" w:cs="Times New Roman"/>
          <w:color w:val="000000"/>
          <w:sz w:val="20"/>
          <w:szCs w:val="20"/>
        </w:rPr>
        <w:t>Discrimination</w:t>
      </w:r>
      <w:proofErr w:type="spellEnd"/>
      <w:r w:rsidRPr="006B1274">
        <w:rPr>
          <w:rFonts w:ascii="Times New Roman" w:hAnsi="Times New Roman" w:cs="Times New Roman"/>
          <w:color w:val="000000"/>
          <w:sz w:val="20"/>
          <w:szCs w:val="20"/>
        </w:rPr>
        <w:t xml:space="preserve"> in </w:t>
      </w:r>
      <w:proofErr w:type="spellStart"/>
      <w:r w:rsidRPr="006B1274">
        <w:rPr>
          <w:rFonts w:ascii="Times New Roman" w:hAnsi="Times New Roman" w:cs="Times New Roman"/>
          <w:color w:val="000000"/>
          <w:sz w:val="20"/>
          <w:szCs w:val="20"/>
        </w:rPr>
        <w:t>Employment</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Act</w:t>
      </w:r>
      <w:proofErr w:type="spellEnd"/>
      <w:r w:rsidRPr="006B1274">
        <w:rPr>
          <w:rFonts w:ascii="Times New Roman" w:hAnsi="Times New Roman" w:cs="Times New Roman"/>
          <w:color w:val="000000"/>
          <w:sz w:val="20"/>
          <w:szCs w:val="20"/>
        </w:rPr>
        <w:t xml:space="preserve"> of 1967: Lei contra a discriminação de pessoas maiores de 40 anos pelas empresas (em inglês)</w:t>
      </w:r>
    </w:p>
    <w:p w14:paraId="588E2FEE" w14:textId="30BDE4B1" w:rsidR="00A05D36" w:rsidRDefault="00576533" w:rsidP="00137F62">
      <w:pPr>
        <w:spacing w:before="240" w:after="240" w:line="360" w:lineRule="auto"/>
        <w:ind w:left="2160"/>
        <w:jc w:val="both"/>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Mercosul</w:t>
      </w:r>
      <w:r w:rsidR="00137F62">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Saúde e Segurança do Trabalho no Âmbito do Mercosul</w:t>
      </w:r>
    </w:p>
    <w:p w14:paraId="6301A69D" w14:textId="28762C4C" w:rsidR="001C11E3" w:rsidRPr="006B1274" w:rsidRDefault="00576533" w:rsidP="00A05D36">
      <w:pPr>
        <w:spacing w:before="240" w:after="240" w:line="360" w:lineRule="auto"/>
        <w:ind w:left="792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Fonte: Wikipédia</w:t>
      </w:r>
    </w:p>
    <w:p w14:paraId="2D2526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053108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26B3C8"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78CBDE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Cuidados com a Saúde - Para todas as Idades</w:t>
      </w:r>
    </w:p>
    <w:p w14:paraId="402FC5A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BD72E8" w14:textId="750FF28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5EDD1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F851D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C872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Tríplice Viral, vacina contra o Sarampo, Rubéola e Caxumba está em período aberto de vacinação dado Censo Demográfico etário da população compreendida entre 30-35, os nascidos entre 1990-1995.</w:t>
      </w:r>
    </w:p>
    <w:p w14:paraId="74CF97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066E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cidade do Rio de Janeiro, em parceria à Prefeitura está com Campanhas Itinerantes pela Capital da cidade para vacinação contra o Sarampo. Mas fique atento, as vacinas para a faixa etária entre 30 e 59 anos são administradas em dose única. Consulte maiores informações no verso do seu Cartão de Vacinação ou juntamente aos Postos de Saúde e Clínicas da Família da sua região.</w:t>
      </w:r>
    </w:p>
    <w:p w14:paraId="20C1311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8552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Esta é uma Campanha do Governo Federal e a administração desta amostragem em específico é Direito de todo Cidadão por Programa de Saneamento Básico Populacional em compromisso público.</w:t>
      </w:r>
    </w:p>
    <w:p w14:paraId="4BB5A2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1AD9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Índices de evolução da Campanha de Vacinação Nacional contra Sarampo por Demografia etária da população de Geração Y e Z, ou os compreendidos entre 30-35 anos. Sintomas, rotina de administração e contra-indicação podem ser consultados na matéria completa.</w:t>
      </w:r>
    </w:p>
    <w:p w14:paraId="2B1ED4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C2E5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47DA69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1DD3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números de evolução conforme dados nacionais disponibilizados pelo Governo Federal:</w:t>
      </w:r>
    </w:p>
    <w:p w14:paraId="105A10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44B4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Contra o sarampo, Rio terá vacinação na Central do Brasil </w:t>
      </w:r>
    </w:p>
    <w:p w14:paraId="68D1C0D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Cidade não registrou casos, mas doença já reapareceu na Baixada</w:t>
      </w:r>
    </w:p>
    <w:p w14:paraId="51DF5E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272AA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Ao anunciar a vacinação em pontos de grande circulação, a prefeitura do Rio busca completar o esquema vacinal contra o sarampo para adultos de 18 a 59 anos que não estejam imunizados.</w:t>
      </w:r>
    </w:p>
    <w:p w14:paraId="569C290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DEBB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Completa disponível em:</w:t>
      </w:r>
    </w:p>
    <w:p w14:paraId="5ED1A6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agenciabrasilebc.com.br</w:t>
      </w:r>
    </w:p>
    <w:p w14:paraId="2BFC85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AD4335" w14:textId="02EE1AA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EF80B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CD40B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D6E1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Democracia significa pleno acesso a direitos essenciais. Atualmente mulheres em condições precárias de vida como a prostituição ou homens em regime criminal, usufruem de bens e serviços da população de forma muito mais fácil e menos burocrática com a proteção de Organizações Criminosas. Estes evoluíram, conseguiram bens como carro, apartamento e famílias com direitos mais sólidos e garantidos do que trabalhadores em serviço da nação, inclusive por facilitação digital e rede de influência organizacional tipicamente criminosa por serviços em Redes como o WhatsApp, Instagram e Facebook. Em que no Brasil, diferentemente, dos Países Desenvolvidos como EUA e Europa habilitados pelo âmbito digital por serviços </w:t>
      </w:r>
      <w:proofErr w:type="spellStart"/>
      <w:r w:rsidRPr="006B1274">
        <w:rPr>
          <w:rFonts w:ascii="Times New Roman" w:hAnsi="Times New Roman" w:cs="Times New Roman"/>
          <w:color w:val="000000"/>
          <w:sz w:val="20"/>
          <w:szCs w:val="20"/>
        </w:rPr>
        <w:t>e-commerce</w:t>
      </w:r>
      <w:proofErr w:type="spellEnd"/>
      <w:r w:rsidRPr="006B1274">
        <w:rPr>
          <w:rFonts w:ascii="Times New Roman" w:hAnsi="Times New Roman" w:cs="Times New Roman"/>
          <w:color w:val="000000"/>
          <w:sz w:val="20"/>
          <w:szCs w:val="20"/>
        </w:rPr>
        <w:t xml:space="preserve"> não são taxados em fonte de tributação.</w:t>
      </w:r>
    </w:p>
    <w:p w14:paraId="3785183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FF34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Atualmente com o E-Social todo brasileiro não apto com serviço remunerado por carteira de trabalho, tem muito mais enaltecimento em meio social graças ao carisma e o “jeitinho” Brasileiro típico do Brasil e mais além da Cidade do Rio de Janeiro, visto por esses criminosos como o Paraíso Fiscal, afinal todo mundo é “social” no Rio de Janeiro, do “MEI” da Igreja ao Pedinte do sinal.</w:t>
      </w:r>
    </w:p>
    <w:p w14:paraId="649A4EA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C757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Vamos em frente para um Brasil mais justo e acessível, me despeço de todos nesta sexta-feira pré final de semana com o vídeo da Ministra Ester </w:t>
      </w:r>
      <w:proofErr w:type="spellStart"/>
      <w:r w:rsidRPr="006B1274">
        <w:rPr>
          <w:rFonts w:ascii="Times New Roman" w:hAnsi="Times New Roman" w:cs="Times New Roman"/>
          <w:color w:val="000000"/>
          <w:sz w:val="20"/>
          <w:szCs w:val="20"/>
        </w:rPr>
        <w:t>Dweek</w:t>
      </w:r>
      <w:proofErr w:type="spellEnd"/>
      <w:r w:rsidRPr="006B1274">
        <w:rPr>
          <w:rFonts w:ascii="Times New Roman" w:hAnsi="Times New Roman" w:cs="Times New Roman"/>
          <w:color w:val="000000"/>
          <w:sz w:val="20"/>
          <w:szCs w:val="20"/>
        </w:rPr>
        <w:t>, de que a Constituição vem para reforçar os direitos dos cidadãos e não para prejudicar ainda mais a vida dos que trabalham e seguem vida dignamente por carreira profissional acadêmica, a internet tornou TUDO MAIS FÁCIL.</w:t>
      </w:r>
    </w:p>
    <w:p w14:paraId="106FAC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27848D" w14:textId="304CF13C"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00261285">
        <w:rPr>
          <w:rFonts w:ascii="Apple Color Emoji" w:hAnsi="Apple Color Emoji" w:cs="Apple Color Emoji"/>
          <w:color w:val="000000"/>
          <w:sz w:val="20"/>
          <w:szCs w:val="20"/>
        </w:rPr>
        <w:t xml:space="preserve"> </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3214E0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Equidade Digital x Educação Profissional</w:t>
      </w:r>
    </w:p>
    <w:p w14:paraId="65EDC3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8393F9" w14:textId="042FC4B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BD0AE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FD52F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7E6A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Pedagógico: Universidade Estácio de Sá</w:t>
      </w:r>
    </w:p>
    <w:p w14:paraId="3CBCCC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com Foco em Políticas Públicas.</w:t>
      </w:r>
    </w:p>
    <w:p w14:paraId="31F061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EAEEE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Estácio</w:t>
      </w:r>
    </w:p>
    <w:p w14:paraId="68DB50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409D0D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64150A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1631AF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0B2CB7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95 ANOS DE MINISTÉRIO DA EDUCAÇÃO </w:t>
      </w:r>
    </w:p>
    <w:p w14:paraId="4D987DD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1FDE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MEMÓRIAS - MÍDIAS E A CAPACIDADE DE ETERNIZAR MOMENTOS</w:t>
      </w:r>
    </w:p>
    <w:p w14:paraId="579916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F801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4 entre 10 mulheres não utilizam as Redes Sociais na atualidade.</w:t>
      </w:r>
    </w:p>
    <w:p w14:paraId="1369D9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D5A6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Nos últimos 10 anos, crescemos significativamente ao que compreendemos ser o ambiente digital e reflexo por mídias sociais como as Redes Sociais. Mas foi a partir da década de 90 que práticas de agenciamento publicitário ganharam força no País.</w:t>
      </w:r>
    </w:p>
    <w:p w14:paraId="456ECC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977D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Nesse contexto atividades profissionais desempenhadas exclusivamente por estudantes de Comunicação, passaram a ser “administradas” por organizações de Marketing Multinível configurando as atividades como perfil de vínculo empreendedor perdendo-se os vínculos empregatícios.</w:t>
      </w:r>
    </w:p>
    <w:p w14:paraId="3CC86C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E83F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resultado tem sido um avanço no ramo tecnológico satisfazendo a demanda de importação, com valor de mercado aquisitivo de smartphones em média de R$ 5.000,00 contra itens básicos da Cesta Básica com média de preço à R$ 8,00 o que garante uma cesta básica com média acima de R$ 500,00, ou seja, um equilíbrio entre o ramo tecnológico e alimentício. </w:t>
      </w:r>
    </w:p>
    <w:p w14:paraId="3BE8FA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D3C4F3" w14:textId="77777777" w:rsidR="00261285"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Obs</w:t>
      </w:r>
      <w:proofErr w:type="spellEnd"/>
      <w:r w:rsidRPr="006B1274">
        <w:rPr>
          <w:rFonts w:ascii="Times New Roman" w:hAnsi="Times New Roman" w:cs="Times New Roman"/>
          <w:color w:val="000000"/>
          <w:sz w:val="20"/>
          <w:szCs w:val="20"/>
        </w:rPr>
        <w:t>: R$ 1.000,00 em rendimentos líquidos em poupança, atualmente, não rendem R$ 8,00 ao mês, isto com índice da SELIC acima do Teto da inflação e altos juros. Dados reais com índices reais de conta-poupança básica.</w:t>
      </w:r>
    </w:p>
    <w:p w14:paraId="73E7A209" w14:textId="3937D42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Demonstrando perda de capital de trabalhadores e investidores, e alta circulação da moeda na mão de não contribuintes sonegadores de impostos.</w:t>
      </w:r>
    </w:p>
    <w:p w14:paraId="184025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F5724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Ou seja, ainda assim bem preocupante frente ao alto avanço do mercado industrial tecnológico e retração da taxa de qualificação à nível profissional da população. Expressando a Inteligência Artificial em substituição da mão-de-obra e perda de gestão administrativa social. Afinal qualquer um produz o conteúdo de forma não ética e responsável impactando em cadeia o fluxo administrativo, estatal, econômico, ético e social.</w:t>
      </w:r>
    </w:p>
    <w:p w14:paraId="362E99E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D26F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que não pode acontecer para uma frustração econômica e possível inflação, é a brusca queda de preços dos itens de agronegócios, com controle da Industria à preços populares favorecendo a importação. Na análise econômica, as atividades desempenhadas sem responsabilidade social, são o principal quesito para converter de forma clandestina as atividades profissionais.</w:t>
      </w:r>
    </w:p>
    <w:p w14:paraId="081A0E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BCA4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Ou seja, não estamos elegíveis a ser um país desenvolvido, afinal não são todos que possuem condições de transporte integráveis de circulação em território por demanda profissional em níveis médios de gasto por R$ 8,00 diário (ida e volta), indo mais além, manter-se com somente um único item de cesta básica à R$ 8,00 ao mês.</w:t>
      </w:r>
    </w:p>
    <w:p w14:paraId="61F202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6220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uso pessoal das redes, por brasileiros vêm crescendo em números alarmantes quanto atividades clandestinas como forma empreendedora e em violação à ética das Políticas de Uso das plataformas digitais. Prática esta iniciada inclusive pelo Facebook. Deixando de lado seu caráter comunicacional como retratação do cotidiano e compartilhamentos pessoais.</w:t>
      </w:r>
    </w:p>
    <w:p w14:paraId="7B81F6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DB23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WhatsApp para comunicação clandestina, Instagram com atividade de </w:t>
      </w:r>
      <w:proofErr w:type="spellStart"/>
      <w:r w:rsidRPr="006B1274">
        <w:rPr>
          <w:rFonts w:ascii="Times New Roman" w:hAnsi="Times New Roman" w:cs="Times New Roman"/>
          <w:color w:val="000000"/>
          <w:sz w:val="20"/>
          <w:szCs w:val="20"/>
        </w:rPr>
        <w:t>e-commerce</w:t>
      </w:r>
      <w:proofErr w:type="spellEnd"/>
      <w:r w:rsidRPr="006B1274">
        <w:rPr>
          <w:rFonts w:ascii="Times New Roman" w:hAnsi="Times New Roman" w:cs="Times New Roman"/>
          <w:color w:val="000000"/>
          <w:sz w:val="20"/>
          <w:szCs w:val="20"/>
        </w:rPr>
        <w:t xml:space="preserve"> não regularizada, tráfego pago com invasão e ataque ao direito do consumidor, entre outras atividades fruto de uma Publicidade não ética e em favor de organizações criminosas.</w:t>
      </w:r>
    </w:p>
    <w:p w14:paraId="48F7A26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1EAD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facilitação ao cartel das drogas, as práticas tem aumentado em números e casos de extermínio à vítimas pela troca informacional clandestina. Ou seja, quando um indivíduo conhecedor e com capacidade técnica científica profissional, se envolve em atividades clandestinas com a promessa de “trabalhar pouco e ganhar muito”. </w:t>
      </w:r>
    </w:p>
    <w:p w14:paraId="36F89D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C9F1BF" w14:textId="11C356A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Este é o aliciamento à jovens para engajamento em meio digital em favor do tráfico organizado gerenciado por organizações criminosas e a possibilidade de exploração intelectual na exportação  em tráfico de pessoas. </w:t>
      </w:r>
    </w:p>
    <w:p w14:paraId="304C22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D080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Jovens estudantes que embarcam no ramo do marketing multinível para ganho em moeda estrangeira e possibilidade de residência por intercâmbio em outros Países, sonegando impostos e aumentando a dívida pública do País com aquisição de bens e aumento dos serviços mascarando os cenários de pobreza e desigualdade social.</w:t>
      </w:r>
    </w:p>
    <w:p w14:paraId="20D2A9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B0E0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Este perfil de atividades ilícitas envolvem em sua maioria mulheres na faixa etária menores de 18 anos com perfis falsos em Redes Sociais, e em fase adulta dos 20 aos 24 anos, faixa etária exigida pelo mercado da moda.</w:t>
      </w:r>
    </w:p>
    <w:p w14:paraId="38AF5C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8F6C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movimento apresenta força mais expressiva no Continente Europeu, que permite conhecimento imersivo da arte como atrativo cultural. </w:t>
      </w:r>
    </w:p>
    <w:p w14:paraId="2B5140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3351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isso mais do que nunca a organização de grupos econômicos para controle de atividades e renovação de compromisso constante do intercâmbio de forma legal com políticas públicas gerenciadas e financiadas pela União Européia.</w:t>
      </w:r>
    </w:p>
    <w:p w14:paraId="36C6CF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1F078D" w14:textId="0554571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 detalhamento deste estudo apontou que do público inserido na internet 60% apresenta alguma atividade irregular às Políticas de Uso da ferramenta, tendo 40% do público não engajamento de propostas publicitárias apresentadas por influenciadores digitais e algum tipo de ligação à organizações criminosas, seja como </w:t>
      </w:r>
      <w:proofErr w:type="spellStart"/>
      <w:r w:rsidRPr="006B1274">
        <w:rPr>
          <w:rFonts w:ascii="Times New Roman" w:hAnsi="Times New Roman" w:cs="Times New Roman"/>
          <w:color w:val="000000"/>
          <w:sz w:val="20"/>
          <w:szCs w:val="20"/>
        </w:rPr>
        <w:t>e-commerce</w:t>
      </w:r>
      <w:proofErr w:type="spellEnd"/>
      <w:r w:rsidRPr="006B1274">
        <w:rPr>
          <w:rFonts w:ascii="Times New Roman" w:hAnsi="Times New Roman" w:cs="Times New Roman"/>
          <w:color w:val="000000"/>
          <w:sz w:val="20"/>
          <w:szCs w:val="20"/>
        </w:rPr>
        <w:t xml:space="preserve"> e serviços digitais ou ramo alimentício com venda de produtos. Sendo a responsabilidade da má publicidade de competência dos agenciadores e influenciadores digitais, ficando o público comprometido à nível social a um perfil anti-ético e em desfavor à conduta ética de práticas comerciais.</w:t>
      </w:r>
    </w:p>
    <w:p w14:paraId="35716D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7F30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Esta ingerência incorre no aumento da violência e a busca de chefes de tráfico organizado arquitetarem conflitos para avanço e controle territorial de outras regiões. Um dos maiores problemas de segurança pública. Problemas estes controlados e mediados por líderes comunitários, além de intervenção do Estado para segurança Nacional.</w:t>
      </w:r>
    </w:p>
    <w:p w14:paraId="396289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3E47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ONU além de prover as reuniões ministeriais dos Grupos econômicos como o BRICS e G20, tem aberto debates a sociedade civil para conscientizar o recolhimento tributário e para enfraquecer organizações criminosas e a gerência manipuladora de economia circular por milícias e Organizações Criminosas.</w:t>
      </w:r>
    </w:p>
    <w:p w14:paraId="343E695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5CD5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Texto autoral, não autorizado compartilhamento.</w:t>
      </w:r>
    </w:p>
    <w:p w14:paraId="597B2CF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BA4101" w14:textId="1501782C"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ESPECIAL COP 30</w:t>
      </w:r>
    </w:p>
    <w:p w14:paraId="32F71461" w14:textId="4FEEBE2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PROPOSTA RIO+20</w:t>
      </w:r>
    </w:p>
    <w:p w14:paraId="5DBF8436" w14:textId="26F897A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investe R$ 1,4 bi para trocar 450 mil lâmpadas da cidade e economizar R$ 120 milhões por ano nas contas de energia</w:t>
      </w:r>
    </w:p>
    <w:p w14:paraId="174006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Programa Luz Maravilha já substituiu quase 150 mil lâmpadas por LED em todos os bairros da cidade</w:t>
      </w:r>
    </w:p>
    <w:p w14:paraId="2444EA6A" w14:textId="29DE4AF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Giovanni Mourão</w:t>
      </w:r>
    </w:p>
    <w:p w14:paraId="23A48F51" w14:textId="34A3155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30/10/2021 - 08:19 / Atualizado em 30/10/2021 - 08:48</w:t>
      </w:r>
    </w:p>
    <w:p w14:paraId="7B1AD2F8" w14:textId="77777777" w:rsidR="001C11E3" w:rsidRPr="005D5810" w:rsidRDefault="00576533" w:rsidP="00B36B27">
      <w:pPr>
        <w:spacing w:before="240" w:after="240" w:line="360" w:lineRule="auto"/>
        <w:rPr>
          <w:rFonts w:ascii="Times New Roman" w:hAnsi="Times New Roman" w:cs="Times New Roman"/>
          <w:color w:val="000000"/>
          <w:sz w:val="20"/>
          <w:szCs w:val="20"/>
        </w:rPr>
      </w:pPr>
      <w:hyperlink r:id="rId14">
        <w:r w:rsidRPr="005D5810">
          <w:rPr>
            <w:rFonts w:ascii="Times New Roman" w:hAnsi="Times New Roman" w:cs="Times New Roman"/>
            <w:color w:val="000000"/>
            <w:sz w:val="20"/>
            <w:szCs w:val="20"/>
          </w:rPr>
          <w:t>https://oglobo.globo.com/rio/rio-investe-14-bi-para-trocar-450-mil-lampadas-da-cidade-economizar-120-milhoes-por-ano-nas-contas-de-energia-25257578?fbclid=IwZXh0bgNhZW0CMTEAAR0Fmwp3S7Mf-U_rZrIHHOIcxdV8kkg5-sLAvksEeGq1m7aJaYUZ9c9rTJg_aem_kheGa0Zcn69HMdDDXCkZeg</w:t>
        </w:r>
      </w:hyperlink>
    </w:p>
    <w:p w14:paraId="3BD05BD4" w14:textId="77777777" w:rsidR="000C788B" w:rsidRDefault="000C788B" w:rsidP="00B36B27">
      <w:pPr>
        <w:spacing w:before="240" w:after="240" w:line="360" w:lineRule="auto"/>
        <w:rPr>
          <w:rFonts w:ascii="Times New Roman" w:hAnsi="Times New Roman" w:cs="Times New Roman"/>
          <w:color w:val="000000"/>
          <w:sz w:val="20"/>
          <w:szCs w:val="20"/>
        </w:rPr>
      </w:pPr>
    </w:p>
    <w:p w14:paraId="36578A15" w14:textId="504A02FC"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ESPECIAL COP 30</w:t>
      </w:r>
    </w:p>
    <w:p w14:paraId="57590F2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 xml:space="preserve"> LET’S CHAT - PUBLICITÁRIA EXPLICA</w:t>
      </w:r>
    </w:p>
    <w:p w14:paraId="6DF07EC5" w14:textId="435FB8C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Proposta Executada: Ganho em Energia adia taxação </w:t>
      </w:r>
    </w:p>
    <w:p w14:paraId="3E3C3178" w14:textId="3C1CA1E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642A3A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58C4B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49A7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bandeira verde estendida após o verão, o Governo Federal efetuou cobertura de gastos de mais de 100% das despesas previstas à Concessionária de Energia ANEEL previstas em Orçamento, isto, diante da redução dos gastos em energia pelo projeto aderido de iluminação Pública com luzes de lâmpadas de Led, além de reservatórios de abastecimento de termo e hidroelétricas acima do previsto para o período.</w:t>
      </w:r>
    </w:p>
    <w:p w14:paraId="6EA323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830A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ações pareceram criar um alarde diante do setor econômico e sustentável que mantém críticas a outros Estados por especialistas do Setor visando a COP 30, que estão passando a adequar agora às vésperas da COP os Projetos Sustentáveis Sugeridos de Sustentabilidade em eficiência de Iluminação Pública por luzes de LED.</w:t>
      </w:r>
    </w:p>
    <w:p w14:paraId="552C08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48F7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Prefeitura do Rio de Janeiro, levou o Prêmio de Diamante em eficiência e transparência dos Serviços Públicos à população, demonstrando o bom serviço e engajamento da Prefeitura na Capital, que foi parcialmente afetada por desordeiros de outras regiões do Estado em “revolta” tardia de acontecimentos à longo prazo implementados em um Projeto em rotatividade desde 2016 no Rio de Janeiro, que passou a apresentar falhas pela “pressão” </w:t>
      </w:r>
      <w:proofErr w:type="spellStart"/>
      <w:r w:rsidRPr="006B1274">
        <w:rPr>
          <w:rFonts w:ascii="Times New Roman" w:hAnsi="Times New Roman" w:cs="Times New Roman"/>
          <w:color w:val="000000"/>
          <w:sz w:val="20"/>
          <w:szCs w:val="20"/>
        </w:rPr>
        <w:t>Bolsonarista</w:t>
      </w:r>
      <w:proofErr w:type="spellEnd"/>
      <w:r w:rsidRPr="006B1274">
        <w:rPr>
          <w:rFonts w:ascii="Times New Roman" w:hAnsi="Times New Roman" w:cs="Times New Roman"/>
          <w:color w:val="000000"/>
          <w:sz w:val="20"/>
          <w:szCs w:val="20"/>
        </w:rPr>
        <w:t xml:space="preserve"> que criou-se com polarizações políticas, após TODOS os cidadãos usufruirem dos Serviços em Alta durante Copa do Mundo e Olimpíadas. Como uma ressaca moral da falta econômica e despreparo dos cidadãos em assimilação ao contexto, as ações agora também continuam em transparência, mas restritas ao grupo seleto ligado ao Prefeito.</w:t>
      </w:r>
    </w:p>
    <w:p w14:paraId="2B48FA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D8F370" w14:textId="77777777" w:rsidR="002E5609"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Análise autoral, não autorizado o compartilhamento por terceiros. </w:t>
      </w:r>
    </w:p>
    <w:p w14:paraId="54AB1A5E" w14:textId="45F9164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os esclarecimentos prestados pela ANEEL e disponibilizados em site de Transparência Pública o Balanço Previsto para 2025 e índices satisfatórios de 2024:</w:t>
      </w:r>
    </w:p>
    <w:p w14:paraId="431F6FA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0A210C"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Aneel</w:t>
      </w:r>
      <w:proofErr w:type="spellEnd"/>
      <w:r w:rsidRPr="006B1274">
        <w:rPr>
          <w:rFonts w:ascii="Times New Roman" w:hAnsi="Times New Roman" w:cs="Times New Roman"/>
          <w:color w:val="000000"/>
          <w:sz w:val="20"/>
          <w:szCs w:val="20"/>
        </w:rPr>
        <w:t xml:space="preserve"> adia reajuste nas contas de luz da Light por divergência sobre redução nas tarifas</w:t>
      </w:r>
    </w:p>
    <w:p w14:paraId="27A28D9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1FD2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Empresa atende a clientes da Região Metropolitana do Rio, com exceção de Niterói</w:t>
      </w:r>
    </w:p>
    <w:p w14:paraId="39D9366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0909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Bruna Lessa — Brasília</w:t>
      </w:r>
    </w:p>
    <w:p w14:paraId="3EB2C6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11/03/2025 16h49  Atualizado há 2 semanas</w:t>
      </w:r>
    </w:p>
    <w:p w14:paraId="6B653A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753B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Agência Nacional de Energia Elétrica (</w:t>
      </w:r>
      <w:proofErr w:type="spellStart"/>
      <w:r w:rsidRPr="006B1274">
        <w:rPr>
          <w:rFonts w:ascii="Times New Roman" w:hAnsi="Times New Roman" w:cs="Times New Roman"/>
          <w:color w:val="000000"/>
          <w:sz w:val="20"/>
          <w:szCs w:val="20"/>
        </w:rPr>
        <w:t>Aneel</w:t>
      </w:r>
      <w:proofErr w:type="spellEnd"/>
      <w:r w:rsidRPr="006B1274">
        <w:rPr>
          <w:rFonts w:ascii="Times New Roman" w:hAnsi="Times New Roman" w:cs="Times New Roman"/>
          <w:color w:val="000000"/>
          <w:sz w:val="20"/>
          <w:szCs w:val="20"/>
        </w:rPr>
        <w:t>) adiou nesta terça-feira o reajuste nas contas de luz para os consumidores da Light por divergência entre os diretores sobre o percentual de queda das tarifas. A nova data da decisão não foi definida. A tarifa atual será mantida até que agência decida sobre o índice de correção de 2025.</w:t>
      </w:r>
    </w:p>
    <w:p w14:paraId="1D81C3D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41C9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diretores começaram a discutir o tema pela manhã. Inicialmente, o relator, diretor Fernando </w:t>
      </w:r>
      <w:proofErr w:type="spellStart"/>
      <w:r w:rsidRPr="006B1274">
        <w:rPr>
          <w:rFonts w:ascii="Times New Roman" w:hAnsi="Times New Roman" w:cs="Times New Roman"/>
          <w:color w:val="000000"/>
          <w:sz w:val="20"/>
          <w:szCs w:val="20"/>
        </w:rPr>
        <w:t>Mosna</w:t>
      </w:r>
      <w:proofErr w:type="spellEnd"/>
      <w:r w:rsidRPr="006B1274">
        <w:rPr>
          <w:rFonts w:ascii="Times New Roman" w:hAnsi="Times New Roman" w:cs="Times New Roman"/>
          <w:color w:val="000000"/>
          <w:sz w:val="20"/>
          <w:szCs w:val="20"/>
        </w:rPr>
        <w:t>, propôs uma queda de 2,35%, em média, para os clientes residenciais. Ele também sugeriu uma alta de 3,8% para as indústrias.</w:t>
      </w:r>
    </w:p>
    <w:p w14:paraId="74DFAD8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11D2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Porém, não houve consenso entre os demais diretores da agência. A divergência decorre de um pedido da empresa, revelado ontem pelo GLOBO, para adiar um mecanismo que poderia reduzir as tarifas de baixa tensão dos cariocas em 13% neste ano, segundo cálculos da agência reguladora. </w:t>
      </w:r>
    </w:p>
    <w:p w14:paraId="7AB95E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BB0746" w14:textId="77777777" w:rsidR="001627AD"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Mosna</w:t>
      </w:r>
      <w:proofErr w:type="spellEnd"/>
      <w:r w:rsidRPr="006B1274">
        <w:rPr>
          <w:rFonts w:ascii="Times New Roman" w:hAnsi="Times New Roman" w:cs="Times New Roman"/>
          <w:color w:val="000000"/>
          <w:sz w:val="20"/>
          <w:szCs w:val="20"/>
        </w:rPr>
        <w:t xml:space="preserve"> explicou que, apesar de uma redução maior ser vantajosa no momento, há uma previsão de aumento de 9,94% para 2026. Para evitar uma variação excessiva nas tarifas, ele sugeriu uma redução mais moderada neste ano, funcionando como uma margem de segurança para equilibrar o aumento esperado no ano seguinte. </w:t>
      </w:r>
    </w:p>
    <w:p w14:paraId="437FD789" w14:textId="1C2313C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Outros diretores da agência, como Agnes Costa e </w:t>
      </w:r>
      <w:proofErr w:type="spellStart"/>
      <w:r w:rsidRPr="006B1274">
        <w:rPr>
          <w:rFonts w:ascii="Times New Roman" w:hAnsi="Times New Roman" w:cs="Times New Roman"/>
          <w:color w:val="000000"/>
          <w:sz w:val="20"/>
          <w:szCs w:val="20"/>
        </w:rPr>
        <w:t>Ludimila</w:t>
      </w:r>
      <w:proofErr w:type="spellEnd"/>
      <w:r w:rsidRPr="006B1274">
        <w:rPr>
          <w:rFonts w:ascii="Times New Roman" w:hAnsi="Times New Roman" w:cs="Times New Roman"/>
          <w:color w:val="000000"/>
          <w:sz w:val="20"/>
          <w:szCs w:val="20"/>
        </w:rPr>
        <w:t xml:space="preserve"> Lima da Silva, discordaram de adiar esse benefício ao consumidor e sugeriram diferentes percentuais. No fim do dia, um pedido de vista do diretor Ricardo </w:t>
      </w:r>
      <w:proofErr w:type="spellStart"/>
      <w:r w:rsidRPr="006B1274">
        <w:rPr>
          <w:rFonts w:ascii="Times New Roman" w:hAnsi="Times New Roman" w:cs="Times New Roman"/>
          <w:color w:val="000000"/>
          <w:sz w:val="20"/>
          <w:szCs w:val="20"/>
        </w:rPr>
        <w:t>Tili</w:t>
      </w:r>
      <w:proofErr w:type="spellEnd"/>
      <w:r w:rsidRPr="006B1274">
        <w:rPr>
          <w:rFonts w:ascii="Times New Roman" w:hAnsi="Times New Roman" w:cs="Times New Roman"/>
          <w:color w:val="000000"/>
          <w:sz w:val="20"/>
          <w:szCs w:val="20"/>
        </w:rPr>
        <w:t xml:space="preserve">, porém, adiou a votação. </w:t>
      </w:r>
    </w:p>
    <w:p w14:paraId="1A7C7F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26F9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Fim de contrato</w:t>
      </w:r>
    </w:p>
    <w:p w14:paraId="334F9F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AC31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queda no preço viria do fim do contrato com a termelétrica Norte Fluminense, assinado em 2001 durante a crise do racionamento. Com o término do acordo, esse custo deixaria de ser repassado aos consumidores, gerando uma economia estimada em R$ 2 bilhões.</w:t>
      </w:r>
    </w:p>
    <w:p w14:paraId="38F5689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BAC4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 pedido enviado à </w:t>
      </w:r>
      <w:proofErr w:type="spellStart"/>
      <w:r w:rsidRPr="006B1274">
        <w:rPr>
          <w:rFonts w:ascii="Times New Roman" w:hAnsi="Times New Roman" w:cs="Times New Roman"/>
          <w:color w:val="000000"/>
          <w:sz w:val="20"/>
          <w:szCs w:val="20"/>
        </w:rPr>
        <w:t>Aneel</w:t>
      </w:r>
      <w:proofErr w:type="spellEnd"/>
      <w:r w:rsidRPr="006B1274">
        <w:rPr>
          <w:rFonts w:ascii="Times New Roman" w:hAnsi="Times New Roman" w:cs="Times New Roman"/>
          <w:color w:val="000000"/>
          <w:sz w:val="20"/>
          <w:szCs w:val="20"/>
        </w:rPr>
        <w:t>, a Light argumenta que a manutenção dos valores pagos pelos clientes ajudaria a reduzir incertezas no setor elétrico, incluindo a prorrogação de concessões e o impacto dos furtos de energia. Especialistas apontam que, na prática, essa decisão funciona como um empréstimo dos consumidores para a empresa, sem prazo definido de devolução.</w:t>
      </w:r>
    </w:p>
    <w:p w14:paraId="4D0778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AF81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Os consumidores não querem volatilidade tarifária para fins de organização financeira e planejamento de operações — disse Felipe Tenório, representante da Light. </w:t>
      </w:r>
    </w:p>
    <w:p w14:paraId="120B47A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C8F50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Paulo Steele, sócio administrador da TR Soluções, alerta que o adiamento de uma redução maior pode afetar a previsibilidade do setor elétrico. Ele questionou se, com a postergação da redução tarifária, o consumidor estaria, na prática, “emprestando dinheiro” à distribuidora, para cobrir custos futuros ou financiar investimentos ainda não realizados. </w:t>
      </w:r>
    </w:p>
    <w:p w14:paraId="196C4D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D3F6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O consumidor passaria a pagar por promessas de prestação de serviços que podem nunca se concretizar, e não mais pelo custo do serviço que efetivamente lhe foi prestado, tal qual é estabelecido nos procedimentos — pontuou.</w:t>
      </w:r>
    </w:p>
    <w:p w14:paraId="60AB7C0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C2EE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decisão sobre as contas de luz da Light é a primeira das grandes distribuidoras neste ano. A controladora da Light está em recuperação judicial. A empresa atende a Região Metropolitana do Rio, com exceção de Niterói.</w:t>
      </w:r>
    </w:p>
    <w:p w14:paraId="2A53777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1A29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reajuste ocorre todos os anos e repassa para os consumidores custos com compra e transmissão de energia, perdas de energia e inflação. No caso da Light, há um forte impacto dos furtos — os famosos gatos —, que em parte são coberto pelos demais consumidores. </w:t>
      </w:r>
    </w:p>
    <w:p w14:paraId="09B152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C3C0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Enel Rio</w:t>
      </w:r>
    </w:p>
    <w:p w14:paraId="5AB2146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C6DC55" w14:textId="6B212C0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Mais cedo, a </w:t>
      </w:r>
      <w:proofErr w:type="spellStart"/>
      <w:r w:rsidRPr="006B1274">
        <w:rPr>
          <w:rFonts w:ascii="Times New Roman" w:hAnsi="Times New Roman" w:cs="Times New Roman"/>
          <w:color w:val="000000"/>
          <w:sz w:val="20"/>
          <w:szCs w:val="20"/>
        </w:rPr>
        <w:t>Aneel</w:t>
      </w:r>
      <w:proofErr w:type="spellEnd"/>
      <w:r w:rsidRPr="006B1274">
        <w:rPr>
          <w:rFonts w:ascii="Times New Roman" w:hAnsi="Times New Roman" w:cs="Times New Roman"/>
          <w:color w:val="000000"/>
          <w:sz w:val="20"/>
          <w:szCs w:val="20"/>
        </w:rPr>
        <w:t xml:space="preserve"> havia aprovado um aumento de 1,31% nas contas de luz dos consumidores de baixa tensão (residenciais e rurais) atendidos pela Enel Rio. A medida passará a valer a partir do próximo </w:t>
      </w:r>
      <w:r w:rsidR="00D579E9" w:rsidRPr="006B1274">
        <w:rPr>
          <w:rFonts w:ascii="Times New Roman" w:hAnsi="Times New Roman" w:cs="Times New Roman"/>
          <w:color w:val="000000"/>
          <w:sz w:val="20"/>
          <w:szCs w:val="20"/>
        </w:rPr>
        <w:t>sá</w:t>
      </w:r>
      <w:r w:rsidRPr="006B1274">
        <w:rPr>
          <w:rFonts w:ascii="Times New Roman" w:hAnsi="Times New Roman" w:cs="Times New Roman"/>
          <w:color w:val="000000"/>
          <w:sz w:val="20"/>
          <w:szCs w:val="20"/>
        </w:rPr>
        <w:t>bado.</w:t>
      </w:r>
    </w:p>
    <w:p w14:paraId="73FFAC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os consumidores industriais, haverá uma queda de 3,35%.</w:t>
      </w:r>
    </w:p>
    <w:p w14:paraId="3281F6B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E398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Disponível em:</w:t>
      </w:r>
    </w:p>
    <w:p w14:paraId="3C6749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7F6299" w14:textId="77777777" w:rsidR="001C11E3" w:rsidRPr="0093017F" w:rsidRDefault="00576533" w:rsidP="00B36B27">
      <w:pPr>
        <w:spacing w:before="240" w:after="240" w:line="360" w:lineRule="auto"/>
        <w:rPr>
          <w:rFonts w:ascii="Times New Roman" w:hAnsi="Times New Roman" w:cs="Times New Roman"/>
          <w:color w:val="000000"/>
          <w:sz w:val="20"/>
          <w:szCs w:val="20"/>
        </w:rPr>
      </w:pPr>
      <w:hyperlink r:id="rId15">
        <w:r w:rsidRPr="0093017F">
          <w:rPr>
            <w:rFonts w:ascii="Times New Roman" w:hAnsi="Times New Roman" w:cs="Times New Roman"/>
            <w:color w:val="000000"/>
            <w:sz w:val="20"/>
            <w:szCs w:val="20"/>
          </w:rPr>
          <w:t>https://oglobo.globo.com/google/amp/economia/noticia/2025/03/11/aneel-adia-reajuste-nas-contas-de-luz-da-light-por-divergencia-sobre-reducao-nas-tarifas.ghtml</w:t>
        </w:r>
      </w:hyperlink>
    </w:p>
    <w:p w14:paraId="6EF676A0" w14:textId="77777777" w:rsidR="001C11E3" w:rsidRDefault="001C11E3" w:rsidP="00B36B27">
      <w:pPr>
        <w:spacing w:before="240" w:after="240" w:line="360" w:lineRule="auto"/>
        <w:rPr>
          <w:rFonts w:ascii="Times New Roman" w:hAnsi="Times New Roman" w:cs="Times New Roman"/>
          <w:color w:val="000000"/>
          <w:sz w:val="20"/>
          <w:szCs w:val="20"/>
        </w:rPr>
      </w:pPr>
    </w:p>
    <w:p w14:paraId="4D4963CB" w14:textId="77777777" w:rsidR="0093017F" w:rsidRDefault="0093017F" w:rsidP="00B36B27">
      <w:pPr>
        <w:spacing w:before="240" w:after="240" w:line="360" w:lineRule="auto"/>
        <w:rPr>
          <w:rFonts w:ascii="Times New Roman" w:hAnsi="Times New Roman" w:cs="Times New Roman"/>
          <w:color w:val="000000"/>
          <w:sz w:val="20"/>
          <w:szCs w:val="20"/>
        </w:rPr>
      </w:pPr>
    </w:p>
    <w:p w14:paraId="1E4C7999" w14:textId="77777777" w:rsidR="0093017F" w:rsidRPr="006B1274" w:rsidRDefault="0093017F" w:rsidP="00B36B27">
      <w:pPr>
        <w:spacing w:before="240" w:after="240" w:line="360" w:lineRule="auto"/>
        <w:rPr>
          <w:rFonts w:ascii="Times New Roman" w:hAnsi="Times New Roman" w:cs="Times New Roman"/>
          <w:color w:val="000000"/>
          <w:sz w:val="20"/>
          <w:szCs w:val="20"/>
        </w:rPr>
      </w:pPr>
    </w:p>
    <w:p w14:paraId="0031B95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9ED5C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POD SÉRIES</w:t>
      </w:r>
    </w:p>
    <w:p w14:paraId="7E7D0BF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 xml:space="preserve"> LET’S CHAT - PUBLICITÁRIA EXPLICA</w:t>
      </w:r>
    </w:p>
    <w:p w14:paraId="1E40D9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Políticas Públicas em Século XXI</w:t>
      </w:r>
    </w:p>
    <w:p w14:paraId="38E6EB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Democracia da Informação e os reflexos sociais em instrumentalização e conectividade ao Digital.</w:t>
      </w:r>
    </w:p>
    <w:p w14:paraId="0DF617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EB98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4D5057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3391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Art. 220 (CF/1988)</w:t>
      </w:r>
    </w:p>
    <w:p w14:paraId="3B4F8D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E19343" w14:textId="1E77B46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69DB76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234F0B4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708D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04 de Abril de 2025.</w:t>
      </w:r>
    </w:p>
    <w:p w14:paraId="3AEB27A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5E3F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publicidade condena todo ato ilegal, amoral e ilícito que violem Constitucionalmente as Leis do Estado da República Federativa do Brasil. Sendo o papel ético da comunicação manter a classificação etária e aconselhativa para cada público, ainda que em seus direitos de obras expressivas e literárias do mínimo entendimento de bom-senso da difusão de propagação da mensagem e interpessoalidade moral de conduta cívica acerca da integridade e respeitabilidade do indivíduo.</w:t>
      </w:r>
    </w:p>
    <w:p w14:paraId="3CBE17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AAD8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Putada pelos Artigos 32 ao 38 da Constituição Federal da República Federativa do Brasil e seu DECRETO LEGISLATIVO n° 186/2008 de Acordos Internacionais Cooperacionais.</w:t>
      </w:r>
    </w:p>
    <w:p w14:paraId="2C36971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5036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Nota: Podcast completo disponível 24 Horas nos Stories, ou fragmentado em 7 partes na aba de vídeos com o tema “ESPECIAL COP 30”. Tema para buscas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Art. 220”.</w:t>
      </w:r>
    </w:p>
    <w:p w14:paraId="3148068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300339" w14:textId="2F23728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#ParaTodosVerem Ouça o Podcast dividido em introdução e 6 partes de conteúdo informacional do processo de educação digital em conscientização e propagação de mensagens sócio</w:t>
      </w:r>
      <w:r w:rsidR="00414AED"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ambientais. As Plataformas Digitais, atualmente, utilizadas como canais de informação e acesso à conteúdo democrático de direito do cidadão, estão sendo atacadas por conteúdos apelativos, fora do uso padrão da norma culta, além de ampla informalidade comunicacional. Fruto dos reflexos sociais de interpessoalidade entre classes e racismo estrutural na condução do processo de comunicação. Com a ação de Comunicação e Estratégias de Políticas Públicas sendo geridas em forma de comissionamento por qualquer área de conhecimento profissional, apesar do ótimo plano estrutural criado, o processo cognitivo de interação em aplicação de Políticas Públicas da Gestão de Governança, vem moldando comportamentalmente negativamente a sociedade com excesso de conteúdo muitas vezes ético, mas não transparente na intenção das mensagens. Além de uso de informações de dados captados indevidamente dos usuários das plataformas para retroalimentação algorítmica. Transparecendo um processo não ético na divulgação de mensagens de interesse público e prejuízo aos profissionais com experiência e atuação na área de Políticas Pública.</w:t>
      </w:r>
    </w:p>
    <w:p w14:paraId="53F87D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FEB7A6" w14:textId="3160AC6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0CD852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w:t>
      </w:r>
    </w:p>
    <w:p w14:paraId="61E26B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429CE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b/>
          <w:bCs/>
          <w:color w:val="000000"/>
          <w:sz w:val="20"/>
          <w:szCs w:val="20"/>
        </w:rPr>
        <w:t>LET’S CHAT - PUBLICITÁRIA EXPLICA</w:t>
      </w:r>
    </w:p>
    <w:p w14:paraId="048B66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Aperfeiçoar o que existe é mera cópia replicada</w:t>
      </w:r>
    </w:p>
    <w:p w14:paraId="72EFAD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Lapa: Do Aqueduto às Veias da Boemia</w:t>
      </w:r>
    </w:p>
    <w:p w14:paraId="6FE99E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 30</w:t>
      </w:r>
    </w:p>
    <w:p w14:paraId="7083C8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AB5E67" w14:textId="41D3F68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6B5140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2718D9D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6ADE5B"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Parque Nacional da Tijuca</w:t>
      </w:r>
    </w:p>
    <w:p w14:paraId="41E1388D"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Floresta Amazônica</w:t>
      </w:r>
    </w:p>
    <w:p w14:paraId="78435DD9"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Floresta da Tijuca</w:t>
      </w:r>
    </w:p>
    <w:p w14:paraId="4B744BDC"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Mata Atlântica</w:t>
      </w:r>
    </w:p>
    <w:p w14:paraId="478F24B1"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597F781C"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A História da Colonização Brasileira, conta não somente dos tristes traços de exploração territorial para abastecimento da população européia, mas do processo de educação como a troca de conhecimento e miscigenação entre raças para evolução de gerações em respeito a suas individualidades e perpetuação do Planeta, preservando Direitos Humanos, Sustentabilidade e Justiça Social.</w:t>
      </w:r>
    </w:p>
    <w:p w14:paraId="0A2FB3E6"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63153D58"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Considerado Patrimônio Mundial pela UNESCO, a cidade do Rio de Janeiro é considerada o maior Patrimônio Urbanístico Natural do Mundo. Com marco de conjunto arqueológico rochoso a Pedra da Gávea o maior conjunto rochoso à Nível do Mar no Parque Nacional da Tijuca perde em limites geográficos apenas para o Parque Estadual da Cantareira e o Parque Estadual da Pedra Branca.</w:t>
      </w:r>
    </w:p>
    <w:p w14:paraId="40DF3B0D"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4EE932A5"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Hoje vou trazer a viagem à Paraty, oportunidade que pude registrar em fotografia a Cachoeira da Pedra Branca, uma das quedas componentes das Cataratas do Iguaçu e local desde era Colonial considerado uma das maiores fontes de água da terra.</w:t>
      </w:r>
    </w:p>
    <w:p w14:paraId="6348C45F"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79A267F2"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O Parque Estadual da Pedra Branca é o maior Conjunto Natural em preservação da biodiversidade da Mata Atlântica em perímetro urbano no Mundo. Com 12.500 hectares de extensão e 1.025 metros de altitude, a maior do Estado. O Parque Estadual da Pedra Branca, maior em limites territoriais, faz parte da Floresta da Tijuca, ligada à Baía de Guanabara e deságüe em oceano Atlântico traçando rota de biodiversidade marítima do ecossistema da Floresta Amazônica em biosfera de Mata Atlântica, bioma predominante na América do Sul.</w:t>
      </w:r>
    </w:p>
    <w:p w14:paraId="667A9D48"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08F0C26E"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O local fica atrás somente em altura do ponto mais alta à nível do mar, sendo a Pedra da Gávea, uma das maiores elevações rochosas da cidade e o maior bloco de pedra a beira mar do planeta, com 842 metros de altitude.</w:t>
      </w:r>
    </w:p>
    <w:p w14:paraId="175F9F53"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4A6FF0D1"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A cidade de Paraty conta com uma vasta preservação documental material e imaterial do período de Colonização Brasileira, e vestígios da história da humanidade nos anos 1.000, quando se especulava a vida humana de índios no local e posteriormente documentadas pela descoberta Territorial do Brasil por Colonos Portugueses, fazendo da cidade de Paraty, Porto de rota marítima à Europa pela Baía do Rio de Janeiro à Portugal. Principal rota para mar aberto em Oceano Atlântico.</w:t>
      </w:r>
    </w:p>
    <w:p w14:paraId="43766E92"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317CBF6A"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A História da Humanidade, e principalmente, do Brasil, é preservada por documentos históricos de vestígios sustentáveis por hábitos indígenas aperfeiçoados por engenharia militar européia. Por isto há a preservação de Paraty como Patrimônio Mundial, para conter avanços industriais e garantir preservação da Terra em seus recursos naturais e balanceamento do ecossistema, freando exploração industrial e devastação ambiental.</w:t>
      </w:r>
    </w:p>
    <w:p w14:paraId="19C82053"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2D8CC953"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 xml:space="preserve">Confira abaixo informações detalhadas de Paraty e o maior </w:t>
      </w:r>
      <w:proofErr w:type="spellStart"/>
      <w:r w:rsidRPr="005900F8">
        <w:rPr>
          <w:rFonts w:ascii="Times New Roman" w:hAnsi="Times New Roman" w:cs="Times New Roman"/>
          <w:color w:val="000000"/>
        </w:rPr>
        <w:t>hectar</w:t>
      </w:r>
      <w:proofErr w:type="spellEnd"/>
      <w:r w:rsidRPr="005900F8">
        <w:rPr>
          <w:rFonts w:ascii="Times New Roman" w:hAnsi="Times New Roman" w:cs="Times New Roman"/>
          <w:color w:val="000000"/>
        </w:rPr>
        <w:t xml:space="preserve"> do Brasil de Mata Atlântica, o Parque Estadual da Pedra Branca:</w:t>
      </w:r>
    </w:p>
    <w:p w14:paraId="0D143F56"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5CCE72F9"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Apple Color Emoji" w:hAnsi="Apple Color Emoji" w:cs="Apple Color Emoji"/>
          <w:color w:val="000000"/>
        </w:rPr>
        <w:t>🌳</w:t>
      </w:r>
      <w:r w:rsidRPr="005900F8">
        <w:rPr>
          <w:rFonts w:ascii="Times New Roman" w:hAnsi="Times New Roman" w:cs="Times New Roman"/>
          <w:color w:val="000000"/>
        </w:rPr>
        <w:t xml:space="preserve"> O Parque Estadual da Pedra Branca é uma unidade de conservação ambiental situada na Zona Oeste do município do Rio de Janeiro, no Brasil. Foi instituído em 1974 pela Lei Estadual N° 2.377 de 28 de junho de 1974. É considerado uma das maiores florestas urbanas do mundo, com aproximadamente 12.400 hectares de extensão.</w:t>
      </w:r>
    </w:p>
    <w:p w14:paraId="771DA527"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4755BC2F" w14:textId="5E2A28D0"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O Pico da Pedra Branca, com 1 025 metros de altitude, é o ponto culminante da Cidade do Rio de Janeiro, Zona Oeste da Cidade, localiza-se na divisa entre os bairros de Jacarepaguá e Campo Grande, podendo ser avistado de alguns locais dos bairros</w:t>
      </w:r>
      <w:r w:rsidR="00970CF9" w:rsidRPr="005900F8">
        <w:rPr>
          <w:rFonts w:ascii="Times New Roman" w:hAnsi="Times New Roman" w:cs="Times New Roman"/>
          <w:color w:val="000000"/>
        </w:rPr>
        <w:t xml:space="preserve"> </w:t>
      </w:r>
      <w:r w:rsidRPr="005900F8">
        <w:rPr>
          <w:rFonts w:ascii="Times New Roman" w:hAnsi="Times New Roman" w:cs="Times New Roman"/>
          <w:color w:val="000000"/>
        </w:rPr>
        <w:t xml:space="preserve">de </w:t>
      </w:r>
      <w:proofErr w:type="spellStart"/>
      <w:r w:rsidRPr="005900F8">
        <w:rPr>
          <w:rFonts w:ascii="Times New Roman" w:hAnsi="Times New Roman" w:cs="Times New Roman"/>
          <w:color w:val="000000"/>
        </w:rPr>
        <w:t>Bangu</w:t>
      </w:r>
      <w:proofErr w:type="spellEnd"/>
      <w:r w:rsidRPr="005900F8">
        <w:rPr>
          <w:rFonts w:ascii="Times New Roman" w:hAnsi="Times New Roman" w:cs="Times New Roman"/>
          <w:color w:val="000000"/>
        </w:rPr>
        <w:t>, Campo Grande e da Baixada de Jacarepaguá. A sua constituição rochosa e composta de granitos de coloração rosa a clara (</w:t>
      </w:r>
      <w:proofErr w:type="spellStart"/>
      <w:r w:rsidRPr="005900F8">
        <w:rPr>
          <w:rFonts w:ascii="Times New Roman" w:hAnsi="Times New Roman" w:cs="Times New Roman"/>
          <w:color w:val="000000"/>
        </w:rPr>
        <w:t>leuco-granito</w:t>
      </w:r>
      <w:proofErr w:type="spellEnd"/>
      <w:r w:rsidRPr="005900F8">
        <w:rPr>
          <w:rFonts w:ascii="Times New Roman" w:hAnsi="Times New Roman" w:cs="Times New Roman"/>
          <w:color w:val="000000"/>
        </w:rPr>
        <w:t>) – daí o nome "Pedra Branca". O pico é um dos pontos mais isolados da cidade, devido às poucas trilhas existentes e com poucas vias pavimentadas que dão acesso ao sopé do pico. A principal via de acesso é pela sede do núcleo Pau da Fome em Jacarepaguá e por Campo Grande(núcleo Rio da Prata).</w:t>
      </w:r>
    </w:p>
    <w:p w14:paraId="3F212A05"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7655DE93"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 xml:space="preserve">Dentro do parque no núcleo Pau da Fome existe um complexo de vias para escalar onde a Pedra </w:t>
      </w:r>
      <w:proofErr w:type="spellStart"/>
      <w:r w:rsidRPr="005900F8">
        <w:rPr>
          <w:rFonts w:ascii="Times New Roman" w:hAnsi="Times New Roman" w:cs="Times New Roman"/>
          <w:color w:val="000000"/>
        </w:rPr>
        <w:t>Hime</w:t>
      </w:r>
      <w:proofErr w:type="spellEnd"/>
      <w:r w:rsidRPr="005900F8">
        <w:rPr>
          <w:rFonts w:ascii="Times New Roman" w:hAnsi="Times New Roman" w:cs="Times New Roman"/>
          <w:color w:val="000000"/>
        </w:rPr>
        <w:t xml:space="preserve"> (356 metros de altitude), também conhecida como "Pedra do Canino", se destaca com vias de escalada com diversos graus de dificuldade.</w:t>
      </w:r>
    </w:p>
    <w:p w14:paraId="5748A8A9"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197B2D98"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 xml:space="preserve">O parque é encoberto por vegetação típica da Mata Atlântica (cedros, jacarandás, </w:t>
      </w:r>
      <w:proofErr w:type="spellStart"/>
      <w:r w:rsidRPr="005900F8">
        <w:rPr>
          <w:rFonts w:ascii="Times New Roman" w:hAnsi="Times New Roman" w:cs="Times New Roman"/>
          <w:color w:val="000000"/>
        </w:rPr>
        <w:t>jequitibás</w:t>
      </w:r>
      <w:proofErr w:type="spellEnd"/>
      <w:r w:rsidRPr="005900F8">
        <w:rPr>
          <w:rFonts w:ascii="Times New Roman" w:hAnsi="Times New Roman" w:cs="Times New Roman"/>
          <w:color w:val="000000"/>
        </w:rPr>
        <w:t xml:space="preserve"> e ipês), a qual serve de abrigo a uma generosa fauna composta por Onça Parda, jaguatiricas, preguiças-de-coleira, tamanduás-mirins, pacas, tatus, teiús, cuandus, tucanos, jacus e cutias. Além do variado patrimônio natural, dispõe de algumas construções de interesse cultural, como um antigos aquedutos, represas, ruínas de sedes de antigas fazendas e pórtico. Nas cercanias do Núcleo Pau da Fome encontra-se o Museu Bispo do Rosário Arte Contemporânea, na Colônia Juliano Moreira e no Núcleo Piraquara no bairro do Realengo encontra-se a casa da antiga sede da Fazenda Piraquara datada do Século XVIII e o Aqueduto Veiga Brito da década de 1960, que ainda abastece grande parte da Cidade do Rio.</w:t>
      </w:r>
    </w:p>
    <w:p w14:paraId="2590DDA9"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41947423"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Apple Color Emoji" w:hAnsi="Apple Color Emoji" w:cs="Apple Color Emoji"/>
          <w:color w:val="000000"/>
        </w:rPr>
        <w:t>🏛️</w:t>
      </w:r>
      <w:r w:rsidRPr="005900F8">
        <w:rPr>
          <w:rFonts w:ascii="Times New Roman" w:hAnsi="Times New Roman" w:cs="Times New Roman"/>
          <w:color w:val="000000"/>
        </w:rPr>
        <w:t>Aqueduto é um canal ou galeria, subterrâneo ou à superfície, e construído com a finalidade de conduzir a água. Os aquedutos são normalmente edificados sobre arcadas ou sob plataformas de vias de comunicação.</w:t>
      </w:r>
    </w:p>
    <w:p w14:paraId="77383116"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41C0190B"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Nos prédios mais antigos, o escoamento não era geralmente com superfície livre, apresentando sempre uma inclinação mínima para que a água pudesse correr, e eram edificados em alvenaria. O atravessamento de vales importantes era feito sobre estruturas em arcaria.</w:t>
      </w:r>
    </w:p>
    <w:p w14:paraId="018DA52C"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32064B39"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Nos aquedutos modernos, o escoamento é sob pressão, contando com tubos metálicos ou em betão e bombas motorizadas para elevar a coluna de água. Os aquedutos modernos são geralmente subterrâneos.</w:t>
      </w:r>
    </w:p>
    <w:p w14:paraId="36809310" w14:textId="77777777" w:rsidR="001C11E3" w:rsidRPr="005900F8" w:rsidRDefault="001C11E3" w:rsidP="007D7BE8">
      <w:pPr>
        <w:spacing w:before="240" w:after="240" w:line="360" w:lineRule="auto"/>
        <w:ind w:left="2160"/>
        <w:jc w:val="both"/>
        <w:rPr>
          <w:rFonts w:ascii="Times New Roman" w:hAnsi="Times New Roman" w:cs="Times New Roman"/>
          <w:color w:val="000000"/>
        </w:rPr>
      </w:pPr>
    </w:p>
    <w:p w14:paraId="7D96AB7B" w14:textId="77777777" w:rsidR="001C11E3" w:rsidRPr="005900F8" w:rsidRDefault="00576533" w:rsidP="007D7BE8">
      <w:pPr>
        <w:spacing w:before="240" w:after="240" w:line="360" w:lineRule="auto"/>
        <w:ind w:left="2160"/>
        <w:jc w:val="both"/>
        <w:rPr>
          <w:rFonts w:ascii="Times New Roman" w:hAnsi="Times New Roman" w:cs="Times New Roman"/>
          <w:color w:val="000000"/>
        </w:rPr>
      </w:pPr>
      <w:r w:rsidRPr="005900F8">
        <w:rPr>
          <w:rFonts w:ascii="Times New Roman" w:hAnsi="Times New Roman" w:cs="Times New Roman"/>
          <w:color w:val="000000"/>
        </w:rPr>
        <w:t>Na antiguidade, quase todas as civilizações construíram aquedutos, como por exemplo a China, a Caldeia, a Assíria, a Fenícia, a Grécia e Roma.</w:t>
      </w:r>
    </w:p>
    <w:p w14:paraId="183D8E0A"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0C7ECEF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Foi com a civilização romana que os aquedutos tiveram um desenvolvimento extraordinário. A cidade de Roma, no século III era abastecida por catorze aquedutos, o maior deles com 93 km de extensão.</w:t>
      </w:r>
    </w:p>
    <w:p w14:paraId="77D63EC1"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132635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Na arquitetura, um pórtico é o local coberto à entrada de um edifício, de um templo ou de um palácio. Pode se estender ao longo de uma colunata, com uma estrutura cobrindo uma passarela elevada por colunas ou fechada por paredes. A ideia apareceu na Grécia antiga e influenciou diversas culturas, incluindo a maioria das ocidentais. O pórtico tem, geralmente, dimensões menores que um portal.</w:t>
      </w:r>
    </w:p>
    <w:p w14:paraId="3519790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2D45414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Alguns exemplos famosos de pórticos são o Pórtico Leste do Capitólio dos Estados Unidos, e o pórtico que adorna o Panteão, em Roma.</w:t>
      </w:r>
    </w:p>
    <w:p w14:paraId="54E6606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cidade de Bolonha, na Itália, é muito famosa por seus pórticos. No total, existem lá mais de 45 quilômetros de arcadas, 38 só no centro da cidade. O pórtico mais comprido do mundo, com cerca de 3,5 km, vai dos limites da cidade até o Santuário da Madonna de San Luca.</w:t>
      </w:r>
    </w:p>
    <w:p w14:paraId="250CB21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31A284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O </w:t>
      </w:r>
      <w:proofErr w:type="spellStart"/>
      <w:r w:rsidRPr="00D45DAE">
        <w:rPr>
          <w:rFonts w:ascii="Times New Roman" w:hAnsi="Times New Roman" w:cs="Times New Roman"/>
          <w:color w:val="000000"/>
        </w:rPr>
        <w:t>pronau</w:t>
      </w:r>
      <w:proofErr w:type="spellEnd"/>
      <w:r w:rsidRPr="00D45DAE">
        <w:rPr>
          <w:rFonts w:ascii="Times New Roman" w:hAnsi="Times New Roman" w:cs="Times New Roman"/>
          <w:color w:val="000000"/>
        </w:rPr>
        <w:t xml:space="preserve"> é a área interna de um pórtico em um templo grego ou romano, situado entre a colunata ou as paredes do pórtico e a entrada da cela, ou santuário. Os templos romanos costumavam ter um </w:t>
      </w:r>
      <w:proofErr w:type="spellStart"/>
      <w:r w:rsidRPr="00D45DAE">
        <w:rPr>
          <w:rFonts w:ascii="Times New Roman" w:hAnsi="Times New Roman" w:cs="Times New Roman"/>
          <w:color w:val="000000"/>
        </w:rPr>
        <w:t>pronau</w:t>
      </w:r>
      <w:proofErr w:type="spellEnd"/>
      <w:r w:rsidRPr="00D45DAE">
        <w:rPr>
          <w:rFonts w:ascii="Times New Roman" w:hAnsi="Times New Roman" w:cs="Times New Roman"/>
          <w:color w:val="000000"/>
        </w:rPr>
        <w:t xml:space="preserve"> aberto, quase sempre somente com colunas e sem paredes, e este </w:t>
      </w:r>
      <w:proofErr w:type="spellStart"/>
      <w:r w:rsidRPr="00D45DAE">
        <w:rPr>
          <w:rFonts w:ascii="Times New Roman" w:hAnsi="Times New Roman" w:cs="Times New Roman"/>
          <w:color w:val="000000"/>
        </w:rPr>
        <w:t>pronau</w:t>
      </w:r>
      <w:proofErr w:type="spellEnd"/>
      <w:r w:rsidRPr="00D45DAE">
        <w:rPr>
          <w:rFonts w:ascii="Times New Roman" w:hAnsi="Times New Roman" w:cs="Times New Roman"/>
          <w:color w:val="000000"/>
        </w:rPr>
        <w:t xml:space="preserve"> podia ser tão longo quanto a cela. A palavra </w:t>
      </w:r>
      <w:proofErr w:type="spellStart"/>
      <w:r w:rsidRPr="00D45DAE">
        <w:rPr>
          <w:rFonts w:ascii="Times New Roman" w:hAnsi="Times New Roman" w:cs="Times New Roman"/>
          <w:color w:val="000000"/>
        </w:rPr>
        <w:t>pronau</w:t>
      </w:r>
      <w:proofErr w:type="spellEnd"/>
      <w:r w:rsidRPr="00D45DAE">
        <w:rPr>
          <w:rFonts w:ascii="Times New Roman" w:hAnsi="Times New Roman" w:cs="Times New Roman"/>
          <w:color w:val="000000"/>
        </w:rPr>
        <w:t xml:space="preserve"> significa "diante do templo" (nau). Em latim o </w:t>
      </w:r>
      <w:proofErr w:type="spellStart"/>
      <w:r w:rsidRPr="00D45DAE">
        <w:rPr>
          <w:rFonts w:ascii="Times New Roman" w:hAnsi="Times New Roman" w:cs="Times New Roman"/>
          <w:color w:val="000000"/>
        </w:rPr>
        <w:t>pronau</w:t>
      </w:r>
      <w:proofErr w:type="spellEnd"/>
      <w:r w:rsidRPr="00D45DAE">
        <w:rPr>
          <w:rFonts w:ascii="Times New Roman" w:hAnsi="Times New Roman" w:cs="Times New Roman"/>
          <w:color w:val="000000"/>
        </w:rPr>
        <w:t xml:space="preserve"> podia ser chamado de </w:t>
      </w:r>
      <w:proofErr w:type="spellStart"/>
      <w:r w:rsidRPr="00D45DAE">
        <w:rPr>
          <w:rFonts w:ascii="Times New Roman" w:hAnsi="Times New Roman" w:cs="Times New Roman"/>
          <w:color w:val="000000"/>
        </w:rPr>
        <w:t>ântico</w:t>
      </w:r>
      <w:proofErr w:type="spellEnd"/>
      <w:r w:rsidRPr="00D45DAE">
        <w:rPr>
          <w:rFonts w:ascii="Times New Roman" w:hAnsi="Times New Roman" w:cs="Times New Roman"/>
          <w:color w:val="000000"/>
        </w:rPr>
        <w:t xml:space="preserve"> ou </w:t>
      </w:r>
      <w:proofErr w:type="spellStart"/>
      <w:r w:rsidRPr="00D45DAE">
        <w:rPr>
          <w:rFonts w:ascii="Times New Roman" w:hAnsi="Times New Roman" w:cs="Times New Roman"/>
          <w:color w:val="000000"/>
        </w:rPr>
        <w:t>prodomo</w:t>
      </w:r>
      <w:proofErr w:type="spellEnd"/>
      <w:r w:rsidRPr="00D45DAE">
        <w:rPr>
          <w:rFonts w:ascii="Times New Roman" w:hAnsi="Times New Roman" w:cs="Times New Roman"/>
          <w:color w:val="000000"/>
        </w:rPr>
        <w:t>.</w:t>
      </w:r>
    </w:p>
    <w:p w14:paraId="4D87FD8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516779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Os diversos tipos de pórtico recebem os respectivos nomes de acordo com o número de colunas que elas possuem.</w:t>
      </w:r>
    </w:p>
    <w:p w14:paraId="79F5C6B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64D67BC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Tetrastilo</w:t>
      </w:r>
      <w:proofErr w:type="spellEnd"/>
    </w:p>
    <w:p w14:paraId="13568A63"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A07A152"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O </w:t>
      </w:r>
      <w:proofErr w:type="spellStart"/>
      <w:r w:rsidRPr="00D45DAE">
        <w:rPr>
          <w:rFonts w:ascii="Times New Roman" w:hAnsi="Times New Roman" w:cs="Times New Roman"/>
          <w:color w:val="000000"/>
        </w:rPr>
        <w:t>tetrastilo</w:t>
      </w:r>
      <w:proofErr w:type="spellEnd"/>
      <w:r w:rsidRPr="00D45DAE">
        <w:rPr>
          <w:rFonts w:ascii="Times New Roman" w:hAnsi="Times New Roman" w:cs="Times New Roman"/>
          <w:color w:val="000000"/>
        </w:rPr>
        <w:t xml:space="preserve"> tem quatro colunas; era comumente empregado pelos gregos e pelos etruscos para pequenas estruturas tais como edifícios públicos e altares </w:t>
      </w:r>
      <w:proofErr w:type="spellStart"/>
      <w:r w:rsidRPr="00D45DAE">
        <w:rPr>
          <w:rFonts w:ascii="Times New Roman" w:hAnsi="Times New Roman" w:cs="Times New Roman"/>
          <w:color w:val="000000"/>
        </w:rPr>
        <w:t>anfipróstilos</w:t>
      </w:r>
      <w:proofErr w:type="spellEnd"/>
      <w:r w:rsidRPr="00D45DAE">
        <w:rPr>
          <w:rFonts w:ascii="Times New Roman" w:hAnsi="Times New Roman" w:cs="Times New Roman"/>
          <w:color w:val="000000"/>
        </w:rPr>
        <w:t>.</w:t>
      </w:r>
    </w:p>
    <w:p w14:paraId="11C4D12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699BE6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Os romanos favoreciam o uso do pórtico de quatro colunas em seus templos </w:t>
      </w:r>
      <w:proofErr w:type="spellStart"/>
      <w:r w:rsidRPr="00D45DAE">
        <w:rPr>
          <w:rFonts w:ascii="Times New Roman" w:hAnsi="Times New Roman" w:cs="Times New Roman"/>
          <w:color w:val="000000"/>
        </w:rPr>
        <w:t>pseudoperípteros</w:t>
      </w:r>
      <w:proofErr w:type="spellEnd"/>
      <w:r w:rsidRPr="00D45DAE">
        <w:rPr>
          <w:rFonts w:ascii="Times New Roman" w:hAnsi="Times New Roman" w:cs="Times New Roman"/>
          <w:color w:val="000000"/>
        </w:rPr>
        <w:t xml:space="preserve">, tais como o Templo de </w:t>
      </w:r>
      <w:proofErr w:type="spellStart"/>
      <w:r w:rsidRPr="00D45DAE">
        <w:rPr>
          <w:rFonts w:ascii="Times New Roman" w:hAnsi="Times New Roman" w:cs="Times New Roman"/>
          <w:color w:val="000000"/>
        </w:rPr>
        <w:t>Portuno</w:t>
      </w:r>
      <w:proofErr w:type="spellEnd"/>
      <w:r w:rsidRPr="00D45DAE">
        <w:rPr>
          <w:rFonts w:ascii="Times New Roman" w:hAnsi="Times New Roman" w:cs="Times New Roman"/>
          <w:color w:val="000000"/>
        </w:rPr>
        <w:t xml:space="preserve">, e para </w:t>
      </w:r>
      <w:proofErr w:type="spellStart"/>
      <w:r w:rsidRPr="00D45DAE">
        <w:rPr>
          <w:rFonts w:ascii="Times New Roman" w:hAnsi="Times New Roman" w:cs="Times New Roman"/>
          <w:color w:val="000000"/>
        </w:rPr>
        <w:t>anfipróstilos</w:t>
      </w:r>
      <w:proofErr w:type="spellEnd"/>
      <w:r w:rsidRPr="00D45DAE">
        <w:rPr>
          <w:rFonts w:ascii="Times New Roman" w:hAnsi="Times New Roman" w:cs="Times New Roman"/>
          <w:color w:val="000000"/>
        </w:rPr>
        <w:t xml:space="preserve"> como o Templo de Vênus e Roma, e para </w:t>
      </w:r>
      <w:proofErr w:type="spellStart"/>
      <w:r w:rsidRPr="00D45DAE">
        <w:rPr>
          <w:rFonts w:ascii="Times New Roman" w:hAnsi="Times New Roman" w:cs="Times New Roman"/>
          <w:color w:val="000000"/>
        </w:rPr>
        <w:t>prostilosde</w:t>
      </w:r>
      <w:proofErr w:type="spellEnd"/>
      <w:r w:rsidRPr="00D45DAE">
        <w:rPr>
          <w:rFonts w:ascii="Times New Roman" w:hAnsi="Times New Roman" w:cs="Times New Roman"/>
          <w:color w:val="000000"/>
        </w:rPr>
        <w:t xml:space="preserve"> grandes edifícios públicos como a Basílica de Constantino.</w:t>
      </w:r>
    </w:p>
    <w:p w14:paraId="132B714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4A6940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Hexastilo</w:t>
      </w:r>
    </w:p>
    <w:p w14:paraId="0589B074"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E4318CD" w14:textId="77777777" w:rsidR="001C11E3" w:rsidRPr="00D45DAE" w:rsidRDefault="00576533" w:rsidP="007D7BE8">
      <w:pPr>
        <w:spacing w:before="240" w:after="240" w:line="360" w:lineRule="auto"/>
        <w:ind w:left="2160"/>
        <w:jc w:val="both"/>
        <w:rPr>
          <w:rFonts w:ascii="Times New Roman" w:hAnsi="Times New Roman" w:cs="Times New Roman"/>
          <w:color w:val="000000"/>
        </w:rPr>
      </w:pPr>
      <w:proofErr w:type="spellStart"/>
      <w:r w:rsidRPr="00D45DAE">
        <w:rPr>
          <w:rFonts w:ascii="Times New Roman" w:hAnsi="Times New Roman" w:cs="Times New Roman"/>
          <w:color w:val="000000"/>
        </w:rPr>
        <w:t>Hexastilos</w:t>
      </w:r>
      <w:proofErr w:type="spellEnd"/>
      <w:r w:rsidRPr="00D45DAE">
        <w:rPr>
          <w:rFonts w:ascii="Times New Roman" w:hAnsi="Times New Roman" w:cs="Times New Roman"/>
          <w:color w:val="000000"/>
        </w:rPr>
        <w:t xml:space="preserve"> tinham seis colunas e eram a </w:t>
      </w:r>
      <w:proofErr w:type="spellStart"/>
      <w:r w:rsidRPr="00D45DAE">
        <w:rPr>
          <w:rFonts w:ascii="Times New Roman" w:hAnsi="Times New Roman" w:cs="Times New Roman"/>
          <w:color w:val="000000"/>
        </w:rPr>
        <w:t>fachadapadrão</w:t>
      </w:r>
      <w:proofErr w:type="spellEnd"/>
      <w:r w:rsidRPr="00D45DAE">
        <w:rPr>
          <w:rFonts w:ascii="Times New Roman" w:hAnsi="Times New Roman" w:cs="Times New Roman"/>
          <w:color w:val="000000"/>
        </w:rPr>
        <w:t xml:space="preserve"> da arquitetura dórica canônica na Grécia antiga entre o período arcaico (600 550 a.C.) até o chamado Século de Péricles (450–430 a.C.)</w:t>
      </w:r>
    </w:p>
    <w:p w14:paraId="3F1B2EF7" w14:textId="77777777" w:rsidR="001C11E3" w:rsidRDefault="001C11E3" w:rsidP="007D7BE8">
      <w:pPr>
        <w:spacing w:before="240" w:after="240" w:line="360" w:lineRule="auto"/>
        <w:ind w:left="2160"/>
        <w:jc w:val="both"/>
        <w:rPr>
          <w:rFonts w:ascii="Times New Roman" w:hAnsi="Times New Roman" w:cs="Times New Roman"/>
          <w:color w:val="000000"/>
        </w:rPr>
      </w:pPr>
    </w:p>
    <w:p w14:paraId="7352ACE6" w14:textId="77777777" w:rsidR="00E360A0" w:rsidRPr="00D45DAE" w:rsidRDefault="00E360A0" w:rsidP="007D7BE8">
      <w:pPr>
        <w:spacing w:before="240" w:after="240" w:line="360" w:lineRule="auto"/>
        <w:ind w:left="2160"/>
        <w:jc w:val="both"/>
        <w:rPr>
          <w:rFonts w:ascii="Times New Roman" w:hAnsi="Times New Roman" w:cs="Times New Roman"/>
          <w:color w:val="000000"/>
        </w:rPr>
      </w:pPr>
    </w:p>
    <w:p w14:paraId="10E57FF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Hexastilo grego</w:t>
      </w:r>
    </w:p>
    <w:p w14:paraId="4F69FB9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Alguns exemplos conhecidos de templos </w:t>
      </w:r>
      <w:proofErr w:type="spellStart"/>
      <w:r w:rsidRPr="00D45DAE">
        <w:rPr>
          <w:rFonts w:ascii="Times New Roman" w:hAnsi="Times New Roman" w:cs="Times New Roman"/>
          <w:color w:val="000000"/>
        </w:rPr>
        <w:t>hexastilos</w:t>
      </w:r>
      <w:proofErr w:type="spellEnd"/>
      <w:r w:rsidRPr="00D45DAE">
        <w:rPr>
          <w:rFonts w:ascii="Times New Roman" w:hAnsi="Times New Roman" w:cs="Times New Roman"/>
          <w:color w:val="000000"/>
        </w:rPr>
        <w:t xml:space="preserve"> gregos no estilo dórico clássico:</w:t>
      </w:r>
    </w:p>
    <w:p w14:paraId="2FE5D52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grupo de templos em </w:t>
      </w:r>
      <w:proofErr w:type="spellStart"/>
      <w:r w:rsidRPr="00D45DAE">
        <w:rPr>
          <w:rFonts w:ascii="Times New Roman" w:hAnsi="Times New Roman" w:cs="Times New Roman"/>
          <w:color w:val="000000"/>
        </w:rPr>
        <w:t>Pesto</w:t>
      </w:r>
      <w:proofErr w:type="spellEnd"/>
      <w:r w:rsidRPr="00D45DAE">
        <w:rPr>
          <w:rFonts w:ascii="Times New Roman" w:hAnsi="Times New Roman" w:cs="Times New Roman"/>
          <w:color w:val="000000"/>
        </w:rPr>
        <w:t xml:space="preserve">, que compreende o templo de Hera (c. 550 a.C.), o templo de Apolo (c.450 a.C.), o primeiro templo de </w:t>
      </w:r>
      <w:proofErr w:type="spellStart"/>
      <w:r w:rsidRPr="00D45DAE">
        <w:rPr>
          <w:rFonts w:ascii="Times New Roman" w:hAnsi="Times New Roman" w:cs="Times New Roman"/>
          <w:color w:val="000000"/>
        </w:rPr>
        <w:t>Atena</w:t>
      </w:r>
      <w:proofErr w:type="spellEnd"/>
      <w:r w:rsidRPr="00D45DAE">
        <w:rPr>
          <w:rFonts w:ascii="Times New Roman" w:hAnsi="Times New Roman" w:cs="Times New Roman"/>
          <w:color w:val="000000"/>
        </w:rPr>
        <w:t xml:space="preserve"> ("Basílica") (c.500 a.C.) e o segundo templo de Hera (460–440 a.C.)</w:t>
      </w:r>
    </w:p>
    <w:p w14:paraId="1F2F185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templo de </w:t>
      </w:r>
      <w:proofErr w:type="spellStart"/>
      <w:r w:rsidRPr="00D45DAE">
        <w:rPr>
          <w:rFonts w:ascii="Times New Roman" w:hAnsi="Times New Roman" w:cs="Times New Roman"/>
          <w:color w:val="000000"/>
        </w:rPr>
        <w:t>Atena</w:t>
      </w:r>
      <w:proofErr w:type="spellEnd"/>
      <w:r w:rsidRPr="00D45DAE">
        <w:rPr>
          <w:rFonts w:ascii="Times New Roman" w:hAnsi="Times New Roman" w:cs="Times New Roman"/>
          <w:color w:val="000000"/>
        </w:rPr>
        <w:t xml:space="preserve"> Afeia ("a invisível") em </w:t>
      </w:r>
      <w:proofErr w:type="spellStart"/>
      <w:r w:rsidRPr="00D45DAE">
        <w:rPr>
          <w:rFonts w:ascii="Times New Roman" w:hAnsi="Times New Roman" w:cs="Times New Roman"/>
          <w:color w:val="000000"/>
        </w:rPr>
        <w:t>Éginac.495</w:t>
      </w:r>
      <w:proofErr w:type="spellEnd"/>
      <w:r w:rsidRPr="00D45DAE">
        <w:rPr>
          <w:rFonts w:ascii="Times New Roman" w:hAnsi="Times New Roman" w:cs="Times New Roman"/>
          <w:color w:val="000000"/>
        </w:rPr>
        <w:t xml:space="preserve"> a.C.</w:t>
      </w:r>
    </w:p>
    <w:p w14:paraId="6CC51C3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templo E em </w:t>
      </w:r>
      <w:proofErr w:type="spellStart"/>
      <w:r w:rsidRPr="00D45DAE">
        <w:rPr>
          <w:rFonts w:ascii="Times New Roman" w:hAnsi="Times New Roman" w:cs="Times New Roman"/>
          <w:color w:val="000000"/>
        </w:rPr>
        <w:t>Selinunte</w:t>
      </w:r>
      <w:proofErr w:type="spellEnd"/>
      <w:r w:rsidRPr="00D45DAE">
        <w:rPr>
          <w:rFonts w:ascii="Times New Roman" w:hAnsi="Times New Roman" w:cs="Times New Roman"/>
          <w:color w:val="000000"/>
        </w:rPr>
        <w:t xml:space="preserve"> (465–450 a.C.) dedicado a Hera</w:t>
      </w:r>
    </w:p>
    <w:p w14:paraId="60D851A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O templo de Zeus em Olímpia, atualmente em ruínas</w:t>
      </w:r>
    </w:p>
    <w:p w14:paraId="65C2690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O templo F, chamado de "Templo da Concórdia", em Agrigento (c. 430 a.C.), um dos mais bem-preservados templos gregos, que mantém ainda quase todo o seu peristilo e seu entablamento.</w:t>
      </w:r>
    </w:p>
    <w:p w14:paraId="6E445C8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"templo inacabado" de </w:t>
      </w:r>
      <w:proofErr w:type="spellStart"/>
      <w:r w:rsidRPr="00D45DAE">
        <w:rPr>
          <w:rFonts w:ascii="Times New Roman" w:hAnsi="Times New Roman" w:cs="Times New Roman"/>
          <w:color w:val="000000"/>
        </w:rPr>
        <w:t>Segesta</w:t>
      </w:r>
      <w:proofErr w:type="spellEnd"/>
      <w:r w:rsidRPr="00D45DAE">
        <w:rPr>
          <w:rFonts w:ascii="Times New Roman" w:hAnsi="Times New Roman" w:cs="Times New Roman"/>
          <w:color w:val="000000"/>
        </w:rPr>
        <w:t xml:space="preserve"> (c. 430 a.C.)</w:t>
      </w:r>
    </w:p>
    <w:p w14:paraId="4F9E943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Templo de </w:t>
      </w:r>
      <w:proofErr w:type="spellStart"/>
      <w:r w:rsidRPr="00D45DAE">
        <w:rPr>
          <w:rFonts w:ascii="Times New Roman" w:hAnsi="Times New Roman" w:cs="Times New Roman"/>
          <w:color w:val="000000"/>
        </w:rPr>
        <w:t>Hefesto</w:t>
      </w:r>
      <w:proofErr w:type="spellEnd"/>
      <w:r w:rsidRPr="00D45DAE">
        <w:rPr>
          <w:rFonts w:ascii="Times New Roman" w:hAnsi="Times New Roman" w:cs="Times New Roman"/>
          <w:color w:val="000000"/>
        </w:rPr>
        <w:t>, ao pé da Acrópole de Atenas, conhecido como "</w:t>
      </w:r>
      <w:proofErr w:type="spellStart"/>
      <w:r w:rsidRPr="00D45DAE">
        <w:rPr>
          <w:rFonts w:ascii="Times New Roman" w:hAnsi="Times New Roman" w:cs="Times New Roman"/>
          <w:color w:val="000000"/>
        </w:rPr>
        <w:t>Teseu</w:t>
      </w:r>
      <w:proofErr w:type="spellEnd"/>
      <w:r w:rsidRPr="00D45DAE">
        <w:rPr>
          <w:rFonts w:ascii="Times New Roman" w:hAnsi="Times New Roman" w:cs="Times New Roman"/>
          <w:color w:val="000000"/>
        </w:rPr>
        <w:t>" (449–444 a.C.), também um dos templos gregos mais bem-preservados)</w:t>
      </w:r>
    </w:p>
    <w:p w14:paraId="11A8CE7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O templo de </w:t>
      </w:r>
      <w:proofErr w:type="spellStart"/>
      <w:r w:rsidRPr="00D45DAE">
        <w:rPr>
          <w:rFonts w:ascii="Times New Roman" w:hAnsi="Times New Roman" w:cs="Times New Roman"/>
          <w:color w:val="000000"/>
        </w:rPr>
        <w:t>Posidão</w:t>
      </w:r>
      <w:proofErr w:type="spellEnd"/>
      <w:r w:rsidRPr="00D45DAE">
        <w:rPr>
          <w:rFonts w:ascii="Times New Roman" w:hAnsi="Times New Roman" w:cs="Times New Roman"/>
          <w:color w:val="000000"/>
        </w:rPr>
        <w:t xml:space="preserve"> no cabo </w:t>
      </w:r>
      <w:proofErr w:type="spellStart"/>
      <w:r w:rsidRPr="00D45DAE">
        <w:rPr>
          <w:rFonts w:ascii="Times New Roman" w:hAnsi="Times New Roman" w:cs="Times New Roman"/>
          <w:color w:val="000000"/>
        </w:rPr>
        <w:t>Sunião</w:t>
      </w:r>
      <w:proofErr w:type="spellEnd"/>
      <w:r w:rsidRPr="00D45DAE">
        <w:rPr>
          <w:rFonts w:ascii="Times New Roman" w:hAnsi="Times New Roman" w:cs="Times New Roman"/>
          <w:color w:val="000000"/>
        </w:rPr>
        <w:t xml:space="preserve"> (c. 449 a.C.)</w:t>
      </w:r>
    </w:p>
    <w:p w14:paraId="14062FF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proofErr w:type="spellStart"/>
      <w:r w:rsidRPr="00D45DAE">
        <w:rPr>
          <w:rFonts w:ascii="Times New Roman" w:hAnsi="Times New Roman" w:cs="Times New Roman"/>
          <w:color w:val="000000"/>
        </w:rPr>
        <w:t>Hexastilos</w:t>
      </w:r>
      <w:proofErr w:type="spellEnd"/>
      <w:r w:rsidRPr="00D45DAE">
        <w:rPr>
          <w:rFonts w:ascii="Times New Roman" w:hAnsi="Times New Roman" w:cs="Times New Roman"/>
          <w:color w:val="000000"/>
        </w:rPr>
        <w:t xml:space="preserve"> também eram usados em templos jônicos, como o </w:t>
      </w:r>
      <w:proofErr w:type="spellStart"/>
      <w:r w:rsidRPr="00D45DAE">
        <w:rPr>
          <w:rFonts w:ascii="Times New Roman" w:hAnsi="Times New Roman" w:cs="Times New Roman"/>
          <w:color w:val="000000"/>
        </w:rPr>
        <w:t>prostilo</w:t>
      </w:r>
      <w:proofErr w:type="spellEnd"/>
      <w:r w:rsidRPr="00D45DAE">
        <w:rPr>
          <w:rFonts w:ascii="Times New Roman" w:hAnsi="Times New Roman" w:cs="Times New Roman"/>
          <w:color w:val="000000"/>
        </w:rPr>
        <w:t xml:space="preserve"> do santuário de </w:t>
      </w:r>
      <w:proofErr w:type="spellStart"/>
      <w:r w:rsidRPr="00D45DAE">
        <w:rPr>
          <w:rFonts w:ascii="Times New Roman" w:hAnsi="Times New Roman" w:cs="Times New Roman"/>
          <w:color w:val="000000"/>
        </w:rPr>
        <w:t>Atena</w:t>
      </w:r>
      <w:proofErr w:type="spellEnd"/>
      <w:r w:rsidRPr="00D45DAE">
        <w:rPr>
          <w:rFonts w:ascii="Times New Roman" w:hAnsi="Times New Roman" w:cs="Times New Roman"/>
          <w:color w:val="000000"/>
        </w:rPr>
        <w:t xml:space="preserve"> no </w:t>
      </w:r>
      <w:proofErr w:type="spellStart"/>
      <w:r w:rsidRPr="00D45DAE">
        <w:rPr>
          <w:rFonts w:ascii="Times New Roman" w:hAnsi="Times New Roman" w:cs="Times New Roman"/>
          <w:color w:val="000000"/>
        </w:rPr>
        <w:t>Erectéion</w:t>
      </w:r>
      <w:proofErr w:type="spellEnd"/>
      <w:r w:rsidRPr="00D45DAE">
        <w:rPr>
          <w:rFonts w:ascii="Times New Roman" w:hAnsi="Times New Roman" w:cs="Times New Roman"/>
          <w:color w:val="000000"/>
        </w:rPr>
        <w:t>, na Acrópole de Atenas.</w:t>
      </w:r>
    </w:p>
    <w:p w14:paraId="4C6B8E38"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53BD29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Hexastilo romano</w:t>
      </w:r>
    </w:p>
    <w:p w14:paraId="730B837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Com a colonização do sul da Itália pelos gregos, os </w:t>
      </w:r>
      <w:proofErr w:type="spellStart"/>
      <w:r w:rsidRPr="00D45DAE">
        <w:rPr>
          <w:rFonts w:ascii="Times New Roman" w:hAnsi="Times New Roman" w:cs="Times New Roman"/>
          <w:color w:val="000000"/>
        </w:rPr>
        <w:t>hexastilos</w:t>
      </w:r>
      <w:proofErr w:type="spellEnd"/>
      <w:r w:rsidRPr="00D45DAE">
        <w:rPr>
          <w:rFonts w:ascii="Times New Roman" w:hAnsi="Times New Roman" w:cs="Times New Roman"/>
          <w:color w:val="000000"/>
        </w:rPr>
        <w:t xml:space="preserve"> foram adotados pelos etruscos e adquiridos subsequentemente pelos romanos. O gosto romano preferia edifícios </w:t>
      </w:r>
      <w:proofErr w:type="spellStart"/>
      <w:r w:rsidRPr="00D45DAE">
        <w:rPr>
          <w:rFonts w:ascii="Times New Roman" w:hAnsi="Times New Roman" w:cs="Times New Roman"/>
          <w:color w:val="000000"/>
        </w:rPr>
        <w:t>pseudoperipterais</w:t>
      </w:r>
      <w:proofErr w:type="spellEnd"/>
      <w:r w:rsidRPr="00D45DAE">
        <w:rPr>
          <w:rFonts w:ascii="Times New Roman" w:hAnsi="Times New Roman" w:cs="Times New Roman"/>
          <w:color w:val="000000"/>
        </w:rPr>
        <w:t xml:space="preserve"> e </w:t>
      </w:r>
      <w:proofErr w:type="spellStart"/>
      <w:r w:rsidRPr="00D45DAE">
        <w:rPr>
          <w:rFonts w:ascii="Times New Roman" w:hAnsi="Times New Roman" w:cs="Times New Roman"/>
          <w:color w:val="000000"/>
        </w:rPr>
        <w:t>anfiprostilos</w:t>
      </w:r>
      <w:proofErr w:type="spellEnd"/>
      <w:r w:rsidRPr="00D45DAE">
        <w:rPr>
          <w:rFonts w:ascii="Times New Roman" w:hAnsi="Times New Roman" w:cs="Times New Roman"/>
          <w:color w:val="000000"/>
        </w:rPr>
        <w:t xml:space="preserve"> com colunas altas, elevadas em </w:t>
      </w:r>
      <w:proofErr w:type="spellStart"/>
      <w:r w:rsidRPr="00D45DAE">
        <w:rPr>
          <w:rFonts w:ascii="Times New Roman" w:hAnsi="Times New Roman" w:cs="Times New Roman"/>
          <w:color w:val="000000"/>
        </w:rPr>
        <w:t>pódiospara</w:t>
      </w:r>
      <w:proofErr w:type="spellEnd"/>
      <w:r w:rsidRPr="00D45DAE">
        <w:rPr>
          <w:rFonts w:ascii="Times New Roman" w:hAnsi="Times New Roman" w:cs="Times New Roman"/>
          <w:color w:val="000000"/>
        </w:rPr>
        <w:t xml:space="preserve"> obter o acréscimo de pompa e grandiosidade que a altura considerável gerava. A Maison </w:t>
      </w:r>
      <w:proofErr w:type="spellStart"/>
      <w:r w:rsidRPr="00D45DAE">
        <w:rPr>
          <w:rFonts w:ascii="Times New Roman" w:hAnsi="Times New Roman" w:cs="Times New Roman"/>
          <w:color w:val="000000"/>
        </w:rPr>
        <w:t>Carréeem</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Nîmes</w:t>
      </w:r>
      <w:proofErr w:type="spellEnd"/>
      <w:r w:rsidRPr="00D45DAE">
        <w:rPr>
          <w:rFonts w:ascii="Times New Roman" w:hAnsi="Times New Roman" w:cs="Times New Roman"/>
          <w:color w:val="000000"/>
        </w:rPr>
        <w:t>, na França, é o hexastilo romano mais bem-preservado a ter sobrevivido da Antiguidade Clássica.</w:t>
      </w:r>
    </w:p>
    <w:p w14:paraId="1BBF2913"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F97844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Octostilo</w:t>
      </w:r>
      <w:proofErr w:type="spellEnd"/>
    </w:p>
    <w:p w14:paraId="42B9C752"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6C206B7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proofErr w:type="spellStart"/>
      <w:r w:rsidRPr="00D45DAE">
        <w:rPr>
          <w:rFonts w:ascii="Times New Roman" w:hAnsi="Times New Roman" w:cs="Times New Roman"/>
          <w:color w:val="000000"/>
        </w:rPr>
        <w:t>Octostilos</w:t>
      </w:r>
      <w:proofErr w:type="spellEnd"/>
      <w:r w:rsidRPr="00D45DAE">
        <w:rPr>
          <w:rFonts w:ascii="Times New Roman" w:hAnsi="Times New Roman" w:cs="Times New Roman"/>
          <w:color w:val="000000"/>
        </w:rPr>
        <w:t xml:space="preserve"> eram edifícios com oito colunas; eram consideravelmente mais raros que os </w:t>
      </w:r>
      <w:proofErr w:type="spellStart"/>
      <w:r w:rsidRPr="00D45DAE">
        <w:rPr>
          <w:rFonts w:ascii="Times New Roman" w:hAnsi="Times New Roman" w:cs="Times New Roman"/>
          <w:color w:val="000000"/>
        </w:rPr>
        <w:t>hexastilos</w:t>
      </w:r>
      <w:proofErr w:type="spellEnd"/>
      <w:r w:rsidRPr="00D45DAE">
        <w:rPr>
          <w:rFonts w:ascii="Times New Roman" w:hAnsi="Times New Roman" w:cs="Times New Roman"/>
          <w:color w:val="000000"/>
        </w:rPr>
        <w:t xml:space="preserve"> no cânone arquitetônico clássico grego. Os edifícios </w:t>
      </w:r>
      <w:proofErr w:type="spellStart"/>
      <w:r w:rsidRPr="00D45DAE">
        <w:rPr>
          <w:rFonts w:ascii="Times New Roman" w:hAnsi="Times New Roman" w:cs="Times New Roman"/>
          <w:color w:val="000000"/>
        </w:rPr>
        <w:t>octostilos</w:t>
      </w:r>
      <w:proofErr w:type="spellEnd"/>
      <w:r w:rsidRPr="00D45DAE">
        <w:rPr>
          <w:rFonts w:ascii="Times New Roman" w:hAnsi="Times New Roman" w:cs="Times New Roman"/>
          <w:color w:val="000000"/>
        </w:rPr>
        <w:t xml:space="preserve"> mais conhecidos a terem sobrevivido desde a Antiguidade são o </w:t>
      </w:r>
      <w:proofErr w:type="spellStart"/>
      <w:r w:rsidRPr="00D45DAE">
        <w:rPr>
          <w:rFonts w:ascii="Times New Roman" w:hAnsi="Times New Roman" w:cs="Times New Roman"/>
          <w:color w:val="000000"/>
        </w:rPr>
        <w:t>Partenão</w:t>
      </w:r>
      <w:proofErr w:type="spellEnd"/>
      <w:r w:rsidRPr="00D45DAE">
        <w:rPr>
          <w:rFonts w:ascii="Times New Roman" w:hAnsi="Times New Roman" w:cs="Times New Roman"/>
          <w:color w:val="000000"/>
        </w:rPr>
        <w:t xml:space="preserve"> de Atenas, construído durante o chamado Século de Péricles (450–430 a.C.), e o Panteão, em Roma (125).</w:t>
      </w:r>
    </w:p>
    <w:p w14:paraId="32C82D98"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489E6E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Decastilo</w:t>
      </w:r>
      <w:proofErr w:type="spellEnd"/>
    </w:p>
    <w:p w14:paraId="796B043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98E11A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O </w:t>
      </w:r>
      <w:proofErr w:type="spellStart"/>
      <w:r w:rsidRPr="00D45DAE">
        <w:rPr>
          <w:rFonts w:ascii="Times New Roman" w:hAnsi="Times New Roman" w:cs="Times New Roman"/>
          <w:color w:val="000000"/>
        </w:rPr>
        <w:t>decastilo</w:t>
      </w:r>
      <w:proofErr w:type="spellEnd"/>
      <w:r w:rsidRPr="00D45DAE">
        <w:rPr>
          <w:rFonts w:ascii="Times New Roman" w:hAnsi="Times New Roman" w:cs="Times New Roman"/>
          <w:color w:val="000000"/>
        </w:rPr>
        <w:t xml:space="preserve"> apresenta dez colunas, como no templo de Apolo </w:t>
      </w:r>
      <w:proofErr w:type="spellStart"/>
      <w:r w:rsidRPr="00D45DAE">
        <w:rPr>
          <w:rFonts w:ascii="Times New Roman" w:hAnsi="Times New Roman" w:cs="Times New Roman"/>
          <w:color w:val="000000"/>
        </w:rPr>
        <w:t>Didimeu</w:t>
      </w:r>
      <w:proofErr w:type="spellEnd"/>
      <w:r w:rsidRPr="00D45DAE">
        <w:rPr>
          <w:rFonts w:ascii="Times New Roman" w:hAnsi="Times New Roman" w:cs="Times New Roman"/>
          <w:color w:val="000000"/>
        </w:rPr>
        <w:t xml:space="preserve"> em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e no pórtico da University College de Londres.</w:t>
      </w:r>
    </w:p>
    <w:p w14:paraId="7A47A20E"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2920FF5A" w14:textId="77777777" w:rsidR="001C11E3" w:rsidRPr="00D45DAE" w:rsidRDefault="00576533" w:rsidP="007D7BE8">
      <w:pPr>
        <w:spacing w:before="240" w:after="240" w:line="360" w:lineRule="auto"/>
        <w:ind w:left="2160"/>
        <w:jc w:val="both"/>
        <w:rPr>
          <w:rFonts w:ascii="Times New Roman" w:hAnsi="Times New Roman" w:cs="Times New Roman"/>
          <w:color w:val="000000"/>
        </w:rPr>
      </w:pPr>
      <w:proofErr w:type="spellStart"/>
      <w:r w:rsidRPr="00D45DAE">
        <w:rPr>
          <w:rFonts w:ascii="Times New Roman" w:eastAsia="Droid Sans Mono" w:hAnsi="Times New Roman" w:cs="Times New Roman"/>
          <w:color w:val="000000"/>
        </w:rPr>
        <w:t>Mileto</w:t>
      </w:r>
      <w:proofErr w:type="spellEnd"/>
      <w:r w:rsidRPr="00D45DAE">
        <w:rPr>
          <w:rFonts w:ascii="Times New Roman" w:eastAsia="Droid Sans Mono" w:hAnsi="Times New Roman" w:cs="Times New Roman"/>
          <w:color w:val="000000"/>
        </w:rPr>
        <w:t xml:space="preserve"> (em grego: Μίλητος; </w:t>
      </w:r>
      <w:proofErr w:type="spellStart"/>
      <w:r w:rsidRPr="00D45DAE">
        <w:rPr>
          <w:rFonts w:ascii="Times New Roman" w:eastAsia="Droid Sans Mono" w:hAnsi="Times New Roman" w:cs="Times New Roman"/>
          <w:color w:val="000000"/>
        </w:rPr>
        <w:t>romaniz</w:t>
      </w:r>
      <w:proofErr w:type="spellEnd"/>
      <w:r w:rsidRPr="00D45DAE">
        <w:rPr>
          <w:rFonts w:ascii="Times New Roman" w:eastAsia="Droid Sans Mono" w:hAnsi="Times New Roman" w:cs="Times New Roman"/>
          <w:color w:val="000000"/>
        </w:rPr>
        <w:t xml:space="preserve">.: </w:t>
      </w:r>
      <w:proofErr w:type="spellStart"/>
      <w:r w:rsidRPr="00D45DAE">
        <w:rPr>
          <w:rFonts w:ascii="Times New Roman" w:eastAsia="Droid Sans Mono" w:hAnsi="Times New Roman" w:cs="Times New Roman"/>
          <w:color w:val="000000"/>
        </w:rPr>
        <w:t>Milétos</w:t>
      </w:r>
      <w:proofErr w:type="spellEnd"/>
      <w:r w:rsidRPr="00D45DAE">
        <w:rPr>
          <w:rFonts w:ascii="Times New Roman" w:eastAsia="Droid Sans Mono" w:hAnsi="Times New Roman" w:cs="Times New Roman"/>
          <w:color w:val="000000"/>
        </w:rPr>
        <w:t xml:space="preserve">) é uma antiga cidade do sudeste da Ásia Menor, no sul da </w:t>
      </w:r>
      <w:proofErr w:type="spellStart"/>
      <w:r w:rsidRPr="00D45DAE">
        <w:rPr>
          <w:rFonts w:ascii="Times New Roman" w:eastAsia="Droid Sans Mono" w:hAnsi="Times New Roman" w:cs="Times New Roman"/>
          <w:color w:val="000000"/>
        </w:rPr>
        <w:t>Jônia</w:t>
      </w:r>
      <w:proofErr w:type="spellEnd"/>
      <w:r w:rsidRPr="00D45DAE">
        <w:rPr>
          <w:rFonts w:ascii="Times New Roman" w:eastAsia="Droid Sans Mono" w:hAnsi="Times New Roman" w:cs="Times New Roman"/>
          <w:color w:val="000000"/>
        </w:rPr>
        <w:t>, uma região que atualmente faz parte da Turquia, situada junto à foz do rio Meandro (atualmente chamado rio Menderes).</w:t>
      </w:r>
    </w:p>
    <w:p w14:paraId="71F0FABB"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4CFCC5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Foi uma cidade bastante ativa comercialmente, mantendo negócios tanto com o Oriente como com o Egito, onde estabeleceu um centro comercial em </w:t>
      </w:r>
      <w:proofErr w:type="spellStart"/>
      <w:r w:rsidRPr="00D45DAE">
        <w:rPr>
          <w:rFonts w:ascii="Times New Roman" w:hAnsi="Times New Roman" w:cs="Times New Roman"/>
          <w:color w:val="000000"/>
        </w:rPr>
        <w:t>Náucratis</w:t>
      </w:r>
      <w:proofErr w:type="spellEnd"/>
      <w:r w:rsidRPr="00D45DAE">
        <w:rPr>
          <w:rFonts w:ascii="Times New Roman" w:hAnsi="Times New Roman" w:cs="Times New Roman"/>
          <w:color w:val="000000"/>
        </w:rPr>
        <w:t xml:space="preserve">, no delta do Nilo. Também mantinha vínculos com a cidade de </w:t>
      </w:r>
      <w:proofErr w:type="spellStart"/>
      <w:r w:rsidRPr="00D45DAE">
        <w:rPr>
          <w:rFonts w:ascii="Times New Roman" w:hAnsi="Times New Roman" w:cs="Times New Roman"/>
          <w:color w:val="000000"/>
        </w:rPr>
        <w:t>Síbaris</w:t>
      </w:r>
      <w:proofErr w:type="spellEnd"/>
      <w:r w:rsidRPr="00D45DAE">
        <w:rPr>
          <w:rFonts w:ascii="Times New Roman" w:hAnsi="Times New Roman" w:cs="Times New Roman"/>
          <w:color w:val="000000"/>
        </w:rPr>
        <w:t xml:space="preserve">, no sul da península Itálica. Uma atividade econômica importante desenvolvida na cidade era a criação de ovelhas 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produzia a melhor lã do mundo grego. Seu território, no entanto, não era muito extenso e limitava o acesso da emergente classe mercantil às terras. Esta limitação territorial, aliada à forte vocação comercial de seus habitantes, contribuiu para a fundação de colônias </w:t>
      </w:r>
      <w:proofErr w:type="spellStart"/>
      <w:r w:rsidRPr="00D45DAE">
        <w:rPr>
          <w:rFonts w:ascii="Times New Roman" w:hAnsi="Times New Roman" w:cs="Times New Roman"/>
          <w:color w:val="000000"/>
        </w:rPr>
        <w:t>milésias</w:t>
      </w:r>
      <w:proofErr w:type="spellEnd"/>
      <w:r w:rsidRPr="00D45DAE">
        <w:rPr>
          <w:rFonts w:ascii="Times New Roman" w:hAnsi="Times New Roman" w:cs="Times New Roman"/>
          <w:color w:val="000000"/>
        </w:rPr>
        <w:t xml:space="preserve"> na </w:t>
      </w:r>
      <w:proofErr w:type="spellStart"/>
      <w:r w:rsidRPr="00D45DAE">
        <w:rPr>
          <w:rFonts w:ascii="Times New Roman" w:hAnsi="Times New Roman" w:cs="Times New Roman"/>
          <w:color w:val="000000"/>
        </w:rPr>
        <w:t>Trácia</w:t>
      </w:r>
      <w:proofErr w:type="spellEnd"/>
      <w:r w:rsidRPr="00D45DAE">
        <w:rPr>
          <w:rFonts w:ascii="Times New Roman" w:hAnsi="Times New Roman" w:cs="Times New Roman"/>
          <w:color w:val="000000"/>
        </w:rPr>
        <w:t>. Seus colonos e marinheiros se concentravam na região do mar Negro, onde buscavam cereais e atum.</w:t>
      </w:r>
    </w:p>
    <w:p w14:paraId="72E03CB0"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F85268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 política da cidade foi historicamente turbulenta, onde dissidências, conflitos e revoluções eram comuns. O governo milésio era baseado em um conselho chamado </w:t>
      </w:r>
      <w:proofErr w:type="spellStart"/>
      <w:r w:rsidRPr="00D45DAE">
        <w:rPr>
          <w:rFonts w:ascii="Times New Roman" w:hAnsi="Times New Roman" w:cs="Times New Roman"/>
          <w:color w:val="000000"/>
        </w:rPr>
        <w:t>Aeinautai</w:t>
      </w:r>
      <w:proofErr w:type="spellEnd"/>
      <w:r w:rsidRPr="00D45DAE">
        <w:rPr>
          <w:rFonts w:ascii="Times New Roman" w:hAnsi="Times New Roman" w:cs="Times New Roman"/>
          <w:color w:val="000000"/>
        </w:rPr>
        <w:t xml:space="preserve"> (marinheiros perpétuos) que visava extrair todo o lucro possível dos empreendimentos marítimos e coloniais.</w:t>
      </w:r>
    </w:p>
    <w:p w14:paraId="52239C73"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3B35C35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 cidade atualmente é um rico sítio arqueológico. As primeiras escavações em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foram conduzidas pelo arqueólogo francês Olivier </w:t>
      </w:r>
      <w:proofErr w:type="spellStart"/>
      <w:r w:rsidRPr="00D45DAE">
        <w:rPr>
          <w:rFonts w:ascii="Times New Roman" w:hAnsi="Times New Roman" w:cs="Times New Roman"/>
          <w:color w:val="000000"/>
        </w:rPr>
        <w:t>Rayetem</w:t>
      </w:r>
      <w:proofErr w:type="spellEnd"/>
      <w:r w:rsidRPr="00D45DAE">
        <w:rPr>
          <w:rFonts w:ascii="Times New Roman" w:hAnsi="Times New Roman" w:cs="Times New Roman"/>
          <w:color w:val="000000"/>
        </w:rPr>
        <w:t xml:space="preserve"> 1873, seguidas pelos arqueólogos alemães Julius </w:t>
      </w:r>
      <w:proofErr w:type="spellStart"/>
      <w:r w:rsidRPr="00D45DAE">
        <w:rPr>
          <w:rFonts w:ascii="Times New Roman" w:hAnsi="Times New Roman" w:cs="Times New Roman"/>
          <w:color w:val="000000"/>
        </w:rPr>
        <w:t>Hülsen</w:t>
      </w:r>
      <w:proofErr w:type="spellEnd"/>
      <w:r w:rsidRPr="00D45DAE">
        <w:rPr>
          <w:rFonts w:ascii="Times New Roman" w:hAnsi="Times New Roman" w:cs="Times New Roman"/>
          <w:color w:val="000000"/>
        </w:rPr>
        <w:t xml:space="preserve"> e Theodor </w:t>
      </w:r>
      <w:proofErr w:type="spellStart"/>
      <w:r w:rsidRPr="00D45DAE">
        <w:rPr>
          <w:rFonts w:ascii="Times New Roman" w:hAnsi="Times New Roman" w:cs="Times New Roman"/>
          <w:color w:val="000000"/>
        </w:rPr>
        <w:t>Wiegand</w:t>
      </w:r>
      <w:proofErr w:type="spellEnd"/>
      <w:r w:rsidRPr="00D45DAE">
        <w:rPr>
          <w:rFonts w:ascii="Times New Roman" w:hAnsi="Times New Roman" w:cs="Times New Roman"/>
          <w:color w:val="000000"/>
        </w:rPr>
        <w:t xml:space="preserve"> entre 1899 e 1931. As escavações, no entanto, foram interrompidas por várias vezes devido à guerras e vários outros eventos. Carl </w:t>
      </w:r>
      <w:proofErr w:type="spellStart"/>
      <w:r w:rsidRPr="00D45DAE">
        <w:rPr>
          <w:rFonts w:ascii="Times New Roman" w:hAnsi="Times New Roman" w:cs="Times New Roman"/>
          <w:color w:val="000000"/>
        </w:rPr>
        <w:t>Weickart</w:t>
      </w:r>
      <w:proofErr w:type="spellEnd"/>
      <w:r w:rsidRPr="00D45DAE">
        <w:rPr>
          <w:rFonts w:ascii="Times New Roman" w:hAnsi="Times New Roman" w:cs="Times New Roman"/>
          <w:color w:val="000000"/>
        </w:rPr>
        <w:t xml:space="preserve"> escavou por uma curta temporada em 1938 e novamente entre 1955 e 1957. Em seguida foram feitas escavações por Gerhard Kleiner e depois por Wolfgang Muller-Wiener. Hoje, as escavações são organizadas pela Universidade do Ruhr, em Bochum, na Alemanha.</w:t>
      </w:r>
    </w:p>
    <w:p w14:paraId="1893B919"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630BB6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Um notável artefato recuperado da cidade durante as primeiras escavações do século XIX, a porta do mercado de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foi transportado em diversas partes para a Alemanha e remontado. Atualmente está exposto no Museu de </w:t>
      </w:r>
      <w:proofErr w:type="spellStart"/>
      <w:r w:rsidRPr="00D45DAE">
        <w:rPr>
          <w:rFonts w:ascii="Times New Roman" w:hAnsi="Times New Roman" w:cs="Times New Roman"/>
          <w:color w:val="000000"/>
        </w:rPr>
        <w:t>Pérgamo</w:t>
      </w:r>
      <w:proofErr w:type="spellEnd"/>
      <w:r w:rsidRPr="00D45DAE">
        <w:rPr>
          <w:rFonts w:ascii="Times New Roman" w:hAnsi="Times New Roman" w:cs="Times New Roman"/>
          <w:color w:val="000000"/>
        </w:rPr>
        <w:t xml:space="preserve"> em Berlim. A principal coleção de artefatos se encontra no Museu de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em Didim, Turquia desde 1973.</w:t>
      </w:r>
    </w:p>
    <w:p w14:paraId="4692A85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3514C42"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Famosos de </w:t>
      </w:r>
      <w:proofErr w:type="spellStart"/>
      <w:r w:rsidRPr="00D45DAE">
        <w:rPr>
          <w:rFonts w:ascii="Times New Roman" w:hAnsi="Times New Roman" w:cs="Times New Roman"/>
          <w:color w:val="000000"/>
        </w:rPr>
        <w:t>Mileto</w:t>
      </w:r>
      <w:proofErr w:type="spellEnd"/>
    </w:p>
    <w:p w14:paraId="60E71EF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Tales de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(624–546 a.C.) — filósofo pré-socrático</w:t>
      </w:r>
    </w:p>
    <w:p w14:paraId="1D9CFE2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Anaximandro</w:t>
      </w:r>
      <w:proofErr w:type="spellEnd"/>
      <w:r w:rsidRPr="00D45DAE">
        <w:rPr>
          <w:rFonts w:ascii="Times New Roman" w:hAnsi="Times New Roman" w:cs="Times New Roman"/>
          <w:color w:val="000000"/>
        </w:rPr>
        <w:t xml:space="preserve"> (610–546 a.C.) — filósofo pré-socrático e geógrafo</w:t>
      </w:r>
    </w:p>
    <w:p w14:paraId="2ACDC1C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Anaxímenes</w:t>
      </w:r>
      <w:proofErr w:type="spellEnd"/>
      <w:r w:rsidRPr="00D45DAE">
        <w:rPr>
          <w:rFonts w:ascii="Times New Roman" w:hAnsi="Times New Roman" w:cs="Times New Roman"/>
          <w:color w:val="000000"/>
        </w:rPr>
        <w:t xml:space="preserve"> de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(585–525 a.C.) — filósofo pré-socrático</w:t>
      </w:r>
    </w:p>
    <w:p w14:paraId="3290CDC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Hecateu</w:t>
      </w:r>
      <w:proofErr w:type="spellEnd"/>
      <w:r w:rsidRPr="00D45DAE">
        <w:rPr>
          <w:rFonts w:ascii="Times New Roman" w:hAnsi="Times New Roman" w:cs="Times New Roman"/>
          <w:color w:val="000000"/>
        </w:rPr>
        <w:t xml:space="preserve"> (550–476 a.C.) — historiador</w:t>
      </w:r>
    </w:p>
    <w:p w14:paraId="78344D1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Isidoro de </w:t>
      </w:r>
      <w:proofErr w:type="spellStart"/>
      <w:r w:rsidRPr="00D45DAE">
        <w:rPr>
          <w:rFonts w:ascii="Times New Roman" w:hAnsi="Times New Roman" w:cs="Times New Roman"/>
          <w:color w:val="000000"/>
        </w:rPr>
        <w:t>Mileto</w:t>
      </w:r>
      <w:proofErr w:type="spellEnd"/>
      <w:r w:rsidRPr="00D45DAE">
        <w:rPr>
          <w:rFonts w:ascii="Times New Roman" w:hAnsi="Times New Roman" w:cs="Times New Roman"/>
          <w:color w:val="000000"/>
        </w:rPr>
        <w:t xml:space="preserve"> (442–537 d.C.) — matemático, físico e arquiteto conhecido por ter sido o arquiteto da Basílica de Santa Sofia de Constantinopla.</w:t>
      </w:r>
    </w:p>
    <w:p w14:paraId="097E9C31"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93AAAB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Século XXI</w:t>
      </w:r>
    </w:p>
    <w:p w14:paraId="3AB30631"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10160F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Paraty é um município brasileiro localizado no litoral sul do estado do Rio de Janeiro, distante 258 quilômetros da capital estadual, a cidade do Rio de Janeiro. Junto ao oceano Atlântico, o território municipal está a uma altitude média de apenas cinco metros do nível do mar. Atualmente, possui 924,296 quilômetros quadrados, com uma população de 45.243 habitantes, representando uma densidade demográfica de 48,95 habitantes por quilômetro quadrado. Segundo estimativas do Instituto Brasileiro de Geografia e Estatística – IBGE realizada em 2014, o mesmo ocupa a 43ª posição entre os municípios do estado do Rio por população.</w:t>
      </w:r>
    </w:p>
    <w:p w14:paraId="2CF2A5EC"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3D42AA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País: Brasil</w:t>
      </w:r>
    </w:p>
    <w:p w14:paraId="2D75E8F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Unidade federativa: Rio de Janeiro</w:t>
      </w:r>
    </w:p>
    <w:p w14:paraId="1F76C06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Municípios limítrofes: Angra dos Reis, Cunha (SP) e Ubatuba (SP)</w:t>
      </w:r>
    </w:p>
    <w:p w14:paraId="29C0924D"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Distância até a capital: 258 km</w:t>
      </w:r>
    </w:p>
    <w:p w14:paraId="5BB96E1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Fundação: 28 de fevereiro de 1667 (358 anos)</w:t>
      </w:r>
    </w:p>
    <w:p w14:paraId="73C215B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Prefeito(a): José Carlos Porto Neto (Republicanos, 2025–2028)</w:t>
      </w:r>
    </w:p>
    <w:p w14:paraId="77C7FCB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Área total: 924,296 km²</w:t>
      </w:r>
    </w:p>
    <w:p w14:paraId="4E38218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w:t>
      </w:r>
      <w:r w:rsidRPr="00D45DAE">
        <w:rPr>
          <w:rFonts w:ascii="Apple Color Emoji" w:hAnsi="Apple Color Emoji" w:cs="Apple Color Emoji"/>
          <w:color w:val="000000"/>
        </w:rPr>
        <w:t>🧑</w:t>
      </w:r>
      <w:r w:rsidRPr="00D45DAE">
        <w:rPr>
          <w:rFonts w:ascii="Times New Roman" w:hAnsi="Times New Roman" w:cs="Times New Roman"/>
          <w:color w:val="000000"/>
        </w:rPr>
        <w:t>‍</w:t>
      </w:r>
      <w:r w:rsidRPr="00D45DAE">
        <w:rPr>
          <w:rFonts w:ascii="Apple Color Emoji" w:hAnsi="Apple Color Emoji" w:cs="Apple Color Emoji"/>
          <w:color w:val="000000"/>
        </w:rPr>
        <w:t>🧒</w:t>
      </w:r>
      <w:r w:rsidRPr="00D45DAE">
        <w:rPr>
          <w:rFonts w:ascii="Times New Roman" w:hAnsi="Times New Roman" w:cs="Times New Roman"/>
          <w:color w:val="000000"/>
        </w:rPr>
        <w:t xml:space="preserve"> População total: 45 243 hab.</w:t>
      </w:r>
    </w:p>
    <w:p w14:paraId="5A6BE2E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Clima: tropical (Aw)</w:t>
      </w:r>
    </w:p>
    <w:p w14:paraId="77EDB3F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Altitude: 5 m</w:t>
      </w:r>
    </w:p>
    <w:p w14:paraId="751D7C4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Fuso horário: Hora de Brasília (UTC−3)</w:t>
      </w:r>
    </w:p>
    <w:p w14:paraId="07353AD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IDH (PNUD/2010) 0,693 — médio</w:t>
      </w:r>
    </w:p>
    <w:p w14:paraId="201DE5A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 Posição RJ: 62º; BR: 2105°</w:t>
      </w:r>
    </w:p>
    <w:p w14:paraId="35FFF1F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PIB (IBGE/2021) R$ 1 955 302,792</w:t>
      </w:r>
    </w:p>
    <w:p w14:paraId="090121FB" w14:textId="45BFDD81" w:rsidR="001C11E3" w:rsidRPr="00D45DAE" w:rsidRDefault="00576533" w:rsidP="00E360A0">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PIB per capita(IBGE/2021) R$ 44 262,66</w:t>
      </w:r>
    </w:p>
    <w:p w14:paraId="0B813DC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Sítio</w:t>
      </w:r>
    </w:p>
    <w:p w14:paraId="782BB97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https://www.paraty.rj.gov.br/(Prefeitura)</w:t>
      </w:r>
    </w:p>
    <w:p w14:paraId="40779ABF"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https://paraty.rj.leg.br/site/(Câmara)</w:t>
      </w:r>
    </w:p>
    <w:p w14:paraId="47785CFD"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6F943A5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Em 5 de julho de 2019, uma porção do território no qual estão localizados o núcleo histórico colonial de Paraty e a Ilha Grande, em Angra dos Reis, foi declarada Patrimônio da Humanidade pela UNESCO, por sua integração excepcional entre valores associados ao patrimônio cultural e ao natural; constituindo-se então, o primeiro sítio misto do Brasil.</w:t>
      </w:r>
    </w:p>
    <w:p w14:paraId="248DF830"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5771D4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Com essa nomeação a região fica reconhecida como patrimônio natural e cultural, a área do Sítio Patrimônio Mundial compreende as seguintes unidades: o Parque Nacional da Serra da Bocaina, a Reserva Biológica Estadual da Praia do Sul, a Área de Proteção Ambiental de </w:t>
      </w:r>
      <w:proofErr w:type="spellStart"/>
      <w:r w:rsidRPr="00D45DAE">
        <w:rPr>
          <w:rFonts w:ascii="Times New Roman" w:hAnsi="Times New Roman" w:cs="Times New Roman"/>
          <w:color w:val="000000"/>
        </w:rPr>
        <w:t>Cairuçu</w:t>
      </w:r>
      <w:proofErr w:type="spellEnd"/>
      <w:r w:rsidRPr="00D45DAE">
        <w:rPr>
          <w:rFonts w:ascii="Times New Roman" w:hAnsi="Times New Roman" w:cs="Times New Roman"/>
          <w:color w:val="000000"/>
        </w:rPr>
        <w:t>, o Centro Histórico de Paraty e o Morro da Vila Velha.</w:t>
      </w:r>
    </w:p>
    <w:p w14:paraId="75AB36C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462935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cidade de Paraty já era integrante da Rede de Cidades Criativas da UNESCO na categoria gastronomia e após esse reconhecimento comprova a riqueza da diversidade local. A região se forma pelo intercâmbio das culturas indígena, africana e caiçara que se expressam nos bens culturais da cidade, Paraty engloba uma fusão de características próprias do patrimônio material e imaterial. Herança e vida de povos tradicionais que usam a terra e o mar de forma sustentável, demonstrando a interação do homem com o meio ambiente. Ao se unir à Ilha Grande, o sítio torna-se ainda mais representativo com áreas de beleza natural excepcional.</w:t>
      </w:r>
    </w:p>
    <w:p w14:paraId="14BC53D8"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7E93F0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Critérios específicos apresentados ao Comitê do Patrimônio Mundial fizeram a área ser declarada de importância para toda a humanidade, já que a região se formou pelo intercâmbio entre as culturas indígena, africana e caiçara que se expressam nos bens que usam a terra e o mar de forma sustentável, demonstrando a interação do homem com o meio ambiente; assim como, o fato de conter habitats naturais importantes e significativos para a conservação da diversidade biológica. Assim, o território reconhecido como patrimônio natural e cultural, compreende as unidades de proteção ambiental: Parque Nacional da Serra da Bocaina (Paraty/RJ e Cunha/SP), Reserva Biológica Estadual da Praia do Sul (Ilha Grande - Angra dos Reis/RJ); Parque Estadual da Ilha Grande (Ilha Grande - Angra dos Reis/RJ); Área de Proteção Ambiental de </w:t>
      </w:r>
      <w:proofErr w:type="spellStart"/>
      <w:r w:rsidRPr="00D45DAE">
        <w:rPr>
          <w:rFonts w:ascii="Times New Roman" w:hAnsi="Times New Roman" w:cs="Times New Roman"/>
          <w:color w:val="000000"/>
        </w:rPr>
        <w:t>Cairuçu</w:t>
      </w:r>
      <w:proofErr w:type="spellEnd"/>
      <w:r w:rsidRPr="00D45DAE">
        <w:rPr>
          <w:rFonts w:ascii="Times New Roman" w:hAnsi="Times New Roman" w:cs="Times New Roman"/>
          <w:color w:val="000000"/>
        </w:rPr>
        <w:t xml:space="preserve"> (Paraty/RJ); o Centro Histórico de Paraty e o Morro da Vila Velha (Paraty/RJ).</w:t>
      </w:r>
    </w:p>
    <w:p w14:paraId="6A23431C"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65D26E0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O Município de Paraty apresenta referências culturais materiais e imateriais remanescentes do seu povoamento pré-histórico e de seu histórico colonial; conjugadas aos costumes e cultura das populações tradicionais que ainda habitam seu território.</w:t>
      </w:r>
    </w:p>
    <w:p w14:paraId="54D3C8C0"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BC94F2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cidade de Paraty integra a Rede de Cidades Criativas da UNESCO na categoria gastronomia, reconhecimento prévio que já comprovava a relevância internacional da diversidade local. Ao se unir à Ilha Grande, o sítio torna-se ainda mais representativo com áreas de grande riqueza e beleza naturais excepcionais.</w:t>
      </w:r>
    </w:p>
    <w:p w14:paraId="54EE9077"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F29046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Segoe UI Symbol" w:eastAsia="Fira Mono" w:hAnsi="Segoe UI Symbol" w:cs="Segoe UI Symbol"/>
          <w:color w:val="000000"/>
        </w:rPr>
        <w:t>★</w:t>
      </w:r>
      <w:r w:rsidRPr="00D45DAE">
        <w:rPr>
          <w:rFonts w:ascii="Times New Roman" w:eastAsia="Fira Mono" w:hAnsi="Times New Roman" w:cs="Times New Roman"/>
          <w:color w:val="000000"/>
        </w:rPr>
        <w:t xml:space="preserve"> Paraty e Ilha Grande </w:t>
      </w:r>
    </w:p>
    <w:p w14:paraId="439A3E0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Património Mundial da UNESCO</w:t>
      </w:r>
    </w:p>
    <w:p w14:paraId="0F4A7A3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3740855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Segundo o IPHAN - Instituto do Patrimônio Histórico e Artístico Nacional o sítio misto de Paraty é caracterizado por Serra da Bocaina, onde se pode percorrer parte do Caminho do Ouro, observar a rica biodiversidade e apreciar a vista da baía da Ilha Grande a partir da Pedra da Macela; Parque Estadual da Ilha Grande: encontra-se uma variedade de oficinas </w:t>
      </w:r>
      <w:proofErr w:type="spellStart"/>
      <w:r w:rsidRPr="00D45DAE">
        <w:rPr>
          <w:rFonts w:ascii="Times New Roman" w:hAnsi="Times New Roman" w:cs="Times New Roman"/>
          <w:color w:val="000000"/>
        </w:rPr>
        <w:t>líticas</w:t>
      </w:r>
      <w:proofErr w:type="spellEnd"/>
      <w:r w:rsidRPr="00D45DAE">
        <w:rPr>
          <w:rFonts w:ascii="Times New Roman" w:hAnsi="Times New Roman" w:cs="Times New Roman"/>
          <w:color w:val="000000"/>
        </w:rPr>
        <w:t xml:space="preserve">, vestígios pré-históricos de indígenas, que usavam rochas para polir e afiar seus instrumentos de pedra;Reserva Biológica da Praia do Sul: área de preservação máxima, é um santuário da fauna e flora marinhas, e praias bem preservadas;Área de Proteção Ambiental de </w:t>
      </w:r>
      <w:proofErr w:type="spellStart"/>
      <w:r w:rsidRPr="00D45DAE">
        <w:rPr>
          <w:rFonts w:ascii="Times New Roman" w:hAnsi="Times New Roman" w:cs="Times New Roman"/>
          <w:color w:val="000000"/>
        </w:rPr>
        <w:t>Cairuçu</w:t>
      </w:r>
      <w:proofErr w:type="spellEnd"/>
      <w:r w:rsidRPr="00D45DAE">
        <w:rPr>
          <w:rFonts w:ascii="Times New Roman" w:hAnsi="Times New Roman" w:cs="Times New Roman"/>
          <w:color w:val="000000"/>
        </w:rPr>
        <w:t xml:space="preserve">: tem como principais atrativos praias e ilhas, o Saco do </w:t>
      </w:r>
      <w:proofErr w:type="spellStart"/>
      <w:r w:rsidRPr="00D45DAE">
        <w:rPr>
          <w:rFonts w:ascii="Times New Roman" w:hAnsi="Times New Roman" w:cs="Times New Roman"/>
          <w:color w:val="000000"/>
        </w:rPr>
        <w:t>Mamanguá</w:t>
      </w:r>
      <w:proofErr w:type="spellEnd"/>
      <w:r w:rsidRPr="00D45DAE">
        <w:rPr>
          <w:rFonts w:ascii="Times New Roman" w:hAnsi="Times New Roman" w:cs="Times New Roman"/>
          <w:color w:val="000000"/>
        </w:rPr>
        <w:t>, cultura caiçara, quilombola e indígena, além do sítio histórico de Paraty-Mirim, tem sua paisagem marcada pela tradicional canoa caiçara;Centro Histórico de Paraty: palco de muitos festejos tradicionais, como a Festa do Divino Espírito Santo, registrada como patrimônio cultural brasileiro</w:t>
      </w:r>
    </w:p>
    <w:p w14:paraId="4148859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Paraty e Ilha Grande foram escolhidos porque possuem uma cultura viva, que interage de forma sustentável com o meio ambiente, respeitando a exploração dos recursos naturais, terrestres e aquáticos de forma que haja equilíbrio na relação cultura e natureza.</w:t>
      </w:r>
    </w:p>
    <w:p w14:paraId="1639DF07"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52DDBF8"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Aqui temos alguns exemplos de unidades de conservação de Paraty: Parque Nacional da Serra da Bocaina e a Área de Proteção Ambiental de </w:t>
      </w:r>
      <w:proofErr w:type="spellStart"/>
      <w:r w:rsidRPr="00D45DAE">
        <w:rPr>
          <w:rFonts w:ascii="Times New Roman" w:hAnsi="Times New Roman" w:cs="Times New Roman"/>
          <w:color w:val="000000"/>
        </w:rPr>
        <w:t>Cairuçu</w:t>
      </w:r>
      <w:proofErr w:type="spellEnd"/>
      <w:r w:rsidRPr="00D45DAE">
        <w:rPr>
          <w:rFonts w:ascii="Times New Roman" w:hAnsi="Times New Roman" w:cs="Times New Roman"/>
          <w:color w:val="000000"/>
        </w:rPr>
        <w:t>, ambas unidades de conservação federais do Instituto Chico Mendes de Conservação da Biodiversidade (</w:t>
      </w:r>
      <w:proofErr w:type="spellStart"/>
      <w:r w:rsidRPr="00D45DAE">
        <w:rPr>
          <w:rFonts w:ascii="Times New Roman" w:hAnsi="Times New Roman" w:cs="Times New Roman"/>
          <w:color w:val="000000"/>
        </w:rPr>
        <w:t>ICMBio</w:t>
      </w:r>
      <w:proofErr w:type="spellEnd"/>
      <w:r w:rsidRPr="00D45DAE">
        <w:rPr>
          <w:rFonts w:ascii="Times New Roman" w:hAnsi="Times New Roman" w:cs="Times New Roman"/>
          <w:color w:val="000000"/>
        </w:rPr>
        <w:t>), além das estaduais (Parque Estadual da Ilha Grande e a Reserva Biológica Estadual da Praia do Sul). A fauna e flora excepcionais da região formam uma complexa rede de interações ecológicas que compõem um delicado ecossistema. Fauna: espécies ameaçadas de extinção, como a onça-pintada (</w:t>
      </w:r>
      <w:proofErr w:type="spellStart"/>
      <w:r w:rsidRPr="00D45DAE">
        <w:rPr>
          <w:rFonts w:ascii="Times New Roman" w:hAnsi="Times New Roman" w:cs="Times New Roman"/>
          <w:color w:val="000000"/>
        </w:rPr>
        <w:t>Panthera</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onca</w:t>
      </w:r>
      <w:proofErr w:type="spellEnd"/>
      <w:r w:rsidRPr="00D45DAE">
        <w:rPr>
          <w:rFonts w:ascii="Times New Roman" w:hAnsi="Times New Roman" w:cs="Times New Roman"/>
          <w:color w:val="000000"/>
        </w:rPr>
        <w:t>), o queixada (</w:t>
      </w:r>
      <w:proofErr w:type="spellStart"/>
      <w:r w:rsidRPr="00D45DAE">
        <w:rPr>
          <w:rFonts w:ascii="Times New Roman" w:hAnsi="Times New Roman" w:cs="Times New Roman"/>
          <w:color w:val="000000"/>
        </w:rPr>
        <w:t>Tayassu</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pecari</w:t>
      </w:r>
      <w:proofErr w:type="spellEnd"/>
      <w:r w:rsidRPr="00D45DAE">
        <w:rPr>
          <w:rFonts w:ascii="Times New Roman" w:hAnsi="Times New Roman" w:cs="Times New Roman"/>
          <w:color w:val="000000"/>
        </w:rPr>
        <w:t>), primatas como o muriqui-do-sul (</w:t>
      </w:r>
      <w:proofErr w:type="spellStart"/>
      <w:r w:rsidRPr="00D45DAE">
        <w:rPr>
          <w:rFonts w:ascii="Times New Roman" w:hAnsi="Times New Roman" w:cs="Times New Roman"/>
          <w:color w:val="000000"/>
        </w:rPr>
        <w:t>Brachyteles</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arachnoides</w:t>
      </w:r>
      <w:proofErr w:type="spellEnd"/>
      <w:r w:rsidRPr="00D45DAE">
        <w:rPr>
          <w:rFonts w:ascii="Times New Roman" w:hAnsi="Times New Roman" w:cs="Times New Roman"/>
          <w:color w:val="000000"/>
        </w:rPr>
        <w:t>) e o bugio-ruivo (</w:t>
      </w:r>
      <w:proofErr w:type="spellStart"/>
      <w:r w:rsidRPr="00D45DAE">
        <w:rPr>
          <w:rFonts w:ascii="Times New Roman" w:hAnsi="Times New Roman" w:cs="Times New Roman"/>
          <w:color w:val="000000"/>
        </w:rPr>
        <w:t>Alouatta</w:t>
      </w:r>
      <w:proofErr w:type="spellEnd"/>
      <w:r w:rsidRPr="00D45DAE">
        <w:rPr>
          <w:rFonts w:ascii="Times New Roman" w:hAnsi="Times New Roman" w:cs="Times New Roman"/>
          <w:color w:val="000000"/>
        </w:rPr>
        <w:t xml:space="preserve"> guariba </w:t>
      </w:r>
      <w:proofErr w:type="spellStart"/>
      <w:r w:rsidRPr="00D45DAE">
        <w:rPr>
          <w:rFonts w:ascii="Times New Roman" w:hAnsi="Times New Roman" w:cs="Times New Roman"/>
          <w:color w:val="000000"/>
        </w:rPr>
        <w:t>clamitans</w:t>
      </w:r>
      <w:proofErr w:type="spellEnd"/>
      <w:r w:rsidRPr="00D45DAE">
        <w:rPr>
          <w:rFonts w:ascii="Times New Roman" w:hAnsi="Times New Roman" w:cs="Times New Roman"/>
          <w:color w:val="000000"/>
        </w:rPr>
        <w:t xml:space="preserve">). Dentre os invertebrados ameaçados, destacam-se duas espécies de borboletas: </w:t>
      </w:r>
      <w:proofErr w:type="spellStart"/>
      <w:r w:rsidRPr="00D45DAE">
        <w:rPr>
          <w:rFonts w:ascii="Times New Roman" w:hAnsi="Times New Roman" w:cs="Times New Roman"/>
          <w:color w:val="000000"/>
        </w:rPr>
        <w:t>Euselasia</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eberti</w:t>
      </w:r>
      <w:proofErr w:type="spellEnd"/>
      <w:r w:rsidRPr="00D45DAE">
        <w:rPr>
          <w:rFonts w:ascii="Times New Roman" w:hAnsi="Times New Roman" w:cs="Times New Roman"/>
          <w:color w:val="000000"/>
        </w:rPr>
        <w:t xml:space="preserve">, conhecida apenas de duas localidades em florestas de altitude da mata atlântica; e </w:t>
      </w:r>
      <w:proofErr w:type="spellStart"/>
      <w:r w:rsidRPr="00D45DAE">
        <w:rPr>
          <w:rFonts w:ascii="Times New Roman" w:hAnsi="Times New Roman" w:cs="Times New Roman"/>
          <w:color w:val="000000"/>
        </w:rPr>
        <w:t>Voltinia</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sanarita</w:t>
      </w:r>
      <w:proofErr w:type="spellEnd"/>
      <w:r w:rsidRPr="00D45DAE">
        <w:rPr>
          <w:rFonts w:ascii="Times New Roman" w:hAnsi="Times New Roman" w:cs="Times New Roman"/>
          <w:color w:val="000000"/>
        </w:rPr>
        <w:t>, habitante de campos de altitude. Flora: por ser território de grande biodiversidade, tem espécies inestimáveis de bromélias (plantas natural das florestas tropicais).</w:t>
      </w:r>
    </w:p>
    <w:p w14:paraId="0B5C9D6D"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7B101A6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Na Ilha Grande encontramos o Parque Estadual da Ilha Grande, o Parque Estadual Marinho do Aventureiro, a Reserva Biológica Estadual da Praia do Sul (o acesso é restrito ou entrada com autorização pelo Instituto Estadual do Ambiente (</w:t>
      </w:r>
      <w:proofErr w:type="spellStart"/>
      <w:r w:rsidRPr="00D45DAE">
        <w:rPr>
          <w:rFonts w:ascii="Times New Roman" w:hAnsi="Times New Roman" w:cs="Times New Roman"/>
          <w:color w:val="000000"/>
        </w:rPr>
        <w:t>Inea</w:t>
      </w:r>
      <w:proofErr w:type="spellEnd"/>
      <w:r w:rsidRPr="00D45DAE">
        <w:rPr>
          <w:rFonts w:ascii="Times New Roman" w:hAnsi="Times New Roman" w:cs="Times New Roman"/>
          <w:color w:val="000000"/>
        </w:rPr>
        <w:t>) e a Área de Proteção Ambiental (APA) de Tamoios, elas são unidades de conservação. Ilha Grande é um refúgio onde o bioma da Mata Atlântica ainda é preservado, com suas florestas, rios, lagoas, manguezais, fauna: as referências são as tartarugas marinhas, o caranguejo Maria-Farinha, os micos e os saguis. O local possui acesso fácil em trilhas.</w:t>
      </w:r>
    </w:p>
    <w:p w14:paraId="33D14638"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E7FAEBA"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É importante ressaltar que a conservação do Bioma, como um todo, dialoga muito bem com os indicadores dos Objetivos de Desenvolvimento Sustentável (ODS), principalmente quando pensamos em preservação, equilíbrio, respeito, justiça e sustentabilidade como perspectivas para o futuro.</w:t>
      </w:r>
    </w:p>
    <w:p w14:paraId="035F145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19C810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Para fins de exemplificação, um dos dezessete objetivos dos ODS é o Objetivo 6 - “Água potável e Saneamento” - que estabelece que até 2030 atores chaves da sociedade precisarão garantir em todo o mundo o acesso à água potável, e para que isso aconteça é fundamental investimento em infraestrutura adequada, acesso a saneamento e higiene. E nada melhor que proteger e recuperar o ecossistema do mundo. E por fazer parte de um patrimônio misto, é necessário ter um olhar mais atento em Paraty e Ilha Grande, onde por exemplo, é usado o Córrego do Bicão para abastecer grande parte da Vila do Abraão, porém ainda não possui um sistema adequado de tratamento de efluentes, o que requer soluções alternativas e sustentáveis por ser uma área insular. Já em Paraty a prefeitura querendo acabar com a precariedade que havia perante a isso fez com que eles tivessem o abastecimento de água potável na cidade, tratamento de esgoto coletado, tratamento de água e uma outra coisa essencial que foi o reforço no sistema de captação fazendo com que o volume da água aumentasse.</w:t>
      </w:r>
    </w:p>
    <w:p w14:paraId="1C0FF76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2B93649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Essas regiões terem se tornado Patrimônio Mundial requerem cuidados para a sua preservação, o que também contribui para que o acesso equitativo seja produzido, assim como ocorram mais ações de políticas públicas envolvendo a garantia de água e saneamento de forma segura a todos da localidade.</w:t>
      </w:r>
    </w:p>
    <w:p w14:paraId="5087C356"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035D8E1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Anteriormente a chegada dos europeus ao Brasil, a região da atual Paraty era habitada por indígenas </w:t>
      </w:r>
      <w:proofErr w:type="spellStart"/>
      <w:r w:rsidRPr="00D45DAE">
        <w:rPr>
          <w:rFonts w:ascii="Times New Roman" w:hAnsi="Times New Roman" w:cs="Times New Roman"/>
          <w:color w:val="000000"/>
        </w:rPr>
        <w:t>guaianás</w:t>
      </w:r>
      <w:proofErr w:type="spellEnd"/>
      <w:r w:rsidRPr="00D45DAE">
        <w:rPr>
          <w:rFonts w:ascii="Times New Roman" w:hAnsi="Times New Roman" w:cs="Times New Roman"/>
          <w:color w:val="000000"/>
        </w:rPr>
        <w:t>. Por volta do ano 1000, estes foram expulsos para o interior do continente devido à chegada dos tupis, procedentes da Amazônia.</w:t>
      </w:r>
    </w:p>
    <w:p w14:paraId="3720C5A6"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F4B3B1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Após a chegada dos europeus, principalmente portugueses, no século XVI, a dinâmica da população indígena em Paraty sofreu transformações significativas. O contato com os colonizadores trouxe consigo desafios como doenças, para as quais os indígenas não tinham imunidade, e conflitos territoriais, que alteraram profundamente as estruturas sociais e culturais desses povos. No entanto, vestígios da resistência e da influência indígena permanecem na área, visíveis em aspectos da cultura local, como as festas de São Benedito, tradicionalmente associadas aos descendentes dos escravizados e indígenas, e na culinária, que ainda conserva traços dos métodos tradicionais de preparo dos alimentos. Além disso, a região de Serra da Bocaina próxima a Paraty, é um importante refúgio para os descendentes dessas comunidades indígenas, onde tentam preservar suas tradições e modos de vida, apesar da crescente pressão do turismo e expansão urbana.</w:t>
      </w:r>
    </w:p>
    <w:p w14:paraId="042777CB"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92B5952"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No século XVI, quando os primeiros europeus chegaram à região de Paraty, esta era habitada pela tribo tupi dos tamoios. Nos primeiros anos do século XVI, os portugueses já conheciam a trilha aberta pelos </w:t>
      </w:r>
      <w:proofErr w:type="spellStart"/>
      <w:r w:rsidRPr="00D45DAE">
        <w:rPr>
          <w:rFonts w:ascii="Times New Roman" w:hAnsi="Times New Roman" w:cs="Times New Roman"/>
          <w:color w:val="000000"/>
        </w:rPr>
        <w:t>Guaianás</w:t>
      </w:r>
      <w:proofErr w:type="spellEnd"/>
      <w:r w:rsidRPr="00D45DAE">
        <w:rPr>
          <w:rFonts w:ascii="Times New Roman" w:hAnsi="Times New Roman" w:cs="Times New Roman"/>
          <w:color w:val="000000"/>
        </w:rPr>
        <w:t xml:space="preserve"> (Trilha dos </w:t>
      </w:r>
      <w:proofErr w:type="spellStart"/>
      <w:r w:rsidRPr="00D45DAE">
        <w:rPr>
          <w:rFonts w:ascii="Times New Roman" w:hAnsi="Times New Roman" w:cs="Times New Roman"/>
          <w:color w:val="000000"/>
        </w:rPr>
        <w:t>Goianás</w:t>
      </w:r>
      <w:proofErr w:type="spellEnd"/>
      <w:r w:rsidRPr="00D45DAE">
        <w:rPr>
          <w:rFonts w:ascii="Times New Roman" w:hAnsi="Times New Roman" w:cs="Times New Roman"/>
          <w:color w:val="000000"/>
        </w:rPr>
        <w:t xml:space="preserve">) ligando as praias de Paraty ao vale do Paraíba, para lá da Serra do Mar. O primeiro registro escrito sobre a região da atual Paraty é o livro do mercenário alemão Hans </w:t>
      </w:r>
      <w:proofErr w:type="spellStart"/>
      <w:r w:rsidRPr="00D45DAE">
        <w:rPr>
          <w:rFonts w:ascii="Times New Roman" w:hAnsi="Times New Roman" w:cs="Times New Roman"/>
          <w:color w:val="000000"/>
        </w:rPr>
        <w:t>Staden</w:t>
      </w:r>
      <w:proofErr w:type="spellEnd"/>
      <w:r w:rsidRPr="00D45DAE">
        <w:rPr>
          <w:rFonts w:ascii="Times New Roman" w:hAnsi="Times New Roman" w:cs="Times New Roman"/>
          <w:color w:val="000000"/>
        </w:rPr>
        <w:t>, "História verdadeira e descrição de um país de selvagens..." (</w:t>
      </w:r>
      <w:proofErr w:type="spellStart"/>
      <w:r w:rsidRPr="00D45DAE">
        <w:rPr>
          <w:rFonts w:ascii="Times New Roman" w:hAnsi="Times New Roman" w:cs="Times New Roman"/>
          <w:color w:val="000000"/>
        </w:rPr>
        <w:t>Marburgo</w:t>
      </w:r>
      <w:proofErr w:type="spellEnd"/>
      <w:r w:rsidRPr="00D45DAE">
        <w:rPr>
          <w:rFonts w:ascii="Times New Roman" w:hAnsi="Times New Roman" w:cs="Times New Roman"/>
          <w:color w:val="000000"/>
        </w:rPr>
        <w:t>, 1557), que narra a estadia deste por quase um ano em aldeias Tupinambás nas regiões de Paraty e de Angra dos Reis.</w:t>
      </w:r>
    </w:p>
    <w:p w14:paraId="0F0E8FEF"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3CB481F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Embora alguns autores pretendam que a fundação de Paraty remonte à primeira metade do século XVI, quando da passagem da expedição de Martim Afonso de Sousa, a primeira notícia que se tem do povoado é a da passagem da expedição de Martim Correia de Sá, em 1597. À época, a região encontrava-se compreendida na Capitania de São Vicente.</w:t>
      </w:r>
    </w:p>
    <w:p w14:paraId="73E9C447"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O núcleo de povoamento europeu iniciou-se no morro situado à margem do rio </w:t>
      </w:r>
      <w:proofErr w:type="spellStart"/>
      <w:r w:rsidRPr="00D45DAE">
        <w:rPr>
          <w:rFonts w:ascii="Times New Roman" w:hAnsi="Times New Roman" w:cs="Times New Roman"/>
          <w:color w:val="000000"/>
        </w:rPr>
        <w:t>Perequê-Açu</w:t>
      </w:r>
      <w:proofErr w:type="spellEnd"/>
      <w:r w:rsidRPr="00D45DAE">
        <w:rPr>
          <w:rFonts w:ascii="Times New Roman" w:hAnsi="Times New Roman" w:cs="Times New Roman"/>
          <w:color w:val="000000"/>
        </w:rPr>
        <w:t xml:space="preserve"> (depois Morro da Vila Velha, atual Morro do Forte). A primeira construção de que se tem notícia é a de uma capela, sob a invocação de São Roque, então padroeiro da povoação, na encosta do morro. O aldeamento dos </w:t>
      </w:r>
      <w:proofErr w:type="spellStart"/>
      <w:r w:rsidRPr="00D45DAE">
        <w:rPr>
          <w:rFonts w:ascii="Times New Roman" w:hAnsi="Times New Roman" w:cs="Times New Roman"/>
          <w:color w:val="000000"/>
        </w:rPr>
        <w:t>Guaianás</w:t>
      </w:r>
      <w:proofErr w:type="spellEnd"/>
      <w:r w:rsidRPr="00D45DAE">
        <w:rPr>
          <w:rFonts w:ascii="Times New Roman" w:hAnsi="Times New Roman" w:cs="Times New Roman"/>
          <w:color w:val="000000"/>
        </w:rPr>
        <w:t xml:space="preserve"> localizava-se à beira-mar. Em 1636, Maria </w:t>
      </w:r>
      <w:proofErr w:type="spellStart"/>
      <w:r w:rsidRPr="00D45DAE">
        <w:rPr>
          <w:rFonts w:ascii="Times New Roman" w:hAnsi="Times New Roman" w:cs="Times New Roman"/>
          <w:color w:val="000000"/>
        </w:rPr>
        <w:t>Jácome</w:t>
      </w:r>
      <w:proofErr w:type="spellEnd"/>
      <w:r w:rsidRPr="00D45DAE">
        <w:rPr>
          <w:rFonts w:ascii="Times New Roman" w:hAnsi="Times New Roman" w:cs="Times New Roman"/>
          <w:color w:val="000000"/>
        </w:rPr>
        <w:t xml:space="preserve"> de Melo fez a doação de uma sesmaria.</w:t>
      </w:r>
    </w:p>
    <w:p w14:paraId="6A1BCDCE"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7B334F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partir de 1664 várias comunidades se registraram entre os moradores, visando tornar a povoação independente da vizinha Angra dos Reis, o que veio a ocorrer em 1670, como fruto da revolta liderada por Domingos Gonçalves de Abreu, vindo o povoado a ser alçado à categoria de vila. Este ato de comunidade foi reconhecido por Afonso V de Portugal, que, por Carta Régia de 28 de fevereiro de 1677 ratificou o ato.</w:t>
      </w:r>
    </w:p>
    <w:p w14:paraId="410405D4"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26079E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Com a descoberta de ouro pelos paulistas na Capitania de São Vicente (na atual região de Minas Gerais), a dinâmica de Paraty ganhou novo impulso já que a capital do Brasil foi transferida de Salvador para o Rio de Janeiro por esse motivo. Em 1702, o governador da capitania do Rio de </w:t>
      </w:r>
      <w:proofErr w:type="spellStart"/>
      <w:r w:rsidRPr="00D45DAE">
        <w:rPr>
          <w:rFonts w:ascii="Times New Roman" w:hAnsi="Times New Roman" w:cs="Times New Roman"/>
          <w:color w:val="000000"/>
        </w:rPr>
        <w:t>Janeir</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odeterminou</w:t>
      </w:r>
      <w:proofErr w:type="spellEnd"/>
      <w:r w:rsidRPr="00D45DAE">
        <w:rPr>
          <w:rFonts w:ascii="Times New Roman" w:hAnsi="Times New Roman" w:cs="Times New Roman"/>
          <w:color w:val="000000"/>
        </w:rPr>
        <w:t xml:space="preserve"> que as mercadorias somente poderiam ingressar na Colônia pela cidade do Rio de Janeiro e daí tomar o rumo de Paraty, de onde seguiriam para as Minas Gerais pela antiga trilha indígena, agora pavimentada com pedras irregulares, que passou a ser conhecida por Caminho do Ouro.</w:t>
      </w:r>
    </w:p>
    <w:p w14:paraId="5A3124E6"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2A617C2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proibição do transporte de ouro pela estrada de Paraty, a partir de 1710, fez os seus habitantes se rebelarem. A medida foi revogada, mas depois restabelecida. Este fato, mas principalmente a abertura do chamado Caminho Novo, ligando diretamente o Rio de Janeiro às Minas, tiveram como consequência a diminuição do movimento na vila.</w:t>
      </w:r>
    </w:p>
    <w:p w14:paraId="78E57E0C"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72178F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eastAsia="Arial Unicode MS" w:hAnsi="Apple Color Emoji" w:cs="Apple Color Emoji"/>
          <w:color w:val="000000"/>
        </w:rPr>
        <w:t>⏳</w:t>
      </w:r>
      <w:r w:rsidRPr="00D45DAE">
        <w:rPr>
          <w:rFonts w:ascii="Times New Roman" w:eastAsia="Arial Unicode MS" w:hAnsi="Times New Roman" w:cs="Times New Roman"/>
          <w:color w:val="000000"/>
        </w:rPr>
        <w:t>O Século XIX e o Ciclo do café</w:t>
      </w:r>
    </w:p>
    <w:p w14:paraId="7A295C49"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FC6593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Para burlar a proibição ao tráfico de escravos decretada pelo regente Padre Diogo Antônio Feijó, o desembarque de africanos passa a ser feito em Paraty. As rotas, por onde antes circulava o ouro, passaram então a ser usadas para o tráfico e para o escoamento da produção cafeeira do vale do Paraíba, que então se iniciava.</w:t>
      </w:r>
    </w:p>
    <w:p w14:paraId="1758DCF6"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47217E4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À época do Segundo Reinado, um Decreto-lei de 1844, do imperador Pedro II do Brasil, elevou a antiga vila a cidade. Com a chegada da ferrovia a Barra do </w:t>
      </w:r>
      <w:proofErr w:type="spellStart"/>
      <w:r w:rsidRPr="00D45DAE">
        <w:rPr>
          <w:rFonts w:ascii="Times New Roman" w:hAnsi="Times New Roman" w:cs="Times New Roman"/>
          <w:color w:val="000000"/>
        </w:rPr>
        <w:t>Piraí</w:t>
      </w:r>
      <w:proofErr w:type="spellEnd"/>
      <w:r w:rsidRPr="00D45DAE">
        <w:rPr>
          <w:rFonts w:ascii="Times New Roman" w:hAnsi="Times New Roman" w:cs="Times New Roman"/>
          <w:color w:val="000000"/>
        </w:rPr>
        <w:t xml:space="preserve"> (1864) a produção passou a ser escoada por ela, condenando Paraty a um longo período de decadência.</w:t>
      </w:r>
    </w:p>
    <w:p w14:paraId="6AF5D9AE"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74ACE66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 xml:space="preserve"> ESTADO DA GUANABARA (460 ANOS)</w:t>
      </w:r>
    </w:p>
    <w:p w14:paraId="280F5FAC"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Fusão Estadual Indústria CSN</w:t>
      </w:r>
    </w:p>
    <w:p w14:paraId="70D61F20"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6175001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A cidade e o seu patrimônio foram preservados e reconhecidos como Patrimônio brasileiro, sendo o núcleo urbano colonial e seu conjunto arquitetônico acautelados pela legislação federal de proteção do patrimônio cultural – lei de tombamento, e redescobertos em 1964, com a reabertura da estrada que a ligava ao estado de São Paulo - a Paraty-Cunha -, vindo a constituir-se em um polo de atração turística. Desse modo, em 1958, o conjunto histórico de Paraty foi tombado pelo Instituto do Patrimônio Histórico e Artístico Nacional. O movimento turístico intensificou-se com a abertura da Rio-Santos (BR-101) em 1973.</w:t>
      </w:r>
    </w:p>
    <w:p w14:paraId="6090662A"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EAC38DE"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Na década de 1980 indígenas Guarani </w:t>
      </w:r>
      <w:proofErr w:type="spellStart"/>
      <w:r w:rsidRPr="00D45DAE">
        <w:rPr>
          <w:rFonts w:ascii="Times New Roman" w:hAnsi="Times New Roman" w:cs="Times New Roman"/>
          <w:color w:val="000000"/>
        </w:rPr>
        <w:t>M'bya</w:t>
      </w:r>
      <w:proofErr w:type="spellEnd"/>
      <w:r w:rsidRPr="00D45DAE">
        <w:rPr>
          <w:rFonts w:ascii="Times New Roman" w:hAnsi="Times New Roman" w:cs="Times New Roman"/>
          <w:color w:val="000000"/>
        </w:rPr>
        <w:t xml:space="preserve">, procedentes do sul do país, instalaram-se no município, nas atuais aldeias de Araponga e </w:t>
      </w:r>
      <w:proofErr w:type="spellStart"/>
      <w:r w:rsidRPr="00D45DAE">
        <w:rPr>
          <w:rFonts w:ascii="Times New Roman" w:hAnsi="Times New Roman" w:cs="Times New Roman"/>
          <w:color w:val="000000"/>
        </w:rPr>
        <w:t>Paratimirim</w:t>
      </w:r>
      <w:proofErr w:type="spellEnd"/>
      <w:r w:rsidRPr="00D45DAE">
        <w:rPr>
          <w:rFonts w:ascii="Times New Roman" w:hAnsi="Times New Roman" w:cs="Times New Roman"/>
          <w:color w:val="000000"/>
        </w:rPr>
        <w:t>.</w:t>
      </w:r>
    </w:p>
    <w:p w14:paraId="500E6DCC"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496FA1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Hoje a cidade é o segundo polo turístico do estado do Rio de Janeiro e o 17º do país. O jornal The New York Times, destacou a cidade como destino cultural mais rico da Costa Verde. Foi uma das poucas cidades que não são capital de estado a receber a tocha dos Jogos Pan-americanos de 2007 nos dias que antecederam os jogos.</w:t>
      </w:r>
    </w:p>
    <w:p w14:paraId="3F04E2B4"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3979DC8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Cidades-irmãs</w:t>
      </w:r>
    </w:p>
    <w:p w14:paraId="130DBEF3"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1163219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Ílhavo</w:t>
      </w:r>
      <w:proofErr w:type="spellEnd"/>
      <w:r w:rsidRPr="00D45DAE">
        <w:rPr>
          <w:rFonts w:ascii="Times New Roman" w:hAnsi="Times New Roman" w:cs="Times New Roman"/>
          <w:color w:val="000000"/>
        </w:rPr>
        <w:t>, em Portugal - Lei nº 254/2007 de 25 dezembro de 2007.</w:t>
      </w:r>
    </w:p>
    <w:p w14:paraId="230C188A"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Cunha, no Brasil - Lei municipal nº 49 de 10 outubro de 2013.</w:t>
      </w:r>
    </w:p>
    <w:p w14:paraId="22161D9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Capri, na Itália - Lei municipal nº 1805/2011 de 15 de maio de 2011.</w:t>
      </w:r>
    </w:p>
    <w:p w14:paraId="4579A07D"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Ilha Grande, no Brasil - Decreto nº 9.763 de 11 de Abril de 2019.</w:t>
      </w:r>
    </w:p>
    <w:p w14:paraId="660EC090"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Regulamenta o disposto no inciso XI do </w:t>
      </w:r>
      <w:proofErr w:type="spellStart"/>
      <w:r w:rsidRPr="00D45DAE">
        <w:rPr>
          <w:rFonts w:ascii="Times New Roman" w:hAnsi="Times New Roman" w:cs="Times New Roman"/>
          <w:color w:val="000000"/>
        </w:rPr>
        <w:t>caput</w:t>
      </w:r>
      <w:proofErr w:type="spellEnd"/>
      <w:r w:rsidRPr="00D45DAE">
        <w:rPr>
          <w:rFonts w:ascii="Times New Roman" w:hAnsi="Times New Roman" w:cs="Times New Roman"/>
          <w:color w:val="000000"/>
        </w:rPr>
        <w:t xml:space="preserve"> do art. 5º da Lei nº 11.771, de 17 de setembro de 2008, que dispõe sobre a Política Nacional de Turismo, com vistas a desenvolver, a ordenar e a promover os segmentos turísticos relacionados com o Patrimônio Mundial Cultural e Natural do Brasil.</w:t>
      </w:r>
    </w:p>
    <w:p w14:paraId="5EFE3664"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979919D"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O longo processo de estagnação vivido por Paraty ao longo do século XX manteve, paradoxalmente, o casario colonial, conservado no conjunto conhecido como Centro Histórico, tornando a cidade um dos destinos turísticos mais procurados do país.</w:t>
      </w:r>
    </w:p>
    <w:p w14:paraId="27D41478"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0E2210AB"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Pelas ruas de pedra irregular, circulam, a pé – a entrada de veículos é proibida na maior parte do Centro Histórico -, turistas do mundo inteiro, atraídos pela beleza da arquitetura típica do Brasil Colônia. As casas históricas foram requalificadas como pousadas, restaurantes, lojas de artesanato e museus.</w:t>
      </w:r>
    </w:p>
    <w:p w14:paraId="4BE63820"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A0412D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No entanto, Paraty é muito mais que apenas uma pequena cidade histórica. Costeada por montanhas cobertas do denso verde da mata atlântica, a cidade é rodeada de Parques e Reservas Ecológicas, fazendo da região uma das mais preservadas do Brasil. Há mais de 60 ilhas e 90 praias em Paraty, boa parte delas acessível somente de barco ou trilhas. As praias de Trindade são uma atração à parte: em fevereiro de 2009, o governo federal delimitou a Praia do Meio, em Trindade, como parte integrante do Parque Nacional da Serra da Bocaina.</w:t>
      </w:r>
    </w:p>
    <w:p w14:paraId="6952CB0B"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28444D26"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Centro Histórico que é o local em que as pessoas caminham, pois lembrem-se, não é permitido carro por lá. Tem um conjunto arquitetônico testemunho do período colonial, sendo um dos mais bem preservados conjuntos desse estilo representado pelas casas com janelas e portas coloridas;O Caminho do Ouro, cujos trechos são registrados como Sítio Arqueológico pelo Instituto do Patrimônio Histórico e Artístico Nacional (IPHAN), construído entre os séculos XVII e XIX, a partir de trilhas dos índios </w:t>
      </w:r>
      <w:proofErr w:type="spellStart"/>
      <w:r w:rsidRPr="00D45DAE">
        <w:rPr>
          <w:rFonts w:ascii="Times New Roman" w:hAnsi="Times New Roman" w:cs="Times New Roman"/>
          <w:color w:val="000000"/>
        </w:rPr>
        <w:t>guaianazes</w:t>
      </w:r>
      <w:proofErr w:type="spellEnd"/>
      <w:r w:rsidRPr="00D45DAE">
        <w:rPr>
          <w:rFonts w:ascii="Times New Roman" w:hAnsi="Times New Roman" w:cs="Times New Roman"/>
          <w:color w:val="000000"/>
        </w:rPr>
        <w:t xml:space="preserve">. O mesmo era uma das variantes da Estrada Real, que ligava o Rio de Janeiro, São Paulo e Minas Gerais, na época do chamado “Ciclo do Ouro” brasileiro. Atualmente, na área do Parque Nacional da Serra da Bocaina há trechos preservados, envoltos pela exuberância da Mata Atlântica;O Forte Defensor Perpétuo, construído para defender e proteger Paraty; e hoje em dia tombado pelo IPHAN, esse forte foi o núcleo inicial do povoado;O Saco de </w:t>
      </w:r>
      <w:proofErr w:type="spellStart"/>
      <w:r w:rsidRPr="00D45DAE">
        <w:rPr>
          <w:rFonts w:ascii="Times New Roman" w:hAnsi="Times New Roman" w:cs="Times New Roman"/>
          <w:color w:val="000000"/>
        </w:rPr>
        <w:t>Mamanguá</w:t>
      </w:r>
      <w:proofErr w:type="spellEnd"/>
      <w:r w:rsidRPr="00D45DAE">
        <w:rPr>
          <w:rFonts w:ascii="Times New Roman" w:hAnsi="Times New Roman" w:cs="Times New Roman"/>
          <w:color w:val="000000"/>
        </w:rPr>
        <w:t>, local de beleza cênica e riqueza ambiental de Paraty, é uma dos mais desejadas para conhecer. Porém, para ter acesso ao local é necessário a ajuda de um guia ou uma agência de passeios especializada;Paraty Mirim, cujo conjunto arquitetônico possui especial interesse cultural, além de também ser registrado como sítio arqueológico pelo IPHAN, tem uma paisagem natural maravilhosa e abriga a mais antiga igreja da cidade e possui uma mata extensa ao seu redor;O Parque Nacional da Serra da Bocaina localiza-se na divisa de São Paulo e Rio de Janeiro, tem uma área com 134 mil hectares e uma grande biodiversidade, neste local há várias atrações turísticas naturais;</w:t>
      </w:r>
    </w:p>
    <w:p w14:paraId="5F5070B6"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2C00E204"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Além dos locais citados há muitos outros com valor arquitetônico, artístico, paisagístico, natural e cultural. Os lugares para saborear e experimentar um pouco da gastronomia de Paraty são os cafés, bares, restaurantes e bistrôs, onde você encontrará doces típicos da cidade como </w:t>
      </w:r>
      <w:proofErr w:type="spellStart"/>
      <w:r w:rsidRPr="00D45DAE">
        <w:rPr>
          <w:rFonts w:ascii="Times New Roman" w:hAnsi="Times New Roman" w:cs="Times New Roman"/>
          <w:color w:val="000000"/>
        </w:rPr>
        <w:t>massapão</w:t>
      </w:r>
      <w:proofErr w:type="spellEnd"/>
      <w:r w:rsidRPr="00D45DAE">
        <w:rPr>
          <w:rFonts w:ascii="Times New Roman" w:hAnsi="Times New Roman" w:cs="Times New Roman"/>
          <w:color w:val="000000"/>
        </w:rPr>
        <w:t xml:space="preserve">, </w:t>
      </w:r>
      <w:proofErr w:type="spellStart"/>
      <w:r w:rsidRPr="00D45DAE">
        <w:rPr>
          <w:rFonts w:ascii="Times New Roman" w:hAnsi="Times New Roman" w:cs="Times New Roman"/>
          <w:color w:val="000000"/>
        </w:rPr>
        <w:t>manuê</w:t>
      </w:r>
      <w:proofErr w:type="spellEnd"/>
      <w:r w:rsidRPr="00D45DAE">
        <w:rPr>
          <w:rFonts w:ascii="Times New Roman" w:hAnsi="Times New Roman" w:cs="Times New Roman"/>
          <w:color w:val="000000"/>
        </w:rPr>
        <w:t xml:space="preserve"> de bacia e as próprias criações do local, a gastronomia tem como base os pescados e frutos do mar, priorizando os produtos locais produzidos pelas comunidades tradicionais e agricultura orgânica, projeto priorizado na iniciativa da cidade criativa da gastronomia da UNESCO.</w:t>
      </w:r>
    </w:p>
    <w:p w14:paraId="38EB7C82"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3D1464E3"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Em 5 de julho de 2019, a cidade colonial de Paraty e a Ilha Grande foram declaradas Patrimônio da Humanidade pela Unesco, por sua mistura única de riquezas históricas e naturais. Trata-se do primeiro lugar misto (patrimônio cultural e natural) do Brasil. A área reconhecida abrange 149 mil hectares e inclui o centro histórico de colônias de Paraty (fundada em 1667 e declarado patrimônio histórico no Brasil em 1958) e quatro reservas naturais ao redor, incluindo a Serra da Bocaina e a Ilha Grande, na região chamada de "Costa Verde". O governo brasileiro concentrou sua candidatura na coexistência de culturas locais, como indígenas, quilombolas (descendentes de negros escravizados) e comunidades costeiras de pescadores e artesãos. Além disso, segundo o </w:t>
      </w:r>
      <w:proofErr w:type="spellStart"/>
      <w:r w:rsidRPr="00D45DAE">
        <w:rPr>
          <w:rFonts w:ascii="Times New Roman" w:hAnsi="Times New Roman" w:cs="Times New Roman"/>
          <w:color w:val="000000"/>
        </w:rPr>
        <w:t>Iphan</w:t>
      </w:r>
      <w:proofErr w:type="spellEnd"/>
      <w:r w:rsidRPr="00D45DAE">
        <w:rPr>
          <w:rFonts w:ascii="Times New Roman" w:hAnsi="Times New Roman" w:cs="Times New Roman"/>
          <w:color w:val="000000"/>
        </w:rPr>
        <w:t>, 85% da Mata Atlântica é preservada nessa área. A candidatura listou 36 espécies de plantas consideradas raras, sendo 29 endêmicas. Entre os tesouros históricos de Paraty, está um trecho da Estrada do Ouro, construída por escravos entre os séculos XVII e XIX, por onde transportavam os metais preciosos extraídos no interior de Minas Gerais até o porto de Paraty, destinados a Portugal. Antigas fazendas, fortificações, adegas de cachaça e sítios arqueológicos também fazem parte do circuito histórico.</w:t>
      </w:r>
    </w:p>
    <w:p w14:paraId="526F3440" w14:textId="77777777" w:rsidR="001C11E3" w:rsidRDefault="001C11E3" w:rsidP="007D7BE8">
      <w:pPr>
        <w:spacing w:before="240" w:after="240" w:line="360" w:lineRule="auto"/>
        <w:ind w:left="2160"/>
        <w:jc w:val="both"/>
        <w:rPr>
          <w:rFonts w:ascii="Times New Roman" w:hAnsi="Times New Roman" w:cs="Times New Roman"/>
          <w:color w:val="000000"/>
        </w:rPr>
      </w:pPr>
    </w:p>
    <w:p w14:paraId="14E53EA1" w14:textId="77777777" w:rsidR="009F5F09" w:rsidRDefault="009F5F09" w:rsidP="007D7BE8">
      <w:pPr>
        <w:spacing w:before="240" w:after="240" w:line="360" w:lineRule="auto"/>
        <w:ind w:left="2160"/>
        <w:jc w:val="both"/>
        <w:rPr>
          <w:rFonts w:ascii="Times New Roman" w:hAnsi="Times New Roman" w:cs="Times New Roman"/>
          <w:color w:val="000000"/>
        </w:rPr>
      </w:pPr>
    </w:p>
    <w:p w14:paraId="562CD27A" w14:textId="77777777" w:rsidR="009F5F09" w:rsidRDefault="009F5F09" w:rsidP="007D7BE8">
      <w:pPr>
        <w:spacing w:before="240" w:after="240" w:line="360" w:lineRule="auto"/>
        <w:ind w:left="2160"/>
        <w:jc w:val="both"/>
        <w:rPr>
          <w:rFonts w:ascii="Times New Roman" w:hAnsi="Times New Roman" w:cs="Times New Roman"/>
          <w:color w:val="000000"/>
        </w:rPr>
      </w:pPr>
    </w:p>
    <w:p w14:paraId="02449719" w14:textId="77777777" w:rsidR="009F5F09" w:rsidRPr="00D45DAE" w:rsidRDefault="009F5F09" w:rsidP="007D7BE8">
      <w:pPr>
        <w:spacing w:before="240" w:after="240" w:line="360" w:lineRule="auto"/>
        <w:ind w:left="2160"/>
        <w:jc w:val="both"/>
        <w:rPr>
          <w:rFonts w:ascii="Times New Roman" w:hAnsi="Times New Roman" w:cs="Times New Roman"/>
          <w:color w:val="000000"/>
        </w:rPr>
      </w:pPr>
    </w:p>
    <w:p w14:paraId="689F6345" w14:textId="1C6543E5" w:rsidR="001C11E3" w:rsidRPr="00D45DAE" w:rsidRDefault="00576533" w:rsidP="009F5F09">
      <w:pPr>
        <w:spacing w:before="240" w:after="240" w:line="360" w:lineRule="auto"/>
        <w:ind w:left="2160"/>
        <w:jc w:val="both"/>
        <w:rPr>
          <w:rFonts w:ascii="Times New Roman" w:hAnsi="Times New Roman" w:cs="Times New Roman"/>
          <w:color w:val="000000"/>
        </w:rPr>
      </w:pPr>
      <w:r w:rsidRPr="00D45DAE">
        <w:rPr>
          <w:rFonts w:ascii="Apple Color Emoji" w:hAnsi="Apple Color Emoji" w:cs="Apple Color Emoji"/>
          <w:color w:val="000000"/>
        </w:rPr>
        <w:t>🇧🇷</w:t>
      </w:r>
      <w:r w:rsidRPr="00D45DAE">
        <w:rPr>
          <w:rFonts w:ascii="Times New Roman" w:hAnsi="Times New Roman" w:cs="Times New Roman"/>
          <w:color w:val="000000"/>
        </w:rPr>
        <w:t>MEMÓRIA HISTÓRICA ATRAVÉS DA CULTURA</w:t>
      </w:r>
    </w:p>
    <w:p w14:paraId="45B04C65"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Realizada desde 2003, a Festa Literária Internacional de Paraty (FLIP) conta com a presença de escritores nacionais e estrangeiros que participam de palestras e debates nos prédios históricos ou em tendas armadas nas ruas.</w:t>
      </w:r>
    </w:p>
    <w:p w14:paraId="176FA1F9"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A cada ano, a FLIP é dedicada à memória de um grande escritor já morto. Em 2003, o homenageado foi Vinícius de Moraes; em 2004, Guimarães Rosa; em 2005, Clarice Lispector; em 2006, Jorge Amado; em 2007, Nelson Rodrigues; em 2008 Machado de Assis; em 2009 Manuel Bandeira; em 2010, Gilberto </w:t>
      </w:r>
      <w:proofErr w:type="spellStart"/>
      <w:r w:rsidRPr="00D45DAE">
        <w:rPr>
          <w:rFonts w:ascii="Times New Roman" w:hAnsi="Times New Roman" w:cs="Times New Roman"/>
          <w:color w:val="000000"/>
        </w:rPr>
        <w:t>Freyre</w:t>
      </w:r>
      <w:proofErr w:type="spellEnd"/>
      <w:r w:rsidRPr="00D45DAE">
        <w:rPr>
          <w:rFonts w:ascii="Times New Roman" w:hAnsi="Times New Roman" w:cs="Times New Roman"/>
          <w:color w:val="000000"/>
        </w:rPr>
        <w:t xml:space="preserve"> e, em 2014, </w:t>
      </w:r>
      <w:proofErr w:type="spellStart"/>
      <w:r w:rsidRPr="00D45DAE">
        <w:rPr>
          <w:rFonts w:ascii="Times New Roman" w:hAnsi="Times New Roman" w:cs="Times New Roman"/>
          <w:color w:val="000000"/>
        </w:rPr>
        <w:t>Millôr</w:t>
      </w:r>
      <w:proofErr w:type="spellEnd"/>
      <w:r w:rsidRPr="00D45DAE">
        <w:rPr>
          <w:rFonts w:ascii="Times New Roman" w:hAnsi="Times New Roman" w:cs="Times New Roman"/>
          <w:color w:val="000000"/>
        </w:rPr>
        <w:t xml:space="preserve"> Fernandes.</w:t>
      </w:r>
    </w:p>
    <w:p w14:paraId="30A59AC9" w14:textId="77777777" w:rsidR="001C11E3" w:rsidRPr="00D45DAE" w:rsidRDefault="001C11E3" w:rsidP="007D7BE8">
      <w:pPr>
        <w:spacing w:before="240" w:after="240" w:line="360" w:lineRule="auto"/>
        <w:ind w:left="2160"/>
        <w:jc w:val="both"/>
        <w:rPr>
          <w:rFonts w:ascii="Times New Roman" w:hAnsi="Times New Roman" w:cs="Times New Roman"/>
          <w:color w:val="000000"/>
        </w:rPr>
      </w:pPr>
    </w:p>
    <w:p w14:paraId="5C2FD5E1" w14:textId="77777777" w:rsidR="001C11E3" w:rsidRPr="00D45DAE" w:rsidRDefault="00576533" w:rsidP="007D7BE8">
      <w:pPr>
        <w:spacing w:before="240" w:after="240" w:line="360" w:lineRule="auto"/>
        <w:ind w:left="2160"/>
        <w:jc w:val="both"/>
        <w:rPr>
          <w:rFonts w:ascii="Times New Roman" w:hAnsi="Times New Roman" w:cs="Times New Roman"/>
          <w:color w:val="000000"/>
        </w:rPr>
      </w:pPr>
      <w:r w:rsidRPr="00D45DAE">
        <w:rPr>
          <w:rFonts w:ascii="Times New Roman" w:hAnsi="Times New Roman" w:cs="Times New Roman"/>
          <w:color w:val="000000"/>
        </w:rPr>
        <w:t xml:space="preserve">Vários outros eventos culturais também têm Paraty, como: Festival da Pinga; Festa do Divino Espírito Santo; Festa de Santa Rita; Parati em Foco; Mostra Rio-São Paulo de Teatro de Rua; Festival de Música Sacra; Festa do Divino Espírito Santo (patrimônio cultural do Brasil); Encontro de Teatro de Rua; Carnaval; Festival Internacional de Fotografia; Encontro de Ceramistas; Festival Mimo de música; Bourbon Festival; </w:t>
      </w:r>
      <w:proofErr w:type="spellStart"/>
      <w:r w:rsidRPr="00D45DAE">
        <w:rPr>
          <w:rFonts w:ascii="Times New Roman" w:hAnsi="Times New Roman" w:cs="Times New Roman"/>
          <w:color w:val="000000"/>
        </w:rPr>
        <w:t>Tollosa</w:t>
      </w:r>
      <w:proofErr w:type="spellEnd"/>
      <w:r w:rsidRPr="00D45DAE">
        <w:rPr>
          <w:rFonts w:ascii="Times New Roman" w:hAnsi="Times New Roman" w:cs="Times New Roman"/>
          <w:color w:val="000000"/>
        </w:rPr>
        <w:t xml:space="preserve"> e Paraty Eco Festival.</w:t>
      </w:r>
    </w:p>
    <w:p w14:paraId="322CEFCE"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5A74F91F" w14:textId="039A859D" w:rsidR="001C11E3" w:rsidRPr="008736DD" w:rsidRDefault="00576533" w:rsidP="009F5F09">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Eventos religiosos</w:t>
      </w:r>
    </w:p>
    <w:p w14:paraId="548600FD"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Semana Santa</w:t>
      </w:r>
    </w:p>
    <w:p w14:paraId="33E0D057"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Festa do Divino Espírito Santo</w:t>
      </w:r>
    </w:p>
    <w:p w14:paraId="52A558B2"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Festa de Santa Rita de Cássia</w:t>
      </w:r>
    </w:p>
    <w:p w14:paraId="2C487C42"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Corpus Christi</w:t>
      </w:r>
    </w:p>
    <w:p w14:paraId="73D3B069" w14:textId="77777777" w:rsidR="001C11E3" w:rsidRDefault="001C11E3" w:rsidP="007D7BE8">
      <w:pPr>
        <w:spacing w:before="240" w:after="240" w:line="360" w:lineRule="auto"/>
        <w:ind w:left="2160"/>
        <w:jc w:val="both"/>
        <w:rPr>
          <w:rFonts w:ascii="Times New Roman" w:hAnsi="Times New Roman" w:cs="Times New Roman"/>
          <w:color w:val="000000"/>
        </w:rPr>
      </w:pPr>
    </w:p>
    <w:p w14:paraId="798EBE98" w14:textId="77777777" w:rsidR="009F5F09" w:rsidRPr="008736DD" w:rsidRDefault="009F5F09" w:rsidP="007D7BE8">
      <w:pPr>
        <w:spacing w:before="240" w:after="240" w:line="360" w:lineRule="auto"/>
        <w:ind w:left="2160"/>
        <w:jc w:val="both"/>
        <w:rPr>
          <w:rFonts w:ascii="Times New Roman" w:hAnsi="Times New Roman" w:cs="Times New Roman"/>
          <w:color w:val="000000"/>
        </w:rPr>
      </w:pPr>
    </w:p>
    <w:p w14:paraId="43CE161D" w14:textId="7432D80F" w:rsidR="001C11E3" w:rsidRPr="008736DD" w:rsidRDefault="00576533" w:rsidP="009F5F09">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Patrimônio edificado</w:t>
      </w:r>
    </w:p>
    <w:p w14:paraId="54331FD0"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Chafariz do Pedreira - à entrada da cidade, em mármore, foi iniciado em 1851 e inaugurado em 1853 pelo conselheiro Luís Pedreira do Couto Ferraz, então presidente da província do Rio de Janeiro, que, na ocasião, bebeu, em copo de ouro, as suas primeiras águas.</w:t>
      </w:r>
    </w:p>
    <w:p w14:paraId="48586121"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0192FE6B"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Sobrado dos Bonecos e Passos da Paixão - localizado à Rua Tenente Francisco Antônio, nele se destaca o beiral em telhas de louça. O nome dos Bonecos veio das estátuas que encimavam a sua platibanda. No prédio vizinho, existe uma capela dos Passos da Paixão, aberta apenas para as procissões da Semana Santa.</w:t>
      </w:r>
    </w:p>
    <w:p w14:paraId="7F36F0A9"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79BB8086"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Antiga Cadeia Pública - atualmente, sedia a Secretaria de Cultura, Turismo e Esportes do município e o Instituto Histórico e Artístico de Parati.</w:t>
      </w:r>
    </w:p>
    <w:p w14:paraId="293E8719"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5ED18BA5"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xml:space="preserve">* Rua do Fogo - é uma das poucas ruas da cidade que conserva o seu primitivo nome. Comunica um dos vértices do Largo de Santa Rita à Rua Maria </w:t>
      </w:r>
      <w:proofErr w:type="spellStart"/>
      <w:r w:rsidRPr="008736DD">
        <w:rPr>
          <w:rFonts w:ascii="Times New Roman" w:hAnsi="Times New Roman" w:cs="Times New Roman"/>
          <w:color w:val="000000"/>
        </w:rPr>
        <w:t>Jácome</w:t>
      </w:r>
      <w:proofErr w:type="spellEnd"/>
      <w:r w:rsidRPr="008736DD">
        <w:rPr>
          <w:rFonts w:ascii="Times New Roman" w:hAnsi="Times New Roman" w:cs="Times New Roman"/>
          <w:color w:val="000000"/>
        </w:rPr>
        <w:t xml:space="preserve"> de Melo.</w:t>
      </w:r>
    </w:p>
    <w:p w14:paraId="27E7104F"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66697898"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Rua Dona Geralda - Geralda Maria da Silva nasceu em Parati em 1807. Benemérita, herdou de seu pai grande fortuna, que a lenda local associa à descoberta de um tesouro de piratas.</w:t>
      </w:r>
    </w:p>
    <w:p w14:paraId="77444D83"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125E82D1"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Mercado do Peixe - localiza-se à beira-mar, comercializando verduras e frutas.</w:t>
      </w:r>
    </w:p>
    <w:p w14:paraId="4ECD58E0"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36D7781F"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xml:space="preserve">* Rua da Praia - comunica o Mercado do Peixe à beira do rio </w:t>
      </w:r>
      <w:proofErr w:type="spellStart"/>
      <w:r w:rsidRPr="008736DD">
        <w:rPr>
          <w:rFonts w:ascii="Times New Roman" w:hAnsi="Times New Roman" w:cs="Times New Roman"/>
          <w:color w:val="000000"/>
        </w:rPr>
        <w:t>Perequê-açu</w:t>
      </w:r>
      <w:proofErr w:type="spellEnd"/>
      <w:r w:rsidRPr="008736DD">
        <w:rPr>
          <w:rFonts w:ascii="Times New Roman" w:hAnsi="Times New Roman" w:cs="Times New Roman"/>
          <w:color w:val="000000"/>
        </w:rPr>
        <w:t>. Em determinadas luas, é inundada pelas águas da maré alta, que refletem o seu casario, espetáculo que atrai a atenção dos turistas.</w:t>
      </w:r>
    </w:p>
    <w:p w14:paraId="03280293"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30F7758E"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Rua Fresca - outrora denominada Rua das Dores (por abrigar a Igreja de Nossa Senhora das Dores), Rua Alegre e Rua do Mar, nela, se destaca o Sobrado dos Orleans e Bragança, próximo à Igreja de Nossa Senhora das Dores.</w:t>
      </w:r>
    </w:p>
    <w:p w14:paraId="20658C40"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72C23E8D"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Igreja Matriz de Nossa Senhora dos Remédios</w:t>
      </w:r>
    </w:p>
    <w:p w14:paraId="20E6961E"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Igreja de Santa Rita de Cássia</w:t>
      </w:r>
    </w:p>
    <w:p w14:paraId="4919D025"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Igreja de Nossa Senhora do Rosário e São Benedito</w:t>
      </w:r>
    </w:p>
    <w:p w14:paraId="7E52EDB6"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Igreja de Nossa Senhora das Dores</w:t>
      </w:r>
    </w:p>
    <w:p w14:paraId="4E7649E4"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Praça do Imperador</w:t>
      </w:r>
    </w:p>
    <w:p w14:paraId="2AFD8386"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Sobrados coloniais</w:t>
      </w:r>
    </w:p>
    <w:p w14:paraId="5AAB8165"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Santa Casa de Misericórdia de Parati</w:t>
      </w:r>
    </w:p>
    <w:p w14:paraId="008FF81B"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2E2DD351"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Forte Defensor Perpétuo e Casa da Pólvora - o forte abriga o Centro de Artes e Tradições Populares de Parati.</w:t>
      </w:r>
    </w:p>
    <w:p w14:paraId="2F10840C"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27A6997D"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xml:space="preserve">* Capela da Generosa - localiza-se no Beco do Propósito, à margem do Rio </w:t>
      </w:r>
      <w:proofErr w:type="spellStart"/>
      <w:r w:rsidRPr="008736DD">
        <w:rPr>
          <w:rFonts w:ascii="Times New Roman" w:hAnsi="Times New Roman" w:cs="Times New Roman"/>
          <w:color w:val="000000"/>
        </w:rPr>
        <w:t>Perequê-açu</w:t>
      </w:r>
      <w:proofErr w:type="spellEnd"/>
      <w:r w:rsidRPr="008736DD">
        <w:rPr>
          <w:rFonts w:ascii="Times New Roman" w:hAnsi="Times New Roman" w:cs="Times New Roman"/>
          <w:color w:val="000000"/>
        </w:rPr>
        <w:t>, onde morreu afogado Teodoro, um ex-escravo liberto, que ali se atreveu a pescar em uma sexta-feira santa. Em memória do fato, uma senhora de nome Maria Generosa, aí, fez erguer a capela, sob a invocação da Santa Cruz, que recebeu o nome da benfeitora.</w:t>
      </w:r>
    </w:p>
    <w:p w14:paraId="3D5B196E"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6AEB57F4"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Oratório de Santa Cruz das Almas - também conhecido como Oratório de Santa Cruz dos Enforcados, localiza-se no antigo caminho para o pelourinho.</w:t>
      </w:r>
    </w:p>
    <w:p w14:paraId="619A1CB5"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704C2956"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xml:space="preserve">* Engenho da </w:t>
      </w:r>
      <w:proofErr w:type="spellStart"/>
      <w:r w:rsidRPr="008736DD">
        <w:rPr>
          <w:rFonts w:ascii="Times New Roman" w:hAnsi="Times New Roman" w:cs="Times New Roman"/>
          <w:color w:val="000000"/>
        </w:rPr>
        <w:t>Muricana</w:t>
      </w:r>
      <w:proofErr w:type="spellEnd"/>
    </w:p>
    <w:p w14:paraId="34DAC36D"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4787F7C0"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Engenho da Boa Vista - onde residiram os avós de Heinrich e Thomas Mann. O antigo engenho a vapor adquiriu fama por suas aguardentes, como a Azulina, produzida em alambique de barro e destilada com folhas de tangerina.</w:t>
      </w:r>
    </w:p>
    <w:p w14:paraId="463861B5" w14:textId="77777777" w:rsidR="001C11E3" w:rsidRPr="008736DD" w:rsidRDefault="001C11E3" w:rsidP="007D7BE8">
      <w:pPr>
        <w:spacing w:before="240" w:after="240" w:line="360" w:lineRule="auto"/>
        <w:ind w:left="2160"/>
        <w:jc w:val="both"/>
        <w:rPr>
          <w:rFonts w:ascii="Times New Roman" w:hAnsi="Times New Roman" w:cs="Times New Roman"/>
          <w:color w:val="000000"/>
        </w:rPr>
      </w:pPr>
    </w:p>
    <w:p w14:paraId="7C09383D" w14:textId="77777777" w:rsidR="001C11E3" w:rsidRPr="008736DD" w:rsidRDefault="00576533" w:rsidP="007D7BE8">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Engenho do Bom Retiro - em 1908, a sua aguardente recebeu medalha de ouro na Exposição Nacional Comemorativa do 1º Centenário da Abertura dos Portos do Brasil.</w:t>
      </w:r>
    </w:p>
    <w:p w14:paraId="08BF740D" w14:textId="77777777" w:rsidR="001C11E3" w:rsidRPr="008736DD" w:rsidRDefault="001C11E3" w:rsidP="00C53B50">
      <w:pPr>
        <w:spacing w:before="240" w:after="240" w:line="360" w:lineRule="auto"/>
        <w:jc w:val="both"/>
        <w:rPr>
          <w:rFonts w:ascii="Times New Roman" w:hAnsi="Times New Roman" w:cs="Times New Roman"/>
          <w:color w:val="000000"/>
        </w:rPr>
      </w:pPr>
    </w:p>
    <w:p w14:paraId="5CD8F107" w14:textId="3439EA61" w:rsidR="001C11E3" w:rsidRPr="008736DD" w:rsidRDefault="00576533" w:rsidP="00C53B50">
      <w:pPr>
        <w:spacing w:before="240" w:after="240" w:line="360" w:lineRule="auto"/>
        <w:ind w:left="2160"/>
        <w:jc w:val="both"/>
        <w:rPr>
          <w:rFonts w:ascii="Times New Roman" w:hAnsi="Times New Roman" w:cs="Times New Roman"/>
          <w:color w:val="000000"/>
        </w:rPr>
      </w:pPr>
      <w:r w:rsidRPr="008736DD">
        <w:rPr>
          <w:rFonts w:ascii="Times New Roman" w:hAnsi="Times New Roman" w:cs="Times New Roman"/>
          <w:color w:val="000000"/>
        </w:rPr>
        <w:t xml:space="preserve">* Aldeias guaranis de Araponga e </w:t>
      </w:r>
      <w:proofErr w:type="spellStart"/>
      <w:r w:rsidRPr="008736DD">
        <w:rPr>
          <w:rFonts w:ascii="Times New Roman" w:hAnsi="Times New Roman" w:cs="Times New Roman"/>
          <w:color w:val="000000"/>
        </w:rPr>
        <w:t>Paratimirim</w:t>
      </w:r>
      <w:proofErr w:type="spellEnd"/>
      <w:r w:rsidRPr="008736DD">
        <w:rPr>
          <w:rFonts w:ascii="Times New Roman" w:hAnsi="Times New Roman" w:cs="Times New Roman"/>
          <w:color w:val="000000"/>
        </w:rPr>
        <w:t xml:space="preserve"> - se localizam nos arredores da cidade. Para sua visitação, é necessária uma autorização no posto da Fundação Nacional do Índio que se localiza nessas aldeias.</w:t>
      </w:r>
    </w:p>
    <w:p w14:paraId="09A38AEA" w14:textId="77777777" w:rsidR="001C11E3" w:rsidRPr="008736DD" w:rsidRDefault="00576533" w:rsidP="004514C5">
      <w:pPr>
        <w:spacing w:before="240" w:after="240" w:line="360" w:lineRule="auto"/>
        <w:ind w:left="7200"/>
        <w:jc w:val="both"/>
        <w:rPr>
          <w:rFonts w:ascii="Times New Roman" w:hAnsi="Times New Roman" w:cs="Times New Roman"/>
          <w:color w:val="000000"/>
        </w:rPr>
      </w:pPr>
      <w:r w:rsidRPr="008736DD">
        <w:rPr>
          <w:rFonts w:ascii="Times New Roman" w:hAnsi="Times New Roman" w:cs="Times New Roman"/>
          <w:color w:val="000000"/>
        </w:rPr>
        <w:t>Fonte: Wikipédia</w:t>
      </w:r>
    </w:p>
    <w:p w14:paraId="6214DFAA" w14:textId="77777777" w:rsidR="001C11E3" w:rsidRPr="006B1274" w:rsidRDefault="001C11E3" w:rsidP="007D7BE8">
      <w:pPr>
        <w:spacing w:before="240" w:after="240" w:line="360" w:lineRule="auto"/>
        <w:ind w:left="2160"/>
        <w:jc w:val="both"/>
        <w:rPr>
          <w:rFonts w:ascii="Times New Roman" w:hAnsi="Times New Roman" w:cs="Times New Roman"/>
          <w:color w:val="000000"/>
          <w:sz w:val="20"/>
          <w:szCs w:val="20"/>
        </w:rPr>
      </w:pPr>
    </w:p>
    <w:p w14:paraId="646E83C1" w14:textId="77777777" w:rsidR="00C53B50"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6BE97D2F" w14:textId="5AD625A1" w:rsidR="001C11E3" w:rsidRPr="00C53B50"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777466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Perfil Social na Era Digital</w:t>
      </w:r>
    </w:p>
    <w:p w14:paraId="478131D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62601F" w14:textId="01CDF94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30E5C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9045E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A5C3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08 de Abril de 2025 | 16:40 PM</w:t>
      </w:r>
    </w:p>
    <w:p w14:paraId="5D59106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D7A5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 democratização da informação via Plataformas Digitais, cada vez mais produtores de conteúdo e especialistas de áreas econômicas se vêem em um cenário de baixa circulação de conteúdo conscientizador quanto a indústria do consumo em prejuízo e perda de interesse de jovens no engajamento de conteúdo agregador socialmente.</w:t>
      </w:r>
    </w:p>
    <w:p w14:paraId="37FE78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54ACB0" w14:textId="1076575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Publicidade ilegal, que veicula mensagens de enaltecimento feminino radicalista, fomento do alto consumo e atratividade da indústria do entretenimento não conscientiza e educa para o consumo consciente, a reciclagem, aproveitamento duradouro de bens e ainda a importância da </w:t>
      </w:r>
      <w:r w:rsidR="00920A8D" w:rsidRPr="006B1274">
        <w:rPr>
          <w:rFonts w:ascii="Times New Roman" w:hAnsi="Times New Roman" w:cs="Times New Roman"/>
          <w:color w:val="000000"/>
          <w:sz w:val="20"/>
          <w:szCs w:val="20"/>
        </w:rPr>
        <w:t>representatividade</w:t>
      </w:r>
      <w:r w:rsidR="00531035"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feminina em hábitos de Governança dos Planos estratégicos focados no reaproveitamento, governança social, compromisso ético e diretrizes normativas morais de condução do processo didático sócio-desenvolvedor. </w:t>
      </w:r>
    </w:p>
    <w:p w14:paraId="2371B6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62E4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 antes as plataformas digitais despertavam mais atenção dos jovens, o processo de equidade digital se não pensado de maneira à incluir diferentes faixas etárias e uma linguagem normativa formal, pode colocar em risco o desenvolvimento de gerações. Que em subjetividade coletiva de uma bolha digital, normatizam conceitos de exclusão como o etarismo, racismo, </w:t>
      </w:r>
      <w:proofErr w:type="spellStart"/>
      <w:r w:rsidRPr="006B1274">
        <w:rPr>
          <w:rFonts w:ascii="Times New Roman" w:hAnsi="Times New Roman" w:cs="Times New Roman"/>
          <w:color w:val="000000"/>
          <w:sz w:val="20"/>
          <w:szCs w:val="20"/>
        </w:rPr>
        <w:t>capacitismo</w:t>
      </w:r>
      <w:proofErr w:type="spellEnd"/>
      <w:r w:rsidRPr="006B1274">
        <w:rPr>
          <w:rFonts w:ascii="Times New Roman" w:hAnsi="Times New Roman" w:cs="Times New Roman"/>
          <w:color w:val="000000"/>
          <w:sz w:val="20"/>
          <w:szCs w:val="20"/>
        </w:rPr>
        <w:t xml:space="preserve"> e outros conceitos da falta de identidade e pluralidade no engajamento e interação no ambiente digital.</w:t>
      </w:r>
    </w:p>
    <w:p w14:paraId="58E2D8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9F81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Atualmente os inseridos ao meio digital e com acesso democrático de informação, sentem-se soberanos nas ações condutoras do auto-conhecimento e didatismo de aplicabilidade da informação em ambiente de trabalho ou na educação. Equiparando-se a soberba e a perda da autonomia humana na gestão das informações, que cada vez mais circulam com velocidade em Redes e pouquíssima assimilação para aplicabilidade de conceitos fora do ambiente digital.</w:t>
      </w:r>
    </w:p>
    <w:p w14:paraId="2F3024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FA6D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aquela velha história do efeito dominó, em que a massa identifica a veiculação de conteúdo na descoberta de novas tendências em aprendizagem e como um “copia e cola” aproveitam-se da facilidade do meio digital para simplificar tarefas e propagar conteúdos.</w:t>
      </w:r>
    </w:p>
    <w:p w14:paraId="765579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1B33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que pode ser ótimo, mas se há uma falha, prejudica em cadeia à todos em níveis alarmantes, pela falta de assimilação cognitiva das consequências à longo prazo e orientação dos “detentores da informação digital”,  para preparo diante de situações de emergência ou aprendizagem prática de execução. Não sabendo lidar com a gestão de crise de forma eficaz.</w:t>
      </w:r>
    </w:p>
    <w:p w14:paraId="569095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CE70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Resultado: aumento do número de comandos em rede para amenizar um problema, construindo camadas e subgrupos de algo que já existe, estando mal resolvido e apresentando falha em sua estrutura.</w:t>
      </w:r>
    </w:p>
    <w:p w14:paraId="21C8227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DFB3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Um exemplo prático são as redes de comunidade. Antes Comunidades digitais tinham o objetivo de reunir pessoas com os mesmos interesses e ganhar novos públicos. Nos últimos 16 anos, houve a mudança do perfil de consumo digital, com grupos cada vez mais restritos diante da incordialidade, falta de organização estrutural e violência disseminada em conteúdos cada vez mais apelativos em drogas, práticas ilícitas e conteúdo sexual explícito. O volume de usuários aumentou, mas o engajamento com conteúdo compatível ao perfil do usuário foram drasticamente modificados por interferência algorítmica de um alto volume de conteúdo popular pertencentes a periferias. Colocando em situações econômicas menores a classe média que não se enquadra no perfil hipossuficiente para prover de serviços gratuitos sem julgamentos de corrupção ou falta de bens. E a alta classe que distanciou-se de questões sociais e voltamos aos vilões da década de 1980 que venderam o País em privatizações.</w:t>
      </w:r>
    </w:p>
    <w:p w14:paraId="41F183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45277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Como em um processo industrial, se, há alta oferta e pouca demanda, ou seja, restrição do conteúdo ao perfil do criador de conteúdo, o consumidor fica cada vez mais “preso” e restrito à uma bolha sem uma visão global de informações e pertencimento identitários, aumentando a possibilidade de isolamento e pré-conceito formador para novos interesses de comunidades diversas. Reduzindo cada vez mais a aplicação de conceitos íntegros e éticos no meio digital com uma comunicação altamente informal, refletidos socialmente em violência, estresse social e regressão da qualidade de vida, ou seja, alto impacto na condução da Ordem de Estado por má influência de conteúdos digitais propagados irregularmente ao perfil dos cidadãos. </w:t>
      </w:r>
    </w:p>
    <w:p w14:paraId="1D0895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6932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Isto tem ocorrido recorrentemente no Rio de Janeiro, com um movimento de massa popular, provido pela Central Única das Favelas (CUFA) a formação de criação de conteúdos éticos, legais e transparentes em democracia da informação estão cada vez mais escassos. Se povos periféricos reclamam de imposição de cultura, estão praticando da mesma forma com uma “ditadura cultural reversa” para apagar conceitos morais, éticos e cordiais da sociedade. É como se a pirâmide social em redução de desigualdade evoluísse na contra-mão, onde quem estava em cima perdeu consideravelmente costumes e normas sociais, com a desculpa de igualdade.</w:t>
      </w:r>
    </w:p>
    <w:p w14:paraId="77B4A1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91AA2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que chamam de “facilitar” processos por automação, a falha na criação de conteúdos de comunicação ocorrida com frequência tornaram-se cada vez mais veiculados com apelo em desrespeito à ética, conduta moral, legal e de princípios sociais de respeitabilidade. </w:t>
      </w:r>
    </w:p>
    <w:p w14:paraId="5A39B8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564C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 uma forma extremamente “envolvente” e persuasiva, a indústria cultural com músicas do movimento funk, tem limitado a Publicidade ao alto consumo de produtos, experimentação de práticas ilegais e promovido engajamento de atividades em alto volume nas Redes Sociais por criadores de conteúdo deste nicho de economia circular.</w:t>
      </w:r>
    </w:p>
    <w:p w14:paraId="50D3B1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4087D3" w14:textId="52DA2DB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 2019 até hoje, 2025, por base e percepção de uma pesquisa etnográfica, midiática e quantitativa houve uma leve reversão deste cenário. Levando a revisão de Políticas de uso das Plataformas Digitais, Marco Legal Regulador de Atividades Digitais e debate em Supremo Tribunal Federal da instrumentalização digital, que por meio da comunicação, podem levar à mudanças e </w:t>
      </w:r>
      <w:proofErr w:type="spellStart"/>
      <w:r w:rsidRPr="006B1274">
        <w:rPr>
          <w:rFonts w:ascii="Times New Roman" w:hAnsi="Times New Roman" w:cs="Times New Roman"/>
          <w:color w:val="000000"/>
          <w:sz w:val="20"/>
          <w:szCs w:val="20"/>
        </w:rPr>
        <w:t>perfilame</w:t>
      </w:r>
      <w:r w:rsidR="00531035" w:rsidRPr="006B1274">
        <w:rPr>
          <w:rFonts w:ascii="Times New Roman" w:hAnsi="Times New Roman" w:cs="Times New Roman"/>
          <w:color w:val="000000"/>
          <w:sz w:val="20"/>
          <w:szCs w:val="20"/>
        </w:rPr>
        <w:t>n</w:t>
      </w:r>
      <w:r w:rsidRPr="006B1274">
        <w:rPr>
          <w:rFonts w:ascii="Times New Roman" w:hAnsi="Times New Roman" w:cs="Times New Roman"/>
          <w:color w:val="000000"/>
          <w:sz w:val="20"/>
          <w:szCs w:val="20"/>
        </w:rPr>
        <w:t>to</w:t>
      </w:r>
      <w:proofErr w:type="spellEnd"/>
      <w:r w:rsidRPr="006B1274">
        <w:rPr>
          <w:rFonts w:ascii="Times New Roman" w:hAnsi="Times New Roman" w:cs="Times New Roman"/>
          <w:color w:val="000000"/>
          <w:sz w:val="20"/>
          <w:szCs w:val="20"/>
        </w:rPr>
        <w:t xml:space="preserve"> socioeconômico dos rumos de uma sociedade.</w:t>
      </w:r>
    </w:p>
    <w:p w14:paraId="1AA795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158B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isso a interpretação de algoritmos, passou a ser uma das questões de maior relevância pela Academia Brasileira de Ciência e conduzido estruturalmente pelos Ministério da Ciência, Tecnologia e Inovação e o Ministério da Gestão e Inovação em Serviços Públicos para gestão do processo da Indústria Digital 4.0. Incluindo cada vez mais mulheres para que não seja criada uma interpretação de mercado machista, economicamente utópico e exclusor como ocorreu em início da indústria, mais precisamente em 1960 com colapso posterior em 1980. Seja na indústria alimentícia com produtos altamente saturados e ultraprocessados ou na indústria de bens de consumo com colapso de produtos não aproveitáveis.</w:t>
      </w:r>
    </w:p>
    <w:p w14:paraId="17A0D8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AD7D1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isso a dica é, invista em conhecimento. A ignorância de se limitar em conhecer determinados assuntos ou aprender novas formas de percepção de mundo, é o que gera conflitos de entendimento e choques idealitários, exatamente tudo que estamos passando no momento. E que tem prejudicado a todos, pretos ou brancos, ricos ou pobres, uma Política de Governança Social Sustentável visa manter minimamente bons índices de qualidade de vida. Fora isto, o estado se configura uma zona sem regime de Ordem típico de uma Ditadura Totalitária em fomento do caos em guerras civis entre cidadãos.</w:t>
      </w:r>
    </w:p>
    <w:p w14:paraId="6AA5BD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5129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Investir em conhecimento é investir em Justiça Social.</w:t>
      </w:r>
    </w:p>
    <w:p w14:paraId="0BB124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C4EF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F2584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2D62A5D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3C8239F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6AF6D6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1A9987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0EDDD40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6F1B40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039847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0402B3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769DE4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645B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7F0F4E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4525D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C90F1B"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085557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Metas da Nova Indústria Brasil 4.0</w:t>
      </w:r>
    </w:p>
    <w:p w14:paraId="4D0B8BE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F0380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5472F3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FFD9AF" w14:textId="0751ABA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6A4F03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w:t>
      </w:r>
    </w:p>
    <w:p w14:paraId="74364E2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2608B2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13 de Abril de 2025 | 01:07 AM</w:t>
      </w:r>
    </w:p>
    <w:p w14:paraId="2CC81DE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3112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Geraldo Alckmin, o vice-presidente e Ministro do Desenvolvimento, Indústria e Comércio (MDIC) em 2023 apresentou o Plano da Nova Indústria Pós-Reforma Tributária e Reabertura de Comércio Exterior. As propostas visam abater as metas previstas em implantação do Plano Real com as estratégias portuárias dos Portos reformados do Rio de Janeiro, Recife e entrega do Porto do Futuro II em COP 30, o Porto Amazônico.</w:t>
      </w:r>
    </w:p>
    <w:p w14:paraId="399E6B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9761C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 o Porto do Rio de Janeiro a proposta Portuária é de Inovação, em transformar o Porto Maravilha em um Hub Tecnológico inspirado no Vale do Silício nos Estados Unidos da América. Com funcionamento desde o Século XIX, em 1841 já haviam registros por pinturas ilustradas do local, em 1888 teve seu primeiro projeto de grande reforma e atualmente com início de revitalização em 2009 da chamada Área de Especial Interesse Urbanístico (AEIU), passa por nova </w:t>
      </w:r>
      <w:proofErr w:type="spellStart"/>
      <w:r w:rsidRPr="006B1274">
        <w:rPr>
          <w:rFonts w:ascii="Times New Roman" w:hAnsi="Times New Roman" w:cs="Times New Roman"/>
          <w:color w:val="000000"/>
          <w:sz w:val="20"/>
          <w:szCs w:val="20"/>
        </w:rPr>
        <w:t>reestruturalização</w:t>
      </w:r>
      <w:proofErr w:type="spellEnd"/>
      <w:r w:rsidRPr="006B1274">
        <w:rPr>
          <w:rFonts w:ascii="Times New Roman" w:hAnsi="Times New Roman" w:cs="Times New Roman"/>
          <w:color w:val="000000"/>
          <w:sz w:val="20"/>
          <w:szCs w:val="20"/>
        </w:rPr>
        <w:t xml:space="preserve"> com previsão de conclusão total de obras em 30 anos, ou para 2039.</w:t>
      </w:r>
    </w:p>
    <w:p w14:paraId="038F441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34320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para Belém, a proposta se torna o Porto Futuro II. Como legado da COP 30 a renovação da área das Docas e Região Portuária de Belém visa modernidade e infra-estrutura Histórica Reformada. Com a segunda grande Rota Brasileira Industrial, inspirado no Porto do Centro do Rio de Janeiro, o local será um Complexo com Parque de Bioeconomia, Centros Culturais, Polo Gastronômico, Porto e um Condomínio.</w:t>
      </w:r>
    </w:p>
    <w:p w14:paraId="2F6FD9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04AF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Porto de Belém teve início em 1897 com inauguração do trecho em fases. Sendo o primeiro trecho entregue em 1909, sob administração pela Companhia Docas do Pará. A fase final de entrega foi Em 1913, caracterizado pela exportação de castanha, madeira, borracha, bauxita e minério de ferro.</w:t>
      </w:r>
    </w:p>
    <w:p w14:paraId="5BCAA36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EC09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nova Indústria tendencia para acordos e parcerias para retomada da economia em balança econômica superavitária de exportações. Com foco em oportunidade de grandes economias como a União Européia e países populosos como China e Índia.</w:t>
      </w:r>
    </w:p>
    <w:p w14:paraId="054787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373D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Cenário este que tem se confirmando e aberto pressões tarifárias dos EUA à China com reflexo em Bolsa Financeira de NY para fomento de parceria Brasileira </w:t>
      </w:r>
      <w:proofErr w:type="spellStart"/>
      <w:r w:rsidRPr="006B1274">
        <w:rPr>
          <w:rFonts w:ascii="Times New Roman" w:hAnsi="Times New Roman" w:cs="Times New Roman"/>
          <w:color w:val="000000"/>
          <w:sz w:val="20"/>
          <w:szCs w:val="20"/>
        </w:rPr>
        <w:t>estratatégica</w:t>
      </w:r>
      <w:proofErr w:type="spellEnd"/>
      <w:r w:rsidRPr="006B1274">
        <w:rPr>
          <w:rFonts w:ascii="Times New Roman" w:hAnsi="Times New Roman" w:cs="Times New Roman"/>
          <w:color w:val="000000"/>
          <w:sz w:val="20"/>
          <w:szCs w:val="20"/>
        </w:rPr>
        <w:t>. Visão de, Donald Trump, em consolidar a economia do Continente Americano novamente.</w:t>
      </w:r>
    </w:p>
    <w:p w14:paraId="764821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3CDA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10 metas propostas pelo Governo Federal sobre a Nova Indústria Brasil 4.0 (digital) são:</w:t>
      </w:r>
    </w:p>
    <w:p w14:paraId="61A288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50AA7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 Acordo Mercosul x União Européia;</w:t>
      </w:r>
    </w:p>
    <w:p w14:paraId="38A803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964E8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 Acordo Mercosul x Índia;</w:t>
      </w:r>
    </w:p>
    <w:p w14:paraId="41500E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738D8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3 Política Nacional de Cultura Exportadora;</w:t>
      </w:r>
    </w:p>
    <w:p w14:paraId="1AC738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C33B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4 Desburocratização / Digitalização Simplificada;</w:t>
      </w:r>
    </w:p>
    <w:p w14:paraId="47D3D0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011A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5 Reforma Tributária;</w:t>
      </w:r>
    </w:p>
    <w:p w14:paraId="5960E8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CCE2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6 Fomento Estratégico ao Comércio Exterior</w:t>
      </w:r>
    </w:p>
    <w:p w14:paraId="5018C0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6.1 Competitividade Exportadora</w:t>
      </w:r>
    </w:p>
    <w:p w14:paraId="609358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6.2 Integração</w:t>
      </w:r>
    </w:p>
    <w:p w14:paraId="0FB8C6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6.3 Desburocratização</w:t>
      </w:r>
    </w:p>
    <w:p w14:paraId="3EAEAA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6.4 Sustentabilidade</w:t>
      </w:r>
    </w:p>
    <w:p w14:paraId="4DDFBF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6.5 Combate ao Comércio Desleal</w:t>
      </w:r>
    </w:p>
    <w:p w14:paraId="1BB153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CCFB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7 Comitê de Financiamento e Garantia de Exportações;</w:t>
      </w:r>
    </w:p>
    <w:p w14:paraId="5EE045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C82999" w14:textId="204CCD1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 Eixo Sustentável com reforço estratégico de Energia Limpa, Renovável e Mercado de Créditos Reguláveis de Carbono (visto verde), ou seja, selo às empresas responsáveis sustent</w:t>
      </w:r>
      <w:r w:rsidR="00CD23D4" w:rsidRPr="006B1274">
        <w:rPr>
          <w:rFonts w:ascii="Times New Roman" w:hAnsi="Times New Roman" w:cs="Times New Roman"/>
          <w:color w:val="000000"/>
          <w:sz w:val="20"/>
          <w:szCs w:val="20"/>
        </w:rPr>
        <w:t>á</w:t>
      </w:r>
      <w:r w:rsidRPr="006B1274">
        <w:rPr>
          <w:rFonts w:ascii="Times New Roman" w:hAnsi="Times New Roman" w:cs="Times New Roman"/>
          <w:color w:val="000000"/>
          <w:sz w:val="20"/>
          <w:szCs w:val="20"/>
        </w:rPr>
        <w:t>velmente;</w:t>
      </w:r>
    </w:p>
    <w:p w14:paraId="05F0B8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D108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9 Facilitação do Comércio;</w:t>
      </w:r>
    </w:p>
    <w:p w14:paraId="344DC6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CD89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 Comitê Nacional de Investimentos;</w:t>
      </w:r>
    </w:p>
    <w:p w14:paraId="3612ED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1D67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trecho com o pronunciamento de Geraldo Alckmin em 2023 sobre o processo industrial dos últimos anos. Tendo neste ano de 2025 reflexo econômico em Bolsa e Dólar Americano, mas com medidas de Mudanças Estratégicas baseadas em Ética de Mercado mais transparente e sustentável.</w:t>
      </w:r>
    </w:p>
    <w:p w14:paraId="7617F6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6159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1AD77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76BE52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7E81D4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55D466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50670A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1C0F48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116244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01F046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79DEF6B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AD04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 por terceiros.</w:t>
      </w:r>
    </w:p>
    <w:p w14:paraId="7D83873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E6B8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633DDB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Arte e o Plano de Desenvolvimento Brasileiro</w:t>
      </w:r>
    </w:p>
    <w:p w14:paraId="572170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F483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76BEA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0B21A5" w14:textId="1EB0223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201676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8C667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8FDE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19 de Abril de 2025 | 14:35 PM</w:t>
      </w:r>
    </w:p>
    <w:p w14:paraId="4057B7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3800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Pereira Passos ao idealizar projeto arquitetônico para a cidade do Rio de Janeiro, contou com artistas como Heitor Villa-Lobos para abertura da Semana de 1922.</w:t>
      </w:r>
    </w:p>
    <w:p w14:paraId="7F809C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F4B5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evento aberto a sociedade civil da elite dos principais estados do Brasil, reuniu em São Paulo artistas para expressarem através das artes as mudanças sociais e econômicas que visavam para o Brasil.</w:t>
      </w:r>
    </w:p>
    <w:p w14:paraId="5DDA62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FB9A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Rio de Janeiro como Capital, além de reurbanização, contava com inúmeros planos sociais como Regime Celetista há 8 anos depois dos adventos do Modernismo divulgados à sociedade.</w:t>
      </w:r>
    </w:p>
    <w:p w14:paraId="586C3D8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80F0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2C9C3E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0788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quem foi Heitor Villa-Lobos, Compositor e Músico do gênero Clássico Brasileiro. Modernista, o compositor, deu identidade ao Brasil em partituras únicas com a mescla de sons de origens africanas e indígenas, típicos dos povos originários do Brasil:</w:t>
      </w:r>
    </w:p>
    <w:p w14:paraId="18FAFF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3A64C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Quem foi Heitor Villa-Lobos? </w:t>
      </w:r>
      <w:r w:rsidRPr="006B1274">
        <w:rPr>
          <w:rFonts w:ascii="Apple Color Emoji" w:hAnsi="Apple Color Emoji" w:cs="Apple Color Emoji"/>
          <w:color w:val="000000"/>
          <w:sz w:val="20"/>
          <w:szCs w:val="20"/>
        </w:rPr>
        <w:t>🇧🇷</w:t>
      </w:r>
    </w:p>
    <w:p w14:paraId="0B38CE3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4B102F"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Times New Roman" w:hAnsi="Times New Roman" w:cs="Times New Roman"/>
          <w:color w:val="000000"/>
        </w:rPr>
        <w:t>Heitor Villa-Lobos (Rio de Janeiro, 5 de março de 1887 — Rio de Janeiro, 17 de novembro de 1959) foi um compositor, maestro, violoncelista, pianista e violonista brasileiro, descrito como "a figura criativa mais significativa do Século XX na música clássica brasileira", e se tornando o compositor sul-americano mais conhecido de todos os tempos.</w:t>
      </w:r>
    </w:p>
    <w:p w14:paraId="63B8A181" w14:textId="77777777" w:rsidR="001C11E3" w:rsidRPr="00412A7D" w:rsidRDefault="001C11E3" w:rsidP="00412A7D">
      <w:pPr>
        <w:spacing w:before="240" w:after="240" w:line="360" w:lineRule="auto"/>
        <w:ind w:left="2160"/>
        <w:jc w:val="both"/>
        <w:rPr>
          <w:rFonts w:ascii="Times New Roman" w:hAnsi="Times New Roman" w:cs="Times New Roman"/>
          <w:color w:val="000000"/>
        </w:rPr>
      </w:pPr>
    </w:p>
    <w:p w14:paraId="3D18C82D"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Times New Roman" w:hAnsi="Times New Roman" w:cs="Times New Roman"/>
          <w:color w:val="000000"/>
        </w:rPr>
        <w:t>Compositor prolífico, escreveu numerosas obras orquestrais, de câmara, instrumentais e vocais, totalizando mais de 2 mil obras até sua morte, em 1959.</w:t>
      </w:r>
    </w:p>
    <w:p w14:paraId="7AC438EA" w14:textId="77777777" w:rsidR="001C11E3" w:rsidRPr="00412A7D" w:rsidRDefault="001C11E3" w:rsidP="00412A7D">
      <w:pPr>
        <w:spacing w:before="240" w:after="240" w:line="360" w:lineRule="auto"/>
        <w:ind w:left="2160"/>
        <w:jc w:val="both"/>
        <w:rPr>
          <w:rFonts w:ascii="Times New Roman" w:hAnsi="Times New Roman" w:cs="Times New Roman"/>
          <w:color w:val="000000"/>
        </w:rPr>
      </w:pPr>
    </w:p>
    <w:p w14:paraId="54C86FA7"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Apple Color Emoji" w:hAnsi="Apple Color Emoji" w:cs="Apple Color Emoji"/>
          <w:color w:val="000000"/>
        </w:rPr>
        <w:t>🎹</w:t>
      </w:r>
      <w:r w:rsidRPr="00412A7D">
        <w:rPr>
          <w:rFonts w:ascii="Times New Roman" w:hAnsi="Times New Roman" w:cs="Times New Roman"/>
          <w:color w:val="000000"/>
        </w:rPr>
        <w:t xml:space="preserve"> Também conhecido(a) comoVilla-Lobos</w:t>
      </w:r>
    </w:p>
    <w:p w14:paraId="2870433E" w14:textId="77777777" w:rsidR="001C11E3" w:rsidRPr="00412A7D" w:rsidRDefault="001C11E3" w:rsidP="00412A7D">
      <w:pPr>
        <w:spacing w:before="240" w:after="240" w:line="360" w:lineRule="auto"/>
        <w:ind w:left="2160"/>
        <w:jc w:val="both"/>
        <w:rPr>
          <w:rFonts w:ascii="Times New Roman" w:hAnsi="Times New Roman" w:cs="Times New Roman"/>
          <w:color w:val="000000"/>
        </w:rPr>
      </w:pPr>
    </w:p>
    <w:p w14:paraId="75D078BD"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Apple Color Emoji" w:hAnsi="Apple Color Emoji" w:cs="Apple Color Emoji"/>
          <w:color w:val="000000"/>
        </w:rPr>
        <w:t>📆</w:t>
      </w:r>
      <w:r w:rsidRPr="00412A7D">
        <w:rPr>
          <w:rFonts w:ascii="Times New Roman" w:hAnsi="Times New Roman" w:cs="Times New Roman"/>
          <w:color w:val="000000"/>
        </w:rPr>
        <w:t xml:space="preserve"> Nascimento5 de março de 1887Rio de Janeiro, Município Neutro, Império do Brasil</w:t>
      </w:r>
    </w:p>
    <w:p w14:paraId="59B4D4FB"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Times New Roman" w:hAnsi="Times New Roman" w:cs="Times New Roman"/>
          <w:color w:val="000000"/>
        </w:rPr>
        <w:t>Morte17 de novembro de 1959 (72 anos)</w:t>
      </w:r>
    </w:p>
    <w:p w14:paraId="095B97CC" w14:textId="77777777" w:rsidR="001C11E3" w:rsidRPr="00412A7D" w:rsidRDefault="001C11E3" w:rsidP="00412A7D">
      <w:pPr>
        <w:spacing w:before="240" w:after="240" w:line="360" w:lineRule="auto"/>
        <w:ind w:left="2160"/>
        <w:jc w:val="both"/>
        <w:rPr>
          <w:rFonts w:ascii="Times New Roman" w:hAnsi="Times New Roman" w:cs="Times New Roman"/>
          <w:color w:val="000000"/>
        </w:rPr>
      </w:pPr>
    </w:p>
    <w:p w14:paraId="19DB3531"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Apple Color Emoji" w:hAnsi="Apple Color Emoji" w:cs="Apple Color Emoji"/>
          <w:color w:val="000000"/>
        </w:rPr>
        <w:t>📍</w:t>
      </w:r>
      <w:r w:rsidRPr="00412A7D">
        <w:rPr>
          <w:rFonts w:ascii="Times New Roman" w:hAnsi="Times New Roman" w:cs="Times New Roman"/>
          <w:color w:val="000000"/>
        </w:rPr>
        <w:t>Rio de Janeiro, DFBrasil</w:t>
      </w:r>
    </w:p>
    <w:p w14:paraId="0994689A" w14:textId="77777777" w:rsidR="001C11E3" w:rsidRPr="00412A7D" w:rsidRDefault="001C11E3" w:rsidP="00412A7D">
      <w:pPr>
        <w:spacing w:before="240" w:after="240" w:line="360" w:lineRule="auto"/>
        <w:ind w:left="2160"/>
        <w:jc w:val="both"/>
        <w:rPr>
          <w:rFonts w:ascii="Times New Roman" w:hAnsi="Times New Roman" w:cs="Times New Roman"/>
          <w:color w:val="000000"/>
        </w:rPr>
      </w:pPr>
    </w:p>
    <w:p w14:paraId="1D7DA095" w14:textId="77777777" w:rsidR="001C11E3" w:rsidRPr="00412A7D" w:rsidRDefault="00576533" w:rsidP="00412A7D">
      <w:pPr>
        <w:spacing w:before="240" w:after="240" w:line="360" w:lineRule="auto"/>
        <w:ind w:left="2160"/>
        <w:jc w:val="both"/>
        <w:rPr>
          <w:rFonts w:ascii="Times New Roman" w:hAnsi="Times New Roman" w:cs="Times New Roman"/>
          <w:color w:val="000000"/>
        </w:rPr>
      </w:pPr>
      <w:r w:rsidRPr="00412A7D">
        <w:rPr>
          <w:rFonts w:ascii="Apple Color Emoji" w:hAnsi="Apple Color Emoji" w:cs="Apple Color Emoji"/>
          <w:color w:val="000000"/>
        </w:rPr>
        <w:t>📚</w:t>
      </w:r>
      <w:r w:rsidRPr="00412A7D">
        <w:rPr>
          <w:rFonts w:ascii="Times New Roman" w:hAnsi="Times New Roman" w:cs="Times New Roman"/>
          <w:color w:val="000000"/>
        </w:rPr>
        <w:t>Gênero(s)modernismo brasileiro</w:t>
      </w:r>
    </w:p>
    <w:p w14:paraId="7786364A" w14:textId="77777777" w:rsidR="001C11E3" w:rsidRPr="006B1274" w:rsidRDefault="001C11E3" w:rsidP="00412A7D">
      <w:pPr>
        <w:spacing w:before="240" w:after="240" w:line="360" w:lineRule="auto"/>
        <w:ind w:left="2160"/>
        <w:jc w:val="both"/>
        <w:rPr>
          <w:rFonts w:ascii="Times New Roman" w:hAnsi="Times New Roman" w:cs="Times New Roman"/>
          <w:color w:val="000000"/>
          <w:sz w:val="20"/>
          <w:szCs w:val="20"/>
        </w:rPr>
      </w:pPr>
    </w:p>
    <w:p w14:paraId="72DD9DA1" w14:textId="50D42F5B"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 xml:space="preserve"> Instrumento(s)violoncelo, violão, piano,</w:t>
      </w:r>
      <w:r w:rsidR="00EF464E" w:rsidRPr="00F150AD">
        <w:rPr>
          <w:rFonts w:ascii="Times New Roman" w:hAnsi="Times New Roman" w:cs="Times New Roman"/>
          <w:color w:val="000000"/>
        </w:rPr>
        <w:t xml:space="preserve"> </w:t>
      </w:r>
      <w:r w:rsidRPr="00F150AD">
        <w:rPr>
          <w:rFonts w:ascii="Times New Roman" w:hAnsi="Times New Roman" w:cs="Times New Roman"/>
          <w:color w:val="000000"/>
        </w:rPr>
        <w:t>saxofone</w:t>
      </w:r>
    </w:p>
    <w:p w14:paraId="3AF52725"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69EB8171"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eastAsia="Andika" w:hAnsi="Apple Color Emoji" w:cs="Apple Color Emoji"/>
          <w:color w:val="000000"/>
        </w:rPr>
        <w:t>⏱️</w:t>
      </w:r>
      <w:r w:rsidRPr="00F150AD">
        <w:rPr>
          <w:rFonts w:ascii="Times New Roman" w:eastAsia="Andika" w:hAnsi="Times New Roman" w:cs="Times New Roman"/>
          <w:color w:val="000000"/>
        </w:rPr>
        <w:t>Período em atividade1915—1958</w:t>
      </w:r>
    </w:p>
    <w:p w14:paraId="0AD1C570"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2C90170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Destaca-se por ter sido o principal responsável pela descoberta de uma linguagem peculiarmente brasileira em música, sendo considerado o maior expoente da música do modernismo no Brasil, compondo obras que contêm nuances das culturas regionais brasileiras, com os elementos das canções populares e indígenas.</w:t>
      </w:r>
    </w:p>
    <w:p w14:paraId="2ED144DC"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2D4B7E6B"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 xml:space="preserve">Suas composições foram influenciadas tanto pela música folclórica brasileira quanto por elementos estilísticos da tradição clássica europeia, como exemplificado por suas </w:t>
      </w:r>
      <w:proofErr w:type="spellStart"/>
      <w:r w:rsidRPr="00F150AD">
        <w:rPr>
          <w:rFonts w:ascii="Times New Roman" w:hAnsi="Times New Roman" w:cs="Times New Roman"/>
          <w:color w:val="000000"/>
        </w:rPr>
        <w:t>Bachianas</w:t>
      </w:r>
      <w:proofErr w:type="spellEnd"/>
      <w:r w:rsidRPr="00F150AD">
        <w:rPr>
          <w:rFonts w:ascii="Times New Roman" w:hAnsi="Times New Roman" w:cs="Times New Roman"/>
          <w:color w:val="000000"/>
        </w:rPr>
        <w:t xml:space="preserve"> Brasileiras. Suas </w:t>
      </w:r>
      <w:proofErr w:type="spellStart"/>
      <w:r w:rsidRPr="00F150AD">
        <w:rPr>
          <w:rFonts w:ascii="Times New Roman" w:hAnsi="Times New Roman" w:cs="Times New Roman"/>
          <w:color w:val="000000"/>
        </w:rPr>
        <w:t>Etudes</w:t>
      </w:r>
      <w:proofErr w:type="spellEnd"/>
      <w:r w:rsidRPr="00F150AD">
        <w:rPr>
          <w:rFonts w:ascii="Times New Roman" w:hAnsi="Times New Roman" w:cs="Times New Roman"/>
          <w:color w:val="000000"/>
        </w:rPr>
        <w:t xml:space="preserve"> para violão (1929) foram dedicados a Andrés Segovia, enquanto seus 5 Prelúdios (1940) foram dedicados à sua esposa </w:t>
      </w:r>
      <w:proofErr w:type="spellStart"/>
      <w:r w:rsidRPr="00F150AD">
        <w:rPr>
          <w:rFonts w:ascii="Times New Roman" w:hAnsi="Times New Roman" w:cs="Times New Roman"/>
          <w:color w:val="000000"/>
        </w:rPr>
        <w:t>Arminda</w:t>
      </w:r>
      <w:proofErr w:type="spellEnd"/>
      <w:r w:rsidRPr="00F150AD">
        <w:rPr>
          <w:rFonts w:ascii="Times New Roman" w:hAnsi="Times New Roman" w:cs="Times New Roman"/>
          <w:color w:val="000000"/>
        </w:rPr>
        <w:t xml:space="preserve"> Neves d'Almeida, também conhecida como "</w:t>
      </w:r>
      <w:proofErr w:type="spellStart"/>
      <w:r w:rsidRPr="00F150AD">
        <w:rPr>
          <w:rFonts w:ascii="Times New Roman" w:hAnsi="Times New Roman" w:cs="Times New Roman"/>
          <w:color w:val="000000"/>
        </w:rPr>
        <w:t>Mindinha</w:t>
      </w:r>
      <w:proofErr w:type="spellEnd"/>
      <w:r w:rsidRPr="00F150AD">
        <w:rPr>
          <w:rFonts w:ascii="Times New Roman" w:hAnsi="Times New Roman" w:cs="Times New Roman"/>
          <w:color w:val="000000"/>
        </w:rPr>
        <w:t xml:space="preserve">". Ambas são obras importantes no repertório </w:t>
      </w:r>
      <w:proofErr w:type="spellStart"/>
      <w:r w:rsidRPr="00F150AD">
        <w:rPr>
          <w:rFonts w:ascii="Times New Roman" w:hAnsi="Times New Roman" w:cs="Times New Roman"/>
          <w:color w:val="000000"/>
        </w:rPr>
        <w:t>violonístico</w:t>
      </w:r>
      <w:proofErr w:type="spellEnd"/>
      <w:r w:rsidRPr="00F150AD">
        <w:rPr>
          <w:rFonts w:ascii="Times New Roman" w:hAnsi="Times New Roman" w:cs="Times New Roman"/>
          <w:color w:val="000000"/>
        </w:rPr>
        <w:t>.</w:t>
      </w:r>
    </w:p>
    <w:p w14:paraId="443DA830"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0C6A00B3"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Sua data de nascimento é celebrada, no Brasil, como "Dia Nacional da Música Clássica". Em 2011, seu nome foi inscrito no Livro de Aço dos heróis nacionais depositado no Panteão da Pátria e da Liberdade Tancredo Neves.</w:t>
      </w:r>
    </w:p>
    <w:p w14:paraId="59A97C89"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561B85BC"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Filho de Noêmia Monteiro Villa-Lobos e Raul Villa-Lobos, que era filho de imigrantes espanhóis, Heitor foi desde cedo incentivado aos estudos, pois sua mãe queria vê-lo</w:t>
      </w:r>
      <w:r w:rsidRPr="006B1274">
        <w:rPr>
          <w:rFonts w:ascii="Times New Roman" w:hAnsi="Times New Roman" w:cs="Times New Roman"/>
          <w:color w:val="000000"/>
          <w:sz w:val="20"/>
          <w:szCs w:val="20"/>
        </w:rPr>
        <w:t xml:space="preserve"> </w:t>
      </w:r>
      <w:r w:rsidRPr="00F150AD">
        <w:rPr>
          <w:rFonts w:ascii="Times New Roman" w:hAnsi="Times New Roman" w:cs="Times New Roman"/>
          <w:color w:val="000000"/>
        </w:rPr>
        <w:t>médico. No entanto, Raul Villa-Lobos, pai do compositor, funcionário da Biblioteca Nacional e músico amador, deu-lhe instrução musical e adaptou uma viola para que o pequeno Heitor iniciasse seus estudos de violoncelo.</w:t>
      </w:r>
    </w:p>
    <w:p w14:paraId="78E661B3"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393EF92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Em 1913 Villa-Lobos casou-se com a pianista Lucília Guimarães, indo viver no Rio de Janeiro.</w:t>
      </w:r>
    </w:p>
    <w:p w14:paraId="3FE92103"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6DA453B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 xml:space="preserve">Em 1922 Villa-Lobos participou da Semana da Arte Moderna, no </w:t>
      </w:r>
      <w:proofErr w:type="spellStart"/>
      <w:r w:rsidRPr="00F150AD">
        <w:rPr>
          <w:rFonts w:ascii="Times New Roman" w:hAnsi="Times New Roman" w:cs="Times New Roman"/>
          <w:color w:val="000000"/>
        </w:rPr>
        <w:t>Theatro</w:t>
      </w:r>
      <w:proofErr w:type="spellEnd"/>
      <w:r w:rsidRPr="00F150AD">
        <w:rPr>
          <w:rFonts w:ascii="Times New Roman" w:hAnsi="Times New Roman" w:cs="Times New Roman"/>
          <w:color w:val="000000"/>
        </w:rPr>
        <w:t xml:space="preserve"> Municipal de São Paulo. No ano seguinte embarcou para a Europa, regressando ao Brasil em 1924. Viajou novamente para a Europa em 1927, financiado pelo milionário carioca Carlos </w:t>
      </w:r>
      <w:proofErr w:type="spellStart"/>
      <w:r w:rsidRPr="00F150AD">
        <w:rPr>
          <w:rFonts w:ascii="Times New Roman" w:hAnsi="Times New Roman" w:cs="Times New Roman"/>
          <w:color w:val="000000"/>
        </w:rPr>
        <w:t>Guinle</w:t>
      </w:r>
      <w:proofErr w:type="spellEnd"/>
      <w:r w:rsidRPr="00F150AD">
        <w:rPr>
          <w:rFonts w:ascii="Times New Roman" w:hAnsi="Times New Roman" w:cs="Times New Roman"/>
          <w:color w:val="000000"/>
        </w:rPr>
        <w:t>. Desta segunda viagem, retornou em 1930, quando realizou turnê por sessenta e seis cidades. Realizou também, nesse mesmo ano, a "Cruzada do Canto Orfeônico" no Rio de Janeiro. Seu casamento com Lucília terminou na década de 1930. O impacto internacional fez-se sentir especialmente na França e Estados Unidos, como se verifica pelo editorial que o The New York Times lhe dedicou no dia seguinte a sua morte.</w:t>
      </w:r>
    </w:p>
    <w:p w14:paraId="542D9031"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73017E7D"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 xml:space="preserve"> OBRA BRASILEIRA E CINEMA AMERICANO</w:t>
      </w:r>
    </w:p>
    <w:p w14:paraId="1B5E87AF" w14:textId="77777777" w:rsidR="001C11E3" w:rsidRPr="00F150AD" w:rsidRDefault="001C11E3" w:rsidP="00412A7D">
      <w:pPr>
        <w:spacing w:before="240" w:after="240" w:line="360" w:lineRule="auto"/>
        <w:ind w:left="2160"/>
        <w:jc w:val="both"/>
        <w:rPr>
          <w:rFonts w:ascii="Times New Roman" w:hAnsi="Times New Roman" w:cs="Times New Roman"/>
          <w:color w:val="000000"/>
        </w:rPr>
      </w:pPr>
    </w:p>
    <w:p w14:paraId="14880B3C"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Obra de Heitor Villa-Lobos composta em 1958, uma de suas últimas composições.</w:t>
      </w:r>
    </w:p>
    <w:p w14:paraId="4223BB4A"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 xml:space="preserve">Comissionada pela Metro </w:t>
      </w:r>
      <w:proofErr w:type="spellStart"/>
      <w:r w:rsidRPr="00F150AD">
        <w:rPr>
          <w:rFonts w:ascii="Times New Roman" w:hAnsi="Times New Roman" w:cs="Times New Roman"/>
          <w:color w:val="000000"/>
        </w:rPr>
        <w:t>Goldwin</w:t>
      </w:r>
      <w:proofErr w:type="spellEnd"/>
      <w:r w:rsidRPr="00F150AD">
        <w:rPr>
          <w:rFonts w:ascii="Times New Roman" w:hAnsi="Times New Roman" w:cs="Times New Roman"/>
          <w:color w:val="000000"/>
        </w:rPr>
        <w:t xml:space="preserve"> Mayer para trilha sonora do filme Green </w:t>
      </w:r>
      <w:proofErr w:type="spellStart"/>
      <w:r w:rsidRPr="00F150AD">
        <w:rPr>
          <w:rFonts w:ascii="Times New Roman" w:hAnsi="Times New Roman" w:cs="Times New Roman"/>
          <w:color w:val="000000"/>
        </w:rPr>
        <w:t>Mansions</w:t>
      </w:r>
      <w:proofErr w:type="spellEnd"/>
      <w:r w:rsidRPr="00F150AD">
        <w:rPr>
          <w:rFonts w:ascii="Times New Roman" w:hAnsi="Times New Roman" w:cs="Times New Roman"/>
          <w:color w:val="000000"/>
        </w:rPr>
        <w:t xml:space="preserve">, de Mel Ferrer e estrelado por Audrey Hepburn e Anthony Perkins, o qual foi lançado no Brasil com o título A Flor que não Morreu. Villa-Lobos não ficou satisfeito com a edição e as modificações feitas na peça pelo também compositor </w:t>
      </w:r>
      <w:proofErr w:type="spellStart"/>
      <w:r w:rsidRPr="00F150AD">
        <w:rPr>
          <w:rFonts w:ascii="Times New Roman" w:hAnsi="Times New Roman" w:cs="Times New Roman"/>
          <w:color w:val="000000"/>
        </w:rPr>
        <w:t>Bronislau</w:t>
      </w:r>
      <w:proofErr w:type="spellEnd"/>
      <w:r w:rsidRPr="00F150AD">
        <w:rPr>
          <w:rFonts w:ascii="Times New Roman" w:hAnsi="Times New Roman" w:cs="Times New Roman"/>
          <w:color w:val="000000"/>
        </w:rPr>
        <w:t xml:space="preserve"> </w:t>
      </w:r>
      <w:proofErr w:type="spellStart"/>
      <w:r w:rsidRPr="00F150AD">
        <w:rPr>
          <w:rFonts w:ascii="Times New Roman" w:hAnsi="Times New Roman" w:cs="Times New Roman"/>
          <w:color w:val="000000"/>
        </w:rPr>
        <w:t>Kaper</w:t>
      </w:r>
      <w:proofErr w:type="spellEnd"/>
      <w:r w:rsidRPr="00F150AD">
        <w:rPr>
          <w:rFonts w:ascii="Times New Roman" w:hAnsi="Times New Roman" w:cs="Times New Roman"/>
          <w:color w:val="000000"/>
        </w:rPr>
        <w:t xml:space="preserve"> para sincronizá-la na película e decidiu transformá-la em uma suíte sinfônica. O filme foi um fracasso, mas o atrito entre Villa-Lobos e o estúdio de filmagem resultou no financiamento da gravação realizada em 1959, com o próprio autor regendo e a recém-aposentada e legendária soprano Bidu </w:t>
      </w:r>
      <w:proofErr w:type="spellStart"/>
      <w:r w:rsidRPr="00F150AD">
        <w:rPr>
          <w:rFonts w:ascii="Times New Roman" w:hAnsi="Times New Roman" w:cs="Times New Roman"/>
          <w:color w:val="000000"/>
        </w:rPr>
        <w:t>Sayão</w:t>
      </w:r>
      <w:proofErr w:type="spellEnd"/>
      <w:r w:rsidRPr="00F150AD">
        <w:rPr>
          <w:rFonts w:ascii="Times New Roman" w:hAnsi="Times New Roman" w:cs="Times New Roman"/>
          <w:color w:val="000000"/>
        </w:rPr>
        <w:t>, mais adiante interpretada por Maria Lucia Godoy.</w:t>
      </w:r>
    </w:p>
    <w:p w14:paraId="6FD4CC1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Times New Roman" w:hAnsi="Times New Roman" w:cs="Times New Roman"/>
          <w:color w:val="000000"/>
        </w:rPr>
        <w:t xml:space="preserve">Algumas das canções para solista da obra, como a "Melodia Sentimental" e a "Canção de Amor", se tornaram das mais conhecidas do compositor, sendo interpretadas por cantoras líricas de renome, como Roberta Alexander e Kathleen Battle. Em 1989, a soprano Renée Fleming, ainda no início da carreira, gravou a suíte completa com regência de Alfred Heller. Em 1987, foi gravada uma criação livre sobre o original para piano, um dos inúmeros manuscritos inéditos de Villa-Lobos. Alguns cantores populares, como Maria Bethânia, </w:t>
      </w:r>
      <w:proofErr w:type="spellStart"/>
      <w:r w:rsidRPr="00F150AD">
        <w:rPr>
          <w:rFonts w:ascii="Times New Roman" w:hAnsi="Times New Roman" w:cs="Times New Roman"/>
          <w:color w:val="000000"/>
        </w:rPr>
        <w:t>Ney</w:t>
      </w:r>
      <w:proofErr w:type="spellEnd"/>
      <w:r w:rsidRPr="00F150AD">
        <w:rPr>
          <w:rFonts w:ascii="Times New Roman" w:hAnsi="Times New Roman" w:cs="Times New Roman"/>
          <w:color w:val="000000"/>
        </w:rPr>
        <w:t xml:space="preserve"> Matogrosso, </w:t>
      </w:r>
      <w:proofErr w:type="spellStart"/>
      <w:r w:rsidRPr="00F150AD">
        <w:rPr>
          <w:rFonts w:ascii="Times New Roman" w:hAnsi="Times New Roman" w:cs="Times New Roman"/>
          <w:color w:val="000000"/>
        </w:rPr>
        <w:t>Djavan</w:t>
      </w:r>
      <w:proofErr w:type="spellEnd"/>
      <w:r w:rsidRPr="00F150AD">
        <w:rPr>
          <w:rFonts w:ascii="Times New Roman" w:hAnsi="Times New Roman" w:cs="Times New Roman"/>
          <w:color w:val="000000"/>
        </w:rPr>
        <w:t xml:space="preserve"> e Zizi Possi, cantaram uma ou mais das canções em versões adaptadas.</w:t>
      </w:r>
    </w:p>
    <w:p w14:paraId="51A66FC3"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 xml:space="preserve"> Suite 1</w:t>
      </w:r>
    </w:p>
    <w:p w14:paraId="791A6AC5"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Na Floresta</w:t>
      </w:r>
    </w:p>
    <w:p w14:paraId="057F0D18"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Abertura</w:t>
      </w:r>
    </w:p>
    <w:p w14:paraId="7625F90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Cair da Tarde</w:t>
      </w:r>
    </w:p>
    <w:p w14:paraId="29D075CA"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Exploração</w:t>
      </w:r>
    </w:p>
    <w:p w14:paraId="3D4388D8"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Antecipando Jobim</w:t>
      </w:r>
    </w:p>
    <w:p w14:paraId="62E5A4BA"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Música de Rima</w:t>
      </w:r>
    </w:p>
    <w:p w14:paraId="1EED60B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Dança I</w:t>
      </w:r>
    </w:p>
    <w:p w14:paraId="13A52574"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Pássaros</w:t>
      </w:r>
    </w:p>
    <w:p w14:paraId="419A911B"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Canção de Amor</w:t>
      </w:r>
    </w:p>
    <w:p w14:paraId="61BD9AF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Veleiro</w:t>
      </w:r>
    </w:p>
    <w:p w14:paraId="41EECD9F"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Dança II</w:t>
      </w:r>
    </w:p>
    <w:p w14:paraId="01532914"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Melodia Sentimental</w:t>
      </w:r>
    </w:p>
    <w:p w14:paraId="6E5B8F59"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Improviso (sobre um fragmento da página 5)</w:t>
      </w:r>
    </w:p>
    <w:p w14:paraId="4997342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Abertura / Tema</w:t>
      </w:r>
    </w:p>
    <w:p w14:paraId="48B9AED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Improviso I</w:t>
      </w:r>
    </w:p>
    <w:p w14:paraId="167537B0"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Improviso II</w:t>
      </w:r>
    </w:p>
    <w:p w14:paraId="29E61CA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Volta ao Tema</w:t>
      </w:r>
    </w:p>
    <w:p w14:paraId="7BE5F19B"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Final</w:t>
      </w:r>
    </w:p>
    <w:p w14:paraId="3F72B754"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 xml:space="preserve"> Suite II</w:t>
      </w:r>
    </w:p>
    <w:p w14:paraId="2EEFDA46"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Além da Floresta</w:t>
      </w:r>
    </w:p>
    <w:p w14:paraId="42957138"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Prelúdio / Episódio da Lua</w:t>
      </w:r>
    </w:p>
    <w:p w14:paraId="7A253740"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Piano &amp; Orquestra</w:t>
      </w:r>
    </w:p>
    <w:p w14:paraId="00C57E27"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Tango</w:t>
      </w:r>
    </w:p>
    <w:p w14:paraId="338540DC"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Adagio a La Ravel</w:t>
      </w:r>
    </w:p>
    <w:p w14:paraId="1A161596"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Intermezzo (Igarapés)</w:t>
      </w:r>
    </w:p>
    <w:p w14:paraId="5C46DC6B"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Cair da Tarde / Tempestade</w:t>
      </w:r>
    </w:p>
    <w:p w14:paraId="2582CA8E" w14:textId="77777777" w:rsidR="001C11E3" w:rsidRPr="00F150AD" w:rsidRDefault="00576533" w:rsidP="00412A7D">
      <w:pPr>
        <w:spacing w:before="240" w:after="240" w:line="360" w:lineRule="auto"/>
        <w:ind w:left="2160"/>
        <w:jc w:val="both"/>
        <w:rPr>
          <w:rFonts w:ascii="Times New Roman" w:hAnsi="Times New Roman" w:cs="Times New Roman"/>
          <w:color w:val="000000"/>
        </w:rPr>
      </w:pPr>
      <w:r w:rsidRPr="00F150AD">
        <w:rPr>
          <w:rFonts w:ascii="Apple Color Emoji" w:hAnsi="Apple Color Emoji" w:cs="Apple Color Emoji"/>
          <w:color w:val="000000"/>
        </w:rPr>
        <w:t>📌</w:t>
      </w:r>
      <w:r w:rsidRPr="00F150AD">
        <w:rPr>
          <w:rFonts w:ascii="Times New Roman" w:hAnsi="Times New Roman" w:cs="Times New Roman"/>
          <w:color w:val="000000"/>
        </w:rPr>
        <w:t>Final</w:t>
      </w:r>
    </w:p>
    <w:p w14:paraId="25A16502" w14:textId="77777777" w:rsidR="001C11E3" w:rsidRPr="006B1274" w:rsidRDefault="001C11E3" w:rsidP="0020062B">
      <w:pPr>
        <w:spacing w:before="240" w:after="240" w:line="360" w:lineRule="auto"/>
        <w:ind w:left="2160"/>
        <w:jc w:val="both"/>
        <w:rPr>
          <w:rFonts w:ascii="Times New Roman" w:hAnsi="Times New Roman" w:cs="Times New Roman"/>
          <w:color w:val="000000"/>
          <w:sz w:val="20"/>
          <w:szCs w:val="20"/>
        </w:rPr>
      </w:pPr>
    </w:p>
    <w:p w14:paraId="421EB7EE" w14:textId="1BA6D858" w:rsidR="0020062B" w:rsidRDefault="00576533" w:rsidP="008B3ACD">
      <w:pPr>
        <w:spacing w:before="240" w:after="240" w:line="360" w:lineRule="auto"/>
        <w:ind w:left="792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Fonte: Wikipédia</w:t>
      </w:r>
    </w:p>
    <w:p w14:paraId="3BACB2C7" w14:textId="6AC66362" w:rsidR="001C11E3" w:rsidRPr="006B1274" w:rsidRDefault="008B3ACD" w:rsidP="008B3ACD">
      <w:pPr>
        <w:spacing w:before="240" w:after="240" w:line="36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P</w:t>
      </w:r>
      <w:r w:rsidR="00576533" w:rsidRPr="006B1274">
        <w:rPr>
          <w:rFonts w:ascii="Times New Roman" w:hAnsi="Times New Roman" w:cs="Times New Roman"/>
          <w:color w:val="000000"/>
          <w:sz w:val="20"/>
          <w:szCs w:val="20"/>
        </w:rPr>
        <w:t>rojeto autoral, não autorizado compartilhamento por terceiros.</w:t>
      </w:r>
    </w:p>
    <w:p w14:paraId="6B5346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D1C267"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5DE7172F" wp14:editId="0571490F">
            <wp:extent cx="4387505" cy="7808648"/>
            <wp:effectExtent l="0" t="0" r="0" b="0"/>
            <wp:docPr id="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4387505" cy="7808648"/>
                    </a:xfrm>
                    <a:prstGeom prst="rect">
                      <a:avLst/>
                    </a:prstGeom>
                    <a:ln/>
                  </pic:spPr>
                </pic:pic>
              </a:graphicData>
            </a:graphic>
          </wp:inline>
        </w:drawing>
      </w:r>
    </w:p>
    <w:p w14:paraId="041C8F0E"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235F4243" w14:textId="0462B7E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ao Streaming - A história da TV</w:t>
      </w:r>
    </w:p>
    <w:p w14:paraId="187DC741" w14:textId="7AAB4B1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57D76272" w14:textId="4A50448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CE8A4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História da TV Globo, relacionando os mais relevantes eventos ocorridos desde a concessão pelo governo federal em 1957.</w:t>
      </w:r>
    </w:p>
    <w:p w14:paraId="03F9C5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BE4B58" w14:textId="68CAE216" w:rsidR="001C11E3" w:rsidRPr="006B1274" w:rsidRDefault="00576533" w:rsidP="003D4088">
      <w:pPr>
        <w:spacing w:before="240" w:after="240" w:line="360" w:lineRule="auto"/>
        <w:ind w:left="216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24 de setembro de 2018, o Grupo Globo anunciou o projeto Uma Só Globo onde, em três anos, as operações de suas subsidiárias TV Globo, </w:t>
      </w:r>
      <w:proofErr w:type="spellStart"/>
      <w:r w:rsidRPr="006B1274">
        <w:rPr>
          <w:rFonts w:ascii="Times New Roman" w:hAnsi="Times New Roman" w:cs="Times New Roman"/>
          <w:color w:val="000000"/>
          <w:sz w:val="20"/>
          <w:szCs w:val="20"/>
        </w:rPr>
        <w:t>Globoplay</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Globosat</w:t>
      </w:r>
      <w:proofErr w:type="spellEnd"/>
      <w:r w:rsidRPr="006B1274">
        <w:rPr>
          <w:rFonts w:ascii="Times New Roman" w:hAnsi="Times New Roman" w:cs="Times New Roman"/>
          <w:color w:val="000000"/>
          <w:sz w:val="20"/>
          <w:szCs w:val="20"/>
        </w:rPr>
        <w:t xml:space="preserve">, Globo.com e </w:t>
      </w:r>
      <w:proofErr w:type="spellStart"/>
      <w:r w:rsidRPr="006B1274">
        <w:rPr>
          <w:rFonts w:ascii="Times New Roman" w:hAnsi="Times New Roman" w:cs="Times New Roman"/>
          <w:color w:val="000000"/>
          <w:sz w:val="20"/>
          <w:szCs w:val="20"/>
        </w:rPr>
        <w:t>DGCorp</w:t>
      </w:r>
      <w:proofErr w:type="spellEnd"/>
      <w:r w:rsidRPr="006B1274">
        <w:rPr>
          <w:rFonts w:ascii="Times New Roman" w:hAnsi="Times New Roman" w:cs="Times New Roman"/>
          <w:color w:val="000000"/>
          <w:sz w:val="20"/>
          <w:szCs w:val="20"/>
        </w:rPr>
        <w:t xml:space="preserve"> seriam integradas em uma única empresa, sob a razão social Globo Comunicações e Participações S.A. e a marca Globo, Sistema Globo de Rádio, Fundação Roberto Marinho e Som Livre não foram contempladas para o projeto e continuam operando independentemente. O processo de reestruturação foi feito com a consultoria da Accenture. (Wikipédia)</w:t>
      </w:r>
    </w:p>
    <w:p w14:paraId="3CE9F16C" w14:textId="520E968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Aniversário de 60 anos da Globo tem programação histórica</w:t>
      </w:r>
    </w:p>
    <w:p w14:paraId="1C7EF4BC" w14:textId="14B2442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Tony Ramos no papel de Roberto Marinho, 'Garota do Momento' faz homenagem ao fundador da Globo</w:t>
      </w:r>
    </w:p>
    <w:p w14:paraId="4D7F87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25/04/2025 12h33  Atualizado há uma hora</w:t>
      </w:r>
    </w:p>
    <w:p w14:paraId="761064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matéria completa em:</w:t>
      </w:r>
    </w:p>
    <w:p w14:paraId="6DED47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https://historia.globo.com/historia-grupo-globo/noticias/noticia/60-anos-da-globo-tem-programacao-historica.ghtml</w:t>
      </w:r>
    </w:p>
    <w:p w14:paraId="42D8919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55DB45" w14:textId="77777777" w:rsidR="001C11E3"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3FD0543E" w14:textId="77777777" w:rsidR="003D4088" w:rsidRPr="006B1274" w:rsidRDefault="003D4088" w:rsidP="00B36B27">
      <w:pPr>
        <w:spacing w:before="240" w:after="240" w:line="360" w:lineRule="auto"/>
        <w:rPr>
          <w:rFonts w:ascii="Times New Roman" w:hAnsi="Times New Roman" w:cs="Times New Roman"/>
          <w:color w:val="000000"/>
          <w:sz w:val="20"/>
          <w:szCs w:val="20"/>
        </w:rPr>
      </w:pPr>
    </w:p>
    <w:p w14:paraId="3DC9AD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0839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A HORA DA DIP </w:t>
      </w:r>
      <w:r w:rsidRPr="006B1274">
        <w:rPr>
          <w:rFonts w:ascii="Apple Color Emoji" w:eastAsia="Arial Unicode MS" w:hAnsi="Apple Color Emoji" w:cs="Apple Color Emoji"/>
          <w:color w:val="000000"/>
          <w:sz w:val="20"/>
          <w:szCs w:val="20"/>
        </w:rPr>
        <w:t>⏰</w:t>
      </w:r>
    </w:p>
    <w:p w14:paraId="3F8583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0938A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7CCED8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Televisão e Tecnologia: </w:t>
      </w:r>
    </w:p>
    <w:p w14:paraId="2649EB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que temos a ver com isso?</w:t>
      </w:r>
    </w:p>
    <w:p w14:paraId="7CCC6D2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8459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757A63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4E3BAF" w14:textId="7C51A3C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p>
    <w:p w14:paraId="1B549A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7CAC3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C7C0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26 de Abril de 2025 | 00:45 AM</w:t>
      </w:r>
    </w:p>
    <w:p w14:paraId="0221C4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6BAE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televisão o maior veículo de comunicação, integra som e imagem nos permitindo uma viagem dimensional a enxergar com os olhos da lente de câmeras capturar as indiscritíveis sensações que a visão nos permite.</w:t>
      </w:r>
    </w:p>
    <w:p w14:paraId="121119D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1871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economia, o setor de audiovisual é um dos mais lucrativos e rentáveis ao mercado brasileiro, tendo à frente da representação, o Grupo Globo, com decreto Federal em concessão do Sistema de Comunicação Nacional, e um dos pioneiros em expansão de satélites na corrida espacial que integram o sistema digital.</w:t>
      </w:r>
    </w:p>
    <w:p w14:paraId="05BA5D5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9B502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canal disponível internacionalmente, a Comunicação do Grupo Globo completa, em Julho de 2025, 100 anos de existência entre os Editoriais, o Jornal O Globo, a Rádio Globo até a concessão audiovisual em 1965 com estreia do canal 4 oficialmente por decreto anos antes e programação ao vivo exibida pela primeira vez em 26 de Abril de 1965.</w:t>
      </w:r>
    </w:p>
    <w:p w14:paraId="365E026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F8F83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equipamentos de comunicação desde rádios, telefones, </w:t>
      </w:r>
      <w:proofErr w:type="spellStart"/>
      <w:r w:rsidRPr="006B1274">
        <w:rPr>
          <w:rFonts w:ascii="Times New Roman" w:hAnsi="Times New Roman" w:cs="Times New Roman"/>
          <w:color w:val="000000"/>
          <w:sz w:val="20"/>
          <w:szCs w:val="20"/>
        </w:rPr>
        <w:t>pagers</w:t>
      </w:r>
      <w:proofErr w:type="spellEnd"/>
      <w:r w:rsidRPr="006B1274">
        <w:rPr>
          <w:rFonts w:ascii="Times New Roman" w:hAnsi="Times New Roman" w:cs="Times New Roman"/>
          <w:color w:val="000000"/>
          <w:sz w:val="20"/>
          <w:szCs w:val="20"/>
        </w:rPr>
        <w:t>, televisores, e atualmente, smartphones são concedidos graças à patente de tecnologia da emissora presente fisicamente em mídias impressas até os meios digitais e novo Google Cloud, sistema em nuvem de armazenamento de dados.</w:t>
      </w:r>
    </w:p>
    <w:p w14:paraId="4FA4B00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017F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uma pesquisa realizada em 2020, anterior ao Censo Oficial de 2022, de um público de mulheres entre 15 e +60 anos, todas as mulheres informaram ter televisores em suas residências e se mantinham conectadas à informações relevantes da emissora. </w:t>
      </w:r>
    </w:p>
    <w:p w14:paraId="607855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80C1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Tendo o tema de equidade digital e democracia à informação como diretriz do Grupo Globo, por propostas providas Universalmente, todas as mulheres tinham acesso à internet e demonstravam consciência sócioambiental e digital, com ampla informação de eixo e centralidade cognitivas de interação informacional. Demonstrando competências e habilidades interpretativas que a informação globalizada nos permitem o senso comum do coletivo e pertencimento social nacional.</w:t>
      </w:r>
    </w:p>
    <w:p w14:paraId="7D7C4F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0281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um período marcado por isolamento social, a democracia da informação e o acesso à internet, permitiram à distância o trabalho empírico de pesquisa em campo midiático, de forma digital </w:t>
      </w:r>
      <w:proofErr w:type="spellStart"/>
      <w:r w:rsidRPr="006B1274">
        <w:rPr>
          <w:rFonts w:ascii="Times New Roman" w:hAnsi="Times New Roman" w:cs="Times New Roman"/>
          <w:color w:val="000000"/>
          <w:sz w:val="20"/>
          <w:szCs w:val="20"/>
        </w:rPr>
        <w:t>netnográfica</w:t>
      </w:r>
      <w:proofErr w:type="spellEnd"/>
      <w:r w:rsidRPr="006B1274">
        <w:rPr>
          <w:rFonts w:ascii="Times New Roman" w:hAnsi="Times New Roman" w:cs="Times New Roman"/>
          <w:color w:val="000000"/>
          <w:sz w:val="20"/>
          <w:szCs w:val="20"/>
        </w:rPr>
        <w:t xml:space="preserve"> abarcando a pesquisa em século XXI e tendência democrática de conteúdo interativo, educativo em prol da ética e comunicação social.</w:t>
      </w:r>
    </w:p>
    <w:p w14:paraId="6C232EB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C3C3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Ainda em desfecho de pesquisa, as mulheres demonstraram senso opinativo, características pertinente de um País democrático, de acesso informacional e pluricultural na colaboração da formação social da mulher, ressaltados os Direitos Femininos como Constituição Federal da República Federativa do Brasil. </w:t>
      </w:r>
    </w:p>
    <w:p w14:paraId="1D3F28D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0EBB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w:t>
      </w:r>
    </w:p>
    <w:p w14:paraId="1F3F508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00CEC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informações extraídas do Wikipédia das novas tecnologias da Globo Comunicações e Participações S.A e suas propostas em tempos digitais para mais 100 anos de cobertura informacional:</w:t>
      </w:r>
    </w:p>
    <w:p w14:paraId="4909F8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8A17F3"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A primeira iniciativa da holding foi o jornal A Noite, fundado e dirigido por Irineu Marinho em 1911, no Rio de Janeiro, então capital do Brasil. Em 1925, com o sucesso do vespertino, Irineu decide fundar um segundo jornal chamado O Globo que, após sua morte repentina, passa a ter </w:t>
      </w:r>
      <w:proofErr w:type="spellStart"/>
      <w:r w:rsidRPr="00891A4A">
        <w:rPr>
          <w:rFonts w:ascii="Times New Roman" w:hAnsi="Times New Roman" w:cs="Times New Roman"/>
          <w:color w:val="000000"/>
        </w:rPr>
        <w:t>Eurycles</w:t>
      </w:r>
      <w:proofErr w:type="spellEnd"/>
      <w:r w:rsidRPr="00891A4A">
        <w:rPr>
          <w:rFonts w:ascii="Times New Roman" w:hAnsi="Times New Roman" w:cs="Times New Roman"/>
          <w:color w:val="000000"/>
        </w:rPr>
        <w:t xml:space="preserve"> de Matos, amigo pessoal de Irineu, como diretor-redator-chefe. Com o falecimento de </w:t>
      </w:r>
      <w:proofErr w:type="spellStart"/>
      <w:r w:rsidRPr="00891A4A">
        <w:rPr>
          <w:rFonts w:ascii="Times New Roman" w:hAnsi="Times New Roman" w:cs="Times New Roman"/>
          <w:color w:val="000000"/>
        </w:rPr>
        <w:t>Eurycles</w:t>
      </w:r>
      <w:proofErr w:type="spellEnd"/>
      <w:r w:rsidRPr="00891A4A">
        <w:rPr>
          <w:rFonts w:ascii="Times New Roman" w:hAnsi="Times New Roman" w:cs="Times New Roman"/>
          <w:color w:val="000000"/>
        </w:rPr>
        <w:t>, em 1931, o filho de Irineu, Roberto Marinho, assume o jornal.</w:t>
      </w:r>
    </w:p>
    <w:p w14:paraId="32C58B09"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5F73B63A"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Em 1944, ocorreu a inauguração da Rádio Globo, também no Rio de Janeiro, mas foi com a inauguração da TV Globo (transmitida a partir de 1965) a partir da obtenção da concessão do canal 4 do Rio de Janeiro, que a empresa se tornou líder no segmento de mídia e expandiu negócios como com a portuguesa SIC, em 2010.</w:t>
      </w:r>
    </w:p>
    <w:p w14:paraId="7522C6BA"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522ED0D8"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Nos anos seguintes, o Grupo Globo fundou a gravadora Som Livre (1969), a Fundação Roberto Marinho (1977), a programadora de canais </w:t>
      </w:r>
      <w:proofErr w:type="spellStart"/>
      <w:r w:rsidRPr="00891A4A">
        <w:rPr>
          <w:rFonts w:ascii="Times New Roman" w:hAnsi="Times New Roman" w:cs="Times New Roman"/>
          <w:color w:val="000000"/>
        </w:rPr>
        <w:t>Globosat</w:t>
      </w:r>
      <w:proofErr w:type="spellEnd"/>
      <w:r w:rsidRPr="00891A4A">
        <w:rPr>
          <w:rFonts w:ascii="Times New Roman" w:hAnsi="Times New Roman" w:cs="Times New Roman"/>
          <w:color w:val="000000"/>
        </w:rPr>
        <w:t xml:space="preserve"> (1991), o portal Globo.com (2000) e o G1 (2006).</w:t>
      </w:r>
    </w:p>
    <w:p w14:paraId="690ED14C" w14:textId="77777777" w:rsidR="001C11E3" w:rsidRPr="006B1274" w:rsidRDefault="001C11E3" w:rsidP="00891A4A">
      <w:pPr>
        <w:spacing w:before="240" w:after="240" w:line="360" w:lineRule="auto"/>
        <w:ind w:left="2160"/>
        <w:jc w:val="both"/>
        <w:rPr>
          <w:rFonts w:ascii="Times New Roman" w:hAnsi="Times New Roman" w:cs="Times New Roman"/>
          <w:color w:val="000000"/>
          <w:sz w:val="20"/>
          <w:szCs w:val="20"/>
        </w:rPr>
      </w:pPr>
    </w:p>
    <w:p w14:paraId="788040D9" w14:textId="26BE89E0"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Em 24 de setembro de 2018, o Grupo Globo anunciou o projeto Uma Só Globo onde, em três anos, as operações de suas subsidiárias TV Globo, </w:t>
      </w:r>
      <w:proofErr w:type="spellStart"/>
      <w:r w:rsidRPr="00891A4A">
        <w:rPr>
          <w:rFonts w:ascii="Times New Roman" w:hAnsi="Times New Roman" w:cs="Times New Roman"/>
          <w:color w:val="000000"/>
        </w:rPr>
        <w:t>Globoplay</w:t>
      </w:r>
      <w:proofErr w:type="spellEnd"/>
      <w:r w:rsidRPr="00891A4A">
        <w:rPr>
          <w:rFonts w:ascii="Times New Roman" w:hAnsi="Times New Roman" w:cs="Times New Roman"/>
          <w:color w:val="000000"/>
        </w:rPr>
        <w:t xml:space="preserve">, </w:t>
      </w:r>
      <w:proofErr w:type="spellStart"/>
      <w:r w:rsidRPr="00891A4A">
        <w:rPr>
          <w:rFonts w:ascii="Times New Roman" w:hAnsi="Times New Roman" w:cs="Times New Roman"/>
          <w:color w:val="000000"/>
        </w:rPr>
        <w:t>Globosat</w:t>
      </w:r>
      <w:proofErr w:type="spellEnd"/>
      <w:r w:rsidRPr="00891A4A">
        <w:rPr>
          <w:rFonts w:ascii="Times New Roman" w:hAnsi="Times New Roman" w:cs="Times New Roman"/>
          <w:color w:val="000000"/>
        </w:rPr>
        <w:t xml:space="preserve">, Globo.com e </w:t>
      </w:r>
      <w:proofErr w:type="spellStart"/>
      <w:r w:rsidRPr="00891A4A">
        <w:rPr>
          <w:rFonts w:ascii="Times New Roman" w:hAnsi="Times New Roman" w:cs="Times New Roman"/>
          <w:color w:val="000000"/>
        </w:rPr>
        <w:t>DGCorp</w:t>
      </w:r>
      <w:proofErr w:type="spellEnd"/>
      <w:r w:rsidRPr="00891A4A">
        <w:rPr>
          <w:rFonts w:ascii="Times New Roman" w:hAnsi="Times New Roman" w:cs="Times New Roman"/>
          <w:color w:val="000000"/>
        </w:rPr>
        <w:t xml:space="preserve"> seriam integradas em uma única empresa, sob a razão social Globo Comunicações e Participações S.A. e a marca Globo, Sistema Globo de Rádio, Fundação Roberto Marinho e Som Livre não foram contempladas para o projeto e continuam operando independentemente. O processo de reestruturação foi feito com a consultoria da Accenture. Algo similar havia sido feito com as empresas do grupo que atuam no mercado editor</w:t>
      </w:r>
      <w:r w:rsidR="0099354A" w:rsidRPr="00891A4A">
        <w:rPr>
          <w:rFonts w:ascii="Times New Roman" w:hAnsi="Times New Roman" w:cs="Times New Roman"/>
          <w:color w:val="000000"/>
        </w:rPr>
        <w:t>i</w:t>
      </w:r>
      <w:r w:rsidRPr="00891A4A">
        <w:rPr>
          <w:rFonts w:ascii="Times New Roman" w:hAnsi="Times New Roman" w:cs="Times New Roman"/>
          <w:color w:val="000000"/>
        </w:rPr>
        <w:t xml:space="preserve">al, com a fusão da Editora Globo e as empresas de jornais </w:t>
      </w:r>
      <w:proofErr w:type="spellStart"/>
      <w:r w:rsidRPr="00891A4A">
        <w:rPr>
          <w:rFonts w:ascii="Times New Roman" w:hAnsi="Times New Roman" w:cs="Times New Roman"/>
          <w:color w:val="000000"/>
        </w:rPr>
        <w:t>Infoglobo</w:t>
      </w:r>
      <w:proofErr w:type="spellEnd"/>
      <w:r w:rsidRPr="00891A4A">
        <w:rPr>
          <w:rFonts w:ascii="Times New Roman" w:hAnsi="Times New Roman" w:cs="Times New Roman"/>
          <w:color w:val="000000"/>
        </w:rPr>
        <w:t xml:space="preserve"> e Valor Econômico.</w:t>
      </w:r>
    </w:p>
    <w:p w14:paraId="6B44C8C7"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48D7758D"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Em 4 de janeiro de 2021, foi anunciada oficialmente a marca da nova Globo, como resultado da união da TV aberta, TV por assinatura, streaming e plataformas digitais. O projeto gráfico foi realizado por uma equipe multidisciplinar e teve como ponto de partida a opinião do público. Ele ilustra os valores da empresa compostos por brasilidade, proximidade, diversidade, senso de comunidade, liberdade e criatividade. A arquitetura da nova marca traz o uso de letras em caixa baixa para representar a proximidade com o público. As cores vibrantes refletem a natureza, e a tipografia arredondada foi idealizada para trazer a ideia de círculo e movimento.</w:t>
      </w:r>
    </w:p>
    <w:p w14:paraId="0CC5746C" w14:textId="77777777" w:rsidR="001C11E3" w:rsidRPr="006B1274" w:rsidRDefault="001C11E3" w:rsidP="00891A4A">
      <w:pPr>
        <w:spacing w:before="240" w:after="240" w:line="360" w:lineRule="auto"/>
        <w:ind w:left="2160"/>
        <w:jc w:val="both"/>
        <w:rPr>
          <w:rFonts w:ascii="Times New Roman" w:hAnsi="Times New Roman" w:cs="Times New Roman"/>
          <w:color w:val="000000"/>
          <w:sz w:val="20"/>
          <w:szCs w:val="20"/>
        </w:rPr>
      </w:pPr>
    </w:p>
    <w:p w14:paraId="0E1010AE" w14:textId="1F694249"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Um dos principais pontos da reestruturação é que ela passaria a se tornar uma empresa </w:t>
      </w:r>
      <w:proofErr w:type="spellStart"/>
      <w:r w:rsidRPr="00891A4A">
        <w:rPr>
          <w:rFonts w:ascii="Times New Roman" w:hAnsi="Times New Roman" w:cs="Times New Roman"/>
          <w:color w:val="000000"/>
        </w:rPr>
        <w:t>mediatech</w:t>
      </w:r>
      <w:proofErr w:type="spellEnd"/>
      <w:r w:rsidRPr="00891A4A">
        <w:rPr>
          <w:rFonts w:ascii="Times New Roman" w:hAnsi="Times New Roman" w:cs="Times New Roman"/>
          <w:color w:val="000000"/>
        </w:rPr>
        <w:t xml:space="preserve">, visionando um futuro mais direcionado aos âmbitos digital e tecnológico. Nóbrega argumentou: "Nossos canais lineares falam com mais de 100 milhões de pessoas todos os dias no Brasil, o que demonstra a enorme relevância da televisão como a conhecemos, mas o conceito do que é televisão está se ampliando com rapidez". No dia 7 de abril de 2021, foi anunciado um acordo de 7 anos com a plataforma Google Cloud. A parceria contempla a migração de 100% dos dados de seus data </w:t>
      </w:r>
      <w:proofErr w:type="spellStart"/>
      <w:r w:rsidRPr="00891A4A">
        <w:rPr>
          <w:rFonts w:ascii="Times New Roman" w:hAnsi="Times New Roman" w:cs="Times New Roman"/>
          <w:color w:val="000000"/>
        </w:rPr>
        <w:t>centers</w:t>
      </w:r>
      <w:proofErr w:type="spellEnd"/>
      <w:r w:rsidR="001E6E07" w:rsidRPr="00891A4A">
        <w:rPr>
          <w:rFonts w:ascii="Times New Roman" w:hAnsi="Times New Roman" w:cs="Times New Roman"/>
          <w:color w:val="000000"/>
        </w:rPr>
        <w:t xml:space="preserve"> </w:t>
      </w:r>
      <w:r w:rsidRPr="00891A4A">
        <w:rPr>
          <w:rFonts w:ascii="Times New Roman" w:hAnsi="Times New Roman" w:cs="Times New Roman"/>
          <w:color w:val="000000"/>
        </w:rPr>
        <w:t xml:space="preserve">próprios para a nuvem da gigante tecnológica americana, assim como os seus conteúdos, produtos e serviços digitais da nova empresa; e abre possibilidades para a utilização de Inteligência Artificial e machine </w:t>
      </w:r>
      <w:proofErr w:type="spellStart"/>
      <w:r w:rsidRPr="00891A4A">
        <w:rPr>
          <w:rFonts w:ascii="Times New Roman" w:hAnsi="Times New Roman" w:cs="Times New Roman"/>
          <w:color w:val="000000"/>
        </w:rPr>
        <w:t>learning</w:t>
      </w:r>
      <w:proofErr w:type="spellEnd"/>
      <w:r w:rsidRPr="00891A4A">
        <w:rPr>
          <w:rFonts w:ascii="Times New Roman" w:hAnsi="Times New Roman" w:cs="Times New Roman"/>
          <w:color w:val="000000"/>
        </w:rPr>
        <w:t>, incluindo no desenvolvimento de soluções e no processo de inovação da Globo.</w:t>
      </w:r>
    </w:p>
    <w:p w14:paraId="195C9497"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0FBD333C"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No ano de 2025, o Grupo Globo comemora o seu centenário, lançando o seu emblema comemorativo (100 anos de Globo), que passou a acompanhar o logotipo das emissoras de televisão, rádio e serviços de internet. O foco especial ficou nos 80 anos da Rádio Globo, nos 60 anos da TV Globo, nos 25 anos do Valor Econômico e nos 10 anos do </w:t>
      </w:r>
      <w:proofErr w:type="spellStart"/>
      <w:r w:rsidRPr="00891A4A">
        <w:rPr>
          <w:rFonts w:ascii="Times New Roman" w:hAnsi="Times New Roman" w:cs="Times New Roman"/>
          <w:color w:val="000000"/>
        </w:rPr>
        <w:t>Globoplay</w:t>
      </w:r>
      <w:proofErr w:type="spellEnd"/>
      <w:r w:rsidRPr="00891A4A">
        <w:rPr>
          <w:rFonts w:ascii="Times New Roman" w:hAnsi="Times New Roman" w:cs="Times New Roman"/>
          <w:color w:val="000000"/>
        </w:rPr>
        <w:t>. A logo está disponível em todas as plataformas de paginas web e nesta semana de Especial Globo consta a Marca D’água com identificação de matérias especiais.</w:t>
      </w:r>
    </w:p>
    <w:p w14:paraId="6863381F"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416CE75C"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Canais Globo</w:t>
      </w:r>
    </w:p>
    <w:p w14:paraId="09F4960F"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072D6491"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Responsável pela TV Globo, Canal Futura e pelos canais da antiga </w:t>
      </w:r>
      <w:proofErr w:type="spellStart"/>
      <w:r w:rsidRPr="00891A4A">
        <w:rPr>
          <w:rFonts w:ascii="Times New Roman" w:hAnsi="Times New Roman" w:cs="Times New Roman"/>
          <w:color w:val="000000"/>
        </w:rPr>
        <w:t>Globosat</w:t>
      </w:r>
      <w:proofErr w:type="spellEnd"/>
      <w:r w:rsidRPr="00891A4A">
        <w:rPr>
          <w:rFonts w:ascii="Times New Roman" w:hAnsi="Times New Roman" w:cs="Times New Roman"/>
          <w:color w:val="000000"/>
        </w:rPr>
        <w:t>. É chefiada por Amauri Soares.</w:t>
      </w:r>
    </w:p>
    <w:p w14:paraId="7377BB1B"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5351EFFF"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Produtos digitais</w:t>
      </w:r>
    </w:p>
    <w:p w14:paraId="0970E6C7"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4B520B4D"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Incorpora o g1, o </w:t>
      </w:r>
      <w:proofErr w:type="spellStart"/>
      <w:r w:rsidRPr="00891A4A">
        <w:rPr>
          <w:rFonts w:ascii="Times New Roman" w:hAnsi="Times New Roman" w:cs="Times New Roman"/>
          <w:color w:val="000000"/>
        </w:rPr>
        <w:t>ge</w:t>
      </w:r>
      <w:proofErr w:type="spellEnd"/>
      <w:r w:rsidRPr="00891A4A">
        <w:rPr>
          <w:rFonts w:ascii="Times New Roman" w:hAnsi="Times New Roman" w:cs="Times New Roman"/>
          <w:color w:val="000000"/>
        </w:rPr>
        <w:t xml:space="preserve">, </w:t>
      </w:r>
      <w:proofErr w:type="spellStart"/>
      <w:r w:rsidRPr="00891A4A">
        <w:rPr>
          <w:rFonts w:ascii="Times New Roman" w:hAnsi="Times New Roman" w:cs="Times New Roman"/>
          <w:color w:val="000000"/>
        </w:rPr>
        <w:t>Gshow</w:t>
      </w:r>
      <w:proofErr w:type="spellEnd"/>
      <w:r w:rsidRPr="00891A4A">
        <w:rPr>
          <w:rFonts w:ascii="Times New Roman" w:hAnsi="Times New Roman" w:cs="Times New Roman"/>
          <w:color w:val="000000"/>
        </w:rPr>
        <w:t xml:space="preserve">, o </w:t>
      </w:r>
      <w:proofErr w:type="spellStart"/>
      <w:r w:rsidRPr="00891A4A">
        <w:rPr>
          <w:rFonts w:ascii="Times New Roman" w:hAnsi="Times New Roman" w:cs="Times New Roman"/>
          <w:color w:val="000000"/>
        </w:rPr>
        <w:t>Globoplay</w:t>
      </w:r>
      <w:proofErr w:type="spellEnd"/>
      <w:r w:rsidRPr="00891A4A">
        <w:rPr>
          <w:rFonts w:ascii="Times New Roman" w:hAnsi="Times New Roman" w:cs="Times New Roman"/>
          <w:color w:val="000000"/>
        </w:rPr>
        <w:t xml:space="preserve"> e o streaming Canais Globo. É chefiada por Manuel </w:t>
      </w:r>
      <w:proofErr w:type="spellStart"/>
      <w:r w:rsidRPr="00891A4A">
        <w:rPr>
          <w:rFonts w:ascii="Times New Roman" w:hAnsi="Times New Roman" w:cs="Times New Roman"/>
          <w:color w:val="000000"/>
        </w:rPr>
        <w:t>Belmar</w:t>
      </w:r>
      <w:proofErr w:type="spellEnd"/>
      <w:r w:rsidRPr="00891A4A">
        <w:rPr>
          <w:rFonts w:ascii="Times New Roman" w:hAnsi="Times New Roman" w:cs="Times New Roman"/>
          <w:color w:val="000000"/>
        </w:rPr>
        <w:t>.</w:t>
      </w:r>
    </w:p>
    <w:p w14:paraId="25886CDB"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7DC4C5E7"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Criação e Produção de conteúdo</w:t>
      </w:r>
    </w:p>
    <w:p w14:paraId="00E91F8A"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0A6BA4E9"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Incorpora os Estúdios Globo, o Jornalismo Globo e a Globo Filmes. É também chefiada por Amauri Soares.</w:t>
      </w:r>
    </w:p>
    <w:p w14:paraId="5EA245D3"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125DAA6D"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Som Livre</w:t>
      </w:r>
    </w:p>
    <w:p w14:paraId="2E5FCFA5"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2CADC1B0"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Vendida para a Sony Music Brasil em 2021.</w:t>
      </w:r>
    </w:p>
    <w:p w14:paraId="20EC4120"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228B2758"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Sistema Globo de Rádio</w:t>
      </w:r>
    </w:p>
    <w:p w14:paraId="4F710FB8" w14:textId="77777777" w:rsidR="001C11E3" w:rsidRPr="00891A4A" w:rsidRDefault="001C11E3" w:rsidP="00891A4A">
      <w:pPr>
        <w:spacing w:before="240" w:after="240" w:line="360" w:lineRule="auto"/>
        <w:ind w:left="2160"/>
        <w:jc w:val="both"/>
        <w:rPr>
          <w:rFonts w:ascii="Times New Roman" w:hAnsi="Times New Roman" w:cs="Times New Roman"/>
          <w:color w:val="000000"/>
        </w:rPr>
      </w:pPr>
    </w:p>
    <w:p w14:paraId="3F74DAE3"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Empresa que controla as concessões e redes de rádio do grupo. Está sediada na cidade do Rio de Janeiro, no mesmo edifício da Editora Globo.</w:t>
      </w:r>
    </w:p>
    <w:p w14:paraId="00FE1687"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CBN</w:t>
      </w:r>
    </w:p>
    <w:p w14:paraId="2EB2E746"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BH FM (Belo Horizonte)</w:t>
      </w:r>
    </w:p>
    <w:p w14:paraId="205F450B"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Rádio Globo (Rio de Janeiro)</w:t>
      </w:r>
    </w:p>
    <w:p w14:paraId="50EE1027" w14:textId="5AD7113B" w:rsidR="001C11E3" w:rsidRPr="00891A4A" w:rsidRDefault="00576533" w:rsidP="00314D9B">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Sound! (serviço de canais de áudio para operadoras de TV por assinatura lançado em 2013)</w:t>
      </w:r>
    </w:p>
    <w:p w14:paraId="74647AC5" w14:textId="0AAE4699" w:rsidR="001C11E3" w:rsidRPr="00891A4A" w:rsidRDefault="00576533" w:rsidP="00314D9B">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Editora Globo</w:t>
      </w:r>
    </w:p>
    <w:p w14:paraId="5959C765" w14:textId="77777777" w:rsidR="00C82DB2"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Fundada em 1952, a editora publica livros e revistas. Sua sede está localizada em São Paulo, além de contar com sucursais no Rio de Janeiro e em Brasília, a editora</w:t>
      </w:r>
    </w:p>
    <w:p w14:paraId="1DCCF19D" w14:textId="77777777" w:rsidR="00314D9B" w:rsidRDefault="00576533" w:rsidP="00314D9B">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tem as seguintes divisões: </w:t>
      </w:r>
      <w:proofErr w:type="spellStart"/>
      <w:r w:rsidRPr="00891A4A">
        <w:rPr>
          <w:rFonts w:ascii="Times New Roman" w:hAnsi="Times New Roman" w:cs="Times New Roman"/>
          <w:color w:val="000000"/>
        </w:rPr>
        <w:t>infoglobo</w:t>
      </w:r>
      <w:proofErr w:type="spellEnd"/>
      <w:r w:rsidRPr="00891A4A">
        <w:rPr>
          <w:rFonts w:ascii="Times New Roman" w:hAnsi="Times New Roman" w:cs="Times New Roman"/>
          <w:color w:val="000000"/>
        </w:rPr>
        <w:t xml:space="preserve">, Edições Globo </w:t>
      </w:r>
      <w:proofErr w:type="spellStart"/>
      <w:r w:rsidRPr="00891A4A">
        <w:rPr>
          <w:rFonts w:ascii="Times New Roman" w:hAnsi="Times New Roman" w:cs="Times New Roman"/>
          <w:color w:val="000000"/>
        </w:rPr>
        <w:t>Condé</w:t>
      </w:r>
      <w:proofErr w:type="spellEnd"/>
      <w:r w:rsidRPr="00891A4A">
        <w:rPr>
          <w:rFonts w:ascii="Times New Roman" w:hAnsi="Times New Roman" w:cs="Times New Roman"/>
          <w:color w:val="000000"/>
        </w:rPr>
        <w:t xml:space="preserve"> Nast, Globo Livros e </w:t>
      </w:r>
      <w:proofErr w:type="spellStart"/>
      <w:r w:rsidRPr="00891A4A">
        <w:rPr>
          <w:rFonts w:ascii="Times New Roman" w:hAnsi="Times New Roman" w:cs="Times New Roman"/>
          <w:color w:val="000000"/>
        </w:rPr>
        <w:t>Globosim</w:t>
      </w:r>
      <w:proofErr w:type="spellEnd"/>
      <w:r w:rsidRPr="00891A4A">
        <w:rPr>
          <w:rFonts w:ascii="Times New Roman" w:hAnsi="Times New Roman" w:cs="Times New Roman"/>
          <w:color w:val="000000"/>
        </w:rPr>
        <w:t>.</w:t>
      </w:r>
    </w:p>
    <w:p w14:paraId="5F703C66" w14:textId="6D7ADF14" w:rsidR="001C11E3" w:rsidRPr="00891A4A" w:rsidRDefault="00576533" w:rsidP="00314D9B">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Época</w:t>
      </w:r>
    </w:p>
    <w:p w14:paraId="6FCA03F2"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Galileu</w:t>
      </w:r>
    </w:p>
    <w:p w14:paraId="34065486"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Época Negócios</w:t>
      </w:r>
    </w:p>
    <w:p w14:paraId="71E56B06"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Marie Claire</w:t>
      </w:r>
    </w:p>
    <w:p w14:paraId="0947B6ED"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Crescer</w:t>
      </w:r>
    </w:p>
    <w:p w14:paraId="1F414B3C"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Globo Rural</w:t>
      </w:r>
    </w:p>
    <w:p w14:paraId="26F00BEC"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Casa &amp; Jardim</w:t>
      </w:r>
    </w:p>
    <w:p w14:paraId="62062F61"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Casa e Comida</w:t>
      </w:r>
    </w:p>
    <w:p w14:paraId="2254837E"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Pequenas Empresas &amp; Grandes Negócios</w:t>
      </w:r>
    </w:p>
    <w:p w14:paraId="1F4537CA" w14:textId="69D71435"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Auto</w:t>
      </w:r>
      <w:r w:rsidR="005050D5" w:rsidRPr="00891A4A">
        <w:rPr>
          <w:rFonts w:ascii="Times New Roman" w:hAnsi="Times New Roman" w:cs="Times New Roman"/>
          <w:color w:val="000000"/>
        </w:rPr>
        <w:t xml:space="preserve"> E</w:t>
      </w:r>
      <w:r w:rsidRPr="00891A4A">
        <w:rPr>
          <w:rFonts w:ascii="Times New Roman" w:hAnsi="Times New Roman" w:cs="Times New Roman"/>
          <w:color w:val="000000"/>
        </w:rPr>
        <w:t>sporte</w:t>
      </w:r>
    </w:p>
    <w:p w14:paraId="3D7A1102"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Quem</w:t>
      </w:r>
    </w:p>
    <w:p w14:paraId="0EEB3E4A"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O Globo</w:t>
      </w:r>
    </w:p>
    <w:p w14:paraId="71C15813"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Extra</w:t>
      </w:r>
    </w:p>
    <w:p w14:paraId="7DE92BEB" w14:textId="46B23C4B" w:rsidR="001C11E3" w:rsidRPr="00891A4A" w:rsidRDefault="00576533" w:rsidP="00EE426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Valor Econômico</w:t>
      </w:r>
    </w:p>
    <w:p w14:paraId="7546D226"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Apple Color Emoji" w:hAnsi="Apple Color Emoji" w:cs="Apple Color Emoji"/>
          <w:color w:val="000000"/>
        </w:rPr>
        <w:t>📊</w:t>
      </w:r>
      <w:r w:rsidRPr="00891A4A">
        <w:rPr>
          <w:rFonts w:ascii="Times New Roman" w:hAnsi="Times New Roman" w:cs="Times New Roman"/>
          <w:color w:val="000000"/>
        </w:rPr>
        <w:t xml:space="preserve"> Globo </w:t>
      </w:r>
      <w:proofErr w:type="spellStart"/>
      <w:r w:rsidRPr="00891A4A">
        <w:rPr>
          <w:rFonts w:ascii="Times New Roman" w:hAnsi="Times New Roman" w:cs="Times New Roman"/>
          <w:color w:val="000000"/>
        </w:rPr>
        <w:t>Ventures</w:t>
      </w:r>
      <w:proofErr w:type="spellEnd"/>
    </w:p>
    <w:p w14:paraId="38F8FEB5" w14:textId="77777777" w:rsidR="001C11E3" w:rsidRPr="00891A4A" w:rsidRDefault="00576533" w:rsidP="00891A4A">
      <w:pPr>
        <w:spacing w:before="240" w:after="240" w:line="360" w:lineRule="auto"/>
        <w:ind w:left="2160"/>
        <w:jc w:val="both"/>
        <w:rPr>
          <w:rFonts w:ascii="Times New Roman" w:hAnsi="Times New Roman" w:cs="Times New Roman"/>
          <w:color w:val="000000"/>
        </w:rPr>
      </w:pPr>
      <w:r w:rsidRPr="00891A4A">
        <w:rPr>
          <w:rFonts w:ascii="Times New Roman" w:hAnsi="Times New Roman" w:cs="Times New Roman"/>
          <w:color w:val="000000"/>
        </w:rPr>
        <w:t xml:space="preserve">Empresa de investimentos do Grupo Globo criada em 2019 para alavancar outras empresas focadas em empreendedorismo e novos negócios, como por exemplo: </w:t>
      </w:r>
      <w:proofErr w:type="spellStart"/>
      <w:r w:rsidRPr="00891A4A">
        <w:rPr>
          <w:rFonts w:ascii="Times New Roman" w:hAnsi="Times New Roman" w:cs="Times New Roman"/>
          <w:color w:val="000000"/>
        </w:rPr>
        <w:t>Alive</w:t>
      </w:r>
      <w:proofErr w:type="spellEnd"/>
      <w:r w:rsidRPr="00891A4A">
        <w:rPr>
          <w:rFonts w:ascii="Times New Roman" w:hAnsi="Times New Roman" w:cs="Times New Roman"/>
          <w:color w:val="000000"/>
        </w:rPr>
        <w:t xml:space="preserve">, Arena, Bom Pra Crédito, </w:t>
      </w:r>
      <w:proofErr w:type="spellStart"/>
      <w:r w:rsidRPr="00891A4A">
        <w:rPr>
          <w:rFonts w:ascii="Times New Roman" w:hAnsi="Times New Roman" w:cs="Times New Roman"/>
          <w:color w:val="000000"/>
        </w:rPr>
        <w:t>Buser</w:t>
      </w:r>
      <w:proofErr w:type="spellEnd"/>
      <w:r w:rsidRPr="00891A4A">
        <w:rPr>
          <w:rFonts w:ascii="Times New Roman" w:hAnsi="Times New Roman" w:cs="Times New Roman"/>
          <w:color w:val="000000"/>
        </w:rPr>
        <w:t xml:space="preserve">, EmCasa, Enjoei, </w:t>
      </w:r>
      <w:proofErr w:type="spellStart"/>
      <w:r w:rsidRPr="00891A4A">
        <w:rPr>
          <w:rFonts w:ascii="Times New Roman" w:hAnsi="Times New Roman" w:cs="Times New Roman"/>
          <w:color w:val="000000"/>
        </w:rPr>
        <w:t>Nomad</w:t>
      </w:r>
      <w:proofErr w:type="spellEnd"/>
      <w:r w:rsidRPr="00891A4A">
        <w:rPr>
          <w:rFonts w:ascii="Times New Roman" w:hAnsi="Times New Roman" w:cs="Times New Roman"/>
          <w:color w:val="000000"/>
        </w:rPr>
        <w:t xml:space="preserve">, </w:t>
      </w:r>
      <w:proofErr w:type="spellStart"/>
      <w:r w:rsidRPr="00891A4A">
        <w:rPr>
          <w:rFonts w:ascii="Times New Roman" w:hAnsi="Times New Roman" w:cs="Times New Roman"/>
          <w:color w:val="000000"/>
        </w:rPr>
        <w:t>Órama</w:t>
      </w:r>
      <w:proofErr w:type="spellEnd"/>
      <w:r w:rsidRPr="00891A4A">
        <w:rPr>
          <w:rFonts w:ascii="Times New Roman" w:hAnsi="Times New Roman" w:cs="Times New Roman"/>
          <w:color w:val="000000"/>
        </w:rPr>
        <w:t xml:space="preserve">, </w:t>
      </w:r>
      <w:proofErr w:type="spellStart"/>
      <w:r w:rsidRPr="00891A4A">
        <w:rPr>
          <w:rFonts w:ascii="Times New Roman" w:hAnsi="Times New Roman" w:cs="Times New Roman"/>
          <w:color w:val="000000"/>
        </w:rPr>
        <w:t>Petlove</w:t>
      </w:r>
      <w:proofErr w:type="spellEnd"/>
      <w:r w:rsidRPr="00891A4A">
        <w:rPr>
          <w:rFonts w:ascii="Times New Roman" w:hAnsi="Times New Roman" w:cs="Times New Roman"/>
          <w:color w:val="000000"/>
        </w:rPr>
        <w:t xml:space="preserve"> , Stone entre outros. É comandada por Roberto Marinho Neto.</w:t>
      </w:r>
    </w:p>
    <w:p w14:paraId="435025D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C7A8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2A9368D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2973E4"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PUBLICITÁRIA EXPLICA</w:t>
      </w:r>
    </w:p>
    <w:p w14:paraId="754FDA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2º Reunião de Vice-Ministros de Finanças e Bancos Centrais do BRICS</w:t>
      </w:r>
    </w:p>
    <w:p w14:paraId="1386F6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B6D93C" w14:textId="68188F2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w:t>
      </w:r>
    </w:p>
    <w:p w14:paraId="70B8A6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Temática Social: Do Social para as Redes Sociais, a Importância da Representatividade Ética Profissional Feminina em Tempos Digitais. </w:t>
      </w:r>
    </w:p>
    <w:p w14:paraId="76DAE55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9DEE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28 de Abril de 2025 | 12:52 PM</w:t>
      </w:r>
    </w:p>
    <w:p w14:paraId="33DE72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7D3F9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Hoje por Calendário Oficial ocorre a 2º Reunião de Vice-Ministros de Finanças e Bancos Centrais do BRICS, Washington - Estados Unidos.</w:t>
      </w:r>
    </w:p>
    <w:p w14:paraId="1A1D0A9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F0E728" w14:textId="2603DDE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Tatiana </w:t>
      </w:r>
      <w:proofErr w:type="spellStart"/>
      <w:r w:rsidRPr="006B1274">
        <w:rPr>
          <w:rFonts w:ascii="Times New Roman" w:hAnsi="Times New Roman" w:cs="Times New Roman"/>
          <w:color w:val="000000"/>
          <w:sz w:val="20"/>
          <w:szCs w:val="20"/>
        </w:rPr>
        <w:t>Rosito</w:t>
      </w:r>
      <w:proofErr w:type="spellEnd"/>
      <w:r w:rsidRPr="006B1274">
        <w:rPr>
          <w:rFonts w:ascii="Times New Roman" w:hAnsi="Times New Roman" w:cs="Times New Roman"/>
          <w:color w:val="000000"/>
          <w:sz w:val="20"/>
          <w:szCs w:val="20"/>
        </w:rPr>
        <w:t>, Embaixadora e Secretária do Ministério da Fazenda passou a última semana nos EUA com assuntos de inserção de pauta para realização oficial da 2º Reunião da Agenda Oficial na data de hoje aberto aos ministros.</w:t>
      </w:r>
    </w:p>
    <w:p w14:paraId="61E096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Estácio</w:t>
      </w:r>
    </w:p>
    <w:p w14:paraId="7FF173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6CD713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120BAA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6497741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305F66E7" w14:textId="77777777" w:rsidR="00BE1AD5"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12D78328" w14:textId="56FB8635" w:rsidR="001C11E3" w:rsidRPr="00BE1AD5"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b/>
          <w:bCs/>
          <w:color w:val="000000"/>
          <w:sz w:val="20"/>
          <w:szCs w:val="20"/>
        </w:rPr>
        <w:t>💬</w:t>
      </w:r>
      <w:r w:rsidR="00BE1AD5">
        <w:rPr>
          <w:rFonts w:ascii="Apple Color Emoji" w:hAnsi="Apple Color Emoji" w:cs="Apple Color Emoji"/>
          <w:b/>
          <w:bCs/>
          <w:color w:val="000000"/>
          <w:sz w:val="20"/>
          <w:szCs w:val="20"/>
        </w:rPr>
        <w:t xml:space="preserve"> </w:t>
      </w:r>
      <w:r w:rsidRPr="006B1274">
        <w:rPr>
          <w:rFonts w:ascii="Times New Roman" w:hAnsi="Times New Roman" w:cs="Times New Roman"/>
          <w:b/>
          <w:bCs/>
          <w:color w:val="000000"/>
          <w:sz w:val="20"/>
          <w:szCs w:val="20"/>
        </w:rPr>
        <w:t>LET’ S CHAT - PUBLICITÁRIA EXPLICA</w:t>
      </w:r>
    </w:p>
    <w:p w14:paraId="70CF4E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Inovação: Educação e Emprego Digno</w:t>
      </w:r>
    </w:p>
    <w:p w14:paraId="5C13B9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B406E1" w14:textId="5BBF2AC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w:t>
      </w:r>
    </w:p>
    <w:p w14:paraId="4478D8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B1797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16F9A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28 de Abril de 2025 | 13:25 PM</w:t>
      </w:r>
    </w:p>
    <w:p w14:paraId="2374ED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B568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 21 à 23 de Abril de 2025, estive acompanhando o “World </w:t>
      </w:r>
      <w:proofErr w:type="spellStart"/>
      <w:r w:rsidRPr="006B1274">
        <w:rPr>
          <w:rFonts w:ascii="Times New Roman" w:hAnsi="Times New Roman" w:cs="Times New Roman"/>
          <w:color w:val="000000"/>
          <w:sz w:val="20"/>
          <w:szCs w:val="20"/>
        </w:rPr>
        <w:t>Creativity</w:t>
      </w:r>
      <w:proofErr w:type="spellEnd"/>
      <w:r w:rsidRPr="006B1274">
        <w:rPr>
          <w:rFonts w:ascii="Times New Roman" w:hAnsi="Times New Roman" w:cs="Times New Roman"/>
          <w:color w:val="000000"/>
          <w:sz w:val="20"/>
          <w:szCs w:val="20"/>
        </w:rPr>
        <w:t xml:space="preserve"> Day”, Dia Mundial da Criatividade. Instituído pela ONU, o dia visa o enaltecimento do Objetivo de Desenvolvimento Sustentável de número 9 da ONU em Inovação e Infraestrutura. A proposta através da criatividade é prover o conhecimento em educação e cultura para promoção de informação e instrução aos cidadãos em construção de uma sociedade mais justa, ética e responsável sustentávelmente como parte de Compromisso Social de todas as Nações Membro-integrantes da Organização das Nações Unidas. </w:t>
      </w:r>
    </w:p>
    <w:p w14:paraId="65731FD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9A69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ações envolvem o BID (Banco Internacional de Desenvolvimento), com movimentação global dos Bancos Centrais Mundiais e o FMI.</w:t>
      </w:r>
    </w:p>
    <w:p w14:paraId="1ACB7C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6F39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 por terceiros.</w:t>
      </w:r>
    </w:p>
    <w:p w14:paraId="44FB008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505D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622DB5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0EA4AD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5EAD59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3B4FB2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7B83D1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0AF9C8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2B978D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700DC5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B5F17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6A2755C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131847" w14:textId="7B834D3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EBC</w:t>
      </w:r>
    </w:p>
    <w:p w14:paraId="319712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BBB95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6646C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5AEF1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data do Dia Mundial da Educação, como marco para as gerações atuais da garantia de Direitos Educacionais em século XXI:</w:t>
      </w:r>
    </w:p>
    <w:p w14:paraId="6385E7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3027D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Dia Mundial da Educação: caminho para transformar vidas</w:t>
      </w:r>
    </w:p>
    <w:p w14:paraId="319AE3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orçamento de R$ 105,9 bilhões para 2025, o FNDE se consolida como pilar essencial para o fortalecimento da educação pública</w:t>
      </w:r>
    </w:p>
    <w:p w14:paraId="1E1D61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381C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Agência Gov | Via FNDE</w:t>
      </w:r>
    </w:p>
    <w:p w14:paraId="4BAB77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28/04/2025 10:51</w:t>
      </w:r>
    </w:p>
    <w:p w14:paraId="0C1751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994C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28 de abril, mais do que um direito, celebramos a educação como um caminho para transformar vidas, realidades e futuros. Com orçamento de R$ 105,9 bilhões para 2025, o Fundo Nacional de Desenvolvimento da Educação (FNDE) reforça seu compromisso em garantir acesso, permanência e qualidade na educação básica em todo o Brasil, impactando milhões de estudantes e promovendo dignidade e oportunidades em cada ação.</w:t>
      </w:r>
    </w:p>
    <w:p w14:paraId="1518C4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2558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Vinculado ao Ministério da Educação (MEC), o FNDE é o braço executivo que leva a política pública educacional até quem mais precisa: é o ônibus que transporta o estudante, a merenda que garante o aprendizado, o livro que desperta o conhecimento, a creche que acolhe e ensina desde cedo, o investimento que chega a todas as regiões do país.</w:t>
      </w:r>
    </w:p>
    <w:p w14:paraId="1DC3C7E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D9EF1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Compromisso com a transformação </w:t>
      </w:r>
    </w:p>
    <w:p w14:paraId="15B557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Celebrado há 25 anos, o Dia Mundial da Educação simboliza o compromisso global assumido em 2000, durante o Fórum Mundial de Educação em Dakar, Senegal, de garantir educação de qualidade até 2030. No Brasil, esse compromisso se materializa todos os dias na ação concreta do FNDE.</w:t>
      </w:r>
    </w:p>
    <w:p w14:paraId="68F68AF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3E46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Disponível em:</w:t>
      </w:r>
    </w:p>
    <w:p w14:paraId="51133C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F23B9E" w14:textId="77777777" w:rsidR="001C11E3" w:rsidRPr="00BE1AD5" w:rsidRDefault="00576533" w:rsidP="00B36B27">
      <w:pPr>
        <w:spacing w:before="240" w:after="240" w:line="360" w:lineRule="auto"/>
        <w:rPr>
          <w:rFonts w:ascii="Times New Roman" w:hAnsi="Times New Roman" w:cs="Times New Roman"/>
          <w:color w:val="000000"/>
          <w:sz w:val="20"/>
          <w:szCs w:val="20"/>
        </w:rPr>
      </w:pPr>
      <w:hyperlink r:id="rId17">
        <w:r w:rsidRPr="00BE1AD5">
          <w:rPr>
            <w:rFonts w:ascii="Times New Roman" w:hAnsi="Times New Roman" w:cs="Times New Roman"/>
            <w:color w:val="000000"/>
            <w:sz w:val="20"/>
            <w:szCs w:val="20"/>
          </w:rPr>
          <w:t>https://agenciagov.ebc.com.br/noticias/202504/dia-mundial-da-educacao-fnde-reforca-seu-compromisso-com-a-transformacao-social</w:t>
        </w:r>
      </w:hyperlink>
    </w:p>
    <w:p w14:paraId="0CE618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3D591E" w14:textId="77777777" w:rsidR="001C11E3" w:rsidRDefault="001C11E3" w:rsidP="00B36B27">
      <w:pPr>
        <w:spacing w:before="240" w:after="240" w:line="360" w:lineRule="auto"/>
        <w:rPr>
          <w:rFonts w:ascii="Times New Roman" w:hAnsi="Times New Roman" w:cs="Times New Roman"/>
          <w:color w:val="000000"/>
          <w:sz w:val="20"/>
          <w:szCs w:val="20"/>
        </w:rPr>
      </w:pPr>
    </w:p>
    <w:p w14:paraId="7E754789" w14:textId="77777777" w:rsidR="00BE1AD5" w:rsidRPr="006B1274" w:rsidRDefault="00BE1AD5" w:rsidP="00B36B27">
      <w:pPr>
        <w:spacing w:before="240" w:after="240" w:line="360" w:lineRule="auto"/>
        <w:rPr>
          <w:rFonts w:ascii="Times New Roman" w:hAnsi="Times New Roman" w:cs="Times New Roman"/>
          <w:color w:val="000000"/>
          <w:sz w:val="20"/>
          <w:szCs w:val="20"/>
        </w:rPr>
      </w:pPr>
    </w:p>
    <w:p w14:paraId="3690B621"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68A7EE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Consumo e Produção Renováveis</w:t>
      </w:r>
    </w:p>
    <w:p w14:paraId="0D85B2E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2CC8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A23BA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B7B5DE" w14:textId="6E3ED05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0DC8E3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EDC287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08B6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04 de Maio de 2025 | 21:38 PM</w:t>
      </w:r>
    </w:p>
    <w:p w14:paraId="5C50BD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6FB1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detalhes do Objetivo Sustentável de número 12, principal ODS de direcionado à sociedade em consumo e produção industrial consciente:</w:t>
      </w:r>
    </w:p>
    <w:p w14:paraId="77FA133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FBFB4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Objetivo 12. Assegurar padrões de produção e de consumo sustentáveis</w:t>
      </w:r>
    </w:p>
    <w:p w14:paraId="087EF02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CEC0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12.1 Implementar o Plano Decenal de Programas sobre Produção e Consumo Sustentáveis, com todos os países tomando medidas, e os países desenvolvidos assumindo a liderança, tendo em conta o desenvolvimento e as capacidades dos países em desenvolvimento</w:t>
      </w:r>
    </w:p>
    <w:p w14:paraId="7EACCCC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381F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12.2 Até 2030, alcançar a gestão sustentável e o uso eficiente dos recursos naturais</w:t>
      </w:r>
    </w:p>
    <w:p w14:paraId="721C152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63B1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12.3 Até 2030, reduzir pela metade o desperdício de alimentos per capita mundial, nos níveis de varejo e do consumidor, e reduzir as perdas de alimentos ao longo das cadeias de produção e abastecimento, incluindo as perdas pós-colheita</w:t>
      </w:r>
    </w:p>
    <w:p w14:paraId="1DA47B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2FA4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12.4 Até 2020, alcançar o manejo ambientalmente saudável dos produtos químicos e todos os resíduos, ao longo de todo o ciclo de vida destes, de acordo com os marcos internacionais acordados, e reduzir significativamente a liberação destes para o ar, água e solo, para minimizar seus impactos negativos sobre a saúde humana e o meio ambiente</w:t>
      </w:r>
    </w:p>
    <w:p w14:paraId="20D3E6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2E97E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12.5 Até 2030, reduzir substancialmente a geração de resíduos por meio da prevenção, redução, reciclagem e reuso</w:t>
      </w:r>
    </w:p>
    <w:p w14:paraId="228594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96B6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12.6 Incentivar as empresas, especialmente as empresas grandes e transnacionais, a adotar práticas sustentáveis e a integrar informações de sustentabilidade em seu ciclo de relatórios</w:t>
      </w:r>
    </w:p>
    <w:p w14:paraId="25F62B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DC6F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12.7 Promover práticas de compras públicas sustentáveis, de acordo com as políticas e prioridades nacionais</w:t>
      </w:r>
    </w:p>
    <w:p w14:paraId="76BBB1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8D85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12.8 Até 2030, garantir que as pessoas, em todos os lugares, tenham informação relevante e conscientização para o desenvolvimento sustentável e estilos de vida em harmonia com a natureza</w:t>
      </w:r>
    </w:p>
    <w:p w14:paraId="6552F78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EF62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12.a Apoiar países em desenvolvimento a fortalecer suas capacidades científicas e tecnológicas para mudar para padrões mais sustentáveis de produção e consumo</w:t>
      </w:r>
    </w:p>
    <w:p w14:paraId="0CAEC52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CEC2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12.b Desenvolver e implementar ferramentas para monitorar os impactos do desenvolvimento sustentável para o turismo sustentável, que gera empregos, promove a cultura e os produtos locais</w:t>
      </w:r>
    </w:p>
    <w:p w14:paraId="421838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41B6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12.c Racionalizar subsídios ineficientes aos combustíveis fósseis, que encorajam o consumo exagerado, eliminando as distorções de mercado, de acordo com as circunstâncias nacionais, inclusive por meio da reestruturação fiscal e a eliminação gradual desses subsídios prejudiciais, caso existam, para refletir os seus impactos ambientais, tendo plenamente em conta as necessidades específicas e condições dos países em desenvolvimento e minimizando os possíveis impactos adversos sobre o seu desenvolvimento de uma forma que proteja os pobres e as comunidades afetadas.</w:t>
      </w:r>
    </w:p>
    <w:p w14:paraId="120EE4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6AE434" w14:textId="6275D596" w:rsidR="001C11E3" w:rsidRPr="006B1274" w:rsidRDefault="00DC135F"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Disponível</w:t>
      </w:r>
      <w:r w:rsidR="00576533" w:rsidRPr="006B1274">
        <w:rPr>
          <w:rFonts w:ascii="Times New Roman" w:hAnsi="Times New Roman" w:cs="Times New Roman"/>
          <w:color w:val="000000"/>
          <w:sz w:val="20"/>
          <w:szCs w:val="20"/>
        </w:rPr>
        <w:t xml:space="preserve"> acesso em:</w:t>
      </w:r>
    </w:p>
    <w:p w14:paraId="7FC197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brasil.un.org/pt-br/sdgs/12?afd_azwaf_tok=eyJhbGciOiJSUzI1NiJ9.eyJhdWQiOiJicmFzaWwudW4ub3JnIiwiZXhwIjoxNzQ2Mzk5NTM1LCJpYXQiOjE3NDYzOTk1MjUsImlzcyI6InRpZXIxLTY4OWY1OGM3YjQtd2M3NG0iLCJzdWIiOiI0Mjg6MTQwMjphMDA6MjcwNDo1OWQwOmNiMWM6ZTY1NTo2Y2Q1IiwiZGF0YSI6eyJ0eXBlIjoiaXNzdWVkIiwicmVmIjoiMjAyNTA1MDRUMjI1ODQ1Wi0xNjg5ZjU4YzdiNHdjNzRtaEMxUklPZ3FmYzAwMDAwMDA5cmcwMDAwMDAwMGNnenoiLCJiIjoid0VCTVFIWExlbWJ0YVlZS2lsVXl0UTI1MlZFTDd6TXNKZG5pRkI5MWlCWSIsImgiOiI4UmVzOXBQMWFiOUVMcnZOY1RYREQ0Y3FDSVpJOEh0VzlGZDRJMTR3RndnIn19.p6FKH8T-LdU2QrvzD7THpnmk4oyiOYP67nw94_T4E6VES877vjlwrVmJCUNF2I4tMP5MmsczpXHi6uz6x884JpGSqemSbLRnJ-cfQg1ENnb_opU22LmNSeufHsC8g4iTXwudidUP1fNQiTkvlnz4PrFYsRq67McgyuZEMelBX0MavkAecFaoGJxgcOjVnRa9-KX9L5HCosrscVxxOnsVidWxqKQzYWXURfZJ1LCoyhdOU6dHGtGM5KOr_42cVwqozLY7t6tXvesZHwzo10uv0vKJD6DGK_syjU6ExACy49Z17XZ7iWixqOMuVr7heBsUDxdpnv-T5Y-6oTsxiOOgtQ.WF3obl2IDtqgvMFRqVdYkD5s</w:t>
      </w:r>
    </w:p>
    <w:p w14:paraId="40D07B1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0F56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7C6EE193" w14:textId="77777777" w:rsidR="001C11E3" w:rsidRDefault="001C11E3" w:rsidP="00B36B27">
      <w:pPr>
        <w:spacing w:before="240" w:after="240" w:line="360" w:lineRule="auto"/>
        <w:rPr>
          <w:rFonts w:ascii="Times New Roman" w:hAnsi="Times New Roman" w:cs="Times New Roman"/>
          <w:color w:val="000000"/>
          <w:sz w:val="20"/>
          <w:szCs w:val="20"/>
        </w:rPr>
      </w:pPr>
    </w:p>
    <w:p w14:paraId="09550EB4" w14:textId="77777777" w:rsidR="007410F5" w:rsidRPr="006B1274" w:rsidRDefault="007410F5" w:rsidP="00B36B27">
      <w:pPr>
        <w:spacing w:before="240" w:after="240" w:line="360" w:lineRule="auto"/>
        <w:rPr>
          <w:rFonts w:ascii="Times New Roman" w:hAnsi="Times New Roman" w:cs="Times New Roman"/>
          <w:color w:val="000000"/>
          <w:sz w:val="20"/>
          <w:szCs w:val="20"/>
        </w:rPr>
      </w:pPr>
    </w:p>
    <w:p w14:paraId="44D0AC2E"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146A2A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Moda Sustentável x Consumo Consciente</w:t>
      </w:r>
    </w:p>
    <w:p w14:paraId="47E261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B3726A" w14:textId="61E64C9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e Redatora: </w:t>
      </w:r>
      <w:r w:rsidR="00FB77AE" w:rsidRPr="006B1274">
        <w:rPr>
          <w:rFonts w:ascii="Times New Roman" w:hAnsi="Times New Roman" w:cs="Times New Roman"/>
          <w:color w:val="000000"/>
          <w:sz w:val="20"/>
          <w:szCs w:val="20"/>
        </w:rPr>
        <w:t xml:space="preserve"> </w:t>
      </w:r>
    </w:p>
    <w:p w14:paraId="49393C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3C570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74BB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10 de Maio de 2025 | 12:26 PM</w:t>
      </w:r>
    </w:p>
    <w:p w14:paraId="715AAE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DF3C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semana de 07 à 10 de Maio no Rio de Janeiro, a Semana de Moda Sustentável tem o Rio de Janeiro representado pelo Projeto “Acelera” do Instituto Carandaí 25. O evento é da marca Carandaí 25, com o apoio da Prefeitura do Rio de Janeiro e do </w:t>
      </w:r>
      <w:proofErr w:type="spellStart"/>
      <w:r w:rsidRPr="006B1274">
        <w:rPr>
          <w:rFonts w:ascii="Times New Roman" w:hAnsi="Times New Roman" w:cs="Times New Roman"/>
          <w:color w:val="000000"/>
          <w:sz w:val="20"/>
          <w:szCs w:val="20"/>
        </w:rPr>
        <w:t>Sebrae</w:t>
      </w:r>
      <w:proofErr w:type="spellEnd"/>
      <w:r w:rsidRPr="006B1274">
        <w:rPr>
          <w:rFonts w:ascii="Times New Roman" w:hAnsi="Times New Roman" w:cs="Times New Roman"/>
          <w:color w:val="000000"/>
          <w:sz w:val="20"/>
          <w:szCs w:val="20"/>
        </w:rPr>
        <w:t xml:space="preserve"> RJ que irá premiou criadores autorais no mercado da moda.</w:t>
      </w:r>
    </w:p>
    <w:p w14:paraId="1529DF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6383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evento é um dos maiores na América Latina tratando-se do tema de conscientização em consumo renovável. Sendo uma das propostas sustentáveis dos Objetivos de Desenvolvimento da ONU, o de número 12, correlato ao “Consumo e Produção Responsáveis”.</w:t>
      </w:r>
    </w:p>
    <w:p w14:paraId="3EC75A5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E131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evento teve o desfile principal com coleção da marca Carandaí 25, além de mais 10 marcas autorais parceiras do SEBRAE, com 5 premidas pelo Prêmio “Revelação Carandaí 25” com 5 Categorias, sendo “Estamparias” vencedora a Marca </w:t>
      </w:r>
      <w:proofErr w:type="spellStart"/>
      <w:r w:rsidRPr="006B1274">
        <w:rPr>
          <w:rFonts w:ascii="Times New Roman" w:hAnsi="Times New Roman" w:cs="Times New Roman"/>
          <w:color w:val="000000"/>
          <w:sz w:val="20"/>
          <w:szCs w:val="20"/>
        </w:rPr>
        <w:t>Nuska</w:t>
      </w:r>
      <w:proofErr w:type="spellEnd"/>
      <w:r w:rsidRPr="006B1274">
        <w:rPr>
          <w:rFonts w:ascii="Times New Roman" w:hAnsi="Times New Roman" w:cs="Times New Roman"/>
          <w:color w:val="000000"/>
          <w:sz w:val="20"/>
          <w:szCs w:val="20"/>
        </w:rPr>
        <w:t xml:space="preserve">, “Feito à Mão” vencedora a Marca Studio </w:t>
      </w:r>
      <w:proofErr w:type="spellStart"/>
      <w:r w:rsidRPr="006B1274">
        <w:rPr>
          <w:rFonts w:ascii="Times New Roman" w:hAnsi="Times New Roman" w:cs="Times New Roman"/>
          <w:color w:val="000000"/>
          <w:sz w:val="20"/>
          <w:szCs w:val="20"/>
        </w:rPr>
        <w:t>Colab</w:t>
      </w:r>
      <w:proofErr w:type="spellEnd"/>
      <w:r w:rsidRPr="006B1274">
        <w:rPr>
          <w:rFonts w:ascii="Times New Roman" w:hAnsi="Times New Roman" w:cs="Times New Roman"/>
          <w:color w:val="000000"/>
          <w:sz w:val="20"/>
          <w:szCs w:val="20"/>
        </w:rPr>
        <w:t>, “Criação Autoral” vencedora a Marca Zambia, “Sustentabilidade” a Marca assinada por Ricardo Pinto e “Identidade” a marca Intuí. Do Instituto Carandaí apresentado pelo “Caderno Ela” a premiação ocorreu na data de ontem(9). A apresentação do “Cometas Revelados” conta com o Ministério da Cultura, pela Secretaria de Cultura do Rio de Janeiro em conjunto à Prefeitura do Rio de Janeiro.</w:t>
      </w:r>
    </w:p>
    <w:p w14:paraId="5A376B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2325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evento tem o objetivo de enaltecer a cultura empreendedora de Marcas Autorais com inovação e impulsionamento da Economia Circular no Estado do Rio de Janeiro.</w:t>
      </w:r>
    </w:p>
    <w:p w14:paraId="2E5FA07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9ABA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 por terceiros.</w:t>
      </w:r>
    </w:p>
    <w:p w14:paraId="3BEC34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FB2DD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BF35A2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1D5BCC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7FB793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detalhes do Objetivo Sustentável de número 12, principal ODS de direcionado à sociedade em consumo e produção industrial consciente:</w:t>
      </w:r>
    </w:p>
    <w:p w14:paraId="409150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C992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Objetivo 12. Assegurar padrões de produção e de consumo sustentáveis</w:t>
      </w:r>
    </w:p>
    <w:p w14:paraId="4CF57B0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7DA8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12.1 Implementar o Plano Decenal de Programas sobre Produção e Consumo Sustentáveis, com todos os países tomando medidas, e os países desenvolvidos assumindo a liderança, tendo em conta o desenvolvimento e as capacidades dos países em desenvolvimento</w:t>
      </w:r>
    </w:p>
    <w:p w14:paraId="6FA741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9999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12.2 Até 2030, alcançar a gestão sustentável e o uso eficiente dos recursos naturais</w:t>
      </w:r>
    </w:p>
    <w:p w14:paraId="65A214A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FFD0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12.3 Até 2030, reduzir pela metade o desperdício de alimentos per capita mundial, nos níveis de varejo e do consumidor, e reduzir as perdas de alimentos ao longo das cadeias de produção e abastecimento, incluindo as perdas pós-colheita</w:t>
      </w:r>
    </w:p>
    <w:p w14:paraId="11E4B8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863E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12.4 Até 2020, alcançar o manejo ambientalmente saudável dos produtos químicos e todos os resíduos, ao longo de todo o ciclo de vida destes, de acordo com os marcos internacionais acordados, e reduzir significativamente a liberação destes para o ar, água e solo, para minimizar seus impactos negativos sobre a saúde humana e o meio ambiente</w:t>
      </w:r>
    </w:p>
    <w:p w14:paraId="4F1292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99A4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12.5 Até 2030, reduzir substancialmente a geração de resíduos por meio da prevenção, redução, reciclagem e reuso</w:t>
      </w:r>
    </w:p>
    <w:p w14:paraId="1F4B3E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B99A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12.6 Incentivar as empresas, especialmente as empresas grandes e transnacionais, a adotar práticas sustentáveis e a integrar informações de sustentabilidade em seu ciclo de relatórios</w:t>
      </w:r>
    </w:p>
    <w:p w14:paraId="7F7A7DD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39D2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12.7 Promover práticas de compras públicas sustentáveis, de acordo com as políticas e prioridades nacionais</w:t>
      </w:r>
    </w:p>
    <w:p w14:paraId="5A5909D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DC6C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12.8 Até 2030, garantir que as pessoas, em todos os lugares, tenham informação relevante e conscientização para o desenvolvimento sustentável e estilos de vida em harmonia com a natureza</w:t>
      </w:r>
    </w:p>
    <w:p w14:paraId="372C15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3684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12.a Apoiar países em desenvolvimento a fortalecer suas capacidades científicas e tecnológicas para mudar para padrões mais sustentáveis de produção e consumo</w:t>
      </w:r>
    </w:p>
    <w:p w14:paraId="1383DC5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A992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12.b Desenvolver e implementar ferramentas para monitorar os impactos do desenvolvimento sustentável para o turismo sustentável, que gera empregos, promove a cultura e os produtos locais</w:t>
      </w:r>
    </w:p>
    <w:p w14:paraId="3859E9F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71A1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12.c Racionalizar subsídios ineficientes aos combustíveis fósseis, que encorajam o consumo exagerado, eliminando as distorções de mercado, de acordo com as circunstâncias nacionais, inclusive por meio da reestruturação fiscal e a eliminação gradual desses subsídios prejudiciais, caso existam, para refletir os seus impactos ambientais, tendo plenamente em conta as necessidades específicas e condições dos países em desenvolvimento e minimizando os possíveis impactos adversos sobre o seu desenvolvimento de uma forma que proteja os pobres e as comunidades afetadas.</w:t>
      </w:r>
    </w:p>
    <w:p w14:paraId="5E4297D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C708DD" w14:textId="70E79CB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Dispon</w:t>
      </w:r>
      <w:r w:rsidR="0007576B" w:rsidRPr="006B1274">
        <w:rPr>
          <w:rFonts w:ascii="Times New Roman" w:hAnsi="Times New Roman" w:cs="Times New Roman"/>
          <w:color w:val="000000"/>
          <w:sz w:val="20"/>
          <w:szCs w:val="20"/>
        </w:rPr>
        <w:t>í</w:t>
      </w:r>
      <w:r w:rsidRPr="006B1274">
        <w:rPr>
          <w:rFonts w:ascii="Times New Roman" w:hAnsi="Times New Roman" w:cs="Times New Roman"/>
          <w:color w:val="000000"/>
          <w:sz w:val="20"/>
          <w:szCs w:val="20"/>
        </w:rPr>
        <w:t>vel acesso em:</w:t>
      </w:r>
    </w:p>
    <w:p w14:paraId="5DABDB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brasil.un.org/pt-br/sdgs/12?afd_azwaf_tok=eyJhbGciOiJSUzI1NiJ9.eyJhdWQiOiJicmFzaWwudW4ub3JnIiwiZXhwIjoxNzQ2Mzk5NTM1LCJpYXQiOjE3NDYzOTk1MjUsImlzcyI6InRpZXIxLTY4OWY1OGM3YjQtd2M3NG0iLCJzdWIiOiI0Mjg6MTQwMjphMDA6MjcwNDo1OWQwOmNiMWM6ZTY1NTo2Y2Q1IiwiZGF0YSI6eyJ0eXBlIjoiaXNzdWVkIiwicmVmIjoiMjAyNTA1MDRUMjI1ODQ1Wi0xNjg5ZjU4YzdiNHdjNzRtaEMxUklPZ3FmYzAwMDAwMDA5cmcwMDAwMDAwMGNnenoiLCJiIjoid0VCTVFIWExlbWJ0YVlZS2lsVXl0UTI1MlZFTDd6TXNKZG5pRkI5MWlCWSIsImgiOiI4UmVzOXBQMWFiOUVMcnZOY1RYREQ0Y3FDSVpJOEh0VzlGZDRJMTR3RndnIn19.p6FKH8T-LdU2QrvzD7THpnmk4oyiOYP67nw94_T4E6VES877vjlwrVmJCUNF2I4tMP5MmsczpXHi6uz6x884JpGSqemSbLRnJ-cfQg1ENnb_opU22LmNSeufHsC8g4iTXwudidUP1fNQiTkvlnz4PrFYsRq67McgyuZEMelBX0MavkAecFaoGJxgcOjVnRa9-KX9L5HCosrscVxxOnsVidWxqKQzYWXURfZJ1LCoyhdOU6dHGtGM5KOr_42cVwqozLY7t6tXvesZHwzo10uv0vKJD6DGK_syjU6ExACy49Z17XZ7iWixqOMuVr7heBsUDxdpnv-T5Y-6oTsxiOOgtQ.WF3obl2IDtqgvMFRqVdYkD5s</w:t>
      </w:r>
    </w:p>
    <w:p w14:paraId="250725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3E43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Não autorizado compartilhamento.</w:t>
      </w:r>
    </w:p>
    <w:p w14:paraId="55A13F0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FC79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DAF5B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281121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Transparência Pública:</w:t>
      </w:r>
    </w:p>
    <w:p w14:paraId="343888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Políticas Públicas em Comunicação, Desporto, Cultura e Desenvolvimento Social do Governo Do Estado do Rio de Janeiro </w:t>
      </w:r>
    </w:p>
    <w:p w14:paraId="77C75FB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AED966" w14:textId="33FA229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CD6FE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EF3923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3D7A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12 de Maio de 2025 | 15:25 PM</w:t>
      </w:r>
    </w:p>
    <w:p w14:paraId="1E9E2D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3D8A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Marco Olímpico </w:t>
      </w:r>
      <w:r w:rsidRPr="006B1274">
        <w:rPr>
          <w:rFonts w:ascii="Apple Color Emoji" w:hAnsi="Apple Color Emoji" w:cs="Apple Color Emoji"/>
          <w:color w:val="000000"/>
          <w:sz w:val="20"/>
          <w:szCs w:val="20"/>
        </w:rPr>
        <w:t>🇧🇷✨</w:t>
      </w:r>
    </w:p>
    <w:p w14:paraId="1505259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7FDB8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Semana de 1922, o Primeiro centenário de Independência Brasileira reuniu toda a classe civil do Brasil no Rio de Janeiro e São Paulo para prestigiar a classe militar participante da primeira turma civil formada de artilharia Brasileira.</w:t>
      </w:r>
    </w:p>
    <w:p w14:paraId="2114F94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ABAD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Paris, na Europa, paralelo aos movimentos de emancipação Nacional Brasileira,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w:t>
      </w:r>
    </w:p>
    <w:p w14:paraId="212245C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DBDD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2028, com Olimpíadas sediadas em Estados Unidos da América, o objetivo é o redesenho do tradicionalismo em contenção dos avanços liberais. Tema na Europa, já movimentados pela extrema-direita em Parlamento, sucedido por governo de coalisão francesa em 2024, permanecendo com Emanuel Mácron à frente do Governo Francês. </w:t>
      </w:r>
    </w:p>
    <w:p w14:paraId="1FCD5B2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2ED7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2025, na Itália, a eleição do novo Papa de nome Leão XIV vem para equilibrar economia ultimamente ultra socialista de desenvolvimento por Blocos Econômicos e estruturar o desenvolvimento econômico de forma responsável à não colapsar as demais classes sociais.</w:t>
      </w:r>
    </w:p>
    <w:p w14:paraId="3407D4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7DD4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Educação aliada à atividades sociais como Desporto, Cultura e Comunicação desenvolvem e reestruturam a índole de interação do homem com seu habitat e sociedade. A exemplo do Hipismo, sendo o 1º Esporte em equilíbrio cognitivo entre o homem e o meio ambiente com animais vivos. Tendo os cavalos, relação da comunicação entre o homem e seu desempenho motor cognitivo de concentração e equilíbrio.</w:t>
      </w:r>
    </w:p>
    <w:p w14:paraId="155BED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A263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e temática de Tese Autoral, não autorizado compartilhamento por terceiros.</w:t>
      </w:r>
    </w:p>
    <w:p w14:paraId="2AC7FDF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672F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informações extraídas do Wikipédia acerca do entendimento de Educação em promoção do Desenvolvimento Social:</w:t>
      </w:r>
    </w:p>
    <w:p w14:paraId="729502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93CEBB" w14:textId="24FC337D"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Charles Pierre Fredy de Coubertin (Paris, 1 de janeiro de 1863 — Genebra, 2 de setembro de 1937), mais conhecido pelo seu título nobiliárquico de Barão de Coubertin, foi um pedagogo e historiador</w:t>
      </w:r>
      <w:r w:rsidR="0007576B" w:rsidRPr="002F191B">
        <w:rPr>
          <w:rFonts w:ascii="Times New Roman" w:hAnsi="Times New Roman" w:cs="Times New Roman"/>
          <w:color w:val="000000"/>
        </w:rPr>
        <w:t xml:space="preserve"> </w:t>
      </w:r>
      <w:r w:rsidRPr="002F191B">
        <w:rPr>
          <w:rFonts w:ascii="Times New Roman" w:hAnsi="Times New Roman" w:cs="Times New Roman"/>
          <w:color w:val="000000"/>
        </w:rPr>
        <w:t>francês, que ficou para a história como o fundador dos Jogos Olímpicos da era moderna.</w:t>
      </w:r>
    </w:p>
    <w:p w14:paraId="166EC4C3"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327F24BD"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Nascido em Paris, a capital francesa, em uma família aristocrática, descendente de Fernando III de Castela, Pierre de </w:t>
      </w:r>
      <w:proofErr w:type="spellStart"/>
      <w:r w:rsidRPr="002F191B">
        <w:rPr>
          <w:rFonts w:ascii="Times New Roman" w:hAnsi="Times New Roman" w:cs="Times New Roman"/>
          <w:color w:val="000000"/>
        </w:rPr>
        <w:t>Frédy</w:t>
      </w:r>
      <w:proofErr w:type="spellEnd"/>
      <w:r w:rsidRPr="002F191B">
        <w:rPr>
          <w:rFonts w:ascii="Times New Roman" w:hAnsi="Times New Roman" w:cs="Times New Roman"/>
          <w:color w:val="000000"/>
        </w:rPr>
        <w:t xml:space="preserve"> foi inspirado pelas suas visitas a colégios ingleses e americanos, e propôs-se a melhorar os sistemas de educação. Acredita-se que foi ele quem teve a ideia de reiniciar com os Jogos Olímpicos.</w:t>
      </w:r>
    </w:p>
    <w:p w14:paraId="52B12D77"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722A2105"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A certo ponto, após ter idealizado uma competição internacional para promover o atletismo, e tirando partido de um crescente interesse internacional nos Jogos Olímpicos da Antiguidade, alimentado por descobertas arqueológicas nas ruínas de Olímpia, o barão de Coubertin concebeu um plano para fazer reviver os Jogos Olímpicos.</w:t>
      </w:r>
    </w:p>
    <w:p w14:paraId="5541A125"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51CFEAAC"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Para publicar os seus planos, organizou um congresso internacional em 23 de Junho de 1894 na Sorbonne em Paris. Então, propôs que fosse reinstituída a tradição de realizar um evento desportivo internacional periódico, inspirado no que se fazia na Grécia antiga. Este congresso levou à constituição do Comitê Olímpico Internacional (COI), do qual o barão de Coubertin seria secretário-geral entre (1896-1925). Foi também decidido que os primeiros Jogos Olímpicos da era moderna teriam lugar em Atenas, na Grécia e que a partir daí, tal como na antiguidade, seriam realizados a cada quatro anos uma Olimpíada. Dois anos depois realizaram-se os Jogos Olímpicos de Verão de 1896, que foram um sucesso.</w:t>
      </w:r>
    </w:p>
    <w:p w14:paraId="306AA758"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06A2B32A" w14:textId="7A501AF9"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Após os Jogos de 1896, Demetrius </w:t>
      </w:r>
      <w:proofErr w:type="spellStart"/>
      <w:r w:rsidRPr="002F191B">
        <w:rPr>
          <w:rFonts w:ascii="Times New Roman" w:hAnsi="Times New Roman" w:cs="Times New Roman"/>
          <w:color w:val="000000"/>
        </w:rPr>
        <w:t>Vikelas</w:t>
      </w:r>
      <w:proofErr w:type="spellEnd"/>
      <w:r w:rsidR="0007576B" w:rsidRPr="002F191B">
        <w:rPr>
          <w:rFonts w:ascii="Times New Roman" w:hAnsi="Times New Roman" w:cs="Times New Roman"/>
          <w:color w:val="000000"/>
        </w:rPr>
        <w:t xml:space="preserve"> </w:t>
      </w:r>
      <w:r w:rsidRPr="002F191B">
        <w:rPr>
          <w:rFonts w:ascii="Times New Roman" w:hAnsi="Times New Roman" w:cs="Times New Roman"/>
          <w:color w:val="000000"/>
        </w:rPr>
        <w:t>abandonou o posto de presidente do COI e Pierre de Coubertin tomou o seu lugar na frente da organização. Apesar do sucesso dos primeiros jogos, o Movimento Olímpico enfrentaria tempos difíceis, com os Jogos Olímpicos de 1900 e de 1904a serem completamente obscurecidos pelas exposições mundiais em que foram integrados, e passando completamente despercebidos.</w:t>
      </w:r>
    </w:p>
    <w:p w14:paraId="2ABFFDB8"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22753CCF"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A situação melhorou com a realização dos Jogos Olímpicos de Verão de 1906 que, utilizando o pretexto de comemorar os 10 anos da primeira edição, serviram para limpar a imagem e promover os Jogos como um evento internacional por excelência. A partir de então os Jogos Olímpicos continuariam a ganhar audiência, tornando-se o mais importante evento desportivo mundial. Pierre de Coubertin abandonou a presidência do COI após os Jogos Olímpicos de Verão de 1924, realizados em Paris, a sua cidade natal, e com um sucesso muito maior que a anterior edição de 1900. Foi sucedido no cargo por Henri de </w:t>
      </w:r>
      <w:proofErr w:type="spellStart"/>
      <w:r w:rsidRPr="002F191B">
        <w:rPr>
          <w:rFonts w:ascii="Times New Roman" w:hAnsi="Times New Roman" w:cs="Times New Roman"/>
          <w:color w:val="000000"/>
        </w:rPr>
        <w:t>Baillet-Latour</w:t>
      </w:r>
      <w:proofErr w:type="spellEnd"/>
      <w:r w:rsidRPr="002F191B">
        <w:rPr>
          <w:rFonts w:ascii="Times New Roman" w:hAnsi="Times New Roman" w:cs="Times New Roman"/>
          <w:color w:val="000000"/>
        </w:rPr>
        <w:t>.</w:t>
      </w:r>
    </w:p>
    <w:p w14:paraId="06AA9730"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5976B293"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O assunto pelo qual ele parece ter se interessado mais profundamente foi a educação, e seu estudo se concentrou em particular na educação física e no papel do esporte na escolarização. Em 1883, aos vinte anos, visitou a Inglaterra pela primeira vez e estudou o programa de educação física instituído por Thomas Arnold na Rugby School. Coubertin creditou a esses métodos a expansão do poder britânico durante o século XIX e defendeu seu uso em instituições francesas. A inclusão da educação física no currículo das escolas francesas se tornaria uma constante busca e paixão de Coubertin.</w:t>
      </w:r>
    </w:p>
    <w:p w14:paraId="39AD9CB3"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54615D10"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Coubertin é pensado para ter exagerado a importância do esporte para Thomas Arnold, a quem ele via como "um dos fundadores da cavalaria atlética". A influência do esporte na reforma do caráter com a qual Coubertin ficou tão impressionado é mais provável que tenha se originado no romance Tom Brown's School </w:t>
      </w:r>
      <w:proofErr w:type="spellStart"/>
      <w:r w:rsidRPr="002F191B">
        <w:rPr>
          <w:rFonts w:ascii="Times New Roman" w:hAnsi="Times New Roman" w:cs="Times New Roman"/>
          <w:color w:val="000000"/>
        </w:rPr>
        <w:t>Days</w:t>
      </w:r>
      <w:proofErr w:type="spellEnd"/>
      <w:r w:rsidRPr="002F191B">
        <w:rPr>
          <w:rFonts w:ascii="Times New Roman" w:hAnsi="Times New Roman" w:cs="Times New Roman"/>
          <w:color w:val="000000"/>
        </w:rPr>
        <w:t xml:space="preserve">(publicado em 1857) e não exclusivamente nas ideias do próprio Arnold. No entanto, Coubertin era um entusiasta que precisava de uma causa e a encontrou na Inglaterra e em Thomas Arnold. "Thomas Arnold, o líder e modelo clássico de educadores ingleses", escreveu Coubertin, "deu a fórmula precisa para o papel do atletismo na educação. A causa foi rapidamente vencida. Campos de jogos surgiram por toda a Inglaterra". Ele visitou outras escolas de inglês para ver por si mesmo. Ele descreveu os resultados em um livro, </w:t>
      </w:r>
      <w:proofErr w:type="spellStart"/>
      <w:r w:rsidRPr="002F191B">
        <w:rPr>
          <w:rFonts w:ascii="Times New Roman" w:hAnsi="Times New Roman" w:cs="Times New Roman"/>
          <w:color w:val="000000"/>
        </w:rPr>
        <w:t>L'Education</w:t>
      </w:r>
      <w:proofErr w:type="spellEnd"/>
      <w:r w:rsidRPr="002F191B">
        <w:rPr>
          <w:rFonts w:ascii="Times New Roman" w:hAnsi="Times New Roman" w:cs="Times New Roman"/>
          <w:color w:val="000000"/>
        </w:rPr>
        <w:t xml:space="preserve"> </w:t>
      </w:r>
      <w:proofErr w:type="spellStart"/>
      <w:r w:rsidRPr="002F191B">
        <w:rPr>
          <w:rFonts w:ascii="Times New Roman" w:hAnsi="Times New Roman" w:cs="Times New Roman"/>
          <w:color w:val="000000"/>
        </w:rPr>
        <w:t>en</w:t>
      </w:r>
      <w:proofErr w:type="spellEnd"/>
      <w:r w:rsidRPr="002F191B">
        <w:rPr>
          <w:rFonts w:ascii="Times New Roman" w:hAnsi="Times New Roman" w:cs="Times New Roman"/>
          <w:color w:val="000000"/>
        </w:rPr>
        <w:t xml:space="preserve"> </w:t>
      </w:r>
      <w:proofErr w:type="spellStart"/>
      <w:r w:rsidRPr="002F191B">
        <w:rPr>
          <w:rFonts w:ascii="Times New Roman" w:hAnsi="Times New Roman" w:cs="Times New Roman"/>
          <w:color w:val="000000"/>
        </w:rPr>
        <w:t>Angleterre</w:t>
      </w:r>
      <w:proofErr w:type="spellEnd"/>
      <w:r w:rsidRPr="002F191B">
        <w:rPr>
          <w:rFonts w:ascii="Times New Roman" w:hAnsi="Times New Roman" w:cs="Times New Roman"/>
          <w:color w:val="000000"/>
        </w:rPr>
        <w:t>, que foi publicado em Paris em 1888. O herói de seu livro é Thomas Arnold, e em sua segunda visita em 1886, Coubertin refletiu sobre a influência de Arnold na capela da Rugby School.</w:t>
      </w:r>
    </w:p>
    <w:p w14:paraId="363C0714"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37E8630E"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O que Coubertin viu nos campos de jogos das escolas inglesas que visitou foi como "o esporte organizado pode criar força moral e social". Os jogos organizados não só ajudaram a equilibrar a mente e o corpo, como também evitaram que o tempo fosse desperdiçado de outras maneiras. Desenvolvida pela primeira vez pelos gregos antigos, era uma abordagem à educação que ele achava que o resto do mundo havia esquecido e a cujo renascimento ele deveria dedicar o resto de sua vida.</w:t>
      </w:r>
    </w:p>
    <w:p w14:paraId="692CF34A"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7C7E4A9A"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Como historiador e pensador da educação, Coubertin romantizou a Grécia antiga. Assim, quando começou a desenvolver sua teoria da educação física, naturalmente se voltou para o exemplo dado pela ideia ateniense do ginásio, um centro de treinamento que estimulava simultaneamente o desenvolvimento físico e intelectual. Ele viu nesses ginásios o que chamou de uma tríplice unidade entre velhos e jovens, entre disciplinas e entre diferentes tipos de pessoas, ou seja, entre aqueles cujo trabalho era teórico e aqueles cujo trabalho era prático. Coubertin defendia que esses conceitos, essa tríplice unidade, fossem incorporados às escolas.</w:t>
      </w:r>
    </w:p>
    <w:p w14:paraId="1400E54B"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01691E94"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COB </w:t>
      </w:r>
      <w:r w:rsidRPr="002F191B">
        <w:rPr>
          <w:rFonts w:ascii="Apple Color Emoji" w:hAnsi="Apple Color Emoji" w:cs="Apple Color Emoji"/>
          <w:color w:val="000000"/>
        </w:rPr>
        <w:t>🇧🇷</w:t>
      </w:r>
    </w:p>
    <w:p w14:paraId="38C6CD50"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3DBF3CB9"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Comitê Olímpico do Brasil (COB) é a entidade máxima do esporte no Brasil e órgão regulador do esporte olímpico brasileiro. Foi oficialmente fundado em 8 de junho de 1914, na sede da Federação Brasileira das Sociedades de Remo, por iniciativa da Liga Metropolitana de Esportes Atléticos, porém a I Guerra Mundial fez com que suas atividades oficiais começassem apenas em 1935.</w:t>
      </w:r>
    </w:p>
    <w:p w14:paraId="6C894F29"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6AAEBC72"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INÍCIO DE UM SONHO </w:t>
      </w:r>
      <w:r w:rsidRPr="002F191B">
        <w:rPr>
          <w:rFonts w:ascii="Apple Color Emoji" w:hAnsi="Apple Color Emoji" w:cs="Apple Color Emoji"/>
          <w:color w:val="000000"/>
        </w:rPr>
        <w:t>🎖️🎖️🎖️</w:t>
      </w:r>
    </w:p>
    <w:p w14:paraId="4C80587A"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72CF0BD8"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Candidaturas olímpicas</w:t>
      </w:r>
    </w:p>
    <w:p w14:paraId="0C066145"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6BCE5B05"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O Comitê Olímpico do Brasil apresentou candidaturas oficiais para sediar os Jogos Olímpicos. No Brasil, o COB é a autoridade final para a apresentação de uma proposta, e nenhuma cidade brasileira pode licitar sem o endosso do COB. Brasília fez uma candidatura para 2000, mas desistiu antes da eleição final. A cidade do Rio de Janeiro foi a candidata preferida, tendo feito propostas para 1936, 2004 e 2012. A candidatura do Rio acabou sendo aceita em 2009 para sediar os Jogos Olímpicos de Verão de 2016 em sua quarta apresentação de candidaturas.</w:t>
      </w:r>
    </w:p>
    <w:p w14:paraId="6686CF8B"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5CD4E395" w14:textId="6E27B71E"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Em 2004, quando chegou a hora de apresentar as candidaturas para os jogos de 2012 (atribuídas a Londres, na Grã-Bretanha), a cidade de São Paulo</w:t>
      </w:r>
      <w:r w:rsidR="0007576B" w:rsidRPr="002F191B">
        <w:rPr>
          <w:rFonts w:ascii="Times New Roman" w:hAnsi="Times New Roman" w:cs="Times New Roman"/>
          <w:color w:val="000000"/>
        </w:rPr>
        <w:t xml:space="preserve"> </w:t>
      </w:r>
      <w:r w:rsidRPr="002F191B">
        <w:rPr>
          <w:rFonts w:ascii="Times New Roman" w:hAnsi="Times New Roman" w:cs="Times New Roman"/>
          <w:color w:val="000000"/>
        </w:rPr>
        <w:t>contestou a escolha automática do Rio de Janeiro como candidato natural do Brasil. São Paulo insistiu que poderia produzir uma proposta mais competitiva do que a do Rio de Janeiro. O COB só pôde apresentar uma proposta nacional e decidiu resolver a questão internamente, por votação de todos os membros registrados do COB. Ambas as cidades foram obrigadas a apresentar sua candidatura aos Jogos (como se estivesse sendo apresentada aos membros do COI) para avaliação dos delegados votantes. O resultado foi uma vitória esmagadora a favor do Rio de Janeiro, e o COB então apresentou a candidatura da cidade para os Jogos.</w:t>
      </w:r>
    </w:p>
    <w:p w14:paraId="6E2BAE08"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1CC0601F" w14:textId="77777777" w:rsidR="001C11E3" w:rsidRPr="002F191B" w:rsidRDefault="00576533" w:rsidP="00966546">
      <w:pPr>
        <w:spacing w:before="240" w:after="240" w:line="360" w:lineRule="auto"/>
        <w:ind w:left="2160"/>
        <w:jc w:val="both"/>
        <w:rPr>
          <w:rFonts w:ascii="Times New Roman" w:hAnsi="Times New Roman" w:cs="Times New Roman"/>
          <w:color w:val="000000"/>
        </w:rPr>
      </w:pPr>
      <w:r w:rsidRPr="002F191B">
        <w:rPr>
          <w:rFonts w:ascii="Times New Roman" w:hAnsi="Times New Roman" w:cs="Times New Roman"/>
          <w:color w:val="000000"/>
        </w:rPr>
        <w:t xml:space="preserve">CONFLITOS BRASILEIROS INTERNOS </w:t>
      </w:r>
      <w:r w:rsidRPr="002F191B">
        <w:rPr>
          <w:rFonts w:ascii="Apple Color Emoji" w:hAnsi="Apple Color Emoji" w:cs="Apple Color Emoji"/>
          <w:color w:val="000000"/>
        </w:rPr>
        <w:t>🇧🇷</w:t>
      </w:r>
    </w:p>
    <w:p w14:paraId="1B343871" w14:textId="77777777" w:rsidR="001C11E3" w:rsidRPr="002F191B" w:rsidRDefault="001C11E3" w:rsidP="00966546">
      <w:pPr>
        <w:spacing w:before="240" w:after="240" w:line="360" w:lineRule="auto"/>
        <w:ind w:left="2160"/>
        <w:jc w:val="both"/>
        <w:rPr>
          <w:rFonts w:ascii="Times New Roman" w:hAnsi="Times New Roman" w:cs="Times New Roman"/>
          <w:color w:val="000000"/>
        </w:rPr>
      </w:pPr>
    </w:p>
    <w:p w14:paraId="3D65FCDA"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Em 2017, o Comitê Olímpico Internacional suspendeu provisoriamente Carlos Arthur Nuzman, presidente do Comitê Olímpico Brasileiro, em um processo de compra de votos para garantir o Rio de Janeiro como cidade-sede dos Jogos Olímpicos de 2016.</w:t>
      </w:r>
    </w:p>
    <w:p w14:paraId="0CA1FAB6"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3D1BBE7B"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Jogos Olímpicos de Verão de 2016</w:t>
      </w:r>
    </w:p>
    <w:p w14:paraId="6C674E85"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1º Olimpíada dos Jogos Modernos em Solo Brasileiro - Rio 2016 -</w:t>
      </w:r>
    </w:p>
    <w:p w14:paraId="523C3C5A"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6BE42215" w14:textId="32E8FB29"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Jogos Olímpicos de Verão de 2016, conhecidos oficialmente como Jogos da XXXI Olimpíada e popularmente como Rio 2016, foi um evento multi</w:t>
      </w:r>
      <w:r w:rsidR="00635812" w:rsidRPr="00F8236B">
        <w:rPr>
          <w:rFonts w:ascii="Times New Roman" w:hAnsi="Times New Roman" w:cs="Times New Roman"/>
          <w:color w:val="000000"/>
        </w:rPr>
        <w:t xml:space="preserve"> </w:t>
      </w:r>
      <w:r w:rsidRPr="00F8236B">
        <w:rPr>
          <w:rFonts w:ascii="Times New Roman" w:hAnsi="Times New Roman" w:cs="Times New Roman"/>
          <w:color w:val="000000"/>
        </w:rPr>
        <w:t>esportivo realizado no segundo semestre de 2016, na cidade do Rio de Janeiro, capital do estado homônimo, no Brasil. A escolha da sede foi feita durante a 121ª Sessão do Comitê Olímpico Internacional (COI), que aconteceu em Copenhague, Dinamarca, em 2 de outubro de 2009. Foram os primeiros Jogos Olímpicos de Verão sob a presidência de Thomas Bach e a oitava vez que o Brasil sediou um grande evento multi</w:t>
      </w:r>
      <w:r w:rsidR="00635812" w:rsidRPr="00F8236B">
        <w:rPr>
          <w:rFonts w:ascii="Times New Roman" w:hAnsi="Times New Roman" w:cs="Times New Roman"/>
          <w:color w:val="000000"/>
        </w:rPr>
        <w:t xml:space="preserve"> </w:t>
      </w:r>
      <w:r w:rsidRPr="00F8236B">
        <w:rPr>
          <w:rFonts w:ascii="Times New Roman" w:hAnsi="Times New Roman" w:cs="Times New Roman"/>
          <w:color w:val="000000"/>
        </w:rPr>
        <w:t>esportivo.</w:t>
      </w:r>
    </w:p>
    <w:p w14:paraId="29FC7438"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55035418"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País anfitrião Brasil</w:t>
      </w:r>
    </w:p>
    <w:p w14:paraId="7BBE0F0E"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Slogan Um mundo novo</w:t>
      </w:r>
    </w:p>
    <w:p w14:paraId="45549355"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Países participantes 207 </w:t>
      </w:r>
    </w:p>
    <w:p w14:paraId="58A4F879"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Atletas 11 238</w:t>
      </w:r>
    </w:p>
    <w:p w14:paraId="4BDD1691"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Eventos 306 em 41 modalidades </w:t>
      </w:r>
    </w:p>
    <w:p w14:paraId="7BB7A5FE"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Cerimônia de abertura 5 de agosto</w:t>
      </w:r>
    </w:p>
    <w:p w14:paraId="4F680200"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Cerimônia de encerramento 21 de agosto</w:t>
      </w:r>
    </w:p>
    <w:p w14:paraId="64219616"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w:t>
      </w:r>
      <w:r w:rsidRPr="00F8236B">
        <w:rPr>
          <w:rFonts w:ascii="Apple Color Emoji" w:hAnsi="Apple Color Emoji" w:cs="Apple Color Emoji"/>
          <w:color w:val="000000"/>
        </w:rPr>
        <w:t>🎓</w:t>
      </w:r>
      <w:r w:rsidRPr="00F8236B">
        <w:rPr>
          <w:rFonts w:ascii="Times New Roman" w:hAnsi="Times New Roman" w:cs="Times New Roman"/>
          <w:color w:val="000000"/>
        </w:rPr>
        <w:t xml:space="preserve"> Abertura oficial Vice-presidente Michel Temer</w:t>
      </w:r>
    </w:p>
    <w:p w14:paraId="7787ACE5"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Juramento do atleta Robert </w:t>
      </w:r>
      <w:proofErr w:type="spellStart"/>
      <w:r w:rsidRPr="00F8236B">
        <w:rPr>
          <w:rFonts w:ascii="Times New Roman" w:hAnsi="Times New Roman" w:cs="Times New Roman"/>
          <w:color w:val="000000"/>
        </w:rPr>
        <w:t>Scheidt</w:t>
      </w:r>
      <w:proofErr w:type="spellEnd"/>
    </w:p>
    <w:p w14:paraId="2B00C467"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Juramento do árbitro Martinho Nobre</w:t>
      </w:r>
    </w:p>
    <w:p w14:paraId="577B7CF5"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w:t>
      </w:r>
      <w:r w:rsidRPr="00F8236B">
        <w:rPr>
          <w:rFonts w:ascii="Apple Color Emoji" w:hAnsi="Apple Color Emoji" w:cs="Apple Color Emoji"/>
          <w:color w:val="000000"/>
        </w:rPr>
        <w:t>🔥</w:t>
      </w:r>
      <w:r w:rsidRPr="00F8236B">
        <w:rPr>
          <w:rFonts w:ascii="Times New Roman" w:hAnsi="Times New Roman" w:cs="Times New Roman"/>
          <w:color w:val="000000"/>
        </w:rPr>
        <w:t xml:space="preserve"> Tocha Vanderlei Cordeiro de Lima</w:t>
      </w:r>
    </w:p>
    <w:p w14:paraId="37759F2B"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Apple Color Emoji" w:hAnsi="Apple Color Emoji" w:cs="Apple Color Emoji"/>
          <w:color w:val="000000"/>
        </w:rPr>
        <w:t>🏟️</w:t>
      </w:r>
      <w:r w:rsidRPr="00F8236B">
        <w:rPr>
          <w:rFonts w:ascii="Times New Roman" w:hAnsi="Times New Roman" w:cs="Times New Roman"/>
          <w:color w:val="000000"/>
        </w:rPr>
        <w:t xml:space="preserve"> Estádio principal Estádio do Maracanã</w:t>
      </w:r>
    </w:p>
    <w:p w14:paraId="3667F822"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4DA6FD14"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Foi a primeira edição dos Jogos Olímpicos sediados na América do Sul e a segunda na América Latina e nos trópicos, depois dos Jogos Olímpicos na Cidade do México em 1968. Foi ainda a quarta vez que os Jogos Olímpicos de Verão ocorreram em uma estação climática diferente (Sydney 2000 foi parcialmente no inverno e na primavera australiana, e Tóquio 1964 e Cidade do México 1968 no outono), mas a primeira que decorreram integralmente no inverno local. Pois os Jogos Rio 2016 ocorreram durante o inverno brasileiro, uma vez que a cidade localiza-se no hemisfério sul.</w:t>
      </w:r>
    </w:p>
    <w:p w14:paraId="1A47C21B"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4DEE577B"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 xml:space="preserve">O evento decorreu no período de 3 a 21 de agosto de 2016 e as Paralimpíadas ocorreram entre 7 e 18 de setembro desse ano, na mesma cidade e com organização do mesmo comitê. O local de abertura e encerramento foi no Estádio do Maracanã, sendo a primeira vez, desde os Jogos Olímpicos de Verão de 1900 que a cerimônia de abertura aconteceu num local diferente de onde foram realizadas as competições de atletismo, e contou com a presença de diversas celebridades como a modelo Gisele </w:t>
      </w:r>
      <w:proofErr w:type="spellStart"/>
      <w:r w:rsidRPr="00F8236B">
        <w:rPr>
          <w:rFonts w:ascii="Times New Roman" w:hAnsi="Times New Roman" w:cs="Times New Roman"/>
          <w:color w:val="000000"/>
        </w:rPr>
        <w:t>Bündchen</w:t>
      </w:r>
      <w:proofErr w:type="spellEnd"/>
      <w:r w:rsidRPr="00F8236B">
        <w:rPr>
          <w:rFonts w:ascii="Times New Roman" w:hAnsi="Times New Roman" w:cs="Times New Roman"/>
          <w:color w:val="000000"/>
        </w:rPr>
        <w:t xml:space="preserve"> e os cantores Anitta, Gilberto Gil e Caetano Veloso. Realizaram-se 306 disputas de medalhas em 28 esportes divididos em 42 modalidades, duas a mais em relação aos Jogos Olímpicos de Verão de 2012. </w:t>
      </w:r>
    </w:p>
    <w:p w14:paraId="4B9EE313"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297A1E21"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 xml:space="preserve">O Comitê Executivo do COI sugeriu as inclusões do rugby </w:t>
      </w:r>
      <w:proofErr w:type="spellStart"/>
      <w:r w:rsidRPr="00F8236B">
        <w:rPr>
          <w:rFonts w:ascii="Times New Roman" w:hAnsi="Times New Roman" w:cs="Times New Roman"/>
          <w:color w:val="000000"/>
        </w:rPr>
        <w:t>sevens</w:t>
      </w:r>
      <w:proofErr w:type="spellEnd"/>
      <w:r w:rsidRPr="00F8236B">
        <w:rPr>
          <w:rFonts w:ascii="Times New Roman" w:hAnsi="Times New Roman" w:cs="Times New Roman"/>
          <w:color w:val="000000"/>
        </w:rPr>
        <w:t xml:space="preserve"> e do golfe, que foram aprovados durante a 121ª Sessão.</w:t>
      </w:r>
    </w:p>
    <w:p w14:paraId="4CE2A3BE" w14:textId="77777777" w:rsidR="001C11E3" w:rsidRPr="00F8236B" w:rsidRDefault="001C11E3" w:rsidP="00966546">
      <w:pPr>
        <w:spacing w:before="240" w:after="240" w:line="360" w:lineRule="auto"/>
        <w:ind w:left="2160"/>
        <w:jc w:val="both"/>
        <w:rPr>
          <w:rFonts w:ascii="Times New Roman" w:hAnsi="Times New Roman" w:cs="Times New Roman"/>
          <w:color w:val="000000"/>
        </w:rPr>
      </w:pPr>
    </w:p>
    <w:p w14:paraId="2DB07C01" w14:textId="77777777" w:rsidR="001C11E3" w:rsidRPr="00F8236B" w:rsidRDefault="00576533" w:rsidP="00966546">
      <w:pPr>
        <w:spacing w:before="240" w:after="240" w:line="360" w:lineRule="auto"/>
        <w:ind w:left="2160"/>
        <w:jc w:val="both"/>
        <w:rPr>
          <w:rFonts w:ascii="Times New Roman" w:hAnsi="Times New Roman" w:cs="Times New Roman"/>
          <w:color w:val="000000"/>
        </w:rPr>
      </w:pPr>
      <w:r w:rsidRPr="00F8236B">
        <w:rPr>
          <w:rFonts w:ascii="Times New Roman" w:hAnsi="Times New Roman" w:cs="Times New Roman"/>
          <w:color w:val="000000"/>
        </w:rPr>
        <w:t>Os Estados Unidos terminaram a competição na primeira colocação do quadro de medalhas pela sexta vez consecutiva, tendo a maioria das medalhas de ouro (46) e maior número de medalhas no geral (121). A Grã-Bretanha terminou em segundo e a China em terceiro. O Brasil ganhou 7 medalhas de ouro, e 19 no total, sendo o maior número de medalhas conquistadas pelo país na história das Olimpíadas, terminando em décimo terceiro lugar no ranking geral. Nesta edição dos Jogos os seguintes países tiveram a sua primeira medalha de ouro: Fiji, Kosovo, Porto Rico, Singapura, Tadjiquistão, Vietnã e para os Atletas Independentes, além do recorde de mil medalhas de ouro olímpicas para os Estados Unidos.</w:t>
      </w:r>
    </w:p>
    <w:p w14:paraId="6691EC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396E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Processo de candidatura </w:t>
      </w:r>
    </w:p>
    <w:p w14:paraId="41559F6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D123DD" w14:textId="744BEB6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Acompanhamento Mediativo Ético Diplomático - Brasil como Destaque em Inovação Colaborativa Digital]</w:t>
      </w:r>
    </w:p>
    <w:p w14:paraId="4E5988E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E63240"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O processo de eleição da cidade-sede dos Jogos Olímpicos de Verão de 2016 ocorreu entre 2007 e 2009 e contou com a participação de sete cidades de três continentes. Outras ainda planejaram participar do processo, mas não se inscreveram. Em 13 de setembro de 2007 encerrou-se o prazo de inscrições. Duas cidades da América (Chicago e Rio de Janeiro), duas da Ásia (Doha e Tóquio) e três da Europa (Baku, Madri e Praga) oficializaram a postulação. Em 4 de junho de 2008 o Comitê Olímpico Internacional (COI) revelou o resultado das avaliações preliminares das sete cidades postulantes, eliminando Baku, Praga, Doha e tornando as quatro restantes em cidades candidatas: Rio de Janeiro, Madrid, Tóquio e Chicago.</w:t>
      </w:r>
    </w:p>
    <w:p w14:paraId="2922B8C3"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3416DFD1"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A segunda fase começou com o Programa de Observação dos Jogos Olímpicos de Verão de 2008, em Pequim. Depois de elaborar o seu livro de candidatura e receber a visita da Comissão Avaliadora do Comitê Olímpico Internacional, as cidades agora candidatas participaram, em junho, de um encontro, promovido pela primeira vez na história, com os membros do COI, que elegeriam a cidade-sede dos Jogos de 2016.</w:t>
      </w:r>
    </w:p>
    <w:p w14:paraId="6C9519A2"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2F054B59"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 xml:space="preserve">Em setembro de 2009, a Comissão Avaliadora divulgou o relatório com suas impressões sobre os projetos finalistas. Tóquio, a cidade que teve a nota preliminar mais alta, perdeu o favoritismo, principalmente devido aos baixos níveis de apoio popular que a candidatura recebia. Chicago sofreu com protestos da população contra os previstos gastos públicos para a preparação da cidade em meio a maior crise econômica mundial em décadas. A candidatura de Madrid teve o projeto mais criticado, principalmente por causa da falta de clareza das leis antidoping da Espanha e da estrutura organizacional do comitê local. As críticas fizeram os representantes da candidatura fazerem mudanças drásticas em pouquíssimo tempo, e, mesmo com o prefeito Alberto </w:t>
      </w:r>
      <w:proofErr w:type="spellStart"/>
      <w:r w:rsidRPr="00F8696F">
        <w:rPr>
          <w:rFonts w:ascii="Times New Roman" w:hAnsi="Times New Roman" w:cs="Times New Roman"/>
          <w:color w:val="000000"/>
        </w:rPr>
        <w:t>Ruiz-Gallardón</w:t>
      </w:r>
      <w:proofErr w:type="spellEnd"/>
      <w:r w:rsidRPr="00F8696F">
        <w:rPr>
          <w:rFonts w:ascii="Times New Roman" w:hAnsi="Times New Roman" w:cs="Times New Roman"/>
          <w:color w:val="000000"/>
        </w:rPr>
        <w:t xml:space="preserve"> já admitindo a derrota, o Parlamento Espanhol aprovou a alteração nas leis antidoping do país poucos dias antes da votação. O Rio de Janeiro, apesar de ter tido boas notas, teve problemas com a acomodação e os transportes.[28] As avaliações foram consideradas equilibradas, não sendo possível até então apontar alguma cidade como favorita, nem pelo presidente do COI, Jacques Rogge, nem pelos membros da entidade, que tinham o direito de escolher a vencedora.</w:t>
      </w:r>
    </w:p>
    <w:p w14:paraId="79285398" w14:textId="77777777" w:rsidR="001C11E3" w:rsidRPr="006B1274" w:rsidRDefault="001C11E3" w:rsidP="00F8236B">
      <w:pPr>
        <w:spacing w:before="240" w:after="240" w:line="360" w:lineRule="auto"/>
        <w:ind w:left="2160"/>
        <w:jc w:val="both"/>
        <w:rPr>
          <w:rFonts w:ascii="Times New Roman" w:hAnsi="Times New Roman" w:cs="Times New Roman"/>
          <w:color w:val="000000"/>
          <w:sz w:val="20"/>
          <w:szCs w:val="20"/>
        </w:rPr>
      </w:pPr>
    </w:p>
    <w:p w14:paraId="1B1BEC40"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 xml:space="preserve">ELEIÇÃO </w:t>
      </w:r>
    </w:p>
    <w:p w14:paraId="19431AA9"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3E627CD8"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O processo de eleição da cidade-sede dos Jogos Olímpicos de Verão de 2016 ocorreu entre 2007 e 2009 e contou com a participação de sete cidades de três continentes. Outras ainda planejaram participar do processo, mas não se inscreveram.</w:t>
      </w:r>
    </w:p>
    <w:p w14:paraId="635C2DD4"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6257032B"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Em 13 de setembro de 2007 encerrou-se o prazo de inscrições. Duas cidades da América (Chicago e Rio de Janeiro), duas da Ásia (Doha e Tóquio) e três da Europa (Baku, Madri e Praga) oficializaram a postulação. Em junho de 2008, o Comitê Olímpico Internacional escolheu, baseado no relatório do Grupo de Trabalho designado para analisar os sete projetos, as quatro cidades que se tornariam finalistas: Chicago, nos Estados Unidos, Tóquio, no Japão, Rio de Janeiro, no Brasil, e Madri, na Espanha.</w:t>
      </w:r>
    </w:p>
    <w:p w14:paraId="3F216AB4"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00074C51"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A cidade-sede dos Jogos Olímpicos e Paralímpicos de Verão de 2016 foi escolhida em 2 de outubro de 2009, em Copenhague, na Dinamarca, em votação durante a 121ª Sessão do Comitê Olímpico Internacional. Após as eliminações de Chicago e Tóquio, Madri e Rio de Janeiro chegaram à final, sendo que a vencedora foi eleita por maioria dos votos.</w:t>
      </w:r>
    </w:p>
    <w:p w14:paraId="3307797F" w14:textId="77777777" w:rsidR="001C11E3" w:rsidRDefault="001C11E3" w:rsidP="00F8236B">
      <w:pPr>
        <w:spacing w:before="240" w:after="240" w:line="360" w:lineRule="auto"/>
        <w:ind w:left="2160"/>
        <w:jc w:val="both"/>
        <w:rPr>
          <w:rFonts w:ascii="Times New Roman" w:hAnsi="Times New Roman" w:cs="Times New Roman"/>
          <w:color w:val="000000"/>
        </w:rPr>
      </w:pPr>
    </w:p>
    <w:p w14:paraId="053AE019" w14:textId="77777777" w:rsidR="008613C4" w:rsidRPr="00F8696F" w:rsidRDefault="008613C4" w:rsidP="00F8236B">
      <w:pPr>
        <w:spacing w:before="240" w:after="240" w:line="360" w:lineRule="auto"/>
        <w:ind w:left="2160"/>
        <w:jc w:val="both"/>
        <w:rPr>
          <w:rFonts w:ascii="Times New Roman" w:hAnsi="Times New Roman" w:cs="Times New Roman"/>
          <w:color w:val="000000"/>
        </w:rPr>
      </w:pPr>
    </w:p>
    <w:p w14:paraId="40CCCE36"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Preparação</w:t>
      </w:r>
    </w:p>
    <w:p w14:paraId="0C0FC344"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53C2AC6B"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Na Assembleia Geral do COB do dia 22 de dezembro de 2009 foi criado o Comitê Organizador dos Jogos Olímpicos e Paralímpicos Rio 2016, cujo presidente é Carlos Arthur Nuzman.</w:t>
      </w:r>
    </w:p>
    <w:p w14:paraId="6E5D5EDC"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0F0CFD89"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Apple Color Emoji" w:hAnsi="Apple Color Emoji" w:cs="Apple Color Emoji"/>
          <w:color w:val="000000"/>
        </w:rPr>
        <w:t>📍</w:t>
      </w:r>
      <w:r w:rsidRPr="00F8696F">
        <w:rPr>
          <w:rFonts w:ascii="Times New Roman" w:hAnsi="Times New Roman" w:cs="Times New Roman"/>
          <w:color w:val="000000"/>
        </w:rPr>
        <w:t xml:space="preserve"> Locais e infraestrutura</w:t>
      </w:r>
    </w:p>
    <w:p w14:paraId="00671B8F"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0E98E590"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Os eventos foram distribuídos em quatro regiões espalhadas pelo Rio. A maioria dos eventos foi realizada na zona oeste da cidade, na região da Barra da Tijuca. Os locais na área do Parque Olímpico do Rio fazem parte de uma ampliação do Complexo Esportivo Cidade dos Esportes.</w:t>
      </w:r>
    </w:p>
    <w:p w14:paraId="1AAB8A07"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41DADFAD"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O maior espaço para os jogos em termos de capacidade é o Estádio do Maracanã, oficialmente conhecido como Estádio Jornalista Mário Filho, que pode abrigar 90 mil espectadores, sendo a sede das cerimônias de abertura e encerramento do evento, bem como de quatro jogos de futebol. Além disso, cinco locais fora do Rio de Janeiro foram sedes de eventos do futebol, nas cidades de Brasília, Belo Horizonte, Manaus, Salvador e São Paulo.</w:t>
      </w:r>
    </w:p>
    <w:p w14:paraId="04C3D789" w14:textId="77777777" w:rsidR="001C11E3" w:rsidRDefault="001C11E3" w:rsidP="00F8236B">
      <w:pPr>
        <w:spacing w:before="240" w:after="240" w:line="360" w:lineRule="auto"/>
        <w:ind w:left="2160"/>
        <w:jc w:val="both"/>
        <w:rPr>
          <w:rFonts w:ascii="Times New Roman" w:hAnsi="Times New Roman" w:cs="Times New Roman"/>
          <w:color w:val="000000"/>
        </w:rPr>
      </w:pPr>
    </w:p>
    <w:p w14:paraId="12B5D43B" w14:textId="77777777" w:rsidR="008613C4" w:rsidRDefault="008613C4" w:rsidP="00F8236B">
      <w:pPr>
        <w:spacing w:before="240" w:after="240" w:line="360" w:lineRule="auto"/>
        <w:ind w:left="2160"/>
        <w:jc w:val="both"/>
        <w:rPr>
          <w:rFonts w:ascii="Times New Roman" w:hAnsi="Times New Roman" w:cs="Times New Roman"/>
          <w:color w:val="000000"/>
        </w:rPr>
      </w:pPr>
    </w:p>
    <w:p w14:paraId="3D9B5FC4" w14:textId="77777777" w:rsidR="008613C4" w:rsidRDefault="008613C4" w:rsidP="00F8236B">
      <w:pPr>
        <w:spacing w:before="240" w:after="240" w:line="360" w:lineRule="auto"/>
        <w:ind w:left="2160"/>
        <w:jc w:val="both"/>
        <w:rPr>
          <w:rFonts w:ascii="Times New Roman" w:hAnsi="Times New Roman" w:cs="Times New Roman"/>
          <w:color w:val="000000"/>
        </w:rPr>
      </w:pPr>
    </w:p>
    <w:p w14:paraId="33E77910" w14:textId="77777777" w:rsidR="008613C4" w:rsidRPr="00F8696F" w:rsidRDefault="008613C4" w:rsidP="00F8236B">
      <w:pPr>
        <w:spacing w:before="240" w:after="240" w:line="360" w:lineRule="auto"/>
        <w:ind w:left="2160"/>
        <w:jc w:val="both"/>
        <w:rPr>
          <w:rFonts w:ascii="Times New Roman" w:hAnsi="Times New Roman" w:cs="Times New Roman"/>
          <w:color w:val="000000"/>
        </w:rPr>
      </w:pPr>
    </w:p>
    <w:p w14:paraId="683046BC"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 xml:space="preserve">Parque Olímpico </w:t>
      </w:r>
      <w:r w:rsidRPr="00F8696F">
        <w:rPr>
          <w:rFonts w:ascii="Apple Color Emoji" w:hAnsi="Apple Color Emoji" w:cs="Apple Color Emoji"/>
          <w:color w:val="000000"/>
        </w:rPr>
        <w:t>🏛️</w:t>
      </w:r>
    </w:p>
    <w:p w14:paraId="1F167B55"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3C8627F9" w14:textId="77777777" w:rsidR="001C11E3" w:rsidRPr="00F8696F" w:rsidRDefault="00576533" w:rsidP="00F8236B">
      <w:pPr>
        <w:spacing w:before="240" w:after="240" w:line="360" w:lineRule="auto"/>
        <w:ind w:left="2160"/>
        <w:jc w:val="both"/>
        <w:rPr>
          <w:rFonts w:ascii="Times New Roman" w:hAnsi="Times New Roman" w:cs="Times New Roman"/>
          <w:color w:val="000000"/>
        </w:rPr>
      </w:pPr>
      <w:r w:rsidRPr="00F8696F">
        <w:rPr>
          <w:rFonts w:ascii="Times New Roman" w:hAnsi="Times New Roman" w:cs="Times New Roman"/>
          <w:color w:val="000000"/>
        </w:rPr>
        <w:t>O Parque Olímpico do Rio de Janeiro é um conjunto de instalações no Complexo Esportivo Cidade dos Esportes que está sendo expandido no bairro da Barra da Tijuca. A construção teve início no dia 6 de julho de 2012.</w:t>
      </w:r>
    </w:p>
    <w:p w14:paraId="01B848DD" w14:textId="77777777" w:rsidR="001C11E3" w:rsidRPr="00F8696F" w:rsidRDefault="001C11E3" w:rsidP="00F8236B">
      <w:pPr>
        <w:spacing w:before="240" w:after="240" w:line="360" w:lineRule="auto"/>
        <w:ind w:left="2160"/>
        <w:jc w:val="both"/>
        <w:rPr>
          <w:rFonts w:ascii="Times New Roman" w:hAnsi="Times New Roman" w:cs="Times New Roman"/>
          <w:color w:val="000000"/>
        </w:rPr>
      </w:pPr>
    </w:p>
    <w:p w14:paraId="15CFEBC1" w14:textId="77777777" w:rsidR="001C11E3" w:rsidRPr="006B1274" w:rsidRDefault="00576533" w:rsidP="00F8236B">
      <w:pPr>
        <w:spacing w:before="240" w:after="240" w:line="360" w:lineRule="auto"/>
        <w:ind w:left="2160"/>
        <w:jc w:val="both"/>
        <w:rPr>
          <w:rFonts w:ascii="Times New Roman" w:hAnsi="Times New Roman" w:cs="Times New Roman"/>
          <w:color w:val="000000"/>
          <w:sz w:val="20"/>
          <w:szCs w:val="20"/>
        </w:rPr>
      </w:pPr>
      <w:r w:rsidRPr="00F8696F">
        <w:rPr>
          <w:rFonts w:ascii="Times New Roman" w:hAnsi="Times New Roman" w:cs="Times New Roman"/>
          <w:color w:val="000000"/>
        </w:rPr>
        <w:t xml:space="preserve">O complexo incluiu nove espaços esportivos na Zona Oeste do Rio de Janeiro, sendo que sete deles são estruturas permanentes. Com o fim dos jogos, a Arena Carioca 3 deve se </w:t>
      </w:r>
      <w:r w:rsidRPr="006B1274">
        <w:rPr>
          <w:rFonts w:ascii="Times New Roman" w:hAnsi="Times New Roman" w:cs="Times New Roman"/>
          <w:color w:val="000000"/>
          <w:sz w:val="20"/>
          <w:szCs w:val="20"/>
        </w:rPr>
        <w:t>tornar uma escola de esportes, enquanto os outros seis locais farão parte do Centro Olímpico de Treinamento.</w:t>
      </w:r>
    </w:p>
    <w:p w14:paraId="6493F7B2" w14:textId="77777777" w:rsidR="001C11E3" w:rsidRPr="006B1274" w:rsidRDefault="001C11E3" w:rsidP="00F8236B">
      <w:pPr>
        <w:spacing w:before="240" w:after="240" w:line="360" w:lineRule="auto"/>
        <w:ind w:left="2160"/>
        <w:jc w:val="both"/>
        <w:rPr>
          <w:rFonts w:ascii="Times New Roman" w:hAnsi="Times New Roman" w:cs="Times New Roman"/>
          <w:color w:val="000000"/>
          <w:sz w:val="20"/>
          <w:szCs w:val="20"/>
        </w:rPr>
      </w:pPr>
    </w:p>
    <w:p w14:paraId="1B925B6E" w14:textId="77777777" w:rsidR="001C11E3" w:rsidRPr="00073C61" w:rsidRDefault="00576533" w:rsidP="00F8236B">
      <w:pPr>
        <w:spacing w:before="240" w:after="240" w:line="360" w:lineRule="auto"/>
        <w:ind w:left="2160"/>
        <w:jc w:val="both"/>
        <w:rPr>
          <w:rFonts w:ascii="Times New Roman" w:hAnsi="Times New Roman" w:cs="Times New Roman"/>
          <w:color w:val="000000"/>
        </w:rPr>
      </w:pPr>
      <w:r w:rsidRPr="00073C61">
        <w:rPr>
          <w:rFonts w:ascii="Times New Roman" w:hAnsi="Times New Roman" w:cs="Times New Roman"/>
          <w:color w:val="000000"/>
        </w:rPr>
        <w:t xml:space="preserve">Uma parte do Cidade dos Esportes que foi originalmente construída para sediar os Jogos Pan-Americanos de 2007, foi reutilizada, sendo composto pelo Parque Aquático Maria </w:t>
      </w:r>
      <w:proofErr w:type="spellStart"/>
      <w:r w:rsidRPr="00073C61">
        <w:rPr>
          <w:rFonts w:ascii="Times New Roman" w:hAnsi="Times New Roman" w:cs="Times New Roman"/>
          <w:color w:val="000000"/>
        </w:rPr>
        <w:t>Lenk</w:t>
      </w:r>
      <w:proofErr w:type="spellEnd"/>
      <w:r w:rsidRPr="00073C61">
        <w:rPr>
          <w:rFonts w:ascii="Times New Roman" w:hAnsi="Times New Roman" w:cs="Times New Roman"/>
          <w:color w:val="000000"/>
        </w:rPr>
        <w:t xml:space="preserve">, Velódromo Olímpico do Rio e a Arena Olímpica do Rio, que no ano seguinte foi privatizada, tornando-se a HSBC Arena. Em agosto de 2011, foi divulgado o escritório de arquitetura britânico Estúdio </w:t>
      </w:r>
      <w:proofErr w:type="spellStart"/>
      <w:r w:rsidRPr="00073C61">
        <w:rPr>
          <w:rFonts w:ascii="Times New Roman" w:hAnsi="Times New Roman" w:cs="Times New Roman"/>
          <w:color w:val="000000"/>
        </w:rPr>
        <w:t>Aecom</w:t>
      </w:r>
      <w:proofErr w:type="spellEnd"/>
      <w:r w:rsidRPr="00073C61">
        <w:rPr>
          <w:rFonts w:ascii="Times New Roman" w:hAnsi="Times New Roman" w:cs="Times New Roman"/>
          <w:color w:val="000000"/>
        </w:rPr>
        <w:t xml:space="preserve"> como responsável pelo projeto</w:t>
      </w:r>
    </w:p>
    <w:p w14:paraId="58CA56CA" w14:textId="77777777" w:rsidR="001C11E3" w:rsidRPr="00073C61" w:rsidRDefault="001C11E3" w:rsidP="00F8236B">
      <w:pPr>
        <w:spacing w:before="240" w:after="240" w:line="360" w:lineRule="auto"/>
        <w:ind w:left="2160"/>
        <w:jc w:val="both"/>
        <w:rPr>
          <w:rFonts w:ascii="Times New Roman" w:hAnsi="Times New Roman" w:cs="Times New Roman"/>
          <w:color w:val="000000"/>
        </w:rPr>
      </w:pPr>
    </w:p>
    <w:p w14:paraId="65705654" w14:textId="77777777" w:rsidR="001C11E3" w:rsidRPr="00073C61" w:rsidRDefault="00576533" w:rsidP="00F8236B">
      <w:pPr>
        <w:spacing w:before="240" w:after="240" w:line="360" w:lineRule="auto"/>
        <w:ind w:left="2160"/>
        <w:jc w:val="both"/>
        <w:rPr>
          <w:rFonts w:ascii="Times New Roman" w:hAnsi="Times New Roman" w:cs="Times New Roman"/>
          <w:color w:val="000000"/>
        </w:rPr>
      </w:pPr>
      <w:r w:rsidRPr="00073C61">
        <w:rPr>
          <w:rFonts w:ascii="Times New Roman" w:hAnsi="Times New Roman" w:cs="Times New Roman"/>
          <w:color w:val="000000"/>
        </w:rPr>
        <w:t xml:space="preserve">Porto Maravilha </w:t>
      </w:r>
      <w:r w:rsidRPr="00073C61">
        <w:rPr>
          <w:rFonts w:ascii="Apple Color Emoji" w:hAnsi="Apple Color Emoji" w:cs="Apple Color Emoji"/>
          <w:color w:val="000000"/>
        </w:rPr>
        <w:t>⚓️</w:t>
      </w:r>
    </w:p>
    <w:p w14:paraId="21ACB147" w14:textId="77777777" w:rsidR="001C11E3" w:rsidRPr="00073C61" w:rsidRDefault="001C11E3" w:rsidP="00F8236B">
      <w:pPr>
        <w:spacing w:before="240" w:after="240" w:line="360" w:lineRule="auto"/>
        <w:ind w:left="2160"/>
        <w:jc w:val="both"/>
        <w:rPr>
          <w:rFonts w:ascii="Times New Roman" w:hAnsi="Times New Roman" w:cs="Times New Roman"/>
          <w:color w:val="000000"/>
        </w:rPr>
      </w:pPr>
    </w:p>
    <w:p w14:paraId="7919C5AF" w14:textId="77777777" w:rsidR="001C11E3" w:rsidRPr="00073C61" w:rsidRDefault="00576533" w:rsidP="00F8236B">
      <w:pPr>
        <w:spacing w:before="240" w:after="240" w:line="360" w:lineRule="auto"/>
        <w:ind w:left="2160"/>
        <w:jc w:val="both"/>
        <w:rPr>
          <w:rFonts w:ascii="Times New Roman" w:hAnsi="Times New Roman" w:cs="Times New Roman"/>
          <w:color w:val="000000"/>
        </w:rPr>
      </w:pPr>
      <w:r w:rsidRPr="00073C61">
        <w:rPr>
          <w:rFonts w:ascii="Times New Roman" w:hAnsi="Times New Roman" w:cs="Times New Roman"/>
          <w:color w:val="000000"/>
        </w:rPr>
        <w:t>O centro histórico da cidade passou por um projeto de revitalização urbana em grande escala chamado "Porto Maravilha". Ele abrange 5 quilômetros quadrados de área. O projeto visa a reestruturação a zona portuária do Rio de Janeiro, com a crescente atratividade do centro da cidade, e melhorar a posição de competitividade da cidade na economia global. A chamada "Região Portuária" (parte do Caju, Gamboa, Saúde, Santo Cristo e parte do Centro), que sofreu grande degradação a partir dos anos 1960 por falta de incentivo às indústrias e residências na região.</w:t>
      </w:r>
    </w:p>
    <w:p w14:paraId="6CC1C30E" w14:textId="77777777" w:rsidR="001C11E3" w:rsidRPr="00073C61" w:rsidRDefault="001C11E3" w:rsidP="00F8236B">
      <w:pPr>
        <w:spacing w:before="240" w:after="240" w:line="360" w:lineRule="auto"/>
        <w:ind w:left="2160"/>
        <w:jc w:val="both"/>
        <w:rPr>
          <w:rFonts w:ascii="Times New Roman" w:hAnsi="Times New Roman" w:cs="Times New Roman"/>
          <w:color w:val="000000"/>
        </w:rPr>
      </w:pPr>
    </w:p>
    <w:p w14:paraId="6064F349" w14:textId="77777777" w:rsidR="001C11E3" w:rsidRPr="00073C61" w:rsidRDefault="00576533" w:rsidP="00F8236B">
      <w:pPr>
        <w:spacing w:before="240" w:after="240" w:line="360" w:lineRule="auto"/>
        <w:ind w:left="2160"/>
        <w:jc w:val="both"/>
        <w:rPr>
          <w:rFonts w:ascii="Times New Roman" w:hAnsi="Times New Roman" w:cs="Times New Roman"/>
          <w:color w:val="000000"/>
        </w:rPr>
      </w:pPr>
      <w:r w:rsidRPr="00073C61">
        <w:rPr>
          <w:rFonts w:ascii="Times New Roman" w:hAnsi="Times New Roman" w:cs="Times New Roman"/>
          <w:color w:val="000000"/>
        </w:rPr>
        <w:t>Durante os Jogos, a Zona Portuária do Rio de Janeiro ofereceu ao público diversas atrações no "</w:t>
      </w:r>
      <w:proofErr w:type="spellStart"/>
      <w:r w:rsidRPr="00073C61">
        <w:rPr>
          <w:rFonts w:ascii="Times New Roman" w:hAnsi="Times New Roman" w:cs="Times New Roman"/>
          <w:color w:val="000000"/>
        </w:rPr>
        <w:t>Boulevard</w:t>
      </w:r>
      <w:proofErr w:type="spellEnd"/>
      <w:r w:rsidRPr="00073C61">
        <w:rPr>
          <w:rFonts w:ascii="Times New Roman" w:hAnsi="Times New Roman" w:cs="Times New Roman"/>
          <w:color w:val="000000"/>
        </w:rPr>
        <w:t xml:space="preserve"> Olímpico". O evento foi realizado no trecho entre a Gamboa e a Praça XV, pela orla. No local, o público acompanhou programações diárias com a transmissão de provas olímpicas ao vivo, programas culturais e apresentações de diversos artistas.</w:t>
      </w:r>
    </w:p>
    <w:p w14:paraId="1BD61376" w14:textId="77777777" w:rsidR="001C11E3" w:rsidRPr="00073C61" w:rsidRDefault="001C11E3" w:rsidP="00F8236B">
      <w:pPr>
        <w:spacing w:before="240" w:after="240" w:line="360" w:lineRule="auto"/>
        <w:ind w:left="2160"/>
        <w:jc w:val="both"/>
        <w:rPr>
          <w:rFonts w:ascii="Times New Roman" w:hAnsi="Times New Roman" w:cs="Times New Roman"/>
          <w:color w:val="000000"/>
        </w:rPr>
      </w:pPr>
    </w:p>
    <w:p w14:paraId="0B10AF0D" w14:textId="24C6C40B" w:rsidR="001C11E3" w:rsidRPr="00396352" w:rsidRDefault="00576533" w:rsidP="00396352">
      <w:pPr>
        <w:spacing w:before="240" w:after="240" w:line="360" w:lineRule="auto"/>
        <w:ind w:left="2160"/>
        <w:jc w:val="both"/>
        <w:rPr>
          <w:rFonts w:ascii="Times New Roman" w:hAnsi="Times New Roman" w:cs="Times New Roman"/>
          <w:color w:val="000000"/>
        </w:rPr>
      </w:pPr>
      <w:r w:rsidRPr="00073C61">
        <w:rPr>
          <w:rFonts w:ascii="Times New Roman" w:hAnsi="Times New Roman" w:cs="Times New Roman"/>
          <w:color w:val="000000"/>
        </w:rPr>
        <w:t>A renovação urbana envolveu ainda: 700 km de redes públicas de abastecimento de água, saneamento, drenagem, eletricidade, gás e telecomunicações; 4 km de túneis; 70 km de estradas; 650 km² de calçadas; 17 km de ciclovias; 15 mil árvores e três estações de tratamento de esgoto.</w:t>
      </w:r>
    </w:p>
    <w:p w14:paraId="2E2EED03" w14:textId="04FACE3E" w:rsidR="001C11E3" w:rsidRPr="00606F45" w:rsidRDefault="00576533" w:rsidP="00396352">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Financiamento </w:t>
      </w:r>
      <w:r w:rsidRPr="00606F45">
        <w:rPr>
          <w:rFonts w:ascii="Apple Color Emoji" w:hAnsi="Apple Color Emoji" w:cs="Apple Color Emoji"/>
          <w:color w:val="000000"/>
        </w:rPr>
        <w:t>💰</w:t>
      </w:r>
    </w:p>
    <w:p w14:paraId="59475272"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Receita Fundos Públicos </w:t>
      </w:r>
    </w:p>
    <w:p w14:paraId="2032CEC3"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Governo Federal R$3.022.097,88</w:t>
      </w:r>
    </w:p>
    <w:p w14:paraId="5832BF2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Governo Estadual R$3.279.984,98</w:t>
      </w:r>
    </w:p>
    <w:p w14:paraId="07068C11" w14:textId="521C3B8B" w:rsidR="001C11E3" w:rsidRPr="00606F45" w:rsidRDefault="00576533" w:rsidP="008613C4">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Total: R$6.302.082,86</w:t>
      </w:r>
    </w:p>
    <w:p w14:paraId="213826A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Fundos privados </w:t>
      </w:r>
    </w:p>
    <w:p w14:paraId="02303455"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R$2.804.822,16</w:t>
      </w:r>
    </w:p>
    <w:p w14:paraId="0E545BED"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55574BA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Total Geral: R$9.106.905,02</w:t>
      </w:r>
    </w:p>
    <w:p w14:paraId="10FED549"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B491628"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Publicidade </w:t>
      </w:r>
      <w:r w:rsidRPr="00606F45">
        <w:rPr>
          <w:rFonts w:ascii="Apple Color Emoji" w:hAnsi="Apple Color Emoji" w:cs="Apple Color Emoji"/>
          <w:color w:val="000000"/>
        </w:rPr>
        <w:t>📈</w:t>
      </w:r>
    </w:p>
    <w:p w14:paraId="5DE3BEB1"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0517750E"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No dia 7 de novembro de 2013 foram lançados os 64 pictogramas dos Jogos, sendo 41 olímpicos e 23 paralímpicos. Foi a primeira vez que todos os eventos foram contemplados. "Esse é um dos nossos diferenciais na história dos Jogos", declarou Carlos Arthur Nuzman, presidente do COB e do Comitê Rio-2016. Todas as modalidades foram representadas em desenhos com fundo em formato das formas geográficas da cidade. O conceito tipográfico dos pictogramas, segundo os desenvolvedores, "foi inspirado nas letras e números do logotipo Rio-2016 e na essência dos Jogos".</w:t>
      </w:r>
    </w:p>
    <w:p w14:paraId="6FF24B03"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3D34A362"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Os preços dos ingressos foram anunciados em 16 de setembro de 2014 e todos foram vendidos em reais. Um total de 7,5 milhões de ingressos foram disponibilizados; 200 mil ingressos a menos em comparação aos Jogos Olímpicos de Verão de 2012, porque o tamanho de muitas arenas era menor. Os preços dos ingressos variam de 40 reais para muitos eventos até 4 600 reais para os assentos mais caros na cerimônia de abertura. Cerca de 3,8 milhões desses bilhetes estavam disponíveis a menos de 70 reais. Apesar do esforço de deixar os ingressos a preços razoáveis, a crise econômica brasileira de 2014 afetou a presença do público brasileiro. A </w:t>
      </w:r>
      <w:proofErr w:type="spellStart"/>
      <w:r w:rsidRPr="00606F45">
        <w:rPr>
          <w:rFonts w:ascii="Times New Roman" w:hAnsi="Times New Roman" w:cs="Times New Roman"/>
          <w:color w:val="000000"/>
        </w:rPr>
        <w:t>Kantar</w:t>
      </w:r>
      <w:proofErr w:type="spellEnd"/>
      <w:r w:rsidRPr="00606F45">
        <w:rPr>
          <w:rFonts w:ascii="Times New Roman" w:hAnsi="Times New Roman" w:cs="Times New Roman"/>
          <w:color w:val="000000"/>
        </w:rPr>
        <w:t xml:space="preserve"> </w:t>
      </w:r>
      <w:proofErr w:type="spellStart"/>
      <w:r w:rsidRPr="00606F45">
        <w:rPr>
          <w:rFonts w:ascii="Times New Roman" w:hAnsi="Times New Roman" w:cs="Times New Roman"/>
          <w:color w:val="000000"/>
        </w:rPr>
        <w:t>Worldpanel</w:t>
      </w:r>
      <w:proofErr w:type="spellEnd"/>
      <w:r w:rsidRPr="00606F45">
        <w:rPr>
          <w:rFonts w:ascii="Times New Roman" w:hAnsi="Times New Roman" w:cs="Times New Roman"/>
          <w:color w:val="000000"/>
        </w:rPr>
        <w:t xml:space="preserve"> estimava antes dos Jogos que 83% dos brasileiros provavelmente não estariam presentes em nenhum evento das Olimpíadas 2016. O principal desafio para conseguir ir aos jogos era a falta de dinheiro para investir nesse momento de lazer, motivo dado por 60% dos entrevistados. Existem também aqueles que moram em outro estado e acham que o deslocamento para o Rio de Janeiro pode complicar a logística para acompanhar os jogos (42% dos respondentes). Apenas 24% declararam achar os ingressos caros.</w:t>
      </w:r>
    </w:p>
    <w:p w14:paraId="276CB2A8"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00E9886"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Os direitos de transmissão no Brasil foram concedidos pelo COI à proposta conjunta feita pelas Organizações Globo e o Grupo Bandeirantes de Comunicação. Posteriormente, as emissoras autorizaram a revenda dos direitos de televisão aberta para outras interessadas, sendo a única a Central </w:t>
      </w:r>
      <w:proofErr w:type="spellStart"/>
      <w:r w:rsidRPr="00606F45">
        <w:rPr>
          <w:rFonts w:ascii="Times New Roman" w:hAnsi="Times New Roman" w:cs="Times New Roman"/>
          <w:color w:val="000000"/>
        </w:rPr>
        <w:t>Record</w:t>
      </w:r>
      <w:proofErr w:type="spellEnd"/>
      <w:r w:rsidRPr="00606F45">
        <w:rPr>
          <w:rFonts w:ascii="Times New Roman" w:hAnsi="Times New Roman" w:cs="Times New Roman"/>
          <w:color w:val="000000"/>
        </w:rPr>
        <w:t xml:space="preserve"> de Comunicação. A </w:t>
      </w:r>
      <w:proofErr w:type="spellStart"/>
      <w:r w:rsidRPr="00606F45">
        <w:rPr>
          <w:rFonts w:ascii="Times New Roman" w:hAnsi="Times New Roman" w:cs="Times New Roman"/>
          <w:color w:val="000000"/>
        </w:rPr>
        <w:t>Globosat</w:t>
      </w:r>
      <w:proofErr w:type="spellEnd"/>
      <w:r w:rsidRPr="00606F45">
        <w:rPr>
          <w:rFonts w:ascii="Times New Roman" w:hAnsi="Times New Roman" w:cs="Times New Roman"/>
          <w:color w:val="000000"/>
        </w:rPr>
        <w:t xml:space="preserve">, que fez parte do consórcio formado pela Rede Globo e pela Rede Bandeirantes, transmitiu o evento na TV por assinatura. Por não ter comprado os direitos do evento esportivo, o Sistema Brasileiro de Televisão (SBT) não pôde usar os nomes "Olimpíada", "Jogos Olímpicos" ou similares para lançar quadros ou programas para suas transmissões. Por essa razão, o canal registrou o título “Corrida pelo Ouro”, e era com esse "slogan" que ele fazia matérias relacionadas ao tema. </w:t>
      </w:r>
    </w:p>
    <w:p w14:paraId="1AFDF6B8"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BEEA080"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A NBC, por meio do presidente da divisão de esportes Mark Lazarus, anunciou ter ultrapassado na quarta-feira, 10 de agosto, a marca de 1 bilhão de minutos de "live streaming", transmissão ao vivo pela internet. O resultado supera toda a audiência digital registrada para em Londres em 2012, de 818 milhões de minutos de "live streaming". Ao longo dos Jogos se superou a audiência digital acumulada para a Olimpíada na história.</w:t>
      </w:r>
    </w:p>
    <w:p w14:paraId="2C90160F"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2EAB02D6" w14:textId="6908BD0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[Publicitária e Produtora Cultural </w:t>
      </w:r>
      <w:r w:rsidR="00FB77AE" w:rsidRPr="00606F45">
        <w:rPr>
          <w:rFonts w:ascii="Times New Roman" w:hAnsi="Times New Roman" w:cs="Times New Roman"/>
          <w:color w:val="000000"/>
        </w:rPr>
        <w:t xml:space="preserve"> </w:t>
      </w:r>
      <w:r w:rsidRPr="00606F45">
        <w:rPr>
          <w:rFonts w:ascii="Times New Roman" w:hAnsi="Times New Roman" w:cs="Times New Roman"/>
          <w:color w:val="000000"/>
        </w:rPr>
        <w:t xml:space="preserve"> </w:t>
      </w:r>
      <w:r w:rsidRPr="00606F45">
        <w:rPr>
          <w:rFonts w:ascii="Apple Color Emoji" w:hAnsi="Apple Color Emoji" w:cs="Apple Color Emoji"/>
          <w:color w:val="000000"/>
        </w:rPr>
        <w:t>💬</w:t>
      </w:r>
      <w:r w:rsidRPr="00606F45">
        <w:rPr>
          <w:rFonts w:ascii="Times New Roman" w:hAnsi="Times New Roman" w:cs="Times New Roman"/>
          <w:color w:val="000000"/>
        </w:rPr>
        <w:t>: O evento idealizado em visões sustentáveis demonstrou em processo de Produção como a cidade do Rio de Janeiro perdeu seu pertencimento territorial por regionalidade cultural decorrente do alto fluxo trabalhista para modernização da cidade em construção civil e urbanismo, indicando por fatos verídicos de dados de censo demográfico a piora da qualidade de vida dos nativos da cidade e invasão de áreas protegidas ambientalmente para alocação trabalhista de êxodo migratório, demonstrando desrespeito à demais áreas do projeto e desorganização em processo “end to end” com preocupação, apenas, em entretenimento.]</w:t>
      </w:r>
    </w:p>
    <w:p w14:paraId="719886DC" w14:textId="77777777" w:rsidR="001C11E3" w:rsidRPr="006B1274" w:rsidRDefault="001C11E3" w:rsidP="00F8236B">
      <w:pPr>
        <w:spacing w:before="240" w:after="240" w:line="360" w:lineRule="auto"/>
        <w:ind w:left="2160"/>
        <w:jc w:val="both"/>
        <w:rPr>
          <w:rFonts w:ascii="Times New Roman" w:hAnsi="Times New Roman" w:cs="Times New Roman"/>
          <w:color w:val="000000"/>
          <w:sz w:val="20"/>
          <w:szCs w:val="20"/>
        </w:rPr>
      </w:pPr>
    </w:p>
    <w:p w14:paraId="037A8BD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Em 25 de maio de 2016, o Comitê Organizador Local divulgou um videoclipe com uma nova versão da canção "A Vida do Viajante", de Luiz Gonzaga, como sendo a música oficial do revezamento da tocha olímpica. A nova versão recebeu uma releitura nas vozes de Marcelo Jeneci, </w:t>
      </w:r>
      <w:proofErr w:type="spellStart"/>
      <w:r w:rsidRPr="00606F45">
        <w:rPr>
          <w:rFonts w:ascii="Times New Roman" w:hAnsi="Times New Roman" w:cs="Times New Roman"/>
          <w:color w:val="000000"/>
        </w:rPr>
        <w:t>Luan</w:t>
      </w:r>
      <w:proofErr w:type="spellEnd"/>
      <w:r w:rsidRPr="00606F45">
        <w:rPr>
          <w:rFonts w:ascii="Times New Roman" w:hAnsi="Times New Roman" w:cs="Times New Roman"/>
          <w:color w:val="000000"/>
        </w:rPr>
        <w:t xml:space="preserve"> Forró Estilizado, César Menotti e Fabiano, Roberta Sá, MC </w:t>
      </w:r>
      <w:proofErr w:type="spellStart"/>
      <w:r w:rsidRPr="00606F45">
        <w:rPr>
          <w:rFonts w:ascii="Times New Roman" w:hAnsi="Times New Roman" w:cs="Times New Roman"/>
          <w:color w:val="000000"/>
        </w:rPr>
        <w:t>Koringa</w:t>
      </w:r>
      <w:proofErr w:type="spellEnd"/>
      <w:r w:rsidRPr="00606F45">
        <w:rPr>
          <w:rFonts w:ascii="Times New Roman" w:hAnsi="Times New Roman" w:cs="Times New Roman"/>
          <w:color w:val="000000"/>
        </w:rPr>
        <w:t xml:space="preserve"> e Banda Malta. A versão com vários artistas promove um revezamento de ritmos, que simboliza a passagem da tocha de mão em mão.</w:t>
      </w:r>
    </w:p>
    <w:p w14:paraId="0F52F8B2"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7D1B6C5F"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No dia 3 de julho de 2016 foi exibido em primeira mão pelo programa Fantástico, da Rede Globo, o videoclipe oficial da música-tema dos Jogos. Interpretada pelos cantores Thiaguinho e </w:t>
      </w:r>
      <w:proofErr w:type="spellStart"/>
      <w:r w:rsidRPr="00606F45">
        <w:rPr>
          <w:rFonts w:ascii="Times New Roman" w:hAnsi="Times New Roman" w:cs="Times New Roman"/>
          <w:color w:val="000000"/>
        </w:rPr>
        <w:t>Projota</w:t>
      </w:r>
      <w:proofErr w:type="spellEnd"/>
      <w:r w:rsidRPr="00606F45">
        <w:rPr>
          <w:rFonts w:ascii="Times New Roman" w:hAnsi="Times New Roman" w:cs="Times New Roman"/>
          <w:color w:val="000000"/>
        </w:rPr>
        <w:t xml:space="preserve">, a canção “Alma e Coração”, tem letra de Léo da Baixada, Victor Reis e Rodrigo Marques, e foi produzida pela dupla </w:t>
      </w:r>
      <w:proofErr w:type="spellStart"/>
      <w:r w:rsidRPr="00606F45">
        <w:rPr>
          <w:rFonts w:ascii="Times New Roman" w:hAnsi="Times New Roman" w:cs="Times New Roman"/>
          <w:color w:val="000000"/>
        </w:rPr>
        <w:t>Tropkillaz</w:t>
      </w:r>
      <w:proofErr w:type="spellEnd"/>
      <w:r w:rsidRPr="00606F45">
        <w:rPr>
          <w:rFonts w:ascii="Times New Roman" w:hAnsi="Times New Roman" w:cs="Times New Roman"/>
          <w:color w:val="000000"/>
        </w:rPr>
        <w:t>.</w:t>
      </w:r>
    </w:p>
    <w:p w14:paraId="2019830E"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0DC58462"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Cerimônia de Abertura </w:t>
      </w:r>
      <w:r w:rsidRPr="00606F45">
        <w:rPr>
          <w:rFonts w:ascii="Apple Color Emoji" w:hAnsi="Apple Color Emoji" w:cs="Apple Color Emoji"/>
          <w:color w:val="000000"/>
        </w:rPr>
        <w:t>📅</w:t>
      </w:r>
    </w:p>
    <w:p w14:paraId="6D746456"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253A350C" w14:textId="67843614"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Para encerrar o revezamento da tocha olímpica, no final da cerimônia de abertura, Gustavo </w:t>
      </w:r>
      <w:proofErr w:type="spellStart"/>
      <w:r w:rsidRPr="00606F45">
        <w:rPr>
          <w:rFonts w:ascii="Times New Roman" w:hAnsi="Times New Roman" w:cs="Times New Roman"/>
          <w:color w:val="000000"/>
        </w:rPr>
        <w:t>Kuerten</w:t>
      </w:r>
      <w:proofErr w:type="spellEnd"/>
      <w:r w:rsidR="00572BE6" w:rsidRPr="00606F45">
        <w:rPr>
          <w:rFonts w:ascii="Times New Roman" w:hAnsi="Times New Roman" w:cs="Times New Roman"/>
          <w:color w:val="000000"/>
        </w:rPr>
        <w:t xml:space="preserve"> </w:t>
      </w:r>
      <w:r w:rsidRPr="00606F45">
        <w:rPr>
          <w:rFonts w:ascii="Times New Roman" w:hAnsi="Times New Roman" w:cs="Times New Roman"/>
          <w:color w:val="000000"/>
        </w:rPr>
        <w:t xml:space="preserve">trouxe a tocha ao estádio, passou a chama olímpica para Hortência </w:t>
      </w:r>
      <w:proofErr w:type="spellStart"/>
      <w:r w:rsidRPr="00606F45">
        <w:rPr>
          <w:rFonts w:ascii="Times New Roman" w:hAnsi="Times New Roman" w:cs="Times New Roman"/>
          <w:color w:val="000000"/>
        </w:rPr>
        <w:t>Marcari</w:t>
      </w:r>
      <w:proofErr w:type="spellEnd"/>
      <w:r w:rsidRPr="00606F45">
        <w:rPr>
          <w:rFonts w:ascii="Times New Roman" w:hAnsi="Times New Roman" w:cs="Times New Roman"/>
          <w:color w:val="000000"/>
        </w:rPr>
        <w:t>, que retransmitiu a tocha para Vanderlei de Lima, medalhista de bronze da maratona nos Jogos Olímpicos de Verão de 2004 e único brasileiro consagrado com a Medalha Pierre de Coubertin.</w:t>
      </w:r>
    </w:p>
    <w:p w14:paraId="4511E64D"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5ABCE2C0"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A Cerimônia de abertura funcionou como uma alavanca para o interesse pelos jogos nas redes sociais. No mesmo dia em que foram iniciadas as competições olímpicas (3 de agosto) o jogo Pokémon GO também havia chegado ao país, dividindo a atenção dos brasileiros conectados. No entanto, a partir da festa da cerimônia de abertura, as menções aos Jogos Olímpicos ultrapassaram as conversas relacionadas ao jogo da </w:t>
      </w:r>
      <w:proofErr w:type="spellStart"/>
      <w:r w:rsidRPr="00606F45">
        <w:rPr>
          <w:rFonts w:ascii="Times New Roman" w:hAnsi="Times New Roman" w:cs="Times New Roman"/>
          <w:color w:val="000000"/>
        </w:rPr>
        <w:t>Niantic</w:t>
      </w:r>
      <w:proofErr w:type="spellEnd"/>
      <w:r w:rsidRPr="00606F45">
        <w:rPr>
          <w:rFonts w:ascii="Times New Roman" w:hAnsi="Times New Roman" w:cs="Times New Roman"/>
          <w:color w:val="000000"/>
        </w:rPr>
        <w:t>.</w:t>
      </w:r>
    </w:p>
    <w:p w14:paraId="1B53C43B"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779BD529"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Cerimônia de encerramento </w:t>
      </w:r>
      <w:r w:rsidRPr="00606F45">
        <w:rPr>
          <w:rFonts w:ascii="Apple Color Emoji" w:hAnsi="Apple Color Emoji" w:cs="Apple Color Emoji"/>
          <w:color w:val="000000"/>
        </w:rPr>
        <w:t>📅</w:t>
      </w:r>
    </w:p>
    <w:p w14:paraId="304D7BE8"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2797506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A cerimônia de encerramento dos Jogos Olímpicos de Verão de 2016 ocorreu na noite de 21 de agosto no Estádio do Maracanã, a partir de 20h00 (23h00 UTC). A diretora da cerimônia foi Rosa Magalhães. Em meio a fortes chuvas, a cerimônia começou com dançarinos representando vários marcos da cidade anfitriã. Martinho da Vila, em seguida, cantou uma versão da clássica canção "Carinhoso" de Pixinguinha. Apresentando os atletas, a cantora Roberta Sá interpretou a cantora e atriz Carmen Miranda, utilizando um cocar de frutas. Logo após, um coro de 27 crianças representando os estados do Brasil, cantou o hino Nacional Brasileiro.</w:t>
      </w:r>
    </w:p>
    <w:p w14:paraId="72F4EA3E"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38CB3067" w14:textId="68ECEE6B"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Foram introduzidos quatro novos membros eleitos da comissão de atletas do Comitê Olímpico Internacional, a esgrimista </w:t>
      </w:r>
      <w:proofErr w:type="spellStart"/>
      <w:r w:rsidRPr="00606F45">
        <w:rPr>
          <w:rFonts w:ascii="Times New Roman" w:hAnsi="Times New Roman" w:cs="Times New Roman"/>
          <w:color w:val="000000"/>
        </w:rPr>
        <w:t>Britta</w:t>
      </w:r>
      <w:proofErr w:type="spellEnd"/>
      <w:r w:rsidRPr="00606F45">
        <w:rPr>
          <w:rFonts w:ascii="Times New Roman" w:hAnsi="Times New Roman" w:cs="Times New Roman"/>
          <w:color w:val="000000"/>
        </w:rPr>
        <w:t xml:space="preserve"> </w:t>
      </w:r>
      <w:proofErr w:type="spellStart"/>
      <w:r w:rsidRPr="00606F45">
        <w:rPr>
          <w:rFonts w:ascii="Times New Roman" w:hAnsi="Times New Roman" w:cs="Times New Roman"/>
          <w:color w:val="000000"/>
        </w:rPr>
        <w:t>Heidemann</w:t>
      </w:r>
      <w:proofErr w:type="spellEnd"/>
      <w:r w:rsidRPr="00606F45">
        <w:rPr>
          <w:rFonts w:ascii="Times New Roman" w:hAnsi="Times New Roman" w:cs="Times New Roman"/>
          <w:color w:val="000000"/>
        </w:rPr>
        <w:t xml:space="preserve"> da Alemanha, o tenista de mesa </w:t>
      </w:r>
      <w:proofErr w:type="spellStart"/>
      <w:r w:rsidRPr="00606F45">
        <w:rPr>
          <w:rFonts w:ascii="Times New Roman" w:hAnsi="Times New Roman" w:cs="Times New Roman"/>
          <w:color w:val="000000"/>
        </w:rPr>
        <w:t>Ryu</w:t>
      </w:r>
      <w:proofErr w:type="spellEnd"/>
      <w:r w:rsidRPr="00606F45">
        <w:rPr>
          <w:rFonts w:ascii="Times New Roman" w:hAnsi="Times New Roman" w:cs="Times New Roman"/>
          <w:color w:val="000000"/>
        </w:rPr>
        <w:t xml:space="preserve"> Seung-min da Coréia do Sul, o nadador </w:t>
      </w:r>
      <w:proofErr w:type="spellStart"/>
      <w:r w:rsidRPr="00606F45">
        <w:rPr>
          <w:rFonts w:ascii="Times New Roman" w:hAnsi="Times New Roman" w:cs="Times New Roman"/>
          <w:color w:val="000000"/>
        </w:rPr>
        <w:t>Dániel</w:t>
      </w:r>
      <w:proofErr w:type="spellEnd"/>
      <w:r w:rsidRPr="00606F45">
        <w:rPr>
          <w:rFonts w:ascii="Times New Roman" w:hAnsi="Times New Roman" w:cs="Times New Roman"/>
          <w:color w:val="000000"/>
        </w:rPr>
        <w:t xml:space="preserve"> </w:t>
      </w:r>
      <w:proofErr w:type="spellStart"/>
      <w:r w:rsidRPr="00606F45">
        <w:rPr>
          <w:rFonts w:ascii="Times New Roman" w:hAnsi="Times New Roman" w:cs="Times New Roman"/>
          <w:color w:val="000000"/>
        </w:rPr>
        <w:t>Gyurta</w:t>
      </w:r>
      <w:proofErr w:type="spellEnd"/>
      <w:r w:rsidRPr="00606F45">
        <w:rPr>
          <w:rFonts w:ascii="Times New Roman" w:hAnsi="Times New Roman" w:cs="Times New Roman"/>
          <w:color w:val="000000"/>
        </w:rPr>
        <w:t xml:space="preserve"> da Hungria e a saltadora com vara Yelena </w:t>
      </w:r>
      <w:proofErr w:type="spellStart"/>
      <w:r w:rsidRPr="00606F45">
        <w:rPr>
          <w:rFonts w:ascii="Times New Roman" w:hAnsi="Times New Roman" w:cs="Times New Roman"/>
          <w:color w:val="000000"/>
        </w:rPr>
        <w:t>Isinbayeva</w:t>
      </w:r>
      <w:proofErr w:type="spellEnd"/>
      <w:r w:rsidRPr="00606F45">
        <w:rPr>
          <w:rFonts w:ascii="Times New Roman" w:hAnsi="Times New Roman" w:cs="Times New Roman"/>
          <w:color w:val="000000"/>
        </w:rPr>
        <w:t xml:space="preserve"> da Rússia. O cantor Lenine cantou a música "Jack Soul Brasileiro", em homenagem aos voluntários dos Jogos. A cerimônia de entrega da bandeira começou como padrão com o Hino da Grécia</w:t>
      </w:r>
      <w:r w:rsidR="00572BE6" w:rsidRPr="00606F45">
        <w:rPr>
          <w:rFonts w:ascii="Times New Roman" w:hAnsi="Times New Roman" w:cs="Times New Roman"/>
          <w:color w:val="000000"/>
        </w:rPr>
        <w:t xml:space="preserve"> </w:t>
      </w:r>
      <w:r w:rsidRPr="00606F45">
        <w:rPr>
          <w:rFonts w:ascii="Times New Roman" w:hAnsi="Times New Roman" w:cs="Times New Roman"/>
          <w:color w:val="000000"/>
        </w:rPr>
        <w:t>seguido pelo hino olímpico. O prefeito do Rio de Janeiro Eduardo Paes entregou a bandeira ao presidente do Comitê Olímpico Internacional</w:t>
      </w:r>
      <w:r w:rsidR="0063270A" w:rsidRPr="00606F45">
        <w:rPr>
          <w:rFonts w:ascii="Times New Roman" w:hAnsi="Times New Roman" w:cs="Times New Roman"/>
          <w:color w:val="000000"/>
        </w:rPr>
        <w:t xml:space="preserve"> </w:t>
      </w:r>
      <w:r w:rsidRPr="00606F45">
        <w:rPr>
          <w:rFonts w:ascii="Times New Roman" w:hAnsi="Times New Roman" w:cs="Times New Roman"/>
          <w:color w:val="000000"/>
        </w:rPr>
        <w:t xml:space="preserve">Thomas Bach, que, em seguida, entregou a governadora de Tóquio </w:t>
      </w:r>
      <w:proofErr w:type="spellStart"/>
      <w:r w:rsidRPr="00606F45">
        <w:rPr>
          <w:rFonts w:ascii="Times New Roman" w:hAnsi="Times New Roman" w:cs="Times New Roman"/>
          <w:color w:val="000000"/>
        </w:rPr>
        <w:t>Yuriko</w:t>
      </w:r>
      <w:proofErr w:type="spellEnd"/>
      <w:r w:rsidRPr="00606F45">
        <w:rPr>
          <w:rFonts w:ascii="Times New Roman" w:hAnsi="Times New Roman" w:cs="Times New Roman"/>
          <w:color w:val="000000"/>
        </w:rPr>
        <w:t xml:space="preserve"> </w:t>
      </w:r>
      <w:proofErr w:type="spellStart"/>
      <w:r w:rsidRPr="00606F45">
        <w:rPr>
          <w:rFonts w:ascii="Times New Roman" w:hAnsi="Times New Roman" w:cs="Times New Roman"/>
          <w:color w:val="000000"/>
        </w:rPr>
        <w:t>Koike</w:t>
      </w:r>
      <w:proofErr w:type="spellEnd"/>
      <w:r w:rsidRPr="00606F45">
        <w:rPr>
          <w:rFonts w:ascii="Times New Roman" w:hAnsi="Times New Roman" w:cs="Times New Roman"/>
          <w:color w:val="000000"/>
        </w:rPr>
        <w:t>.</w:t>
      </w:r>
    </w:p>
    <w:p w14:paraId="660CBE33"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1E9A21E"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Como a carta olímpica determina, Tóquio, cidade-sede dos Jogos Olímpicos de Verão de 2020, fez uma apresentação de vídeo com vários personagens de jogos e animes proeminentes do país, como Captain </w:t>
      </w:r>
      <w:proofErr w:type="spellStart"/>
      <w:r w:rsidRPr="00606F45">
        <w:rPr>
          <w:rFonts w:ascii="Times New Roman" w:hAnsi="Times New Roman" w:cs="Times New Roman"/>
          <w:color w:val="000000"/>
        </w:rPr>
        <w:t>Tsubasa</w:t>
      </w:r>
      <w:proofErr w:type="spellEnd"/>
      <w:r w:rsidRPr="00606F45">
        <w:rPr>
          <w:rFonts w:ascii="Times New Roman" w:hAnsi="Times New Roman" w:cs="Times New Roman"/>
          <w:color w:val="000000"/>
        </w:rPr>
        <w:t xml:space="preserve">, Doraemon, Pac-Man e </w:t>
      </w:r>
      <w:proofErr w:type="spellStart"/>
      <w:r w:rsidRPr="00606F45">
        <w:rPr>
          <w:rFonts w:ascii="Times New Roman" w:hAnsi="Times New Roman" w:cs="Times New Roman"/>
          <w:color w:val="000000"/>
        </w:rPr>
        <w:t>Hello</w:t>
      </w:r>
      <w:proofErr w:type="spellEnd"/>
      <w:r w:rsidRPr="00606F45">
        <w:rPr>
          <w:rFonts w:ascii="Times New Roman" w:hAnsi="Times New Roman" w:cs="Times New Roman"/>
          <w:color w:val="000000"/>
        </w:rPr>
        <w:t xml:space="preserve"> Kitty, até a aparição de </w:t>
      </w:r>
      <w:proofErr w:type="spellStart"/>
      <w:r w:rsidRPr="00606F45">
        <w:rPr>
          <w:rFonts w:ascii="Times New Roman" w:hAnsi="Times New Roman" w:cs="Times New Roman"/>
          <w:color w:val="000000"/>
        </w:rPr>
        <w:t>Shinzō</w:t>
      </w:r>
      <w:proofErr w:type="spellEnd"/>
      <w:r w:rsidRPr="00606F45">
        <w:rPr>
          <w:rFonts w:ascii="Times New Roman" w:hAnsi="Times New Roman" w:cs="Times New Roman"/>
          <w:color w:val="000000"/>
        </w:rPr>
        <w:t xml:space="preserve"> Abe, primeiro-ministro do Japão, que surgiu no estádio vestido com a fantasia de Mario </w:t>
      </w:r>
      <w:proofErr w:type="spellStart"/>
      <w:r w:rsidRPr="00606F45">
        <w:rPr>
          <w:rFonts w:ascii="Times New Roman" w:hAnsi="Times New Roman" w:cs="Times New Roman"/>
          <w:color w:val="000000"/>
        </w:rPr>
        <w:t>Bros</w:t>
      </w:r>
      <w:proofErr w:type="spellEnd"/>
      <w:r w:rsidRPr="00606F45">
        <w:rPr>
          <w:rFonts w:ascii="Times New Roman" w:hAnsi="Times New Roman" w:cs="Times New Roman"/>
          <w:color w:val="000000"/>
        </w:rPr>
        <w:t>, um dos jogos de videogame mais populares do mundo.</w:t>
      </w:r>
    </w:p>
    <w:p w14:paraId="4AFD087A"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683B1745"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Os discursos finais foram feitos pelo presidente do Comitê Organizador dos Jogos Rio 2016 Carlos Arthur Nuzman e pelo presidente do Comitê Olímpico Internacional, Thomas Bach. Mariene de Castro cantou em frente a pira olímpica, enquanto a chama era extinguida através de uma chuva artificial. A cerimônia terminou com uma queima de fogos e uma homenagem ao Carnaval do Rio de Janeiro. Um desfile de 250 artistas do Carnaval de 2017 foi conduzido pela modelo brasileira Izabel Goulart e pelo gari Renato Sorriso, com a música "Cidade Maravilhosa".</w:t>
      </w:r>
    </w:p>
    <w:p w14:paraId="3DF8A1EF"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06692EEF"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Apple Color Emoji" w:hAnsi="Apple Color Emoji" w:cs="Apple Color Emoji"/>
          <w:color w:val="000000"/>
        </w:rPr>
        <w:t>🐎</w:t>
      </w:r>
      <w:r w:rsidRPr="00606F45">
        <w:rPr>
          <w:rFonts w:ascii="Times New Roman" w:hAnsi="Times New Roman" w:cs="Times New Roman"/>
          <w:color w:val="000000"/>
        </w:rPr>
        <w:t xml:space="preserve"> Hipismo o 1º Grande Esporte Olímpico </w:t>
      </w:r>
    </w:p>
    <w:p w14:paraId="0C3A49E3"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Modalidades Esportivas</w:t>
      </w:r>
    </w:p>
    <w:p w14:paraId="333152BF"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06403598"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O programa esportivo dos Jogos Olímpicos de 2016 teve 28 esportes, totalizando 42 modalidades. Ao contrário das edições anteriores, duas vagas estavam abertas para novos esportes, pois o beisebol e o softbol foram eliminados, em 2005, do programa dos Jogos Olímpicos de Verão de 2012, em Londres. O Comitê Executivo, após resultado de uma consultoria, anunciou os sete finalistas para estas duas vagas. Quatro deles já estiveram em edições anteriores de Jogos Olímpicos: beisebol e softbol, golfe (presente nos Jogos de 1900 e de 1904) e rugby </w:t>
      </w:r>
      <w:proofErr w:type="spellStart"/>
      <w:r w:rsidRPr="00606F45">
        <w:rPr>
          <w:rFonts w:ascii="Times New Roman" w:hAnsi="Times New Roman" w:cs="Times New Roman"/>
          <w:color w:val="000000"/>
        </w:rPr>
        <w:t>sevens</w:t>
      </w:r>
      <w:proofErr w:type="spellEnd"/>
      <w:r w:rsidRPr="00606F45">
        <w:rPr>
          <w:rFonts w:ascii="Times New Roman" w:hAnsi="Times New Roman" w:cs="Times New Roman"/>
          <w:color w:val="000000"/>
        </w:rPr>
        <w:t xml:space="preserve">, uma variação do rugby(presente nas edições de 1900, 1908, 1920 e 1924). Completaram a lista de esportes-candidatos a patinação sobre rodas, o caratê e o </w:t>
      </w:r>
      <w:proofErr w:type="spellStart"/>
      <w:r w:rsidRPr="00606F45">
        <w:rPr>
          <w:rFonts w:ascii="Times New Roman" w:hAnsi="Times New Roman" w:cs="Times New Roman"/>
          <w:color w:val="000000"/>
        </w:rPr>
        <w:t>squash</w:t>
      </w:r>
      <w:proofErr w:type="spellEnd"/>
      <w:r w:rsidRPr="00606F45">
        <w:rPr>
          <w:rFonts w:ascii="Times New Roman" w:hAnsi="Times New Roman" w:cs="Times New Roman"/>
          <w:color w:val="000000"/>
        </w:rPr>
        <w:t>. As respectivas federações fizeram suas apresentações para os membros do COI em junho de 2009.</w:t>
      </w:r>
    </w:p>
    <w:p w14:paraId="6854B147"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421DF51"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Atletismo</w:t>
      </w:r>
    </w:p>
    <w:p w14:paraId="7280D6D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  </w:t>
      </w:r>
      <w:proofErr w:type="spellStart"/>
      <w:r w:rsidRPr="00606F45">
        <w:rPr>
          <w:rFonts w:ascii="Times New Roman" w:hAnsi="Times New Roman" w:cs="Times New Roman"/>
          <w:color w:val="000000"/>
        </w:rPr>
        <w:t>Badminton</w:t>
      </w:r>
      <w:proofErr w:type="spellEnd"/>
    </w:p>
    <w:p w14:paraId="53BE69E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Basquetebol</w:t>
      </w:r>
    </w:p>
    <w:p w14:paraId="4AF138CD"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Boxe</w:t>
      </w:r>
    </w:p>
    <w:p w14:paraId="231CFCAC"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Canoagem (slalom e velocidade)</w:t>
      </w:r>
    </w:p>
    <w:p w14:paraId="2A16110D"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Ciclismo (estrada, pista, BMX e Mountain Bike)</w:t>
      </w:r>
    </w:p>
    <w:p w14:paraId="2B98ECE6"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Esgrima</w:t>
      </w:r>
    </w:p>
    <w:p w14:paraId="24C510D8"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Futebol</w:t>
      </w:r>
    </w:p>
    <w:p w14:paraId="3723E76A"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Ginástica (artística, rítmica e trampolim)</w:t>
      </w:r>
    </w:p>
    <w:p w14:paraId="7771A92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Golfe</w:t>
      </w:r>
    </w:p>
    <w:p w14:paraId="5E72CFE6"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Halterofilismo</w:t>
      </w:r>
    </w:p>
    <w:p w14:paraId="759E9420"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Handebol</w:t>
      </w:r>
    </w:p>
    <w:p w14:paraId="5FA58D3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Hipismo</w:t>
      </w:r>
    </w:p>
    <w:p w14:paraId="6D26EE36"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Hóquei sobre a grama</w:t>
      </w:r>
    </w:p>
    <w:p w14:paraId="098D8428"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Judô</w:t>
      </w:r>
    </w:p>
    <w:p w14:paraId="1513B3A6"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Lutas</w:t>
      </w:r>
    </w:p>
    <w:p w14:paraId="2FDF94DD"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Nado sincronizado</w:t>
      </w:r>
    </w:p>
    <w:p w14:paraId="2F5EA68C"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Natação</w:t>
      </w:r>
    </w:p>
    <w:p w14:paraId="5D280E8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Pentatlo moderno</w:t>
      </w:r>
    </w:p>
    <w:p w14:paraId="64C2C17C"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Polo aquático</w:t>
      </w:r>
    </w:p>
    <w:p w14:paraId="1E85ADD5"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Remo</w:t>
      </w:r>
    </w:p>
    <w:p w14:paraId="096A7A8E"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  Rugby </w:t>
      </w:r>
      <w:proofErr w:type="spellStart"/>
      <w:r w:rsidRPr="00606F45">
        <w:rPr>
          <w:rFonts w:ascii="Times New Roman" w:hAnsi="Times New Roman" w:cs="Times New Roman"/>
          <w:color w:val="000000"/>
        </w:rPr>
        <w:t>sevens</w:t>
      </w:r>
      <w:proofErr w:type="spellEnd"/>
    </w:p>
    <w:p w14:paraId="54EC5993"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Saltos ornamentais</w:t>
      </w:r>
    </w:p>
    <w:p w14:paraId="0A353AE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Taekwondo</w:t>
      </w:r>
    </w:p>
    <w:p w14:paraId="3720F22E"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B1274">
        <w:rPr>
          <w:rFonts w:ascii="Times New Roman" w:hAnsi="Times New Roman" w:cs="Times New Roman"/>
          <w:color w:val="000000"/>
          <w:sz w:val="20"/>
          <w:szCs w:val="20"/>
        </w:rPr>
        <w:t xml:space="preserve">*  </w:t>
      </w:r>
      <w:r w:rsidRPr="00606F45">
        <w:rPr>
          <w:rFonts w:ascii="Times New Roman" w:hAnsi="Times New Roman" w:cs="Times New Roman"/>
          <w:color w:val="000000"/>
        </w:rPr>
        <w:t>Tênis</w:t>
      </w:r>
    </w:p>
    <w:p w14:paraId="05F78EC7"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Tênis de mesa</w:t>
      </w:r>
    </w:p>
    <w:p w14:paraId="052D2763"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Tiro</w:t>
      </w:r>
    </w:p>
    <w:p w14:paraId="304CB232"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Tiro com arco</w:t>
      </w:r>
    </w:p>
    <w:p w14:paraId="095CE89B"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Triatlo</w:t>
      </w:r>
    </w:p>
    <w:p w14:paraId="4C543DE0"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Vela</w:t>
      </w:r>
    </w:p>
    <w:p w14:paraId="56D6A3B9"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Voleibol</w:t>
      </w:r>
    </w:p>
    <w:p w14:paraId="0353D8E3"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Voleibol de praia</w:t>
      </w:r>
    </w:p>
    <w:p w14:paraId="42B4266D"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432F2A7"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CONFIRMAÇÃO ESTATÍSTICA TRABALHISTA </w:t>
      </w:r>
      <w:r w:rsidRPr="00606F45">
        <w:rPr>
          <w:rFonts w:ascii="Apple Color Emoji" w:hAnsi="Apple Color Emoji" w:cs="Apple Color Emoji"/>
          <w:color w:val="000000"/>
        </w:rPr>
        <w:t>⭐️</w:t>
      </w:r>
    </w:p>
    <w:p w14:paraId="0193ACFD"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196021DB" w14:textId="64836D3D"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De acordo com estudo do Centro de Políticas Sociais da Fundação Getúlio Vargas (FGV Social), coordenado pelo seu diretor, o economista Marcelo Neri, e divulgado na semana da cerimônia de abertura dos Jogos, os indicadores econômicos e sociais evoluíram melhor no município do Rio de Janeiro do que no resto do estado ou do Brasil, desde que a cidade foi escolhida como sede dos Jogos de 2016. Das 27 capitais e nove regiões metropolitanas pesquisadas, foi no Rio que a renda individual do trabalho mais cresceu desde 2013. Entre 2008 e 2016, a renda per capita cresceu 30% na cidade contra 18% nos outros municípios do Grande Rio. A desigualdade também nunca esteve tão baixa na cidade na série histórica e não piorou mesmo com a crise econômica do país e do governo do estado. Com base em dados do IBGE, a pesquisa também comparou a evolução nos períodos pré e pós anúncio da Olimpíada em 38 indicadores de 7 áreas: habitação, educação, trabalho, transporte, inclusão digital, serviços públicos e desenvolvimento social. A cidade do Rio de Janeiro</w:t>
      </w:r>
      <w:r w:rsidR="0063270A" w:rsidRPr="00606F45">
        <w:rPr>
          <w:rFonts w:ascii="Times New Roman" w:hAnsi="Times New Roman" w:cs="Times New Roman"/>
          <w:color w:val="000000"/>
        </w:rPr>
        <w:t xml:space="preserve"> </w:t>
      </w:r>
      <w:r w:rsidRPr="00606F45">
        <w:rPr>
          <w:rFonts w:ascii="Times New Roman" w:hAnsi="Times New Roman" w:cs="Times New Roman"/>
          <w:color w:val="000000"/>
        </w:rPr>
        <w:t>historicamente evoluiu muito pior do que os demais municípios do estado em todos os indicadores comparáveis entre 1970 e 2012, mas no período pós escolha como sede, a cidade melhorou mais do que a média na maioria dos números. Entre 2008 e 2016, por exemplo, a pobreza (considerando renda de 206 reais ao mês) caiu de 5,71% para 2% da população da cidade e os anos de estudo foram de 7,91 para 8,67 anos. Um estudo divulgado pela FGV em 2024 estimou que a cidade faturou 99 bilhões de reais em VBP (valor bruto da produção), criou 65,4 mil empregos e arrecadou 5,3 bilhões de reais em impostos durante o evento.</w:t>
      </w:r>
    </w:p>
    <w:p w14:paraId="17FF8E07"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41F85BC0"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No entanto, dois retrocessos foram verificados: o tempo médio de viagem entre a casa e o trabalho aumentou de 41,4 para 46,8 minutos e as horas perdidas no transporte, comparadas com o salário médio, foram de 17 reais para 42 reais por semana. Ambos os índices são enquadrados na área de mobilidade urbana, um dos mais incensados como legado dos Jogos, mas os dados foram levantados antes da abertura dos corredores BRT e de uma nova linha do metrô. Os índices no agregado também não englobam o efeito pontual de fenômenos relacionados aos Jogos como as remoções forçadas, a segregação urbanística, brutalidade policial e corrupção.</w:t>
      </w:r>
    </w:p>
    <w:p w14:paraId="6FE4B598"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34176C79"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Em uma pesquisa realizada pela </w:t>
      </w:r>
      <w:proofErr w:type="spellStart"/>
      <w:r w:rsidRPr="00606F45">
        <w:rPr>
          <w:rFonts w:ascii="Times New Roman" w:hAnsi="Times New Roman" w:cs="Times New Roman"/>
          <w:color w:val="000000"/>
        </w:rPr>
        <w:t>Kantar</w:t>
      </w:r>
      <w:proofErr w:type="spellEnd"/>
      <w:r w:rsidRPr="00606F45">
        <w:rPr>
          <w:rFonts w:ascii="Times New Roman" w:hAnsi="Times New Roman" w:cs="Times New Roman"/>
          <w:color w:val="000000"/>
        </w:rPr>
        <w:t xml:space="preserve"> Consultoria antes do início dos Jogos Olímpicos, 44 por cento dos entrevistados disseram acreditar na possibilidade de um legado positivo da Olimpíada no Rio de Janeiro. Entre as principais expectativas para o futuro, estavam o reaproveitamento das estruturas olímpicas (62 por cento), a disseminação da cultura nacional (46 por cento) e a ampliação e melhoria dos aeroportos cariocas, como o Galeão (45 por cento) e o Santos Dumont (32 por cento). Em uma pesquisa com arquitetos e urbanistas, a mesma consultoria percebeu que um bom legado, na visão desses profissionais, seria a requalificação das áreas e um incentivo a um novo tipo de ocupação, além da transformação da mobilidade urbana. No entanto, arquitetos e urbanistas estavam bastante conscientes de que essas mudanças positivas só serão percebidas no médio e longo prazo, pois existe uma adaptação social e econômica nos locais e na cidade como um todo, o que tradicionalmente demora a acontecer.</w:t>
      </w:r>
    </w:p>
    <w:p w14:paraId="01A93926"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54021C74"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 xml:space="preserve">Um ano após os Jogos, o sucessor de Eduardo Paes como prefeito do Rio, Marcelo </w:t>
      </w:r>
      <w:proofErr w:type="spellStart"/>
      <w:r w:rsidRPr="00606F45">
        <w:rPr>
          <w:rFonts w:ascii="Times New Roman" w:hAnsi="Times New Roman" w:cs="Times New Roman"/>
          <w:color w:val="000000"/>
        </w:rPr>
        <w:t>Crivella</w:t>
      </w:r>
      <w:proofErr w:type="spellEnd"/>
      <w:r w:rsidRPr="00606F45">
        <w:rPr>
          <w:rFonts w:ascii="Times New Roman" w:hAnsi="Times New Roman" w:cs="Times New Roman"/>
          <w:color w:val="000000"/>
        </w:rPr>
        <w:t xml:space="preserve">, descartou muitos dos planos para os locais de competição dos Jogos, como a desmontagem do Estádio Aquático e da Arena Carioca. </w:t>
      </w:r>
      <w:proofErr w:type="spellStart"/>
      <w:r w:rsidRPr="00606F45">
        <w:rPr>
          <w:rFonts w:ascii="Times New Roman" w:hAnsi="Times New Roman" w:cs="Times New Roman"/>
          <w:color w:val="000000"/>
        </w:rPr>
        <w:t>Crivella</w:t>
      </w:r>
      <w:proofErr w:type="spellEnd"/>
      <w:r w:rsidRPr="00606F45">
        <w:rPr>
          <w:rFonts w:ascii="Times New Roman" w:hAnsi="Times New Roman" w:cs="Times New Roman"/>
          <w:color w:val="000000"/>
        </w:rPr>
        <w:t xml:space="preserve"> apontou os Jogos Olímpicos como o maior responsável pela crise financeira da cidade. Paes rebateu a declaração afirmando que "não se contraiu um real de dívida pelos Jogos Olímpicos".</w:t>
      </w:r>
    </w:p>
    <w:p w14:paraId="700A6A14" w14:textId="77777777" w:rsidR="001C11E3" w:rsidRPr="00606F45" w:rsidRDefault="001C11E3" w:rsidP="00F8236B">
      <w:pPr>
        <w:spacing w:before="240" w:after="240" w:line="360" w:lineRule="auto"/>
        <w:ind w:left="2160"/>
        <w:jc w:val="both"/>
        <w:rPr>
          <w:rFonts w:ascii="Times New Roman" w:hAnsi="Times New Roman" w:cs="Times New Roman"/>
          <w:color w:val="000000"/>
        </w:rPr>
      </w:pPr>
    </w:p>
    <w:p w14:paraId="5A9461B2" w14:textId="77777777" w:rsidR="001C11E3" w:rsidRPr="00606F45" w:rsidRDefault="00576533" w:rsidP="00F8236B">
      <w:pPr>
        <w:spacing w:before="240" w:after="240" w:line="360" w:lineRule="auto"/>
        <w:ind w:left="2160"/>
        <w:jc w:val="both"/>
        <w:rPr>
          <w:rFonts w:ascii="Times New Roman" w:hAnsi="Times New Roman" w:cs="Times New Roman"/>
          <w:color w:val="000000"/>
        </w:rPr>
      </w:pPr>
      <w:r w:rsidRPr="00606F45">
        <w:rPr>
          <w:rFonts w:ascii="Times New Roman" w:hAnsi="Times New Roman" w:cs="Times New Roman"/>
          <w:color w:val="000000"/>
        </w:rPr>
        <w:t>No início de 2018 as estruturas de canoagem slalom no bairro de Deodoro foram transferidas para a Confederação Brasileira de Canoagem (CBCa) por meio de uma parceria entre a entidade, o Comitê Olímpico do Brasil e a prefeitura. Alguns meses depois foi anunciado que a gestão do restante do parque foi transferida para o Serviço Social do Comércio (SESC) e o Serviço Nacional de Aprendizagem Comercial.</w:t>
      </w:r>
    </w:p>
    <w:p w14:paraId="0974E1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EF4A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Trecho extraído integralmente do Wikipédia de diferentes fragmentos de textos para veiculação elucidativa.</w:t>
      </w:r>
    </w:p>
    <w:p w14:paraId="6E0316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90E5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Time Brasil</w:t>
      </w:r>
    </w:p>
    <w:p w14:paraId="5CBDF82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7EE52E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39312D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2E98839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2BFDE8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46C818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056CEC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Comitê Paralímpico Brasileiro - CPB</w:t>
      </w:r>
    </w:p>
    <w:p w14:paraId="3EB539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4958A7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6912D5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129EDD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7396CFB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AAD825" w14:textId="6E554CE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RJTV, Bom Dia Rio e g1 Rio</w:t>
      </w:r>
    </w:p>
    <w:p w14:paraId="643306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929D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b/>
          <w:bCs/>
          <w:color w:val="000000"/>
          <w:sz w:val="20"/>
          <w:szCs w:val="20"/>
        </w:rPr>
        <w:t>SUSTENTABILIDADE</w:t>
      </w:r>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p>
    <w:p w14:paraId="57B1A5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3727D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 30</w:t>
      </w:r>
    </w:p>
    <w:p w14:paraId="3FFFA2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04CC62" w14:textId="5460741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FB77AE" w:rsidRPr="006B1274">
        <w:rPr>
          <w:rFonts w:ascii="Times New Roman" w:hAnsi="Times New Roman" w:cs="Times New Roman"/>
          <w:color w:val="000000"/>
          <w:sz w:val="20"/>
          <w:szCs w:val="20"/>
        </w:rPr>
        <w:t xml:space="preserve"> </w:t>
      </w:r>
    </w:p>
    <w:p w14:paraId="4C21BC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5472A0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623DC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26 de Maio de 2025 | 16:40 PM</w:t>
      </w:r>
    </w:p>
    <w:p w14:paraId="38BCED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DF1D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Amazônia Legal, perímetro que consiste no loteamento legalmente demarcado para atividade extrativa, tem apresentado reduções. Graças à frente de trabalho e atuação do Greenpeace.</w:t>
      </w:r>
    </w:p>
    <w:p w14:paraId="047156E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1F6F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novidade em COP 30 será o estudo diferenciado por relatório com simulações extrativas com a Amazônia em pé e Créditos de Carbono, ou seja, análises de produtividade e impacto simulando os efeitos sem desmatamento, mas com degradação e posterior recuperação ao fim de ciclo de produção em comparativos pré-industriais.</w:t>
      </w:r>
    </w:p>
    <w:p w14:paraId="500CFE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7BBC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Segue dicas de como ser sustentável ambientalmente:</w:t>
      </w:r>
    </w:p>
    <w:p w14:paraId="2EF86AC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2626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Não jogue lixo no chão, ruas, rios, mares; etc.</w:t>
      </w:r>
    </w:p>
    <w:p w14:paraId="518F54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9997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Não contribua para a poluição com ações além da sua capacidade como indivíduo;</w:t>
      </w:r>
    </w:p>
    <w:p w14:paraId="596061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7E76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Eduque-se: informar e ser informado é o que transforma o conhecimento;</w:t>
      </w:r>
    </w:p>
    <w:p w14:paraId="4B938A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4460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Tenha senso de justiça social;</w:t>
      </w:r>
    </w:p>
    <w:p w14:paraId="38489B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75F7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Pratique uma economia sustentável, gastar mais do que pode afeta consideravelmente sua saúde financeira;</w:t>
      </w:r>
    </w:p>
    <w:p w14:paraId="4C9452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3532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Mantenha-se alerta às informações da sua região, é dever do Estado o assistencialismo social. Mas dever de todo cidadão preservar as oportunidades concedidas pelo Estado.</w:t>
      </w:r>
    </w:p>
    <w:p w14:paraId="20DAAA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CCB7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Utilize transportes e os espaços públicos da sua cidade.</w:t>
      </w:r>
    </w:p>
    <w:p w14:paraId="6B99A49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4CBC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Utilize água conscientemente.</w:t>
      </w:r>
    </w:p>
    <w:p w14:paraId="1AEF281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E2D6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Consuma na indústria de forma  Sustentável. Recicle, reuse e conserve.</w:t>
      </w:r>
    </w:p>
    <w:p w14:paraId="105084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EB9A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Pratique ações sustentáveis, ao exemplo de utilizar mais transportes públicos e menos automóveis particulares.</w:t>
      </w:r>
    </w:p>
    <w:p w14:paraId="188766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8468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Não alimente ou domestique animais silvestres. O órgão em auxílio aos animais é o </w:t>
      </w:r>
      <w:proofErr w:type="spellStart"/>
      <w:r w:rsidRPr="006B1274">
        <w:rPr>
          <w:rFonts w:ascii="Times New Roman" w:hAnsi="Times New Roman" w:cs="Times New Roman"/>
          <w:color w:val="000000"/>
          <w:sz w:val="20"/>
          <w:szCs w:val="20"/>
        </w:rPr>
        <w:t>Ibama</w:t>
      </w:r>
      <w:proofErr w:type="spellEnd"/>
      <w:r w:rsidRPr="006B1274">
        <w:rPr>
          <w:rFonts w:ascii="Times New Roman" w:hAnsi="Times New Roman" w:cs="Times New Roman"/>
          <w:color w:val="000000"/>
          <w:sz w:val="20"/>
          <w:szCs w:val="20"/>
        </w:rPr>
        <w:t xml:space="preserve"> </w:t>
      </w:r>
    </w:p>
    <w:p w14:paraId="7B9DEE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CCCD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Preserve o Meio Ambiente.</w:t>
      </w:r>
    </w:p>
    <w:p w14:paraId="6FFF2D3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76CD2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No caso de voluntariado, doações ou proteção ambiental os responsáveis são Fundação SOS Mata Atlântica e Greenpeace Brasil </w:t>
      </w:r>
    </w:p>
    <w:p w14:paraId="07A85A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ACA4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 Defesa Civil Municipal do Rio de Janeiro de Cada Prefeitura também pode auxiliar no cuidado e preservação.</w:t>
      </w:r>
    </w:p>
    <w:p w14:paraId="5A3FE3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03AEF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Evite a Poluição Sonora. O permitido em áreas residenciais é 50 Decibéis.</w:t>
      </w:r>
    </w:p>
    <w:p w14:paraId="085B73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76BADF4" w14:textId="7E9AE7C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Engaje-se em Políticas Públicas S</w:t>
      </w:r>
      <w:r w:rsidR="0063270A"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ciosustentáveis.</w:t>
      </w:r>
    </w:p>
    <w:p w14:paraId="38FD2E0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DC7C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w:t>
      </w:r>
    </w:p>
    <w:p w14:paraId="1C9B0A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F70B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6E4795"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53BD02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Agenda atualizada - BRICS: força transformadora | Updated Agenda. - BRICS: </w:t>
      </w:r>
      <w:proofErr w:type="spellStart"/>
      <w:r w:rsidRPr="006B1274">
        <w:rPr>
          <w:rFonts w:ascii="Times New Roman" w:hAnsi="Times New Roman" w:cs="Times New Roman"/>
          <w:color w:val="000000"/>
          <w:sz w:val="20"/>
          <w:szCs w:val="20"/>
        </w:rPr>
        <w:t>transformative</w:t>
      </w:r>
      <w:proofErr w:type="spellEnd"/>
      <w:r w:rsidRPr="006B1274">
        <w:rPr>
          <w:rFonts w:ascii="Times New Roman" w:hAnsi="Times New Roman" w:cs="Times New Roman"/>
          <w:color w:val="000000"/>
          <w:sz w:val="20"/>
          <w:szCs w:val="20"/>
        </w:rPr>
        <w:t xml:space="preserve"> force</w:t>
      </w:r>
    </w:p>
    <w:p w14:paraId="151AFA1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F8F3C9" w14:textId="4235906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7AD3F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Redes Sociais, a Importância da Representatividade Ética Profissional Feminina em Tempos Digitais.</w:t>
      </w:r>
    </w:p>
    <w:p w14:paraId="2C580E0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1E8F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27 de Maio de 2025 | 10:15 AM</w:t>
      </w:r>
    </w:p>
    <w:p w14:paraId="347FE8A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0DB4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6AC8C3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Futuro e as Gerações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p>
    <w:p w14:paraId="3308C3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2EE0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o encontro Global do BRICS, previsto para Julho deste ano (2025), no Rio de Janeiro, acontece nas datas hoje (27) e amanhã (28), o Seminário de alinhamento Global de acadêmicos para debate dos próximos rumos financeiros de transição orçamentária em Novas Políticas Tributárias Internacionais em Século XXI.</w:t>
      </w:r>
    </w:p>
    <w:p w14:paraId="0B5FAE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A359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Pós ECO 92 e Protocolo de Paris, a COP 30 em 2025 no Brasil, será o principal fórum das novas taxações e acordos firmados por parcerias diplomáticas entre os Países dos 5 Continentes. Tendo o BRICS, o papel de formular introduções e balanceamento de produção industrial e desenvolvimento socioeconômico sustentável e duradouro para um mundo Globalizado, sem deixar de lado o compromisso sustentável ambiental e mitigação dos impactos da Indústria no Meio Ambiente.</w:t>
      </w:r>
    </w:p>
    <w:p w14:paraId="45BB7D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B763A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os próximos rumos desta trilha de Finanças do Eixo econômico do BRICS (Brasil, Rússia, Índia, China e África do Sul), o compromisso é contingenciar e assistir em desenvolvimento global os Países em eixo Oriental, com inclusão  dos Emirados Árabes diante de tamanha diversidade cultural e política restritiva dos Países do Oriente Médio.</w:t>
      </w:r>
    </w:p>
    <w:p w14:paraId="4A770B2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F2EE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evento de hoje, não será transmitido de forma híbrida (presencial e on-line), ocorrerá presencialmente no Auditório do Memorial Darcy Ribeiro, em parceria com o setor de Relações Internacionais da UNB (Universidade de Brasília), visando diálogo entre os acadêmicos e sociedade civil para alinhar agenda econômica-financeira do BRICS, a Força Transformadora, com tema das métricas fiscais e sociais de maneira Global, como alinhamento da agenda de transições climáticas em Políticas de Crédito de Carbono e novos setores em ampla esfera entre Países como Nações Membros da ONU e Objetivos Sustentáveis de Desenvolvimento tangido para os próximos anos de 2030 à 2050.</w:t>
      </w:r>
    </w:p>
    <w:p w14:paraId="29BFBA9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66DC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autoral, não autorizado compartilhamento.</w:t>
      </w:r>
    </w:p>
    <w:p w14:paraId="743333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3B02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Confira abaixo informações extraídas em ampla pesquisa do Google sobre a Lei que institui o Sistema Nacional de Unidades de Conservação da Natureza (SNUC) referente a Lei de Crédito Suplementar da União: </w:t>
      </w:r>
    </w:p>
    <w:p w14:paraId="51EADE7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6441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Visão geral criada por IA</w:t>
      </w:r>
    </w:p>
    <w:p w14:paraId="331FC1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54CC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lei n.º 9.885/2000 refere-se a uma lei de crédito suplementar para a União, destinando recursos a vários órgãos do Poder Executivo. Esta lei é diferente da lei 9.985/2000, que institui o Sistema Nacional de Unidades de Conservação da Natureza (SNUC). </w:t>
      </w:r>
    </w:p>
    <w:p w14:paraId="2441C9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EDB5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Lei 9.885/1999 (Crédito Suplementar): </w:t>
      </w:r>
    </w:p>
    <w:p w14:paraId="5C461B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Data de assinatura: 7 de dezembro de 1999. </w:t>
      </w:r>
    </w:p>
    <w:p w14:paraId="0893BD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Ementa: Abre crédito suplementar aos orçamentos fiscal e da seguridade social da União. </w:t>
      </w:r>
    </w:p>
    <w:p w14:paraId="26EC3D2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Objetivo: Reforçar dotações consignadas no orçamento vigente para diversos órgãos do Poder Executivo. </w:t>
      </w:r>
    </w:p>
    <w:p w14:paraId="4FF385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5707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Lei 9.985/2000 (SNUC): </w:t>
      </w:r>
    </w:p>
    <w:p w14:paraId="41B66A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Data de assinatura: 18 de julho de 2000. </w:t>
      </w:r>
    </w:p>
    <w:p w14:paraId="0E2420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Ementa: Regulamenta o art. 225, § 1º, incisos I, II, III e VII da Constituição Federal, institui o SNUC e dá outras providências. </w:t>
      </w:r>
    </w:p>
    <w:p w14:paraId="1AF1AD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Objetivo: Estabelecer as normas e diretrizes para a criação, implantação e gestão das unidades de conservação da natureza em todo o território nacional. </w:t>
      </w:r>
    </w:p>
    <w:p w14:paraId="448D04E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026A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Maiores informações ambientais estão sendo veiculadas na data de hoje (27), em TV Senado com presença da Ministra Marina Silva.</w:t>
      </w:r>
    </w:p>
    <w:p w14:paraId="04CF278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2D3C8B" w14:textId="18A0AF1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TV Senado</w:t>
      </w:r>
    </w:p>
    <w:p w14:paraId="54785EB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D556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1B6976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37FD34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07D259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2BC9EE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7CC1E1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34FA7F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090709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6DF845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688038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1A0D5D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0DDB76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7637993" w14:textId="3A550EA0"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Publicitária: </w:t>
      </w:r>
      <w:r w:rsidR="00FB77AE" w:rsidRPr="006B1274">
        <w:rPr>
          <w:rFonts w:ascii="Times New Roman" w:hAnsi="Times New Roman" w:cs="Times New Roman"/>
          <w:b/>
          <w:bCs/>
          <w:color w:val="000000"/>
          <w:sz w:val="20"/>
          <w:szCs w:val="20"/>
        </w:rPr>
        <w:t xml:space="preserve"> </w:t>
      </w:r>
    </w:p>
    <w:p w14:paraId="7E3BC9E0"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Temática Social: Do Social para as Redes Sociais, a Importância da Representatividade Ética Profissional Feminina. </w:t>
      </w:r>
    </w:p>
    <w:p w14:paraId="56BC8F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DB49A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Nota: O Evento Oficial dos BRICS está previsto para 06 ou 07 de Julho, no Rio de Janeiro, com nome Global BRICS </w:t>
      </w:r>
      <w:proofErr w:type="spellStart"/>
      <w:r w:rsidRPr="006B1274">
        <w:rPr>
          <w:rFonts w:ascii="Times New Roman" w:hAnsi="Times New Roman" w:cs="Times New Roman"/>
          <w:color w:val="000000"/>
          <w:sz w:val="20"/>
          <w:szCs w:val="20"/>
        </w:rPr>
        <w:t>Summit</w:t>
      </w:r>
      <w:proofErr w:type="spellEnd"/>
      <w:r w:rsidRPr="006B1274">
        <w:rPr>
          <w:rFonts w:ascii="Times New Roman" w:hAnsi="Times New Roman" w:cs="Times New Roman"/>
          <w:color w:val="000000"/>
          <w:sz w:val="20"/>
          <w:szCs w:val="20"/>
        </w:rPr>
        <w:t>, alinhamento entre os Líderes de Estado durante o verão Europeu.</w:t>
      </w:r>
    </w:p>
    <w:p w14:paraId="69A6093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BCC3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Sociedade Civil acontecerá nos dias 04 ou 05 de Junho.</w:t>
      </w:r>
    </w:p>
    <w:p w14:paraId="619E050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3452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Este ano o alinhamento inclui os Emirados Árabes, países mais limitados em Políticas Restritivas. Apesar de Brasil e África do Sul estarem ligados ao Hemisfério Sul, as políticas do BRICS, diferente do G20 são voltadas para o eixo do Oriente Médio, países, não integrantes da OTAN. Em Julho o evento acontecerá para introdução das Políticas de Carbono e revisões do Protocolo de Paris.</w:t>
      </w:r>
    </w:p>
    <w:p w14:paraId="2041B11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3374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Oficial: O BRICS é um agrupamento formado por onze países membros: Brasil, Rússia, Índia, China, África do Sul, Arábia Saudita, Egito, Emirados Árabes Unidos, Etiópia, Indonésia e Irã. Serve como foro de articulação político-diplomática de países do Sul Global e de cooperação nas mais diversas áreas.</w:t>
      </w:r>
    </w:p>
    <w:p w14:paraId="3819A36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9F8C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veiculação de informações por terceiros.</w:t>
      </w:r>
    </w:p>
    <w:p w14:paraId="65CCA77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7404F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Att,</w:t>
      </w:r>
    </w:p>
    <w:p w14:paraId="7947019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Direção </w:t>
      </w:r>
    </w:p>
    <w:p w14:paraId="341453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CF3DCE" w14:textId="7A1F0D99" w:rsidR="001C11E3" w:rsidRPr="006B1274" w:rsidRDefault="00FB77AE"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r w:rsidR="00576533" w:rsidRPr="006B1274">
        <w:rPr>
          <w:rFonts w:ascii="Times New Roman" w:hAnsi="Times New Roman" w:cs="Times New Roman"/>
          <w:color w:val="000000"/>
          <w:sz w:val="20"/>
          <w:szCs w:val="20"/>
        </w:rPr>
        <w:t>.</w:t>
      </w:r>
    </w:p>
    <w:p w14:paraId="4B82B69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A3A5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1F9F93"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4539A7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Exploração Ambiental e Impactos Demográficos</w:t>
      </w:r>
    </w:p>
    <w:p w14:paraId="4FD76A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27A6F7" w14:textId="4AABA97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FB77AE"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0A3D09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29BACD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4184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3183F8C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EC27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28 de Maio | 14:50 PM</w:t>
      </w:r>
    </w:p>
    <w:p w14:paraId="34AB12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01E2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Rio de Janeiro com maior número de mortos por consequência das Chuvas em resposta climática à exploração ambiental e poluição, registrou em 2011 mais de 1.000 mortes confirmadas. </w:t>
      </w:r>
    </w:p>
    <w:p w14:paraId="3D6B1C8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3221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dados oficiais de monitoramento de 2013 à 2022, veiculados pela BBC, confirmou eficiência no controle pela Defesa Civil em informação, auxílio e orientações de medidas preventivas a serem seguidas durante o período de chuvas.</w:t>
      </w:r>
    </w:p>
    <w:p w14:paraId="0B4145B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21BDB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Inaugurado em 2010, o Centro de Operações e Resiliência, mantém o esforço em mitigar os impactos em reposta à mudança de clima. De acordo com infográfico disponibilizado pela BBC, o número de vítimas apresentou curva de crescimento, mas não atingiu patamares acima de 500 mortes confirmadas.</w:t>
      </w:r>
    </w:p>
    <w:p w14:paraId="61D06B7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B764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melhorias desenvolvidas dentro das propostas sustentáveis de cidades integradas providas por ODS das Organizações Unidas, o Estado do Rio de Janeiro ainda apresenta oportunidades de redução de vítimas e melhores condições sanitárias e de infra-estrutura para combater catástrofes em áreas isoladas e periféricas em perímetro urbano. </w:t>
      </w:r>
    </w:p>
    <w:p w14:paraId="7D9102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0FFD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poucos avanços em infra-estrutura dada a arquitetura da cidade, necessidade de obras de integração e o dever de manter a identidade cultural, o que nos auxilia em pertencimento e originalidade, a alternativa, tem sido encontrar medidas de comunicação e evacuação de áreas de forma contingencial.</w:t>
      </w:r>
    </w:p>
    <w:p w14:paraId="638C91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A3F0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cidade em sua estrutura não apresenta grande necessidade de intervenções ou mudanças drásticas arquitetônicas, mas sim, de controle populacional, o principal fator de crescimento desordenado. Resultando na invasão de áreas ambientais para construções irregulares, sobrecarregando serviços públicos e interferindo em qualidade de vida, trazendo novamente, processo de favelização da Capital, regredindo e pondo em risco a segurança da população, sendo o Rio de Janeiro, a segunda capital mais populosa em Censo 2022.</w:t>
      </w:r>
    </w:p>
    <w:p w14:paraId="065C20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6271F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w:t>
      </w:r>
    </w:p>
    <w:p w14:paraId="36BB24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7C50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matéria, da BBC, disponibilizado infográfico na visão Brasil com número de mortos por catástrofes em decorrência das chuvas, no Rio de Janeiro, no período de 2013-2022:</w:t>
      </w:r>
    </w:p>
    <w:p w14:paraId="70237E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BEFD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233 pessoas morreram em Petrópolis em fevereiro</w:t>
      </w:r>
    </w:p>
    <w:p w14:paraId="661B643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E125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Letícia </w:t>
      </w:r>
      <w:proofErr w:type="spellStart"/>
      <w:r w:rsidRPr="006B1274">
        <w:rPr>
          <w:rFonts w:ascii="Times New Roman" w:hAnsi="Times New Roman" w:cs="Times New Roman"/>
          <w:color w:val="000000"/>
          <w:sz w:val="20"/>
          <w:szCs w:val="20"/>
        </w:rPr>
        <w:t>Mori</w:t>
      </w:r>
      <w:proofErr w:type="spellEnd"/>
    </w:p>
    <w:p w14:paraId="2F6B08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 BBC News Brasil em São Paulo</w:t>
      </w:r>
    </w:p>
    <w:p w14:paraId="382CA5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3DE0D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 junho 2022</w:t>
      </w:r>
    </w:p>
    <w:p w14:paraId="18B35E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Atualizado 2 junho 2022</w:t>
      </w:r>
    </w:p>
    <w:p w14:paraId="344BE37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62EE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número de mortos em desastres causados por excesso de chuva no Brasil teve um aumento expressivo neste ano.</w:t>
      </w:r>
    </w:p>
    <w:p w14:paraId="146A58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BF08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Nos primeiros 5 meses de 2022, 457 pessoas morreram em desastres causados pelo excesso de chuva no Brasil, segundo levantamento da Confederação Nacional de Municípios (CNM) com base nos dados das defesas civis municipais.</w:t>
      </w:r>
    </w:p>
    <w:p w14:paraId="11AEB8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F2C0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Atualizado em 31 de maio, o número inclui 100 das 106 mortes ocorridas no desastre em Recife na última semana.</w:t>
      </w:r>
    </w:p>
    <w:p w14:paraId="59C410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AEBD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total de 457 óbitos representa um aumento de 57% em relação a 2021, quando o número de mortos pela chuva no ano todo foi de 290 pessoas.</w:t>
      </w:r>
    </w:p>
    <w:p w14:paraId="37AAFD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DB506C" w14:textId="77777777" w:rsidR="001C11E3" w:rsidRPr="00E95A33" w:rsidRDefault="00576533" w:rsidP="00B36B27">
      <w:pPr>
        <w:spacing w:before="240" w:after="240" w:line="360" w:lineRule="auto"/>
        <w:rPr>
          <w:rFonts w:ascii="Times New Roman" w:hAnsi="Times New Roman" w:cs="Times New Roman"/>
          <w:color w:val="000000"/>
          <w:sz w:val="20"/>
          <w:szCs w:val="20"/>
        </w:rPr>
      </w:pPr>
      <w:hyperlink r:id="rId18">
        <w:r w:rsidRPr="00E95A33">
          <w:rPr>
            <w:rFonts w:ascii="Times New Roman" w:hAnsi="Times New Roman" w:cs="Times New Roman"/>
            <w:color w:val="000000"/>
            <w:sz w:val="20"/>
            <w:szCs w:val="20"/>
          </w:rPr>
          <w:t>https://www.bbc.com/portuguese/brasil-61651974.amp</w:t>
        </w:r>
      </w:hyperlink>
    </w:p>
    <w:p w14:paraId="39A920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4A9308"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4FF763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Tour Virtual: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p>
    <w:p w14:paraId="60A4F4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Centro de Operações e Resiliência (RJ)</w:t>
      </w:r>
    </w:p>
    <w:p w14:paraId="334A07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FB7985" w14:textId="1CF9550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D63769" w:rsidRPr="006B1274">
        <w:rPr>
          <w:rFonts w:ascii="Times New Roman" w:hAnsi="Times New Roman" w:cs="Times New Roman"/>
          <w:color w:val="000000"/>
          <w:sz w:val="20"/>
          <w:szCs w:val="20"/>
        </w:rPr>
        <w:t xml:space="preserve"> </w:t>
      </w:r>
    </w:p>
    <w:p w14:paraId="7F71BA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8FC9E8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59A3D7" w14:textId="59875A4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w:t>
      </w:r>
      <w:r w:rsidR="003808E2" w:rsidRPr="006B1274">
        <w:rPr>
          <w:rFonts w:ascii="Times New Roman" w:hAnsi="Times New Roman" w:cs="Times New Roman"/>
          <w:color w:val="000000"/>
          <w:sz w:val="20"/>
          <w:szCs w:val="20"/>
        </w:rPr>
        <w:t>r</w:t>
      </w:r>
      <w:r w:rsidRPr="006B1274">
        <w:rPr>
          <w:rFonts w:ascii="Times New Roman" w:hAnsi="Times New Roman" w:cs="Times New Roman"/>
          <w:color w:val="000000"/>
          <w:sz w:val="20"/>
          <w:szCs w:val="20"/>
        </w:rPr>
        <w:t>o, 28 de Maio de 2025 | 20:35 PM</w:t>
      </w:r>
    </w:p>
    <w:p w14:paraId="6FEF34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CEC0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Tour Digital efetuado pela equipe de Comunicação, Monitoramento e Defesa Civil nas dependências do Centro de Operações e Resiliência do Rio de Janeiro. Com 5.000 Câmeras profissionais de diferentes áreas operam 24h, 7 dias por Semana, para atender a demanda de monitoramento às principais Mudanças Climáticas, de Trânsito ou Operacionais em Segurança do Município do Rio de Janeiro. A tecnologia está sendo expandida para demais Estados e Municípios Brasileiros, colaboração da AmazonFace para cenário de integrações entre cidades, no objetivo de desenvolvimento social sustentável das metrópoles do Brasil. Compromisso ONU, com selo e certificações de reconhecimento entre os Países Membros das Organizações Unidas.</w:t>
      </w:r>
    </w:p>
    <w:p w14:paraId="04AD0C2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B7F2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w:t>
      </w:r>
    </w:p>
    <w:p w14:paraId="14CE04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94BD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a História disponível em Site do COR-RJ</w:t>
      </w:r>
    </w:p>
    <w:p w14:paraId="6B2F15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6729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Centro de Operações Rio (COR) é um marco para o Rio de Janeiro. Foi o primeiro equipamento olímpico entregue pela Prefeitura do Rio. Desde sua inauguração, em 2010, mantém sua missão de monitorar e integrar ações públicas para reduzir o impacto de ocorrências. É pioneiro e referência na América Latina. Veja a seguir os números do Centro de Operações Rio.</w:t>
      </w:r>
    </w:p>
    <w:p w14:paraId="78B3390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9FC4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500 profissionais trabalhando em turnos 24h;</w:t>
      </w:r>
    </w:p>
    <w:p w14:paraId="2231AA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2.000 ocorrências registradas por mês;</w:t>
      </w:r>
    </w:p>
    <w:p w14:paraId="665581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3.800 câmeras monitorando a cidade;</w:t>
      </w:r>
    </w:p>
    <w:p w14:paraId="7953F29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80 grandes eventos mapeados por mês;</w:t>
      </w:r>
    </w:p>
    <w:p w14:paraId="248F69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1,7 milhão de seguidores nas redes sociais.</w:t>
      </w:r>
    </w:p>
    <w:p w14:paraId="2CBEB0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9668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Alta tecnologia para o gerenciamento de informações fornecidas por câmeras e sensores estrategicamente posicionados na cidade, além de órgãos públicos, parceiros privados, imprensa e população.</w:t>
      </w:r>
    </w:p>
    <w:p w14:paraId="673AF3B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A399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COR tem uma dinâmica única e inédita. Antes de sua criação, chuvas e outros eventos pegavam a administração pública e os cariocas de surpresa. Depois do COR, soluções são antecipadas, alertando os setores responsáveis sobre os riscos e as medidas urgentes que devem ser tomadas em casos de crise.</w:t>
      </w:r>
    </w:p>
    <w:p w14:paraId="2E3C19A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B1D6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Site: </w:t>
      </w:r>
      <w:hyperlink r:id="rId19">
        <w:r w:rsidRPr="00E95A33">
          <w:rPr>
            <w:rFonts w:ascii="Times New Roman" w:hAnsi="Times New Roman" w:cs="Times New Roman"/>
            <w:color w:val="000000"/>
            <w:sz w:val="20"/>
            <w:szCs w:val="20"/>
          </w:rPr>
          <w:t>https://cor.rio/historia/</w:t>
        </w:r>
      </w:hyperlink>
    </w:p>
    <w:p w14:paraId="0B79A9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739BD3"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JORNALISMO ESPECIALIZADO </w:t>
      </w:r>
    </w:p>
    <w:p w14:paraId="4F2DC7A4"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(COMUNITÁRIO, RURAL, EMP. </w:t>
      </w:r>
      <w:proofErr w:type="spellStart"/>
      <w:r w:rsidRPr="006B1274">
        <w:rPr>
          <w:rFonts w:ascii="Times New Roman" w:hAnsi="Times New Roman" w:cs="Times New Roman"/>
          <w:b/>
          <w:bCs/>
          <w:color w:val="000000"/>
          <w:sz w:val="20"/>
          <w:szCs w:val="20"/>
        </w:rPr>
        <w:t>CIENTIF</w:t>
      </w:r>
      <w:proofErr w:type="spellEnd"/>
      <w:r w:rsidRPr="006B1274">
        <w:rPr>
          <w:rFonts w:ascii="Times New Roman" w:hAnsi="Times New Roman" w:cs="Times New Roman"/>
          <w:b/>
          <w:bCs/>
          <w:color w:val="000000"/>
          <w:sz w:val="20"/>
          <w:szCs w:val="20"/>
        </w:rPr>
        <w:t xml:space="preserve">.) </w:t>
      </w:r>
    </w:p>
    <w:p w14:paraId="2A50BE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9D08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015F31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Índice de Progresso Social e Impactos na Ordem do Estado Democrático Brasileiro </w:t>
      </w:r>
      <w:r w:rsidRPr="006B1274">
        <w:rPr>
          <w:rFonts w:ascii="Apple Color Emoji" w:hAnsi="Apple Color Emoji" w:cs="Apple Color Emoji"/>
          <w:color w:val="000000"/>
          <w:sz w:val="20"/>
          <w:szCs w:val="20"/>
        </w:rPr>
        <w:t>🇧🇷</w:t>
      </w:r>
    </w:p>
    <w:p w14:paraId="3BF98D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AEB2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C016F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1892CC" w14:textId="40F887E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0FC49F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52915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1E20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29 de Maio de 2025 | 14:55 PM</w:t>
      </w:r>
    </w:p>
    <w:p w14:paraId="62E441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C048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Índice de Progresso Social, IPS Brasil 2025, foi disponibilizado na data de hoje (29), com divulgação da atualização de dados de todos os 5.570 municípios do Brasil em seus 26 Estados e Distrito Federal.</w:t>
      </w:r>
    </w:p>
    <w:p w14:paraId="10B8A80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1392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Municípios de São Paulo lideraram o Ranking em visão Brasil com cidades pequenas no Interior Paulista. Colocando na região, São José dos Campos, conforme o G1, como o melhor município Paulista nos dados do indicador considerando quantidade relevante de habitantes.</w:t>
      </w:r>
    </w:p>
    <w:p w14:paraId="64EFBB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FF2C0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visão Capitais a liderança ficou entre Curitiba 69,89 (PR), Campo Grande 69,63 (MS), Brasília 69,04 (DF), São Paulo 68,88 (SP) e Belo Horizonte 68,22 (MG). o Rio de Janeiro 66,13 (RJ), ficou em 11º no Ranking, em visão inter-estadual, tendo Niterói 65,29 (RJ) o melhor resultado nos índices do indicador.</w:t>
      </w:r>
    </w:p>
    <w:p w14:paraId="674980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C74A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dados são fornecidos por diferentes institutos de iniciativa privada, sendo eles </w:t>
      </w:r>
      <w:proofErr w:type="spellStart"/>
      <w:r w:rsidRPr="006B1274">
        <w:rPr>
          <w:rFonts w:ascii="Times New Roman" w:hAnsi="Times New Roman" w:cs="Times New Roman"/>
          <w:color w:val="000000"/>
          <w:sz w:val="20"/>
          <w:szCs w:val="20"/>
        </w:rPr>
        <w:t>Imazon</w:t>
      </w:r>
      <w:proofErr w:type="spellEnd"/>
      <w:r w:rsidRPr="006B1274">
        <w:rPr>
          <w:rFonts w:ascii="Times New Roman" w:hAnsi="Times New Roman" w:cs="Times New Roman"/>
          <w:color w:val="000000"/>
          <w:sz w:val="20"/>
          <w:szCs w:val="20"/>
        </w:rPr>
        <w:t xml:space="preserve">, Fundação </w:t>
      </w:r>
      <w:proofErr w:type="spellStart"/>
      <w:r w:rsidRPr="006B1274">
        <w:rPr>
          <w:rFonts w:ascii="Times New Roman" w:hAnsi="Times New Roman" w:cs="Times New Roman"/>
          <w:color w:val="000000"/>
          <w:sz w:val="20"/>
          <w:szCs w:val="20"/>
        </w:rPr>
        <w:t>Avina</w:t>
      </w:r>
      <w:proofErr w:type="spellEnd"/>
      <w:r w:rsidRPr="006B1274">
        <w:rPr>
          <w:rFonts w:ascii="Times New Roman" w:hAnsi="Times New Roman" w:cs="Times New Roman"/>
          <w:color w:val="000000"/>
          <w:sz w:val="20"/>
          <w:szCs w:val="20"/>
        </w:rPr>
        <w:t xml:space="preserve">, Iniciativa Amazônica 2030, </w:t>
      </w:r>
      <w:proofErr w:type="spellStart"/>
      <w:r w:rsidRPr="006B1274">
        <w:rPr>
          <w:rFonts w:ascii="Times New Roman" w:hAnsi="Times New Roman" w:cs="Times New Roman"/>
          <w:color w:val="000000"/>
          <w:sz w:val="20"/>
          <w:szCs w:val="20"/>
        </w:rPr>
        <w:t>Anattá</w:t>
      </w:r>
      <w:proofErr w:type="spellEnd"/>
      <w:r w:rsidRPr="006B1274">
        <w:rPr>
          <w:rFonts w:ascii="Times New Roman" w:hAnsi="Times New Roman" w:cs="Times New Roman"/>
          <w:color w:val="000000"/>
          <w:sz w:val="20"/>
          <w:szCs w:val="20"/>
        </w:rPr>
        <w:t xml:space="preserve">, Centro de Empreendedorismo da Amazônia e Social </w:t>
      </w:r>
      <w:proofErr w:type="spellStart"/>
      <w:r w:rsidRPr="006B1274">
        <w:rPr>
          <w:rFonts w:ascii="Times New Roman" w:hAnsi="Times New Roman" w:cs="Times New Roman"/>
          <w:color w:val="000000"/>
          <w:sz w:val="20"/>
          <w:szCs w:val="20"/>
        </w:rPr>
        <w:t>Progress</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Imperative</w:t>
      </w:r>
      <w:proofErr w:type="spellEnd"/>
      <w:r w:rsidRPr="006B1274">
        <w:rPr>
          <w:rFonts w:ascii="Times New Roman" w:hAnsi="Times New Roman" w:cs="Times New Roman"/>
          <w:color w:val="000000"/>
          <w:sz w:val="20"/>
          <w:szCs w:val="20"/>
        </w:rPr>
        <w:t>. Além de dados oficiais demográficos do IBGE, INEP e DataSUS.</w:t>
      </w:r>
    </w:p>
    <w:p w14:paraId="3D91C38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08028B" w14:textId="359BC41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São avaliados 57 indicadores, tendo os principais, correlação com fatores sócio</w:t>
      </w:r>
      <w:r w:rsidR="006451E0"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ambientais desde o quesito Exploração Ambiental e os danos à população por saúde à Oportunidades de Desenvolvimento Social com integração e educação em formação completa para acesso ao Ensino Superior.</w:t>
      </w:r>
    </w:p>
    <w:p w14:paraId="7A564D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F3EA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3 pilares exatos e norteadores do indicador são:</w:t>
      </w:r>
    </w:p>
    <w:p w14:paraId="377F891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BB8D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p>
    <w:p w14:paraId="603046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Necessidades Humanas Básicas: Inclui nutrição, saúde, moradia e segurança.</w:t>
      </w:r>
    </w:p>
    <w:p w14:paraId="37052FB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0561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p>
    <w:p w14:paraId="328C27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Fundamentos do Bem-Estar: Como acesso ao conhecimento, comunicação e saúde ambiental.</w:t>
      </w:r>
    </w:p>
    <w:p w14:paraId="45DB2E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8396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p>
    <w:p w14:paraId="472CA3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Oportunidades: Foca em direitos individuais, inclusão social e educação superior.</w:t>
      </w:r>
    </w:p>
    <w:p w14:paraId="1699F7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B782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 o Rio de Janeiro, os índices de 2014-2024 demonstram corrupção com lavagem de dinheiro em grandes Obras do Transporte Público, como principal fator. Justificando aumento de translado entre metrópoles, aumento do número da bilhetagem única e redução do número de passageiros com demissões em massa por alto custo em transporte aos empregadores. Outro fato de relevância para análise dos números em período, durante Pandemia de COVID-19 foi o aumento do número de leitos e morte por decorrência de complicações em decúbito. </w:t>
      </w:r>
    </w:p>
    <w:p w14:paraId="3A219B8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589EE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visão histórica, o Rio de Janeiro, melhorou. Saindo da 14º posição, para a 11º posição. Mas novamente marcado por alto êxodo entre regiões por moradores que sonegam impostos fiscais, seja por não dedução de IR com renda principal por família decorrente de empreendedorismo, ou por isenção total, como é o caso das áreas </w:t>
      </w:r>
      <w:proofErr w:type="spellStart"/>
      <w:r w:rsidRPr="006B1274">
        <w:rPr>
          <w:rFonts w:ascii="Times New Roman" w:hAnsi="Times New Roman" w:cs="Times New Roman"/>
          <w:color w:val="000000"/>
          <w:sz w:val="20"/>
          <w:szCs w:val="20"/>
        </w:rPr>
        <w:t>perifericas</w:t>
      </w:r>
      <w:proofErr w:type="spellEnd"/>
      <w:r w:rsidRPr="006B1274">
        <w:rPr>
          <w:rFonts w:ascii="Times New Roman" w:hAnsi="Times New Roman" w:cs="Times New Roman"/>
          <w:color w:val="000000"/>
          <w:sz w:val="20"/>
          <w:szCs w:val="20"/>
        </w:rPr>
        <w:t xml:space="preserve"> e de encostas, que colocam o Estado entre as capitais com maior Desigualdade Social do País. Ocupando 2º posição em ranking de PIB Brasileiro e menor região entre Capitais do Sudeste.</w:t>
      </w:r>
    </w:p>
    <w:p w14:paraId="00D5C0D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354C5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visão de renda Brasil 2025, mais de 15 Milhões de Contribuintes até ontem (28), não haviam entregue declarações de IR do ano base de 2024, seja por decorrência do fator desemprego e não ocupação. Ou por morte, considerando vítimas de catástrofes climáticas e COVID-19, ambos relevantes para mudanças sociais econômicas. Em 2021 o Sudeste, apresentava o Espírito Santo, na melhor visão per capita em PIB com R$ 92.336,54.</w:t>
      </w:r>
    </w:p>
    <w:p w14:paraId="061C9E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04C27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alta no incentivo de empreendedorismo digital, questões sociais, também são impactadas como sonegação de fonte fiscal e desconto em produtos com compras na internet. Com alto número de MEIs ou atividade empreendedora informal, maior parte de circulação cambial fica em mãos de documentos nato-digitais, ou seja, não endereçados aos cofres da União, refletindo aumento de informalidade e perda de fontes seguras em deduções ficais para provisionamento de Planos Econômicos Plurianuais. </w:t>
      </w:r>
    </w:p>
    <w:p w14:paraId="38A593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1E61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Tidos como Influenciadores digitais, player </w:t>
      </w:r>
      <w:proofErr w:type="spellStart"/>
      <w:r w:rsidRPr="006B1274">
        <w:rPr>
          <w:rFonts w:ascii="Times New Roman" w:hAnsi="Times New Roman" w:cs="Times New Roman"/>
          <w:color w:val="000000"/>
          <w:sz w:val="20"/>
          <w:szCs w:val="20"/>
        </w:rPr>
        <w:t>techs</w:t>
      </w:r>
      <w:proofErr w:type="spellEnd"/>
      <w:r w:rsidRPr="006B1274">
        <w:rPr>
          <w:rFonts w:ascii="Times New Roman" w:hAnsi="Times New Roman" w:cs="Times New Roman"/>
          <w:color w:val="000000"/>
          <w:sz w:val="20"/>
          <w:szCs w:val="20"/>
        </w:rPr>
        <w:t xml:space="preserve"> ou Big </w:t>
      </w:r>
      <w:proofErr w:type="spellStart"/>
      <w:r w:rsidRPr="006B1274">
        <w:rPr>
          <w:rFonts w:ascii="Times New Roman" w:hAnsi="Times New Roman" w:cs="Times New Roman"/>
          <w:color w:val="000000"/>
          <w:sz w:val="20"/>
          <w:szCs w:val="20"/>
        </w:rPr>
        <w:t>Techs</w:t>
      </w:r>
      <w:proofErr w:type="spellEnd"/>
      <w:r w:rsidRPr="006B1274">
        <w:rPr>
          <w:rFonts w:ascii="Times New Roman" w:hAnsi="Times New Roman" w:cs="Times New Roman"/>
          <w:color w:val="000000"/>
          <w:sz w:val="20"/>
          <w:szCs w:val="20"/>
        </w:rPr>
        <w:t>, entram nesse fator como variações de Grandes Empresas tidas como a Maior em fonte tributária, tendo a dispersão de verba como benefícios e serviços. A ação envolve sonegação de resultados fiscais, uma maquiagem na saída de caixa , tendo este ciclo fiscal, como uma possível lavagem de dinheiro para arrendamento ilícito de fontes não tributáveis por isenção, são os casos de laranjas ou sócios de empreendimentos, universidades e programas sociais de voluntariado (ESG).</w:t>
      </w:r>
    </w:p>
    <w:p w14:paraId="7F857B8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E03153" w14:textId="6BBAB97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39D103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8C01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70113C4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6042EA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0230E7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2931DE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79227F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3B829C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1CCB36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3AEEC1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747A69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173165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5D0906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3E3B20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7D665C1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E8F0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autoral, não autorizado o compartilhamento.</w:t>
      </w:r>
    </w:p>
    <w:p w14:paraId="3561ECA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C1884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 S CHAT - PUBLICITÁRIA EXPLICA</w:t>
      </w:r>
    </w:p>
    <w:p w14:paraId="039701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Empreendedorismo e Igualdade de Gênero</w:t>
      </w:r>
    </w:p>
    <w:p w14:paraId="53311E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79C83F" w14:textId="21AEF37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103E9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E10CB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6C17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29 de Maio de 2025 | 20:32 PM</w:t>
      </w:r>
    </w:p>
    <w:p w14:paraId="4EBBDF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69C8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Fechando o Mês de Maio como o Mês das Mulheres, intitulo hoje pela Página do Radar o dia 29 de Maio.</w:t>
      </w:r>
    </w:p>
    <w:p w14:paraId="2D2B6C2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E0725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eastAsia="Arial Unicode MS" w:hAnsi="Times New Roman" w:cs="Times New Roman"/>
          <w:color w:val="000000"/>
          <w:sz w:val="20"/>
          <w:szCs w:val="20"/>
        </w:rPr>
        <w:t xml:space="preserve">DIA DO EMPREENDEDORISMO FEMININO </w:t>
      </w:r>
      <w:r w:rsidRPr="006B1274">
        <w:rPr>
          <w:rFonts w:ascii="Apple Color Emoji" w:eastAsia="Arial Unicode MS" w:hAnsi="Apple Color Emoji" w:cs="Apple Color Emoji"/>
          <w:color w:val="000000"/>
          <w:sz w:val="20"/>
          <w:szCs w:val="20"/>
        </w:rPr>
        <w:t>✨</w:t>
      </w:r>
    </w:p>
    <w:p w14:paraId="3E90A9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CE66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F4C83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54D4D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1A289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37767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76CDC6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ODS 10 </w:t>
      </w:r>
      <w:r w:rsidRPr="006B1274">
        <w:rPr>
          <w:rFonts w:ascii="Apple Color Emoji" w:hAnsi="Apple Color Emoji" w:cs="Apple Color Emoji"/>
          <w:color w:val="000000"/>
          <w:sz w:val="20"/>
          <w:szCs w:val="20"/>
        </w:rPr>
        <w:t>🏆</w:t>
      </w:r>
    </w:p>
    <w:p w14:paraId="4F4305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2DD3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Objetivo de Desenvolvimento Sustentável</w:t>
      </w:r>
    </w:p>
    <w:p w14:paraId="4E10036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das Nações Unidas</w:t>
      </w:r>
    </w:p>
    <w:p w14:paraId="575F0C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5DA7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Redução das desigualdades</w:t>
      </w:r>
    </w:p>
    <w:p w14:paraId="47DCED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Reduzir as desigualdades no interior dos países e entre países</w:t>
      </w:r>
    </w:p>
    <w:p w14:paraId="019389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FDB7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Objetivo 10. Reduzir a desigualdade dentro dos países e entre eles</w:t>
      </w:r>
    </w:p>
    <w:p w14:paraId="077D31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D3BC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10.1 Até 2030, progressivamente alcançar e sustentar o crescimento da renda dos 40% da população mais pobre a uma taxa maior que a média nacional</w:t>
      </w:r>
    </w:p>
    <w:p w14:paraId="1DFE46C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EDCA55" w14:textId="68FAFFE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10.2 Até 2030, </w:t>
      </w:r>
      <w:r w:rsidR="006451E0" w:rsidRPr="006B1274">
        <w:rPr>
          <w:rFonts w:ascii="Times New Roman" w:hAnsi="Times New Roman" w:cs="Times New Roman"/>
          <w:color w:val="000000"/>
          <w:sz w:val="20"/>
          <w:szCs w:val="20"/>
        </w:rPr>
        <w:t>e</w:t>
      </w:r>
      <w:r w:rsidRPr="006B1274">
        <w:rPr>
          <w:rFonts w:ascii="Times New Roman" w:hAnsi="Times New Roman" w:cs="Times New Roman"/>
          <w:color w:val="000000"/>
          <w:sz w:val="20"/>
          <w:szCs w:val="20"/>
        </w:rPr>
        <w:t>mpoderar e promover a inclusão social, econômica e política de todos, independentemente da idade, gênero, deficiência, raça, etnia, origem, religião, condição econômica ou outra</w:t>
      </w:r>
    </w:p>
    <w:p w14:paraId="437805C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81A60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10.3 Garantir a igualdade de oportunidades e reduzir as desigualdades de resultados, inclusive por meio da eliminação de leis, políticas e práticas discriminatórias e da promoção de legislação, políticas e ações adequadas a este respeito</w:t>
      </w:r>
    </w:p>
    <w:p w14:paraId="7ECAA65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5B5A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10.4 Adotar políticas, especialmente fiscal, salarial e de proteção social, e alcançar progressivamente uma maior igualdade</w:t>
      </w:r>
    </w:p>
    <w:p w14:paraId="2EADA7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6EF1A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10.5 Melhorar a regulamentação e monitoramento dos mercados e instituições financeiras globais e fortalecer a implementação de tais regulamentações</w:t>
      </w:r>
    </w:p>
    <w:p w14:paraId="2DE527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1D0C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10.6 Assegurar uma representação e voz mais forte dos países em desenvolvimento em tomadas de decisão nas instituições econômicas e financeiras internacionais globais, a fim de produzir instituições mais eficazes, críveis, responsáveis e legítimas</w:t>
      </w:r>
    </w:p>
    <w:p w14:paraId="347CBB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2804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10.7 Facilitar a migração e a mobilidade ordenada, segura, regular e responsável das pessoas, inclusive por meio da implementação de políticas de migração planejadas e bem geridas</w:t>
      </w:r>
    </w:p>
    <w:p w14:paraId="0A39E27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B145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10.a Implementar o princípio do tratamento especial e diferenciado para países em desenvolvimento, em particular os países menos desenvolvidos, em conformidade com os acordos da OMC</w:t>
      </w:r>
    </w:p>
    <w:p w14:paraId="50D24B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AD6F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10.b Incentivar a assistência oficial ao desenvolvimento e fluxos financeiros, incluindo o investimento externo direto, para os Estados onde a necessidade é maior, em particular os países menos desenvolvidos, os países africanos, os pequenos Estados insulares em desenvolvimento e os países em desenvolvimento sem litoral, de acordo com seus planos e programas nacionais</w:t>
      </w:r>
    </w:p>
    <w:p w14:paraId="4E99A5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77E9D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10.c Até 2030, reduzir para menos de 3% os custos de transação de remessas dos migrantes e eliminar os corredores de remessas com custos superiores a 5%</w:t>
      </w:r>
    </w:p>
    <w:p w14:paraId="4F64B1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F9FC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Nações Unidas estão a implementar 44 atividades-chaves em localidades</w:t>
      </w:r>
    </w:p>
    <w:p w14:paraId="655D55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A20AA3" w14:textId="48EA75B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0B7EEE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#WomansBusinessDayRadarInformação</w:t>
      </w:r>
    </w:p>
    <w:p w14:paraId="1F85E6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F569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Disponível em:</w:t>
      </w:r>
    </w:p>
    <w:p w14:paraId="57D656DD" w14:textId="77777777" w:rsidR="001C11E3" w:rsidRPr="000C5D07" w:rsidRDefault="00576533" w:rsidP="00B36B27">
      <w:pPr>
        <w:spacing w:before="240" w:after="240" w:line="360" w:lineRule="auto"/>
        <w:rPr>
          <w:rFonts w:ascii="Times New Roman" w:hAnsi="Times New Roman" w:cs="Times New Roman"/>
          <w:color w:val="000000"/>
          <w:sz w:val="20"/>
          <w:szCs w:val="20"/>
        </w:rPr>
      </w:pPr>
      <w:hyperlink r:id="rId20">
        <w:r w:rsidRPr="000C5D07">
          <w:rPr>
            <w:rFonts w:ascii="Times New Roman" w:hAnsi="Times New Roman" w:cs="Times New Roman"/>
            <w:color w:val="000000"/>
            <w:sz w:val="20"/>
            <w:szCs w:val="20"/>
          </w:rPr>
          <w:t>https://brasil.un.org/pt-br/sdgs/10</w:t>
        </w:r>
      </w:hyperlink>
    </w:p>
    <w:p w14:paraId="54CF41A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16E762" w14:textId="0BEAA153"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 xml:space="preserve">Publicitária: </w:t>
      </w:r>
      <w:r w:rsidR="00D63769" w:rsidRPr="006B1274">
        <w:rPr>
          <w:rFonts w:ascii="Times New Roman" w:hAnsi="Times New Roman" w:cs="Times New Roman"/>
          <w:b/>
          <w:bCs/>
          <w:color w:val="000000"/>
          <w:sz w:val="20"/>
          <w:szCs w:val="20"/>
        </w:rPr>
        <w:t xml:space="preserve"> </w:t>
      </w:r>
      <w:r w:rsidRPr="006B1274">
        <w:rPr>
          <w:rFonts w:ascii="Times New Roman" w:hAnsi="Times New Roman" w:cs="Times New Roman"/>
          <w:b/>
          <w:bCs/>
          <w:color w:val="000000"/>
          <w:sz w:val="20"/>
          <w:szCs w:val="20"/>
        </w:rPr>
        <w:t>.</w:t>
      </w:r>
    </w:p>
    <w:p w14:paraId="3FB75F2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b/>
          <w:bCs/>
          <w:color w:val="000000"/>
          <w:sz w:val="20"/>
          <w:szCs w:val="20"/>
        </w:rPr>
        <w:t>Temática Social: Do Social para as Redes Sociais, a Importância da Representatividade Ética Profissional Feminina em Tempos Digitais</w:t>
      </w:r>
      <w:r w:rsidRPr="006B1274">
        <w:rPr>
          <w:rFonts w:ascii="Times New Roman" w:hAnsi="Times New Roman" w:cs="Times New Roman"/>
          <w:color w:val="000000"/>
          <w:sz w:val="20"/>
          <w:szCs w:val="20"/>
        </w:rPr>
        <w:t>.</w:t>
      </w:r>
    </w:p>
    <w:p w14:paraId="78CA89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30 de Maio de 2025.</w:t>
      </w:r>
    </w:p>
    <w:p w14:paraId="0D07ED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Encerrando a Semana de Transições Fiscais e Econômicas dos Acordos Cooperacionais entre o BRICS e inclusão dos Países do Eixo do Oriente Médio, como Emirados Árabes. Com Participação da Secretária Tatiana </w:t>
      </w:r>
      <w:proofErr w:type="spellStart"/>
      <w:r w:rsidRPr="006B1274">
        <w:rPr>
          <w:rFonts w:ascii="Times New Roman" w:hAnsi="Times New Roman" w:cs="Times New Roman"/>
          <w:color w:val="000000"/>
          <w:sz w:val="20"/>
          <w:szCs w:val="20"/>
        </w:rPr>
        <w:t>Rosito</w:t>
      </w:r>
      <w:proofErr w:type="spellEnd"/>
      <w:r w:rsidRPr="006B1274">
        <w:rPr>
          <w:rFonts w:ascii="Times New Roman" w:hAnsi="Times New Roman" w:cs="Times New Roman"/>
          <w:color w:val="000000"/>
          <w:sz w:val="20"/>
          <w:szCs w:val="20"/>
        </w:rPr>
        <w:t xml:space="preserve">, o Ministério da Fazenda, conclui o Seminário “Força Transformadora”. Aberto para acadêmicos e Sociedade Civil. Assim como o G20 e agenda inclusiva e introdutória da temática à classe civil, o Seminário contou com participação de representante do FMI com explicação da temática que envolve Reforma Tributária Brasileira e taxação de Impostos, além de Políticas Externas de exportação e importação para Indústria. </w:t>
      </w:r>
    </w:p>
    <w:p w14:paraId="0434D0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27C90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Seguindo agenda como anfitrião Diplomático, o BRICS, introduz questões de financiamento verde, e a próxima etapa de regulamentação do Mercado de Carbono. Visando Políticas Sustentáveis e COP 30 Brasil.</w:t>
      </w:r>
    </w:p>
    <w:p w14:paraId="0657EE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555B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AB7AC1"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249115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Países do Oriente Médio como Contingência de Extração Petrolífera </w:t>
      </w:r>
    </w:p>
    <w:p w14:paraId="6CFA81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3B16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 30</w:t>
      </w:r>
    </w:p>
    <w:p w14:paraId="32E3ED5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15ABB3" w14:textId="61C78F9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p>
    <w:p w14:paraId="7368E4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A166A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08E4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30 de Maio de 2025 | 16:15 PM</w:t>
      </w:r>
    </w:p>
    <w:p w14:paraId="1521539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916ACD"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Com alterações em 2012 na redistribuição dos Royalties do Petróleo do Rio de Janeiro para os Cofres da União de forma repartida entre os 26 Estados da Federação e Distrito Federal. As mudanças tributárias de taxação também entram em vigor para melhor distribuição tributária entre os Estados.</w:t>
      </w:r>
    </w:p>
    <w:p w14:paraId="77BB2039"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60D01E2B"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Falando de justiça ou não, ao que compete a discussão entre Bancada em Senado e principais representantes de empresas privadas e Estatais administradoras do mercado Petrolífero Brasileiro, se a sociedade civil, passível de presença em fóruns e discussões não se opõe às transições, fica a interpretação do Estado de adesão democrática da ação. Um dos maiores parceiros exportadores de Petróleo Brasileiro são Países do Oriente Médio, nossos contingentes, quando o Rio de Janeiro, por acordo Estatal não conclui metas de produção e extração. Vale ressaltar que este é o setor da indústria mais preocupante em índices de prejuízo climático em sua extração e produção.</w:t>
      </w:r>
    </w:p>
    <w:p w14:paraId="2B225461"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5F0BD146"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Como Publicitária em dar visibilidade à temática, economista e Especialista no setor de Estatais, reforço ao perigo de oneração tributária do Estado do Rio de Janeiro, menor em capacidade territorial, e passando a ser explorado na visão monetária da geração de recursos, já que, grande parte do território do Rio de Janeiro de áreas periféricas tem a presença de migrantes de outros estados ou em área nobre imigrantes de outros Países.</w:t>
      </w:r>
    </w:p>
    <w:p w14:paraId="63684192"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31A86165"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Colocando em risco não apenas situação econômica, mas cultural e socioambiental no que tange ao processo demográfico de expectativas e qualidade de vida em oportunidade de progresso social. É o tema abordado, por mim, conforme post sobre o IPS, Índice de Progresso Social, dos 26 Estados do Brasil e Distrito Federal, revelando índices de seus 5.570 Municípios.</w:t>
      </w:r>
    </w:p>
    <w:p w14:paraId="23AD33FD"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46B031A6"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Na redação do artigo, apontei as diferenças entre capitais, estando o Rio de Janeiro, em 11º Lugar em Ranking entre os 26 Estados e Distrito Federal, sendo a segunda maior economia do País. Tratando-se de Municípios do Rio de Janeiro, o melhor colocado foi Niterói, abaixo do índice conquistado pelo Rio de Janeiro Capital, mas com melhores oportunidade e serviços públicos divididos em seu território, apontando uma desigualdade entre antigo Estado da Guanabara e a Capital Central do Rio de Janeiro.</w:t>
      </w:r>
    </w:p>
    <w:p w14:paraId="706D84BE"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348A6C41"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Se o foco é a redução de desigualdades, voltar ou trazer de volta divisões em ações tributárias que não deram certo no passado e foram passíveis de revogações e Promulgação Constituinte, abarcar a temática sem conhecimento das principais mudanças pode levar Congresso, Senado e Sociedade Civil à uma máxima tensão e alerta na defesa de pautas tributárias, isto porque, cada vez mais recursos internacionais estão sendo levados ao Senado sem defesa ampla em Direitos Sociais, sendo necessário da nossa Parte Diplomática, correlacionar temas sociais brasileiros para que então seja esclarecido o debate por toda sociedade civil.</w:t>
      </w:r>
    </w:p>
    <w:p w14:paraId="3D67BD6D"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4FDAC0D5"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 xml:space="preserve">O problema, de forma unânime acadêmica, tem sido recorrente deslegitimação para dar visibilidade somente de elencos “teatrais populares” fomentado pelo Ministério da Cultura, com alto engajamento e tratativa das temáticas por pautas prontas direcionadas à artistas como Anitta ou Gisele </w:t>
      </w:r>
      <w:proofErr w:type="spellStart"/>
      <w:r w:rsidRPr="006914F8">
        <w:rPr>
          <w:rFonts w:ascii="Times New Roman" w:hAnsi="Times New Roman" w:cs="Times New Roman"/>
          <w:color w:val="000000"/>
          <w:sz w:val="20"/>
          <w:szCs w:val="20"/>
        </w:rPr>
        <w:t>Bündchen</w:t>
      </w:r>
      <w:proofErr w:type="spellEnd"/>
      <w:r w:rsidRPr="006914F8">
        <w:rPr>
          <w:rFonts w:ascii="Times New Roman" w:hAnsi="Times New Roman" w:cs="Times New Roman"/>
          <w:color w:val="000000"/>
          <w:sz w:val="20"/>
          <w:szCs w:val="20"/>
        </w:rPr>
        <w:t xml:space="preserve"> como interlocutoras de forma informal e retirando a credibilidade e autonomia em discurso de mulheres profissionais éticas pertencentes ao setor.</w:t>
      </w:r>
    </w:p>
    <w:p w14:paraId="16249B1A"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155EE141"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Desta forma, por empreendedorismo digital, qualquer um sente-se pronto em representar personagens para defesa de pautas sociais. Mas a diferença neste momento, é que estamos como principais anfitriões e em visibilidade Mundial com eventos do G20, BRICS e COP 30, não tratando-se somente de ação publicitária, mas diplomática em decisão dos rumos do País.</w:t>
      </w:r>
    </w:p>
    <w:p w14:paraId="73F445EA"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7D2B10E6" w14:textId="6E7E6ACC"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 xml:space="preserve">Eu, </w:t>
      </w:r>
      <w:r w:rsidR="00D63769" w:rsidRPr="006914F8">
        <w:rPr>
          <w:rFonts w:ascii="Times New Roman" w:hAnsi="Times New Roman" w:cs="Times New Roman"/>
          <w:color w:val="000000"/>
          <w:sz w:val="20"/>
          <w:szCs w:val="20"/>
        </w:rPr>
        <w:t xml:space="preserve"> </w:t>
      </w:r>
      <w:r w:rsidRPr="006914F8">
        <w:rPr>
          <w:rFonts w:ascii="Times New Roman" w:hAnsi="Times New Roman" w:cs="Times New Roman"/>
          <w:color w:val="000000"/>
          <w:sz w:val="20"/>
          <w:szCs w:val="20"/>
        </w:rPr>
        <w:t>, diretora do Radar Informação, um veículo cadastrado e que estive em “backstage”, ou seja, nos bastidores da criação para dar ênfase e apoio à uma proposta comunitária e acadêmica de um projeto Pedagógico. Aproveitando o veículo e ativa no setor de Estatais até 2020, trago informações da maneira mais clara possível de compreensão tanto da Classe Acadêmica Diplomática à qual faço parte, como da Sociedade Civil para assimilação das mudanças e rumos que podem levar novamente ao cenário de privatizações com aumento de participação privada de acionistas de Empresas Multinacionais, em nosso País, integrados por Empresas Estatais de Capital Misto em ações de Gestão Governamental. Ações estas que em consequência aumentam juros, desigualdades, violência e ações contra políticas anti-racistas para enfraquecer trabalhos conclusivos de anos e gerar grandes mudanças organizacionais mais lucrativas com menores contigentes em Postos de Trabalho, avançando em Inteligência Artificial e automação.</w:t>
      </w:r>
    </w:p>
    <w:p w14:paraId="78344129"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07B4BA9C" w14:textId="0F280791"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A OPEP, assim como a ONU uma Organização Universal, int</w:t>
      </w:r>
      <w:r w:rsidR="00C0227D" w:rsidRPr="006914F8">
        <w:rPr>
          <w:rFonts w:ascii="Times New Roman" w:hAnsi="Times New Roman" w:cs="Times New Roman"/>
          <w:color w:val="000000"/>
          <w:sz w:val="20"/>
          <w:szCs w:val="20"/>
        </w:rPr>
        <w:t>e</w:t>
      </w:r>
      <w:r w:rsidRPr="006914F8">
        <w:rPr>
          <w:rFonts w:ascii="Times New Roman" w:hAnsi="Times New Roman" w:cs="Times New Roman"/>
          <w:color w:val="000000"/>
          <w:sz w:val="20"/>
          <w:szCs w:val="20"/>
        </w:rPr>
        <w:t>gra 13 Países, e diferente da OTAN, está direcionada aos Países do eixo do Oriente Médio na produção industrial. Países mais restritivos em políticas e cultura, não incluso em recursos do FMI e epicentro de tensões mundiais.</w:t>
      </w:r>
    </w:p>
    <w:p w14:paraId="3B6797C3"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1035EA4F"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 xml:space="preserve">O BRICS como um Bloco econômico e subgrupo do G20, as 20 maiores economias mundiais, fazem a ligação dos Países de eixo do Oriente Médio e Rússia, aos interesses e Políticas Sociais e Universais da ONU e OTAN, ambas organizações ligadas aos Estados Unidos da América, principal País Defensor de Direitos Humanos e pautas sociais à crianças e Desenvolvimento Social inclusivo e sustentável. </w:t>
      </w:r>
    </w:p>
    <w:p w14:paraId="7F6AA3B3"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39170369" w14:textId="77777777" w:rsidR="001C11E3" w:rsidRPr="006914F8" w:rsidRDefault="00576533" w:rsidP="006914F8">
      <w:pPr>
        <w:spacing w:before="240" w:after="240" w:line="360" w:lineRule="auto"/>
        <w:rPr>
          <w:rFonts w:ascii="Times New Roman" w:hAnsi="Times New Roman" w:cs="Times New Roman"/>
          <w:color w:val="000000"/>
          <w:sz w:val="20"/>
          <w:szCs w:val="20"/>
        </w:rPr>
      </w:pPr>
      <w:r w:rsidRPr="006914F8">
        <w:rPr>
          <w:rFonts w:ascii="Times New Roman" w:hAnsi="Times New Roman" w:cs="Times New Roman"/>
          <w:color w:val="000000"/>
          <w:sz w:val="20"/>
          <w:szCs w:val="20"/>
        </w:rPr>
        <w:t>Um Projeto criado pelo Brasil em parceria à ONU, ECO 92, que originou os principais eventos e fóruns de debate de políticas sociais e que estão em vigor até hoje. O parque temático da Disney, EPCOT, correlaciona e enfatiza a causa, sendo principal local de visibilidade de uma cultura promovida em anos 70 e 80 de Igrejas Ortodoxas em prover Direitos Humanos e causas Humanistas ao que tange os Direitos Sociais, segurança e dignidade da vida humana à todos como resposta em minimizar o apartheid racial e conflitos territoriais armados de ideologia de guerra. Priorizando Políticas Públicas no regimento Ético-Diplomático de mediação social.</w:t>
      </w:r>
    </w:p>
    <w:p w14:paraId="42EAB6E0" w14:textId="77777777" w:rsidR="001C11E3" w:rsidRPr="006914F8" w:rsidRDefault="001C11E3" w:rsidP="006914F8">
      <w:pPr>
        <w:spacing w:before="240" w:after="240" w:line="360" w:lineRule="auto"/>
        <w:rPr>
          <w:rFonts w:ascii="Times New Roman" w:hAnsi="Times New Roman" w:cs="Times New Roman"/>
          <w:color w:val="000000"/>
          <w:sz w:val="20"/>
          <w:szCs w:val="20"/>
        </w:rPr>
      </w:pPr>
    </w:p>
    <w:p w14:paraId="417680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de tese autoral, não autorizado o compartilhamento.</w:t>
      </w:r>
    </w:p>
    <w:p w14:paraId="7A1F04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F4D74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trecho sobre a OPEP, seguido de Matéria a respeito da Política de Petróleo atual no Grupo:</w:t>
      </w:r>
    </w:p>
    <w:p w14:paraId="55F3F92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A9A9F5" w14:textId="77777777" w:rsidR="001C11E3" w:rsidRPr="004F71EC" w:rsidRDefault="00576533" w:rsidP="004F71EC">
      <w:pPr>
        <w:spacing w:before="240" w:after="240" w:line="360" w:lineRule="auto"/>
        <w:ind w:left="2160"/>
        <w:jc w:val="both"/>
        <w:rPr>
          <w:rFonts w:ascii="Times New Roman" w:hAnsi="Times New Roman" w:cs="Times New Roman"/>
          <w:color w:val="000000"/>
        </w:rPr>
      </w:pPr>
      <w:r w:rsidRPr="004F71EC">
        <w:rPr>
          <w:rFonts w:ascii="Times New Roman" w:hAnsi="Times New Roman" w:cs="Times New Roman"/>
          <w:color w:val="000000"/>
        </w:rPr>
        <w:t>“(…) Organização dos Países Exportadores de Petróleo é uma organização intergovernamental de 13 nações, fundada em 15 de setembro de 1960 em Bagdá pelos cinco membros fundadores, com sede desde 1965 em Viena, na Áustria. Em setembro de 2018, os então 14 países membros representavam 44% da produção global de petróleo e 81,5% das reservas de petróleo "comprovadas" do mundo, dando à OPEP uma grande influência nos preços globais de petróleo, previamente determinados pelos chamados agrupamento "Sete Irmãs" de empresas multinacionais de petróleo. (…)</w:t>
      </w:r>
    </w:p>
    <w:p w14:paraId="06E9C13F" w14:textId="77777777" w:rsidR="001C11E3" w:rsidRPr="004F71EC" w:rsidRDefault="001C11E3" w:rsidP="004F71EC">
      <w:pPr>
        <w:spacing w:before="240" w:after="240" w:line="360" w:lineRule="auto"/>
        <w:ind w:left="2160"/>
        <w:jc w:val="both"/>
        <w:rPr>
          <w:rFonts w:ascii="Times New Roman" w:hAnsi="Times New Roman" w:cs="Times New Roman"/>
          <w:color w:val="000000"/>
        </w:rPr>
      </w:pPr>
    </w:p>
    <w:p w14:paraId="50A74BED" w14:textId="77777777" w:rsidR="001C11E3" w:rsidRPr="004F71EC" w:rsidRDefault="00576533" w:rsidP="004F71EC">
      <w:pPr>
        <w:spacing w:before="240" w:after="240" w:line="360" w:lineRule="auto"/>
        <w:ind w:left="2160"/>
        <w:jc w:val="both"/>
        <w:rPr>
          <w:rFonts w:ascii="Times New Roman" w:hAnsi="Times New Roman" w:cs="Times New Roman"/>
          <w:color w:val="000000"/>
        </w:rPr>
      </w:pPr>
      <w:r w:rsidRPr="004F71EC">
        <w:rPr>
          <w:rFonts w:ascii="Times New Roman" w:hAnsi="Times New Roman" w:cs="Times New Roman"/>
          <w:color w:val="000000"/>
        </w:rPr>
        <w:t>Os atuais membros da OPEP são os seguintes: Argélia, Guiné Equatorial, Gabão, Irã, Iraque, Kuwait, Líbia, Nigéria, República do Congo, Arábia Saudita (líder de facto), Emirados Árabes Unidos e Venezuela. Equador, Indonésia, Angola e Catar são ex-membros. (…)</w:t>
      </w:r>
    </w:p>
    <w:p w14:paraId="3D18AC39" w14:textId="77777777" w:rsidR="001C11E3" w:rsidRPr="004F71EC" w:rsidRDefault="001C11E3" w:rsidP="004F71EC">
      <w:pPr>
        <w:spacing w:before="240" w:after="240" w:line="360" w:lineRule="auto"/>
        <w:ind w:left="2160"/>
        <w:jc w:val="both"/>
        <w:rPr>
          <w:rFonts w:ascii="Times New Roman" w:hAnsi="Times New Roman" w:cs="Times New Roman"/>
          <w:color w:val="000000"/>
        </w:rPr>
      </w:pPr>
    </w:p>
    <w:p w14:paraId="7693DA79" w14:textId="77777777" w:rsidR="001C11E3" w:rsidRPr="004F71EC" w:rsidRDefault="00576533" w:rsidP="004F71EC">
      <w:pPr>
        <w:spacing w:before="240" w:after="240" w:line="360" w:lineRule="auto"/>
        <w:ind w:left="2160"/>
        <w:jc w:val="both"/>
        <w:rPr>
          <w:rFonts w:ascii="Times New Roman" w:hAnsi="Times New Roman" w:cs="Times New Roman"/>
          <w:color w:val="000000"/>
        </w:rPr>
      </w:pPr>
      <w:r w:rsidRPr="004F71EC">
        <w:rPr>
          <w:rFonts w:ascii="Times New Roman" w:hAnsi="Times New Roman" w:cs="Times New Roman"/>
          <w:color w:val="000000"/>
        </w:rPr>
        <w:t>Na década de 1970, as restrições na produção de petróleo levaram a um aumento dramático nos preços e na receita e riqueza da OPEP, com consequências duradouras e de longo alcance para a economia global. Na década de 1980, a OPEP começou a estabelecer metas de produção para seus países membros; geralmente, quando as metas são reduzidas, os preços do petróleo aumentam. Isso ocorreu nas decisões de 2008 e 2016 da organização de reduzir o excesso de oferta.</w:t>
      </w:r>
    </w:p>
    <w:p w14:paraId="21315702" w14:textId="77777777" w:rsidR="001C11E3" w:rsidRPr="004F71EC" w:rsidRDefault="001C11E3" w:rsidP="004F71EC">
      <w:pPr>
        <w:spacing w:before="240" w:after="240" w:line="360" w:lineRule="auto"/>
        <w:ind w:left="2160"/>
        <w:jc w:val="both"/>
        <w:rPr>
          <w:rFonts w:ascii="Times New Roman" w:hAnsi="Times New Roman" w:cs="Times New Roman"/>
          <w:color w:val="000000"/>
        </w:rPr>
      </w:pPr>
    </w:p>
    <w:p w14:paraId="7CE3B5B9" w14:textId="77777777" w:rsidR="001C11E3" w:rsidRPr="004F71EC" w:rsidRDefault="00576533" w:rsidP="004F71EC">
      <w:pPr>
        <w:spacing w:before="240" w:after="240" w:line="360" w:lineRule="auto"/>
        <w:ind w:left="2160"/>
        <w:jc w:val="both"/>
        <w:rPr>
          <w:rFonts w:ascii="Times New Roman" w:hAnsi="Times New Roman" w:cs="Times New Roman"/>
          <w:color w:val="000000"/>
        </w:rPr>
      </w:pPr>
      <w:r w:rsidRPr="004F71EC">
        <w:rPr>
          <w:rFonts w:ascii="Times New Roman" w:hAnsi="Times New Roman" w:cs="Times New Roman"/>
          <w:color w:val="000000"/>
        </w:rPr>
        <w:t xml:space="preserve">Os economistas costumam citar a OPEP como um exemplo de cartel que coopera para reduzir a concorrência no mercado, mas cujas consultas são protegidas pela doutrina da imunidade estatal sob o direito internacional. Em dezembro de 2014, "a OPEP e os petroleiros" ficaram em terceiro lugar na lista do Lloyd's das "100 mais influentes do setor de transporte marítimo". No entanto, a influência da OPEP no comércio internacional é periodicamente desafiada pela expansão de fontes de energia que não são da OPEP e pela tentação recorrente de países da organização de exceder as metas de produção e buscar interesses próprios conflitantes. (…) </w:t>
      </w:r>
    </w:p>
    <w:p w14:paraId="46BF7DC8" w14:textId="77777777" w:rsidR="001C11E3" w:rsidRPr="004F71EC" w:rsidRDefault="00576533" w:rsidP="004F71EC">
      <w:pPr>
        <w:spacing w:before="240" w:after="240" w:line="360" w:lineRule="auto"/>
        <w:ind w:left="7200"/>
        <w:jc w:val="both"/>
        <w:rPr>
          <w:rFonts w:ascii="Times New Roman" w:hAnsi="Times New Roman" w:cs="Times New Roman"/>
          <w:color w:val="000000"/>
        </w:rPr>
      </w:pPr>
      <w:r w:rsidRPr="004F71EC">
        <w:rPr>
          <w:rFonts w:ascii="Times New Roman" w:hAnsi="Times New Roman" w:cs="Times New Roman"/>
          <w:color w:val="000000"/>
        </w:rPr>
        <w:t>Fonte: Wikipédia</w:t>
      </w:r>
    </w:p>
    <w:p w14:paraId="3B4939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342CB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481C0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70CD590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0DD3E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A08B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S&amp;P Global - </w:t>
      </w:r>
      <w:proofErr w:type="spellStart"/>
      <w:r w:rsidRPr="006B1274">
        <w:rPr>
          <w:rFonts w:ascii="Times New Roman" w:hAnsi="Times New Roman" w:cs="Times New Roman"/>
          <w:color w:val="000000"/>
          <w:sz w:val="20"/>
          <w:szCs w:val="20"/>
        </w:rPr>
        <w:t>Commodities</w:t>
      </w:r>
      <w:proofErr w:type="spellEnd"/>
    </w:p>
    <w:p w14:paraId="341E00F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18EB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04 JUN 2024 | 06:34 UTC</w:t>
      </w:r>
    </w:p>
    <w:p w14:paraId="1D13A9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Emirados Árabes Unidos recebem maior cota de produção de petróleo bruto da OPEP+</w:t>
      </w:r>
    </w:p>
    <w:p w14:paraId="165F0C7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6DBA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Completa Disponível em:</w:t>
      </w:r>
    </w:p>
    <w:p w14:paraId="278DEE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https://www.spglobal.com/commodity-insights/en/news-research/latest-news/crude-oil/060424-uae-gets-higher-opec-crude-production-quota</w:t>
      </w:r>
    </w:p>
    <w:p w14:paraId="0B0D37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2978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72F3D7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956C9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7274D6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Correspondente Digital</w:t>
      </w:r>
    </w:p>
    <w:p w14:paraId="0752AB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92C4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02 de Junho de 2025 | 15:52 PM</w:t>
      </w:r>
    </w:p>
    <w:p w14:paraId="5E93E7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2C9CF6" w14:textId="1BF1204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p>
    <w:p w14:paraId="298E68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74CD0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por terceiros.</w:t>
      </w:r>
    </w:p>
    <w:p w14:paraId="38F0F0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E4FD2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27395B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E6B47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4A013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BRICS - BRASIL, RIO DE JANEIRO 2025</w:t>
      </w:r>
    </w:p>
    <w:p w14:paraId="1C14A1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7C9C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RELAÇÕES EXTERIORES</w:t>
      </w:r>
    </w:p>
    <w:p w14:paraId="6D88F3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Cúpula do BRICS será no Rio de Janeiro, em 6 e 7 de julho. Anúncio foi feito pelo ministro Mauro Vieira (Relações Exteriores) neste sábado, ao lado do prefeito Eduardo Paes.</w:t>
      </w:r>
    </w:p>
    <w:p w14:paraId="39EAFA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86168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15/02/2025 15h05</w:t>
      </w:r>
    </w:p>
    <w:p w14:paraId="611B709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BC37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reunião de cúpula do BRICS em 2025 já tem local e data. Será no Rio de Janeiro, nos dias 6 e 7 de julho. A partir de autorização do presidente Luiz Inácio Lula da Silva, o anúncio foi feito neste sábado, 15 de fevereiro, pelo ministro Mauro Vieira (Relações Exteriores), ao lado do prefeito da cidade, Eduardo Paes. </w:t>
      </w:r>
    </w:p>
    <w:p w14:paraId="73BCAF8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A717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Receberemos os chefes de Estado dos 20 países que integram o BRICS nas duas categorias, de membros plenos e parceiros. Vamos tomar decisões muito importantes para o desenvolvimento, para a cooperação e para a melhoria da condição de vida de todos os habitantes desses países”</w:t>
      </w:r>
    </w:p>
    <w:p w14:paraId="2D4419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A23C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Mauro Vieira, ministro das Relações Exteriores</w:t>
      </w:r>
    </w:p>
    <w:p w14:paraId="72E6EB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um grande prazer mais uma vez estreitar a colaboração e a parceria entre Governo Federal e o Rio de Janeiro. Receberemos os chefes de Estado dos 20 países que integram o BRICS nas duas categorias, de membros plenos e parceiros”, afirmou Vieira. “Vamos tomar decisões muito importantes para o desenvolvimento, para a cooperação e para a melhoria da condição de vida de todos os habitantes desses países”, completou.</w:t>
      </w:r>
    </w:p>
    <w:p w14:paraId="1FE2CE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2A21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o prefeito Eduardo Paes, a oficialização da cidade como sede fortalece a face internacional do Rio de Janeiro. “O Rio mais uma vez será a capital do mundo. Foi assim no G20, ano passado, e agora com o BRICS”, afirmou.</w:t>
      </w:r>
    </w:p>
    <w:p w14:paraId="7A4136A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DB425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PRESIDÊNCIA - Em 1º de janeiro, o Brasil assumiu a presidência do BRICS até 31 de dezembro. Segundo a coordenadora-geral da presidência brasileira do BRICS, a ministra Paula Barboza, do Ministério das Relações Exteriores, os dois eixos da atuação do país, ao longo de 2025, são a reforma da governança global e a cooperação entre países do Sul Global.</w:t>
      </w:r>
    </w:p>
    <w:p w14:paraId="208E00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CATEGORIAS - Há duas categorias de participação no BRICS: países membros e países parceiros. Os 11 membros – África do Sul, Arábia Saudita, Brasil, China, Egito, Emirados Árabes Unidos, Etiópia, Indonésia, Índia, Irã e Rússia – participam de todas as reuniões. Nelas, o processo decisório baseia-se no consenso.</w:t>
      </w:r>
    </w:p>
    <w:p w14:paraId="02C5F9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EEA0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CRITÉRIOS - Para ser admitido como membro, os países interessados precisam cumprir os seguintes critérios: ter boas relações diplomáticas com todos os membros plenos, apoiar o multilateralismo, ser membro das Nações Unidas, não adotar sanções sem autorização do Conselho de Segurança das Nações Unidas, e assumir compromisso com a reforma da governança global. A manutenção do equilíbrio geográfico do bloco também é critério para novas admissões.</w:t>
      </w:r>
    </w:p>
    <w:p w14:paraId="007F539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B6A7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PARCEIROS - A modalidade de países parceiros foi criada em 2024, na Cúpula de Kazan, na Rússia. Nela, países são convidados a participar da Cúpula de Chanceleres e de Líderes do BRICS, e podem estar presentes em outras reuniões se houver consenso entre os membros. Atualmente, os parceiros são Belarus, Bolívia, Cazaquistão, Cuba, Malásia, Nigéria, Tailândia, Uganda e Uzbequistão. Ao longo de 2024,  mais de 30 países mostraram interesse em participar do BRICS tanto na qualidade de membros como de parceiros.</w:t>
      </w:r>
    </w:p>
    <w:p w14:paraId="0D34F207" w14:textId="77777777" w:rsidR="001C11E3" w:rsidRDefault="001C11E3" w:rsidP="00B36B27">
      <w:pPr>
        <w:spacing w:before="240" w:after="240" w:line="360" w:lineRule="auto"/>
        <w:rPr>
          <w:rFonts w:ascii="Times New Roman" w:hAnsi="Times New Roman" w:cs="Times New Roman"/>
          <w:color w:val="000000"/>
          <w:sz w:val="20"/>
          <w:szCs w:val="20"/>
        </w:rPr>
      </w:pPr>
    </w:p>
    <w:p w14:paraId="61BB1B95" w14:textId="77777777" w:rsidR="00391CF7" w:rsidRPr="006B1274" w:rsidRDefault="00391CF7" w:rsidP="00B36B27">
      <w:pPr>
        <w:spacing w:before="240" w:after="240" w:line="360" w:lineRule="auto"/>
        <w:rPr>
          <w:rFonts w:ascii="Times New Roman" w:hAnsi="Times New Roman" w:cs="Times New Roman"/>
          <w:color w:val="000000"/>
          <w:sz w:val="20"/>
          <w:szCs w:val="20"/>
        </w:rPr>
      </w:pPr>
    </w:p>
    <w:p w14:paraId="4335BF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Categoria</w:t>
      </w:r>
    </w:p>
    <w:p w14:paraId="7FF73E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Comércio Exterior</w:t>
      </w:r>
    </w:p>
    <w:p w14:paraId="4B31FF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30B7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Completa Disponível em:</w:t>
      </w:r>
    </w:p>
    <w:p w14:paraId="5FF0B5B4" w14:textId="77777777" w:rsidR="001C11E3" w:rsidRPr="00391CF7" w:rsidRDefault="00576533" w:rsidP="00B36B27">
      <w:pPr>
        <w:spacing w:before="240" w:after="240" w:line="360" w:lineRule="auto"/>
        <w:rPr>
          <w:rFonts w:ascii="Times New Roman" w:hAnsi="Times New Roman" w:cs="Times New Roman"/>
          <w:color w:val="000000"/>
          <w:sz w:val="20"/>
          <w:szCs w:val="20"/>
        </w:rPr>
      </w:pPr>
      <w:hyperlink r:id="rId21">
        <w:r w:rsidRPr="00391CF7">
          <w:rPr>
            <w:rFonts w:ascii="Times New Roman" w:hAnsi="Times New Roman" w:cs="Times New Roman"/>
            <w:color w:val="000000"/>
            <w:sz w:val="20"/>
            <w:szCs w:val="20"/>
          </w:rPr>
          <w:t>https://www.gov.br/planalto/pt-br/acompanhe-o-planalto/noticias/2025/02/cupula-do-brics-sera-no-rio-de-janeiro-em-6-e-7-de-julho</w:t>
        </w:r>
      </w:hyperlink>
    </w:p>
    <w:p w14:paraId="3077B1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E53A68"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46FEA3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Tour Virtual Museu do Jardim Botânico</w:t>
      </w:r>
    </w:p>
    <w:p w14:paraId="31CD085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C4B8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2E260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A9FEC3" w14:textId="29660CF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19F2C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279E9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F397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03 de Junho de 2025 | 13:45 PM</w:t>
      </w:r>
    </w:p>
    <w:p w14:paraId="411B0F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295B0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Como produtora cultural e publicitária, tenho reunido uma curadoria de conteúdo para veiculação em Página Independente e em Perfil Pessoal com temática da Importância da Representatividade Ética Profissional Feminina. Doutora em Comunicação com ênfase em Educação e Economia Política. Correlaciono o tema da COP 30, com a responsabilidade sócioambiental e econômica. Além da importância feminina, o encontro da força feminina na natureza. Ao que não se explica, o cíclico e em constante evolução. A VIDA!</w:t>
      </w:r>
    </w:p>
    <w:p w14:paraId="3B96A3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0336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1F3F9D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678BD2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0FCB1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924B2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FE3C5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p>
    <w:p w14:paraId="701556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informações de Recuperação da Mata Atlântica, meta com planejamento de implantação até 2030:</w:t>
      </w:r>
    </w:p>
    <w:p w14:paraId="7DB637D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8830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 Mata Atlântica reduzida a apenas 27,7% de sua área original, não basta impedir novos desmatamentos - é essencial recuperar o que foi perdido.</w:t>
      </w:r>
    </w:p>
    <w:p w14:paraId="4DCAED5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00D1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restauração de ecossistemas busca recuperar áreas degradadas, devolvendo suas funções ecológicas e características originais. Esse processo tem ganhado destaque por seu papel estratégico na preservação da biodiversidade e no combate às mudanças climáticas. Tanto que a ONU declarou 2021-2030 como a Década da Restauração de Ecossistemas.</w:t>
      </w:r>
    </w:p>
    <w:p w14:paraId="237C22E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538B2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Mata Atlântica está entre os ecossistemas globais com maior prioridade para restauração. Estudos mostram que recuperar apenas 15% dessas áreas pode evitar 60% das extinções previstas e ainda capturar 30% do CO2 liberado desde a Revolução Industrial.</w:t>
      </w:r>
    </w:p>
    <w:p w14:paraId="5C0F0AF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24D330" w14:textId="717BCD4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Mas os benef</w:t>
      </w:r>
      <w:r w:rsidR="00C0227D" w:rsidRPr="006B1274">
        <w:rPr>
          <w:rFonts w:ascii="Times New Roman" w:hAnsi="Times New Roman" w:cs="Times New Roman"/>
          <w:color w:val="000000"/>
          <w:sz w:val="20"/>
          <w:szCs w:val="20"/>
        </w:rPr>
        <w:t>í</w:t>
      </w:r>
      <w:r w:rsidRPr="006B1274">
        <w:rPr>
          <w:rFonts w:ascii="Times New Roman" w:hAnsi="Times New Roman" w:cs="Times New Roman"/>
          <w:color w:val="000000"/>
          <w:sz w:val="20"/>
          <w:szCs w:val="20"/>
        </w:rPr>
        <w:t xml:space="preserve">cios vão </w:t>
      </w:r>
      <w:proofErr w:type="spellStart"/>
      <w:r w:rsidRPr="006B1274">
        <w:rPr>
          <w:rFonts w:ascii="Times New Roman" w:hAnsi="Times New Roman" w:cs="Times New Roman"/>
          <w:color w:val="000000"/>
          <w:sz w:val="20"/>
          <w:szCs w:val="20"/>
        </w:rPr>
        <w:t>a</w:t>
      </w:r>
      <w:r w:rsidR="00C0227D" w:rsidRPr="006B1274">
        <w:rPr>
          <w:rFonts w:ascii="Times New Roman" w:hAnsi="Times New Roman" w:cs="Times New Roman"/>
          <w:color w:val="000000"/>
          <w:sz w:val="20"/>
          <w:szCs w:val="20"/>
        </w:rPr>
        <w:t>é</w:t>
      </w:r>
      <w:r w:rsidRPr="006B1274">
        <w:rPr>
          <w:rFonts w:ascii="Times New Roman" w:hAnsi="Times New Roman" w:cs="Times New Roman"/>
          <w:color w:val="000000"/>
          <w:sz w:val="20"/>
          <w:szCs w:val="20"/>
        </w:rPr>
        <w:t>em</w:t>
      </w:r>
      <w:proofErr w:type="spellEnd"/>
      <w:r w:rsidRPr="006B1274">
        <w:rPr>
          <w:rFonts w:ascii="Times New Roman" w:hAnsi="Times New Roman" w:cs="Times New Roman"/>
          <w:color w:val="000000"/>
          <w:sz w:val="20"/>
          <w:szCs w:val="20"/>
        </w:rPr>
        <w:t xml:space="preserve"> do meio ambiente. A restauração impulsiona o desenvolvimento sustentável, gerando empregos, fortalecendo pequenos produtores, empoderando mulheres e trazendo mais segurança para comunidades vulneráveis. Além de recuperar a floresta, restaurar a Mata Atlântica é uma forma de transformar vidas.</w:t>
      </w:r>
    </w:p>
    <w:p w14:paraId="47C6C5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8F1E7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Lei 11.428/06 da Mata Atlântica</w:t>
      </w:r>
    </w:p>
    <w:p w14:paraId="20916B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DÉCADA DAS NAÇOES UNIDAS DA RESTAURAÇÃO DE ECOSSISTEMAS</w:t>
      </w:r>
    </w:p>
    <w:p w14:paraId="05DF12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2021-2030</w:t>
      </w:r>
    </w:p>
    <w:p w14:paraId="59DCF2C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59C9E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A Mata Atlântica </w:t>
      </w:r>
    </w:p>
    <w:p w14:paraId="6BA2889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5DF5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Mata Atlântica já ocupou uma área duas vezes maior que a França. Estendendo-se por grande parte do leste do Brasil, além do norte da Argentina e leste do Paraguai. Cobrindo desde regiões à beira mar até alguns dos pontos mais altos do Brasil.</w:t>
      </w:r>
    </w:p>
    <w:p w14:paraId="10A4B1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3E16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Ela abriga uma das maiores biodiversidades do mundo, com milhares de espécies únicas de plantas, animais e outros organismos. Para se ter uma ideia, a Mata Atlântica tem 11 vezes mais espécies de árvores do que toda a Europa.</w:t>
      </w:r>
    </w:p>
    <w:p w14:paraId="7DEFE1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A77C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Também é um lugar com muitas culturas diferentes, onde vivem povos indígenas, quilombolas e outras comunidades tradicionais. Cerca de 70% da população do Brasil também vive nesse espaço natural, em cidades grandes e pequenas, que precisam da Mata Atlântica para ter água, ar puro e um clima bom.</w:t>
      </w:r>
    </w:p>
    <w:p w14:paraId="126877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B125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Ao longo dos últimos 500 anos, a Mata Atlântica diminuiu muito, hoje restam 27,7% do que era originalmente. Mas, ela ainda resiste e pode ser conservada e restaurada.</w:t>
      </w:r>
    </w:p>
    <w:p w14:paraId="43081B5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0D74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exposição Mata Atlântica: in-finitos encantos convida você a conhecer essa diversidade. Com imagens, sons e experiências interativas, você será apresentado à impressionante biodiversidade da Mata Atlântica e aos desafios para sua conservação. Ao final da exposição, esperamos que você consiga entender perfeitamente por que somos gigante pela própria natureza, como diz o hino do Brasil.</w:t>
      </w:r>
    </w:p>
    <w:p w14:paraId="0448BB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49D0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Uma Mulher de Representatividade </w:t>
      </w:r>
      <w:r w:rsidRPr="006B1274">
        <w:rPr>
          <w:rFonts w:ascii="Apple Color Emoji" w:hAnsi="Apple Color Emoji" w:cs="Apple Color Emoji"/>
          <w:color w:val="000000"/>
          <w:sz w:val="20"/>
          <w:szCs w:val="20"/>
        </w:rPr>
        <w:t>🌸</w:t>
      </w:r>
    </w:p>
    <w:p w14:paraId="2BC7412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1B52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Graziela Maciel Barroso</w:t>
      </w:r>
    </w:p>
    <w:p w14:paraId="31370B7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BF16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26/11/2020 19h46</w:t>
      </w:r>
    </w:p>
    <w:p w14:paraId="68CBBF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Atualizado em 26/11/2020 19h47</w:t>
      </w:r>
    </w:p>
    <w:p w14:paraId="6B9050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6597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Graziela Maciel Barroso (1912-2003), botânica de reconhecimento internacional, trabalhou no Jardim Botânico do Rio de Janeiro durante 58 anos. Além da autoridade científica que Graziela conquistou ao longo da vida, destaca-se sua notoriedade também em formar gerações de pesquisadores que hoje se dedicam às investigações científicas em inúmeras instituições.</w:t>
      </w:r>
    </w:p>
    <w:p w14:paraId="4673E68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6059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Esboço biográfico</w:t>
      </w:r>
    </w:p>
    <w:p w14:paraId="76446F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71D6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Elaborado por </w:t>
      </w:r>
      <w:proofErr w:type="spellStart"/>
      <w:r w:rsidRPr="006B1274">
        <w:rPr>
          <w:rFonts w:ascii="Times New Roman" w:hAnsi="Times New Roman" w:cs="Times New Roman"/>
          <w:color w:val="000000"/>
          <w:sz w:val="20"/>
          <w:szCs w:val="20"/>
        </w:rPr>
        <w:t>Begonha</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Bediaga</w:t>
      </w:r>
      <w:proofErr w:type="spellEnd"/>
      <w:r w:rsidRPr="006B1274">
        <w:rPr>
          <w:rFonts w:ascii="Times New Roman" w:hAnsi="Times New Roman" w:cs="Times New Roman"/>
          <w:color w:val="000000"/>
          <w:sz w:val="20"/>
          <w:szCs w:val="20"/>
        </w:rPr>
        <w:t>, Ariane Luna Peixoto e Marli Pires Morim em 2015</w:t>
      </w:r>
    </w:p>
    <w:p w14:paraId="3C3F96F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8E61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botânica, Graziela Maciel Barroso dedicou-se sobretudo às áreas de taxonomia e morfologia com ações que propiciaram fundamento na identificação de espécimes vegetais de diferentes biomas, em coleções de herbários do Brasil e do exterior, que resultaram em publicações de artigos e livros. </w:t>
      </w:r>
    </w:p>
    <w:p w14:paraId="673511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F847D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despeito da autoridade científica que Graziela conquistou ao longo da vida, destaca-se sua notoriedade também em formar gerações de cientistas que hoje se dedicam às investigações acerca das plantas. Acrescente-se a isso suas posições políticas em favor da conservação da natureza e das liberdades democráticas no período da ditadura militar, fatos que demonstram coragem e coerência que resultaram na liderança que exerceu, em especial na botânica.</w:t>
      </w:r>
    </w:p>
    <w:p w14:paraId="44EA3FE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A17C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Início da carreira</w:t>
      </w:r>
    </w:p>
    <w:p w14:paraId="734414F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E4AC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Nascida em Corumbá, no Mato Grosso, em 1912, casou-se aos dezesseis anos com o engenheiro agrônomo Liberato Joaquim Barroso (1900-1949), funcionário do Ministério da Agricultura. Tiveram dois filhos, Manfredo (1930-1960) e </w:t>
      </w:r>
      <w:proofErr w:type="spellStart"/>
      <w:r w:rsidRPr="006B1274">
        <w:rPr>
          <w:rFonts w:ascii="Times New Roman" w:hAnsi="Times New Roman" w:cs="Times New Roman"/>
          <w:color w:val="000000"/>
          <w:sz w:val="20"/>
          <w:szCs w:val="20"/>
        </w:rPr>
        <w:t>Mirtilla</w:t>
      </w:r>
      <w:proofErr w:type="spellEnd"/>
      <w:r w:rsidRPr="006B1274">
        <w:rPr>
          <w:rFonts w:ascii="Times New Roman" w:hAnsi="Times New Roman" w:cs="Times New Roman"/>
          <w:color w:val="000000"/>
          <w:sz w:val="20"/>
          <w:szCs w:val="20"/>
        </w:rPr>
        <w:t xml:space="preserve"> (1931-2004).</w:t>
      </w:r>
    </w:p>
    <w:p w14:paraId="00C7394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ED20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Residiu em diversas cidades do país sempre acompanhando as transferências do marido e, por fim, estabeleceu-se no Rio de Janeiro, em 1940, quando ele foi nomeado diretor do Horto Florestal. Residiu, então, no Solar da Imperatriz (atual Escola Nacional de Botânica Tropical do Jardim Botânico do Rio de Janeiro). A influência do marido, segundo depoimentos da própria Graziela, foi decisiva na sua trajetória profissional, na medida em que ele transmitiu-lhe o entusiasmo pela botânica e ensinou-lhe os primeiros conhecimentos sobre o assunto.</w:t>
      </w:r>
    </w:p>
    <w:p w14:paraId="250D416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9417AB" w14:textId="528CD36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Aos trinta anos, começou a trabalhar como </w:t>
      </w:r>
      <w:proofErr w:type="spellStart"/>
      <w:r w:rsidRPr="006B1274">
        <w:rPr>
          <w:rFonts w:ascii="Times New Roman" w:hAnsi="Times New Roman" w:cs="Times New Roman"/>
          <w:color w:val="000000"/>
          <w:sz w:val="20"/>
          <w:szCs w:val="20"/>
        </w:rPr>
        <w:t>herborizadora</w:t>
      </w:r>
      <w:proofErr w:type="spellEnd"/>
      <w:r w:rsidRPr="006B1274">
        <w:rPr>
          <w:rFonts w:ascii="Times New Roman" w:hAnsi="Times New Roman" w:cs="Times New Roman"/>
          <w:color w:val="000000"/>
          <w:sz w:val="20"/>
          <w:szCs w:val="20"/>
        </w:rPr>
        <w:t xml:space="preserve"> e separadora de sement</w:t>
      </w:r>
      <w:r w:rsidR="003B1E56" w:rsidRPr="006B1274">
        <w:rPr>
          <w:rFonts w:ascii="Times New Roman" w:hAnsi="Times New Roman" w:cs="Times New Roman"/>
          <w:color w:val="000000"/>
          <w:sz w:val="20"/>
          <w:szCs w:val="20"/>
        </w:rPr>
        <w:t>e</w:t>
      </w:r>
      <w:r w:rsidRPr="006B1274">
        <w:rPr>
          <w:rFonts w:ascii="Times New Roman" w:hAnsi="Times New Roman" w:cs="Times New Roman"/>
          <w:color w:val="000000"/>
          <w:sz w:val="20"/>
          <w:szCs w:val="20"/>
        </w:rPr>
        <w:t xml:space="preserve">s no Horto Florestal. Dois anos depois, em 1946, disputou uma vaga em concurso público para o cargo de naturalista no mesmo Jardim Botânico. Após as provas escritas, apresentou a monografia “Estudo da Família </w:t>
      </w:r>
      <w:proofErr w:type="spellStart"/>
      <w:r w:rsidRPr="006B1274">
        <w:rPr>
          <w:rFonts w:ascii="Times New Roman" w:hAnsi="Times New Roman" w:cs="Times New Roman"/>
          <w:color w:val="000000"/>
          <w:sz w:val="20"/>
          <w:szCs w:val="20"/>
        </w:rPr>
        <w:t>Musaceae</w:t>
      </w:r>
      <w:proofErr w:type="spellEnd"/>
      <w:r w:rsidRPr="006B1274">
        <w:rPr>
          <w:rFonts w:ascii="Times New Roman" w:hAnsi="Times New Roman" w:cs="Times New Roman"/>
          <w:color w:val="000000"/>
          <w:sz w:val="20"/>
          <w:szCs w:val="20"/>
        </w:rPr>
        <w:t>” e foi aprovada em segundo lugar tornando-se a primeira mulher contratada por concurso, no Jardim Botânico do Rio de Janeiro. Inicia, então, suas atividades profissionais na área da sistemática vegetal ao lado do marido.</w:t>
      </w:r>
    </w:p>
    <w:p w14:paraId="345CB4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860B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Nos primeiros anos de sua carreira, dedicou-se a pesquisar plantas da família </w:t>
      </w:r>
      <w:proofErr w:type="spellStart"/>
      <w:r w:rsidRPr="006B1274">
        <w:rPr>
          <w:rFonts w:ascii="Times New Roman" w:hAnsi="Times New Roman" w:cs="Times New Roman"/>
          <w:color w:val="000000"/>
          <w:sz w:val="20"/>
          <w:szCs w:val="20"/>
        </w:rPr>
        <w:t>Asteraceae</w:t>
      </w:r>
      <w:proofErr w:type="spellEnd"/>
      <w:r w:rsidRPr="006B1274">
        <w:rPr>
          <w:rFonts w:ascii="Times New Roman" w:hAnsi="Times New Roman" w:cs="Times New Roman"/>
          <w:color w:val="000000"/>
          <w:sz w:val="20"/>
          <w:szCs w:val="20"/>
        </w:rPr>
        <w:t xml:space="preserve">, também conhecida por </w:t>
      </w:r>
      <w:proofErr w:type="spellStart"/>
      <w:r w:rsidRPr="006B1274">
        <w:rPr>
          <w:rFonts w:ascii="Times New Roman" w:hAnsi="Times New Roman" w:cs="Times New Roman"/>
          <w:color w:val="000000"/>
          <w:sz w:val="20"/>
          <w:szCs w:val="20"/>
        </w:rPr>
        <w:t>Compositae</w:t>
      </w:r>
      <w:proofErr w:type="spellEnd"/>
      <w:r w:rsidRPr="006B1274">
        <w:rPr>
          <w:rFonts w:ascii="Times New Roman" w:hAnsi="Times New Roman" w:cs="Times New Roman"/>
          <w:color w:val="000000"/>
          <w:sz w:val="20"/>
          <w:szCs w:val="20"/>
        </w:rPr>
        <w:t xml:space="preserve"> identificando oito novos gêneros e oitenta e quatro espécies dessa família para a ciência, segundo levantamento realizado em 2012 pelo botânico Jimi </w:t>
      </w:r>
      <w:proofErr w:type="spellStart"/>
      <w:r w:rsidRPr="006B1274">
        <w:rPr>
          <w:rFonts w:ascii="Times New Roman" w:hAnsi="Times New Roman" w:cs="Times New Roman"/>
          <w:color w:val="000000"/>
          <w:sz w:val="20"/>
          <w:szCs w:val="20"/>
        </w:rPr>
        <w:t>Nakajima</w:t>
      </w:r>
      <w:proofErr w:type="spellEnd"/>
      <w:r w:rsidRPr="006B1274">
        <w:rPr>
          <w:rFonts w:ascii="Times New Roman" w:hAnsi="Times New Roman" w:cs="Times New Roman"/>
          <w:color w:val="000000"/>
          <w:sz w:val="20"/>
          <w:szCs w:val="20"/>
        </w:rPr>
        <w:t xml:space="preserve">. Entretanto, Graziela trabalhou com diversas outras famílias de plantas, e, nos últimos anos de sua vida, aprofundou-se com especial entusiasmo ao estudo das </w:t>
      </w:r>
      <w:proofErr w:type="spellStart"/>
      <w:r w:rsidRPr="006B1274">
        <w:rPr>
          <w:rFonts w:ascii="Times New Roman" w:hAnsi="Times New Roman" w:cs="Times New Roman"/>
          <w:color w:val="000000"/>
          <w:sz w:val="20"/>
          <w:szCs w:val="20"/>
        </w:rPr>
        <w:t>Mirtaceae</w:t>
      </w:r>
      <w:proofErr w:type="spellEnd"/>
      <w:r w:rsidRPr="006B1274">
        <w:rPr>
          <w:rFonts w:ascii="Times New Roman" w:hAnsi="Times New Roman" w:cs="Times New Roman"/>
          <w:color w:val="000000"/>
          <w:sz w:val="20"/>
          <w:szCs w:val="20"/>
        </w:rPr>
        <w:t xml:space="preserve"> — família da goiaba e da pitanga.</w:t>
      </w:r>
    </w:p>
    <w:p w14:paraId="286245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0BEC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Ainda no final da década de 1940, recebeu a primeira homenagem com o nome da espécie </w:t>
      </w:r>
      <w:proofErr w:type="spellStart"/>
      <w:r w:rsidRPr="006B1274">
        <w:rPr>
          <w:rFonts w:ascii="Times New Roman" w:hAnsi="Times New Roman" w:cs="Times New Roman"/>
          <w:color w:val="000000"/>
          <w:sz w:val="20"/>
          <w:szCs w:val="20"/>
        </w:rPr>
        <w:t>Senecio</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barrosianus</w:t>
      </w:r>
      <w:proofErr w:type="spellEnd"/>
      <w:r w:rsidRPr="006B1274">
        <w:rPr>
          <w:rFonts w:ascii="Times New Roman" w:hAnsi="Times New Roman" w:cs="Times New Roman"/>
          <w:color w:val="000000"/>
          <w:sz w:val="20"/>
          <w:szCs w:val="20"/>
        </w:rPr>
        <w:t xml:space="preserve"> prestada pelo botânico </w:t>
      </w:r>
      <w:proofErr w:type="spellStart"/>
      <w:r w:rsidRPr="006B1274">
        <w:rPr>
          <w:rFonts w:ascii="Times New Roman" w:hAnsi="Times New Roman" w:cs="Times New Roman"/>
          <w:color w:val="000000"/>
          <w:sz w:val="20"/>
          <w:szCs w:val="20"/>
        </w:rPr>
        <w:t>Ángel</w:t>
      </w:r>
      <w:proofErr w:type="spellEnd"/>
      <w:r w:rsidRPr="006B1274">
        <w:rPr>
          <w:rFonts w:ascii="Times New Roman" w:hAnsi="Times New Roman" w:cs="Times New Roman"/>
          <w:color w:val="000000"/>
          <w:sz w:val="20"/>
          <w:szCs w:val="20"/>
        </w:rPr>
        <w:t xml:space="preserve"> Júlio Cabrera. A partir de então, outros três gêneros e 83 espécies de plantas foram ‘batizadas’ com o nome científico em homenagem a Graziela Maciel Barroso, segundo </w:t>
      </w:r>
      <w:proofErr w:type="spellStart"/>
      <w:r w:rsidRPr="006B1274">
        <w:rPr>
          <w:rFonts w:ascii="Times New Roman" w:hAnsi="Times New Roman" w:cs="Times New Roman"/>
          <w:color w:val="000000"/>
          <w:sz w:val="20"/>
          <w:szCs w:val="20"/>
        </w:rPr>
        <w:t>Nakajima</w:t>
      </w:r>
      <w:proofErr w:type="spellEnd"/>
      <w:r w:rsidRPr="006B1274">
        <w:rPr>
          <w:rFonts w:ascii="Times New Roman" w:hAnsi="Times New Roman" w:cs="Times New Roman"/>
          <w:color w:val="000000"/>
          <w:sz w:val="20"/>
          <w:szCs w:val="20"/>
        </w:rPr>
        <w:t>.</w:t>
      </w:r>
    </w:p>
    <w:p w14:paraId="2D80DE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EE9A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Dada a importância da língua alemã nas ciências, Graziela dedicou-se a estudar o idioma durante toda sua vida, conforme consta em inúmeras traduções, fosse para os colegas e alunos, ou ainda como forma de fixar e aprender a língua. Esse material encontra-se no Arquivo Graziela Maciel Barroso, no Jardim Botânico do Rio de Janeiro e o inventário dos documentos está no site da instituição.</w:t>
      </w:r>
    </w:p>
    <w:p w14:paraId="33A0B16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C213E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Viúva ainda jovem, Graziela, então com 37 anos, permaneceu em ritmo acelerado de produção científica e seguiu se destacando na taxonomia vegetal, apesar da formação universitária e o doutorado terem se dado posteriormente. Com 47 anos, ingressou na antiga Universidade do Estado da Guanabara atual Universidade do Estado do Rio de Janeiro (UERJ) – no curso de História Natural. Ainda no segundo ano da faculdade, a morte de seu filho Manfredo, em um acidente aéreo, abalou profundamente Graziela. No entanto, mais uma vez demonstrou perseverança – característica que a acompanhou por toda sua vida – terminando o curso em 1962.</w:t>
      </w:r>
    </w:p>
    <w:p w14:paraId="4E8194A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3186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Doutorado aos 61 anos</w:t>
      </w:r>
    </w:p>
    <w:p w14:paraId="73129A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ADB2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1973 defendeu a tese de doutorado pela Universidade Estadual de Campinas (</w:t>
      </w:r>
      <w:proofErr w:type="spellStart"/>
      <w:r w:rsidRPr="006B1274">
        <w:rPr>
          <w:rFonts w:ascii="Times New Roman" w:hAnsi="Times New Roman" w:cs="Times New Roman"/>
          <w:color w:val="000000"/>
          <w:sz w:val="20"/>
          <w:szCs w:val="20"/>
        </w:rPr>
        <w:t>Unicamp</w:t>
      </w:r>
      <w:proofErr w:type="spellEnd"/>
      <w:r w:rsidRPr="006B1274">
        <w:rPr>
          <w:rFonts w:ascii="Times New Roman" w:hAnsi="Times New Roman" w:cs="Times New Roman"/>
          <w:color w:val="000000"/>
          <w:sz w:val="20"/>
          <w:szCs w:val="20"/>
        </w:rPr>
        <w:t>). A partir de então, ampliou ainda mais o alcance do magistério e passou a ministrar disciplinas em cursos de pós graduação, além de orientar mestrandos e doutorandos em diversas universidades. Contudo, permaneceu com sua preocupação em transmitir conhecimentos botânicos para públicos mais amplos e, assim, continuou a oferecer cerca de uma centena de cursos por todo o Brasil.</w:t>
      </w:r>
    </w:p>
    <w:p w14:paraId="41A6C6F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2C27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Nos primeiros anos da criação da Universidade de Brasília, Graziela foi convidada para criar o Departamento de Botânica, onde lecionou de 1966 a 1969. Em plena ditadura militar, quando das invasões da polícia à UNB, lutou em defesa das liberdades democráticas, protegeu os alunos das prisões e protestou contra a demissão de professores, conforme demonstram os documentos de seu arquivo pessoal, como as cartas da titular a diversas autoridades, inclusive o então Presidente da República, Marechal Arthur da Costa e Silva, em que denunciava injustiças que estavam ocorrendo na universidade.</w:t>
      </w:r>
    </w:p>
    <w:p w14:paraId="56FFF28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075B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Retornou ao Rio de Janeiro por motivos pessoais e sua volta ao Jardim Botânico do Rio de Janeiro impulsionou novas pesquisas, conforme depoimento da botânica Cecília Costa, ao final deste documento.</w:t>
      </w:r>
    </w:p>
    <w:p w14:paraId="195DEF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A8DE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Desde a década de 1960, Graziela posicionou-se pela preservação da natureza e, juntamente com Burle Marx, Margaret </w:t>
      </w:r>
      <w:proofErr w:type="spellStart"/>
      <w:r w:rsidRPr="006B1274">
        <w:rPr>
          <w:rFonts w:ascii="Times New Roman" w:hAnsi="Times New Roman" w:cs="Times New Roman"/>
          <w:color w:val="000000"/>
          <w:sz w:val="20"/>
          <w:szCs w:val="20"/>
        </w:rPr>
        <w:t>Mee</w:t>
      </w:r>
      <w:proofErr w:type="spellEnd"/>
      <w:r w:rsidRPr="006B1274">
        <w:rPr>
          <w:rFonts w:ascii="Times New Roman" w:hAnsi="Times New Roman" w:cs="Times New Roman"/>
          <w:color w:val="000000"/>
          <w:sz w:val="20"/>
          <w:szCs w:val="20"/>
        </w:rPr>
        <w:t xml:space="preserve"> e outros ecologistas, denunciou desmatamentos, queimadas e demais desastres ambientais, como mostram matérias de diversos jornais da época. A convivência com Burle Marx fez crescer uma admiração mútua, em que, por um lado, o paisagista amparava-se nos conhecimentos da botânica e, por outro, ela respeitava o artista que exaltava ainda mais a beleza das plantas. Graziela participou de diversas excursões organizadas por Burle Marx pelo Brasil para conhecer as plantas, muitas delas introduzidas pela primeira vez no paisagismo.</w:t>
      </w:r>
    </w:p>
    <w:p w14:paraId="405E5C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2287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Jardim Botânico do Rio de Janeiro </w:t>
      </w:r>
      <w:r w:rsidRPr="006B1274">
        <w:rPr>
          <w:rFonts w:ascii="Apple Color Emoji" w:hAnsi="Apple Color Emoji" w:cs="Apple Color Emoji"/>
          <w:color w:val="000000"/>
          <w:sz w:val="20"/>
          <w:szCs w:val="20"/>
        </w:rPr>
        <w:t>🇧🇷</w:t>
      </w:r>
    </w:p>
    <w:p w14:paraId="6ABA72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CFFC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jardins botânicos são instituições que visam a pesquisa, a conservação vegetal e a educação. Considerados museus vivos, suas coleções permitem que a sociedade conheça a biodiversidade e a importância das plantas para a vida no planeta.</w:t>
      </w:r>
    </w:p>
    <w:p w14:paraId="7F1488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B4C8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Hoje existem cerca de 33 mil espécies de plantas ameaçadas de extinção ou de empobrecimento genético, enquanto há mais de 2500 jardins botânicos e arboretos no mundo. Em vista disso, os jardins botânicos foram chamados a implementar a Estratégia Mundial para a Conservação de Plantas e a elaborar planos, no sentido de defender a conservação das plantas e atrair a atenção do público, por intermédio de programas educacionais apropriados, com abordagem que privilegiasse a preservação da diversidade genética e o desenvolvimento sustentável. Nesse contexto, o Jardim Botânico do Rio de Janeiro se impõe tanto a missão de “promover, realizar e divulgar o ensino e as pesquisas técnico- científicas sobre os recursos florísticos do Brasil, visando o conhecimento e a conservação da biodiversidade” como a de manter as coleções científicas sob sua responsabilidade.</w:t>
      </w:r>
    </w:p>
    <w:p w14:paraId="1F700B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6DDE6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coleções do Jardim Botânico do Rio de Janeiro se desenvolve em diversas ações. Os pesquisadores da instituição viajam ao ambiente natural para coletar amostras de plantas. Os ramos com flores são dessecados na prensa para formar as “</w:t>
      </w:r>
      <w:proofErr w:type="spellStart"/>
      <w:r w:rsidRPr="006B1274">
        <w:rPr>
          <w:rFonts w:ascii="Times New Roman" w:hAnsi="Times New Roman" w:cs="Times New Roman"/>
          <w:color w:val="000000"/>
          <w:sz w:val="20"/>
          <w:szCs w:val="20"/>
        </w:rPr>
        <w:t>exsicatas</w:t>
      </w:r>
      <w:proofErr w:type="spellEnd"/>
      <w:r w:rsidRPr="006B1274">
        <w:rPr>
          <w:rFonts w:ascii="Times New Roman" w:hAnsi="Times New Roman" w:cs="Times New Roman"/>
          <w:color w:val="000000"/>
          <w:sz w:val="20"/>
          <w:szCs w:val="20"/>
        </w:rPr>
        <w:t xml:space="preserve">”, itens componentes do herbário. Também se coletam frutos, sementes e pedaços de folhas que, colocadas em saquinhos contendo sílica, são processadas pela equipe do Laboratório de DNA. Quando possível, são trazidos ainda amostras de madeira para a </w:t>
      </w:r>
      <w:proofErr w:type="spellStart"/>
      <w:r w:rsidRPr="006B1274">
        <w:rPr>
          <w:rFonts w:ascii="Times New Roman" w:hAnsi="Times New Roman" w:cs="Times New Roman"/>
          <w:color w:val="000000"/>
          <w:sz w:val="20"/>
          <w:szCs w:val="20"/>
        </w:rPr>
        <w:t>Xiloteca</w:t>
      </w:r>
      <w:proofErr w:type="spellEnd"/>
      <w:r w:rsidRPr="006B1274">
        <w:rPr>
          <w:rFonts w:ascii="Times New Roman" w:hAnsi="Times New Roman" w:cs="Times New Roman"/>
          <w:color w:val="000000"/>
          <w:sz w:val="20"/>
          <w:szCs w:val="20"/>
        </w:rPr>
        <w:t xml:space="preserve">. No Laboratório de Sementes, processam-se e estudam-se as sementes que são armazenadas em câmaras de refrigeração; as excedentes são encaminhadas ao Horto Florestal para produção de mudas. Quanto à coleção </w:t>
      </w:r>
      <w:proofErr w:type="spellStart"/>
      <w:r w:rsidRPr="006B1274">
        <w:rPr>
          <w:rFonts w:ascii="Times New Roman" w:hAnsi="Times New Roman" w:cs="Times New Roman"/>
          <w:color w:val="000000"/>
          <w:sz w:val="20"/>
          <w:szCs w:val="20"/>
        </w:rPr>
        <w:t>Entomológica</w:t>
      </w:r>
      <w:proofErr w:type="spellEnd"/>
      <w:r w:rsidRPr="006B1274">
        <w:rPr>
          <w:rFonts w:ascii="Times New Roman" w:hAnsi="Times New Roman" w:cs="Times New Roman"/>
          <w:color w:val="000000"/>
          <w:sz w:val="20"/>
          <w:szCs w:val="20"/>
        </w:rPr>
        <w:t>, seu principal objetivo é preservar insetos adultos e também imaturos coletados em plantas do Arboreto, muitos deles causadores de danos a elas, visando o registro e o estudo dessas ocorrências.</w:t>
      </w:r>
    </w:p>
    <w:p w14:paraId="19FA5BC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9ECD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Responsabilidade Socioambiental</w:t>
      </w:r>
    </w:p>
    <w:p w14:paraId="4B3A13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061D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26/11/2020 12h22</w:t>
      </w:r>
    </w:p>
    <w:p w14:paraId="1BA65F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Apresentação</w:t>
      </w:r>
    </w:p>
    <w:p w14:paraId="58B95DA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49E5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Jardim Botânico do Rio de Janeiro (JBRJ) entende que a responsabilidade socioambiental é uma postura permanente, base da atividade humana e profissional. Com um enfoque transformador, o Centro de Responsabilidade Socioambiental (CRS) busca uma forma diferenciada de relação entre os distintos atores da sociedade e o meio em que estão inseridos.</w:t>
      </w:r>
    </w:p>
    <w:p w14:paraId="5FF0447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7FB8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Centro de Responsabilidade Socioambiental do JBRJ qualifica e promove a inclusão social e profissional de jovens com idades entre 15 e 18 anos, através da educação e capacitação para o trabalho, desenvolvendo habilidades intelectuais, culturais, sociais e ambientais. O objetivo é formar cidadãos mais conscientes e preparados para o mercado de trabalho e para a vida. Em seus 30 anos de existência, com o início dos trabalhos em 1989, já foram atendidos mais de 4 mil jovens.</w:t>
      </w:r>
    </w:p>
    <w:p w14:paraId="01C9E8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E183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equipe do CRS é formada por técnicos do Instituto de Pesquisas Jardim Botânico do Rio de Janeiro, educadores e instrutores externos - prestadores de serviço com formações diversificadas, oferecendo um trabalho transversal, incluindo ainda acompanhamento psicopedagógico.</w:t>
      </w:r>
    </w:p>
    <w:p w14:paraId="1B8A21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2C38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Sobre o CRS</w:t>
      </w:r>
    </w:p>
    <w:p w14:paraId="448342A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A200E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conceito de Responsabilidade Socioambiental envolve de maneira indissociável três pilares: social, econômico e ambiental. Essa noção propõe uma visão de gestão pautada pela relação ética e de transparência com todos os públicos com os quais ela se relaciona, e é capaz de criar metas que impulsionam o desenvolvimento sustentável da sociedade, preservando recursos ambientais e culturais para as gerações futuras, respeitando a diversidade e promovendo a redução das desigualdades sociais.</w:t>
      </w:r>
    </w:p>
    <w:p w14:paraId="340962C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1F43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atividades do JBRJ na esfera social tiveram início em 21 de junho de 1869 com a inauguração do “Asilo Agrícola da Fazenda Normal”, Escola cujo compromisso era profissionalizar órfãos oriundos da Santa Casa de Misericórdia como aprendizes em técnicas agrícolas. O Asilo atuou até os primeiros anos da República, quando houve a extinção do Ministério da Agricultura, Comércio e Obras Públicas.</w:t>
      </w:r>
    </w:p>
    <w:p w14:paraId="356ADC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A0D3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Dando sequência à vocação histórica do JBRJ no campo da capacitação profissional para os socialmente excluídos, em 29 de outubro de 1989 foi iniciada mais uma etapa dessa trajetória, com a implantação e execução do Projeto denominado Extramuros: Meninos de Rua/Jardinagem. O projeto era voltado a jovens e adultos de ambos os sexos, entre 14 e 21 anos, com o objetivo de atender à demanda crescente do mercado por mão de obra especializada em manutenção de áreas verdes e possibilitar a inserção das comunidades do entorno nas atividades do JBRJ.</w:t>
      </w:r>
    </w:p>
    <w:p w14:paraId="37DEE2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B5F5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Após uma reestruturação do trabalho realizado no projeto inicial, surgiu em 1995 o Programa Educação e Trabalho, com o objetivo de enfrentar quatro grandes desafios: 1) desenvolver uma proposta educativa e inovadora capaz de estimular competências, qualidades pessoais e valores éticos; 2) incentivar, através de novas metodologias, a produtividade, a iniciativa e a aprendizagem com autonomia; 3) promover no jovem a capacidade de gerir seu próprio desenvolvimento pessoal e profissional; e 4) formar cidadãos.</w:t>
      </w:r>
    </w:p>
    <w:p w14:paraId="6B8B71D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9B7C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Atualmente, o Programa Educação e Trabalho permanece atuando com os mesmos objetivos e, juntamente com o Programa de Ações para a Sociedade, congregam as ações e compromissos do CRS do JBRJ no que concerne às questões sociais, culturais, científicas e ambientais para a formação de recursos humanos.</w:t>
      </w:r>
    </w:p>
    <w:p w14:paraId="6AF11B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A71E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Visão e Valores do CRS</w:t>
      </w:r>
    </w:p>
    <w:p w14:paraId="2C5B6C0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4D20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w:t>
      </w:r>
    </w:p>
    <w:p w14:paraId="0BEEC4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Promover a formação de cidadãos através da educação, profissionalização e respeito ao meio Ambiente.</w:t>
      </w:r>
    </w:p>
    <w:p w14:paraId="61EA309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5817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Visão</w:t>
      </w:r>
    </w:p>
    <w:p w14:paraId="7E99F8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Ser referência no Brasil na formação de cidadãos, na promoção de sua inserção no mercado de trabalho e na produção e difusão de conhecimento em educação socioambiental.</w:t>
      </w:r>
    </w:p>
    <w:p w14:paraId="73DD0D1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4C50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Valores</w:t>
      </w:r>
    </w:p>
    <w:p w14:paraId="44B05F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Educação como meio transformador do indivíduo e da sociedade;</w:t>
      </w:r>
    </w:p>
    <w:p w14:paraId="3D45E1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Respeito às instituições, ao ser humano e ao meio ambiente;</w:t>
      </w:r>
    </w:p>
    <w:p w14:paraId="3CE6D1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Confiança;</w:t>
      </w:r>
    </w:p>
    <w:p w14:paraId="7E056A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Ética e transparência;</w:t>
      </w:r>
    </w:p>
    <w:p w14:paraId="30DD30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Diversidade;</w:t>
      </w:r>
    </w:p>
    <w:p w14:paraId="3094B6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Equidade de gênero;</w:t>
      </w:r>
    </w:p>
    <w:p w14:paraId="5418E3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Inovação.</w:t>
      </w:r>
    </w:p>
    <w:p w14:paraId="59EB93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8637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Educação Ambiental</w:t>
      </w:r>
    </w:p>
    <w:p w14:paraId="61126E5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20DE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29/10/2020 17h27</w:t>
      </w:r>
    </w:p>
    <w:p w14:paraId="570199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Atualizado em 25/08/2023 16h08</w:t>
      </w:r>
    </w:p>
    <w:p w14:paraId="7370228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EABD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“Entendem-se por educação ambiental os processos por meio dos quais o indivíduo e a coletividade constroem valores sociais, conhecimentos, habilidades, atitudes e competências voltadas para a conservação do meio ambiente, bem de uso comum do povo, essencial à sadia qualidade de vida e sua sustentabilidade." (Política Nacional de Educação Ambiental - Lei nº 9795/1999, Art 1º).</w:t>
      </w:r>
    </w:p>
    <w:p w14:paraId="5B63E50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5726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"Programa destinado a assegurar, no âmbito educativo, a integração equilibrada das múltiplas dimensões da sustentabilidade - ambiental, social, ética, cultural, econômica, espacial e política - ao desenvolvimento do País, resultando em melhor qualidade de vida para toda a população brasileira, por intermédio do envolvimento e participação social na proteção e conservação ambiental e da manutenção dessas condições ao longo prazo." (Ministério do Meio Ambiente)</w:t>
      </w:r>
    </w:p>
    <w:p w14:paraId="046EA83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39352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Serviço de Educação Ambiental do Instituto de Pesquisas Jardim Botânico do Rio de Janeiro – JBRJ foi criado em julho de 1992 e atualmente funciona na Sede da Educação Ambiental (ao lado da Casa Pacheco Leão). Conta com uma equipe multidisciplinar e tem por objetivo formar sujeitos críticos com base na conservação da biodiversidade e na sustentabilidade socioambiental, visando a transformação para uma sociedade mais justa e sustentável. Suas ações estão organizadas nas seguintes linhas: Divulgação Científica, Formação em Educação Ambiental, Educação para Gestão Ambiental, Extensão e Pesquisa em Educação Ambiental.</w:t>
      </w:r>
    </w:p>
    <w:p w14:paraId="41B80E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0A70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Atendimento, visita e treinamento de estudantes de licenciatura e professores:</w:t>
      </w:r>
    </w:p>
    <w:p w14:paraId="247B69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Rua Jardim Botânico, 1008</w:t>
      </w:r>
    </w:p>
    <w:p w14:paraId="2D7D5F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E-mail: nea@jbrj.gov.br</w:t>
      </w:r>
    </w:p>
    <w:p w14:paraId="3DD0E728"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Tels</w:t>
      </w:r>
      <w:proofErr w:type="spellEnd"/>
      <w:r w:rsidRPr="006B1274">
        <w:rPr>
          <w:rFonts w:ascii="Times New Roman" w:hAnsi="Times New Roman" w:cs="Times New Roman"/>
          <w:color w:val="000000"/>
          <w:sz w:val="20"/>
          <w:szCs w:val="20"/>
        </w:rPr>
        <w:t>: 2274-7374 / 2274-7332</w:t>
      </w:r>
    </w:p>
    <w:p w14:paraId="1240BF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Responsável: Milena Goulart Souza Rodrigues.</w:t>
      </w:r>
    </w:p>
    <w:p w14:paraId="58FB8C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3829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Informações Disponíveis em:</w:t>
      </w:r>
    </w:p>
    <w:p w14:paraId="1693A9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https://www.gov.br/jbrj/pt-br</w:t>
      </w:r>
    </w:p>
    <w:p w14:paraId="39E271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30BD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Fonte: Jardim Botânico do Rio de Janeiro</w:t>
      </w:r>
    </w:p>
    <w:p w14:paraId="4BF2845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CBB847" w14:textId="3484289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6F6937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91CC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1E6D2C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5D52F72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52DFD2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6F95C2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5F4CDF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23184A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75E391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365552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02585E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3E4287"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568AF0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Propósitos BRICS Brasil 2025</w:t>
      </w:r>
    </w:p>
    <w:p w14:paraId="2B4350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7E46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76620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0A5F1E" w14:textId="6F334E6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CEFEA1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AF59A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3508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04 de Junho de 2025 | 17:05 PM</w:t>
      </w:r>
    </w:p>
    <w:p w14:paraId="7C8B55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5425B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Acontece nesta semana, de 03/06 à 05/06 no Congresso Nacional, em Brasília, o 11º Fórum Parlamentar do BRICS, este, destinado aos componentes parlamentares em Congresso e Senado a debater os principais eixos de assuntos Globais fechados em Pauta do Relatório Oficial do G20 Brasil, entregue ao final do encontro de Cúpulas de Líderes dos Países Membros da ONU e componentes das 20 Maiores Economias Mundiais. Tendo à frente da Presidência, Luís Inácio da Silva, no Brasil, no final do ano passado (2024).</w:t>
      </w:r>
    </w:p>
    <w:p w14:paraId="1F37C6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D67B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Agora, direcionado ao Bloco Econômico dos BRICS em 2025, diferentemente, do foco da Aliança Global e Países Ocidentais envolvendo o Sul Global como Países Latinos, o BRICS, intermediado pela Rússia, visa as organizações do Hemisfério Norte e Oriente Médio, integrando o Sul Global as preocupações Sustentáveis das Maiores regiões Verdes do Planeta com pilar dos 5 Países Brasil, Rússia, China, Índia e África do Sul.</w:t>
      </w:r>
    </w:p>
    <w:p w14:paraId="744F0F8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130A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objetivos do BRICS envolve também países com políticas e culturas mais restritivas e integrados em poucos Acordos Cooperacionais em Comércio, visando uma economia Multilateral integrando o Oriente Médio pelos Países Arábia Saudita, Egito, Emirados Árabes Unidos, Etiópia, Indonésia e Irã ao Banco Multilateral dos BRICS engajando o financiamento e desenvolvimento dos Países deste eixo, não integrantes da OTAN.</w:t>
      </w:r>
    </w:p>
    <w:p w14:paraId="2D81F3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6340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Aberto em TV Senado o evento Oficial encerrou-se, finalizado às 16:30, e contou com pequeno pronunciamento de Dilma Roussef. Em página oficial do BRICS, as temáticas debatidas em G20 e fechadas em relatório por Ministros e Líderes de Estado, agora são direcionadas ao Congresso e Senado, tendo a principal temática de abertura multilateral com foco global, à educação, e a formação da sociedade civil em inclusão para Equidade Democrática de Informação, Desenvolvimento Social, Redução de Impactos em Mudanças Climáticas e Transição Digital da estrutura Administrativa em Políticas Públicas do Novo Governo Digital de forma Universalizada, ao que tange, a Globalização e nova etapa da Indústria, a NIB, Nova Indústria Brasil 4.0. Indústria esta, digitalizada, automatizada e sustentável visando os Objetivos de Desenvolvimento Socioeconômicos (ODS) e redução das desigualdades entre os Países, internamente e externamente em suas Nações.</w:t>
      </w:r>
    </w:p>
    <w:p w14:paraId="13ACAF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2D105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7C1D4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20E14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134F2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7593190" w14:textId="0820039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Confira abaixo temática abordada por mim,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acerca da educação e equidade digital ao efetuar cobertura do G20 em Grupo de Finanças em Fóruns da marca Globo, Valor Econômico, Imprensa Nacional e Ministério da Fazenda:</w:t>
      </w:r>
    </w:p>
    <w:p w14:paraId="43CF409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EEEF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TRECHO DE DOCUMENTO OFICIAL G20 </w:t>
      </w:r>
      <w:r w:rsidRPr="006B1274">
        <w:rPr>
          <w:rFonts w:ascii="Apple Color Emoji" w:hAnsi="Apple Color Emoji" w:cs="Apple Color Emoji"/>
          <w:color w:val="000000"/>
          <w:sz w:val="20"/>
          <w:szCs w:val="20"/>
        </w:rPr>
        <w:t>🌎♻️</w:t>
      </w:r>
    </w:p>
    <w:p w14:paraId="6962FB8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57BA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Although</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most</w:t>
      </w:r>
      <w:proofErr w:type="spellEnd"/>
      <w:r w:rsidRPr="006B1274">
        <w:rPr>
          <w:rFonts w:ascii="Times New Roman" w:hAnsi="Times New Roman" w:cs="Times New Roman"/>
          <w:color w:val="000000"/>
          <w:sz w:val="20"/>
          <w:szCs w:val="20"/>
        </w:rPr>
        <w:t xml:space="preserve"> of the deficit </w:t>
      </w:r>
      <w:proofErr w:type="spellStart"/>
      <w:r w:rsidRPr="006B1274">
        <w:rPr>
          <w:rFonts w:ascii="Times New Roman" w:hAnsi="Times New Roman" w:cs="Times New Roman"/>
          <w:color w:val="000000"/>
          <w:sz w:val="20"/>
          <w:szCs w:val="20"/>
        </w:rPr>
        <w:t>occurs</w:t>
      </w:r>
      <w:proofErr w:type="spellEnd"/>
      <w:r w:rsidRPr="006B1274">
        <w:rPr>
          <w:rFonts w:ascii="Times New Roman" w:hAnsi="Times New Roman" w:cs="Times New Roman"/>
          <w:color w:val="000000"/>
          <w:sz w:val="20"/>
          <w:szCs w:val="20"/>
        </w:rPr>
        <w:t xml:space="preserve"> in </w:t>
      </w:r>
      <w:proofErr w:type="spellStart"/>
      <w:r w:rsidRPr="006B1274">
        <w:rPr>
          <w:rFonts w:ascii="Times New Roman" w:hAnsi="Times New Roman" w:cs="Times New Roman"/>
          <w:color w:val="000000"/>
          <w:sz w:val="20"/>
          <w:szCs w:val="20"/>
        </w:rPr>
        <w:t>sub-Saharan</w:t>
      </w:r>
      <w:proofErr w:type="spellEnd"/>
      <w:r w:rsidRPr="006B1274">
        <w:rPr>
          <w:rFonts w:ascii="Times New Roman" w:hAnsi="Times New Roman" w:cs="Times New Roman"/>
          <w:color w:val="000000"/>
          <w:sz w:val="20"/>
          <w:szCs w:val="20"/>
        </w:rPr>
        <w:t xml:space="preserve"> Africa, G20 </w:t>
      </w:r>
      <w:proofErr w:type="spellStart"/>
      <w:r w:rsidRPr="006B1274">
        <w:rPr>
          <w:rFonts w:ascii="Times New Roman" w:hAnsi="Times New Roman" w:cs="Times New Roman"/>
          <w:color w:val="000000"/>
          <w:sz w:val="20"/>
          <w:szCs w:val="20"/>
        </w:rPr>
        <w:t>countries</w:t>
      </w:r>
      <w:proofErr w:type="spellEnd"/>
      <w:r w:rsidRPr="006B1274">
        <w:rPr>
          <w:rFonts w:ascii="Times New Roman" w:hAnsi="Times New Roman" w:cs="Times New Roman"/>
          <w:color w:val="000000"/>
          <w:sz w:val="20"/>
          <w:szCs w:val="20"/>
        </w:rPr>
        <w:t xml:space="preserve"> are </w:t>
      </w:r>
      <w:proofErr w:type="spellStart"/>
      <w:r w:rsidRPr="006B1274">
        <w:rPr>
          <w:rFonts w:ascii="Times New Roman" w:hAnsi="Times New Roman" w:cs="Times New Roman"/>
          <w:color w:val="000000"/>
          <w:sz w:val="20"/>
          <w:szCs w:val="20"/>
        </w:rPr>
        <w:t>also</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affected</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According</w:t>
      </w:r>
      <w:proofErr w:type="spellEnd"/>
      <w:r w:rsidRPr="006B1274">
        <w:rPr>
          <w:rFonts w:ascii="Times New Roman" w:hAnsi="Times New Roman" w:cs="Times New Roman"/>
          <w:color w:val="000000"/>
          <w:sz w:val="20"/>
          <w:szCs w:val="20"/>
        </w:rPr>
        <w:t xml:space="preserve"> to the 2018 </w:t>
      </w:r>
      <w:proofErr w:type="spellStart"/>
      <w:r w:rsidRPr="006B1274">
        <w:rPr>
          <w:rFonts w:ascii="Times New Roman" w:hAnsi="Times New Roman" w:cs="Times New Roman"/>
          <w:color w:val="000000"/>
          <w:sz w:val="20"/>
          <w:szCs w:val="20"/>
        </w:rPr>
        <w:t>results</w:t>
      </w:r>
      <w:proofErr w:type="spellEnd"/>
      <w:r w:rsidRPr="006B1274">
        <w:rPr>
          <w:rFonts w:ascii="Times New Roman" w:hAnsi="Times New Roman" w:cs="Times New Roman"/>
          <w:color w:val="000000"/>
          <w:sz w:val="20"/>
          <w:szCs w:val="20"/>
        </w:rPr>
        <w:t xml:space="preserve"> of the OECD </w:t>
      </w:r>
      <w:proofErr w:type="spellStart"/>
      <w:r w:rsidRPr="006B1274">
        <w:rPr>
          <w:rFonts w:ascii="Times New Roman" w:hAnsi="Times New Roman" w:cs="Times New Roman"/>
          <w:color w:val="000000"/>
          <w:sz w:val="20"/>
          <w:szCs w:val="20"/>
        </w:rPr>
        <w:t>Teaching</w:t>
      </w:r>
      <w:proofErr w:type="spellEnd"/>
      <w:r w:rsidRPr="006B1274">
        <w:rPr>
          <w:rFonts w:ascii="Times New Roman" w:hAnsi="Times New Roman" w:cs="Times New Roman"/>
          <w:color w:val="000000"/>
          <w:sz w:val="20"/>
          <w:szCs w:val="20"/>
        </w:rPr>
        <w:t xml:space="preserve"> and Learning International Survey (TALIS), more </w:t>
      </w:r>
      <w:proofErr w:type="spellStart"/>
      <w:r w:rsidRPr="006B1274">
        <w:rPr>
          <w:rFonts w:ascii="Times New Roman" w:hAnsi="Times New Roman" w:cs="Times New Roman"/>
          <w:color w:val="000000"/>
          <w:sz w:val="20"/>
          <w:szCs w:val="20"/>
        </w:rPr>
        <w:t>than</w:t>
      </w:r>
      <w:proofErr w:type="spellEnd"/>
      <w:r w:rsidRPr="006B1274">
        <w:rPr>
          <w:rFonts w:ascii="Times New Roman" w:hAnsi="Times New Roman" w:cs="Times New Roman"/>
          <w:color w:val="000000"/>
          <w:sz w:val="20"/>
          <w:szCs w:val="20"/>
        </w:rPr>
        <w:t xml:space="preserve"> 20% of </w:t>
      </w:r>
      <w:proofErr w:type="spellStart"/>
      <w:r w:rsidRPr="006B1274">
        <w:rPr>
          <w:rFonts w:ascii="Times New Roman" w:hAnsi="Times New Roman" w:cs="Times New Roman"/>
          <w:color w:val="000000"/>
          <w:sz w:val="20"/>
          <w:szCs w:val="20"/>
        </w:rPr>
        <w:t>principals</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report</w:t>
      </w:r>
      <w:proofErr w:type="spellEnd"/>
      <w:r w:rsidRPr="006B1274">
        <w:rPr>
          <w:rFonts w:ascii="Times New Roman" w:hAnsi="Times New Roman" w:cs="Times New Roman"/>
          <w:color w:val="000000"/>
          <w:sz w:val="20"/>
          <w:szCs w:val="20"/>
        </w:rPr>
        <w:t xml:space="preserve"> that the </w:t>
      </w:r>
      <w:proofErr w:type="spellStart"/>
      <w:r w:rsidRPr="006B1274">
        <w:rPr>
          <w:rFonts w:ascii="Times New Roman" w:hAnsi="Times New Roman" w:cs="Times New Roman"/>
          <w:color w:val="000000"/>
          <w:sz w:val="20"/>
          <w:szCs w:val="20"/>
        </w:rPr>
        <w:t>shortage</w:t>
      </w:r>
      <w:proofErr w:type="spellEnd"/>
      <w:r w:rsidRPr="006B1274">
        <w:rPr>
          <w:rFonts w:ascii="Times New Roman" w:hAnsi="Times New Roman" w:cs="Times New Roman"/>
          <w:color w:val="000000"/>
          <w:sz w:val="20"/>
          <w:szCs w:val="20"/>
        </w:rPr>
        <w:t xml:space="preserve"> of </w:t>
      </w:r>
      <w:proofErr w:type="spellStart"/>
      <w:r w:rsidRPr="006B1274">
        <w:rPr>
          <w:rFonts w:ascii="Times New Roman" w:hAnsi="Times New Roman" w:cs="Times New Roman"/>
          <w:color w:val="000000"/>
          <w:sz w:val="20"/>
          <w:szCs w:val="20"/>
        </w:rPr>
        <w:t>qualified</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teachers</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hampers</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their</w:t>
      </w:r>
      <w:proofErr w:type="spellEnd"/>
      <w:r w:rsidRPr="006B1274">
        <w:rPr>
          <w:rFonts w:ascii="Times New Roman" w:hAnsi="Times New Roman" w:cs="Times New Roman"/>
          <w:color w:val="000000"/>
          <w:sz w:val="20"/>
          <w:szCs w:val="20"/>
        </w:rPr>
        <w:t xml:space="preserve"> school's </w:t>
      </w:r>
      <w:proofErr w:type="spellStart"/>
      <w:r w:rsidRPr="006B1274">
        <w:rPr>
          <w:rFonts w:ascii="Times New Roman" w:hAnsi="Times New Roman" w:cs="Times New Roman"/>
          <w:color w:val="000000"/>
          <w:sz w:val="20"/>
          <w:szCs w:val="20"/>
        </w:rPr>
        <w:t>capacity</w:t>
      </w:r>
      <w:proofErr w:type="spellEnd"/>
      <w:r w:rsidRPr="006B1274">
        <w:rPr>
          <w:rFonts w:ascii="Times New Roman" w:hAnsi="Times New Roman" w:cs="Times New Roman"/>
          <w:color w:val="000000"/>
          <w:sz w:val="20"/>
          <w:szCs w:val="20"/>
        </w:rPr>
        <w:t xml:space="preserve"> to </w:t>
      </w:r>
      <w:proofErr w:type="spellStart"/>
      <w:r w:rsidRPr="006B1274">
        <w:rPr>
          <w:rFonts w:ascii="Times New Roman" w:hAnsi="Times New Roman" w:cs="Times New Roman"/>
          <w:color w:val="000000"/>
          <w:sz w:val="20"/>
          <w:szCs w:val="20"/>
        </w:rPr>
        <w:t>provide</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quality</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instruction</w:t>
      </w:r>
      <w:proofErr w:type="spellEnd"/>
      <w:r w:rsidRPr="006B1274">
        <w:rPr>
          <w:rFonts w:ascii="Times New Roman" w:hAnsi="Times New Roman" w:cs="Times New Roman"/>
          <w:color w:val="000000"/>
          <w:sz w:val="20"/>
          <w:szCs w:val="20"/>
        </w:rPr>
        <w:t xml:space="preserve"> in Saudi Arabia (62%), Italy (41%), Brazil (40%), England (United Kingdom) (38%), France (36%), Japan (30%), the United States (24%), Türkiye (22%) and South Africa (22%)'.”</w:t>
      </w:r>
    </w:p>
    <w:p w14:paraId="618DBF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093C7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7B6293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FC54F0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F751E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6B25AA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EFBCB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CCA9E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42DCF2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2C713D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F5F760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C3F67C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7CD5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“Embora a maior parte do déficit ocorra na África Subsaariana, os países do G20 também são afetados. De acordo com os resultados de 2018 da Pesquisa Internacional de Ensino e Aprendizagem da OCDE (TALIS), mais de 20% dos diretores relatam que a escassez de professores qualificados dificulta a capacidade de sua escola de fornecer instrução de qualidade na Arábia Saudita (62%), Itália (41%), Brasil (40%), Inglaterra (Reino Unido) (38%), França (36%), Japão (30%), Estados Unidos (24%), Turquia (22%) e África do Sul (22%)'.”</w:t>
      </w:r>
    </w:p>
    <w:p w14:paraId="5B08D6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Fonte: https://g20.gov.br/pt-br/trilhas/trilha-de-sherpas/educacao</w:t>
      </w:r>
    </w:p>
    <w:p w14:paraId="7D2B66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__________________________________________</w:t>
      </w:r>
    </w:p>
    <w:p w14:paraId="05173CA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7DB371" w14:textId="76DD00B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Redatora: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C59F6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Postagem: 12/11/2024</w:t>
      </w:r>
    </w:p>
    <w:p w14:paraId="025D0C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Envio à Presidência: 18/11/2024</w:t>
      </w:r>
    </w:p>
    <w:p w14:paraId="46B0C8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FB04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lacuna em formar profissionais aptos ao ensino é uma das principais dificuldades dos novos tempos. </w:t>
      </w:r>
    </w:p>
    <w:p w14:paraId="66E07B5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E8F7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Isto porque se antes tínhamos um exemplo de modelo luso-brasileiro para educação em que muito se qualificava profissionais para a prática do ensino, mas poucas eram as oportunidades da porta de entrada para educação regular, hoje, com a democratização da educação e a alta demanda educacional de uma pirâmide etária inteiramente incluída no ciclo de educação, transformou professores e profissionais da educação em influenciadores.</w:t>
      </w:r>
    </w:p>
    <w:p w14:paraId="207822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C158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Esses, apesar de conteúdo programático pedagogicamente padronizado, deixam brechas para que dentro de suas individualidades professores e educadores desempenhem a educação com base em suas convicções e o melhor cenário para “atrair” e contribuir com a Educação extra-didaticamente.</w:t>
      </w:r>
    </w:p>
    <w:p w14:paraId="036B0A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71FE0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resultados estão sendo o antigo cenário de apartheid racial e baixo desempenho acadêmico por alunos, refletidos na qualidade e aplicabilidade do ensino em nossa rotina.</w:t>
      </w:r>
    </w:p>
    <w:p w14:paraId="7C2ADC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6B86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Temos inúmeros profissionais formados, mas com baixa participação em centros de desenvolvimento prático para aplicabilidade, além de alta rotação da educação à distância e intercâmbios, indicando a preparação da mão-de-obra em ensino e exportação para contribuição ao cenário brasileiro privatizado.</w:t>
      </w:r>
    </w:p>
    <w:p w14:paraId="1F0E4B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7B92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educação técnica nunca esteve tão em alta para capacitar a mão-de-obra brasileira, mas a forma não integrativa como desenvolvedores do processo de ensino, nos reduz a mera exploração e replicabilidade de ensino de influência externa.</w:t>
      </w:r>
    </w:p>
    <w:p w14:paraId="59B335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1AFA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 mais que se pense em educação globalizada e no processo de equidade, respeitar a identidade do País se faz necessário. </w:t>
      </w:r>
    </w:p>
    <w:p w14:paraId="6518711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B785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Como mencionado em meu perfil em outros textos, o cenário da agro-indústria, atualmente tem sido mais ofertada as grandes capitais, porém sem participação colaborativa de universitários no processo. Sendo transferida a responsabilidade e uma falsa autonomia somente em cenários altamente instáveis e de maior complexibilidade para reversão de baixos resultados.</w:t>
      </w:r>
    </w:p>
    <w:p w14:paraId="1C7FD8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ACB6D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Ou seja, temos inserido a nível universal alunos no processo da educação, mas sem real autonomia para desenvolvimento e abertura capacitativa para colaborar com idéias práticas de controle e redução de riscos em cenários de monopolização produtiva, reflexo da industrialização e obrigatoriedade de intervenção estatal.</w:t>
      </w:r>
    </w:p>
    <w:p w14:paraId="4FEF40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95EB7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reuniões do G20 e as parcerias colaborativas entre chefes de estado, tem sido um dos quesitos de maior peso para circular o debate socioeconômico da atualidade, quando por meio da influência via Redes Sociais a educação tem traçado novos rumos, mas como um processo em cadeia e binário regido por algoritmos, se iniciarmos em um molde anti-civilista e comunista de máximo radicalismo e imoralidades, os resultados à longo prazo, serão de uma pirâmide de jovens autoritários em suas bolhas sociais e convictos de conhecimento por acesso instantâneo, mas sem nenhuma lógica para aplicabilidade de forma eficaz.</w:t>
      </w:r>
    </w:p>
    <w:p w14:paraId="1A77ED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5D6B8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ações de controle envolvem não apenas jovens para garantia da formação plena e então preparação de civis aptos em capacitação à prestar o pleno serviço em cargos públicos, mas todo condicionamento da estrutura sócio-econômica de uma pirâmide social e etária.</w:t>
      </w:r>
    </w:p>
    <w:p w14:paraId="19821B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5DDD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Logo, a capacitação de jovens e adultos, no formato pedagógico do EJA e certificação de conclusão do ensino médio através do Exame Nacional (ENEM) para avaliar aos estudantes é o primeiro passo para integrar adultos e idosos no que tange a inclusão com responsabilidade, mas o cenário de analfabetismo, ainda é uma lacuna presente em nosso País.</w:t>
      </w:r>
    </w:p>
    <w:p w14:paraId="3F1A39A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21C5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Educação digital sem tutoria e adaptação prática não contribui para a plena formação. Por isso falar de equidade digital em um País de analfabetismo se torna não apenas um desafio quanto a estruturação da educação, como uma luta sócio-política do comportamento social dos Brasileiros, com alto consumo de drogas e atuação em favor do crime e informalidade ilícita subsidiada por organizações criminosas.</w:t>
      </w:r>
    </w:p>
    <w:p w14:paraId="66B414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7524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Como podemos individualmente mitigar os impactos? </w:t>
      </w:r>
    </w:p>
    <w:p w14:paraId="1A11E5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9D4F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resposta é simples, com ética e discernimento da absorção de conteúdos publicados em rede.</w:t>
      </w:r>
    </w:p>
    <w:p w14:paraId="1D07E38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B0161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Não veicule desinformação ou apologia ao crime organizado. A publicidade deste mercado mascara a escassez e precariedade de povos periféricos pelo alto entretenimento e contribui para o monopólio da publicidade informal. </w:t>
      </w:r>
    </w:p>
    <w:p w14:paraId="484C7A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F3FF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Não permita que jovens e adultos vulneráveis se tornem “escravos” de um mercado ilícito e violento. Busque uma comunicação interativa para promover a educação e disciplina de pessoas nesta situação.</w:t>
      </w:r>
    </w:p>
    <w:p w14:paraId="0392084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53F0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Cobre dos políticos e representantes sociais da sua cidade ações que promovam a reversão de um cenário de adultos em desolamento às drogas.</w:t>
      </w:r>
    </w:p>
    <w:p w14:paraId="733094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B65E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Ocupe e preencha seu tempo com ações saudáveis, cuide de sua saúde e principalmente replique hábitos saudáveis.</w:t>
      </w:r>
    </w:p>
    <w:p w14:paraId="545489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3B33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5C29A0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01F3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D731A4"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6F981F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Abertura BRICS Brasil 2025</w:t>
      </w:r>
    </w:p>
    <w:p w14:paraId="39F27B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7843A7" w14:textId="1FA9C05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EC81D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E3214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360F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ALIANÇA DE COOPERAÇÃO</w:t>
      </w:r>
    </w:p>
    <w:p w14:paraId="5EF5EB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Colaboração em educação profissional é foco de reunião do BRICS</w:t>
      </w:r>
    </w:p>
    <w:p w14:paraId="1B6676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EC01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Encontro reúne autoridades em Brasília para fortalecer parcerias, compartilhar boas práticas e impulsionar a inovação na formação técnico-profissional</w:t>
      </w:r>
    </w:p>
    <w:p w14:paraId="2D00F6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02C5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3 de jun de 2025 às 13:40</w:t>
      </w:r>
    </w:p>
    <w:p w14:paraId="1A54044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34ED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Países do BRICS se reúnem em Brasília para fortalecer a cooperação em Educação Profissional e Tecnológica - Fotos: Fábio </w:t>
      </w:r>
      <w:proofErr w:type="spellStart"/>
      <w:r w:rsidRPr="006B1274">
        <w:rPr>
          <w:rFonts w:ascii="Times New Roman" w:hAnsi="Times New Roman" w:cs="Times New Roman"/>
          <w:color w:val="000000"/>
          <w:sz w:val="20"/>
          <w:szCs w:val="20"/>
        </w:rPr>
        <w:t>Nakakura</w:t>
      </w:r>
      <w:proofErr w:type="spellEnd"/>
      <w:r w:rsidRPr="006B1274">
        <w:rPr>
          <w:rFonts w:ascii="Times New Roman" w:hAnsi="Times New Roman" w:cs="Times New Roman"/>
          <w:color w:val="000000"/>
          <w:sz w:val="20"/>
          <w:szCs w:val="20"/>
        </w:rPr>
        <w:t>/MEC</w:t>
      </w:r>
    </w:p>
    <w:p w14:paraId="1D99CB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fortalecimento da cooperação, o compartilhamento de melhores práticas e o fomento da inovação em educação profissional e tecnológica (EPT). Esses termos motivaram o encontro da Aliança de Cooperação em EPT do BRICS (BRICS-TCA, em inglês) nesta segunda-feira, em Brasília. A reunião contou com autoridades dos países do BRICS, que apresentaram experiências e estabeleceram diálogos, com foco na consolidação e criação de parcerias entre as instituições do grupo. </w:t>
      </w:r>
    </w:p>
    <w:p w14:paraId="302E9A6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E729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reunião foi mediada pelo assessor especial para Assuntos Internacionais do MEC e coordenador do BRICS Educação, Francisco Figueiredo de Souza. O assessor recordou a relevância da aliança no estabelecimento de uma "plataforma multilateral para o intercâmbio de experiências políticas e melhores práticas, incentivando a cooperação direta entre redes e instituições de EPT". Francisco lembrou, ainda, que a EPT foi posicionada como um dos destaques da semana em que também será realizada a reunião de ministros da Educação do BRICS. O encontro será na quinta-feira, 5 de junho, no Palácio Itamaraty, em Brasília, sendo um dos marcos da presidência rotativa do Brasil.  </w:t>
      </w:r>
    </w:p>
    <w:p w14:paraId="6D3C88D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5BD1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"As iniciativas em curso demonstram a crescente institucionalização da cooperação em EPT no âmbito do BRICS e ressaltam o papel da aliança como catalisadora de inovação e intercâmbio de políticas na área da educação técnica e profissional", reforçou o assessor. Entre as iniciativas já realizadas no âmbito da aliança citada, estão: conferências, formações on-line de capacitação de professores e encontros de estudantes dos países-membros.  </w:t>
      </w:r>
    </w:p>
    <w:p w14:paraId="4B8379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DBC4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Desde a sua criação, em 2022, a aliança reafirma o papel fundamental da EPT para o desenvolvimento socioeconômico das nações, em um momento de transformações no mundo do trabalho. Esse fato foi lembrado pelo secretário de Educação Profissional e Tecnológica do MEC, Marcelo </w:t>
      </w:r>
      <w:proofErr w:type="spellStart"/>
      <w:r w:rsidRPr="006B1274">
        <w:rPr>
          <w:rFonts w:ascii="Times New Roman" w:hAnsi="Times New Roman" w:cs="Times New Roman"/>
          <w:color w:val="000000"/>
          <w:sz w:val="20"/>
          <w:szCs w:val="20"/>
        </w:rPr>
        <w:t>Bregagnoli</w:t>
      </w:r>
      <w:proofErr w:type="spellEnd"/>
      <w:r w:rsidRPr="006B1274">
        <w:rPr>
          <w:rFonts w:ascii="Times New Roman" w:hAnsi="Times New Roman" w:cs="Times New Roman"/>
          <w:color w:val="000000"/>
          <w:sz w:val="20"/>
          <w:szCs w:val="20"/>
        </w:rPr>
        <w:t xml:space="preserve">. Na apresentação aos presentes, o secretário afirmou que a diversidade dos países do grupo "é uma riqueza que fortalece o espírito de colaboração e inovação que nos une". "Ao compartilhar boas práticas e experiências inovadoras, poderemos construir juntos caminhos mais inclusivos, sustentáveis e alinhados com as demandas atuais e futuras do mundo do trabalho", reforçou </w:t>
      </w:r>
      <w:proofErr w:type="spellStart"/>
      <w:r w:rsidRPr="006B1274">
        <w:rPr>
          <w:rFonts w:ascii="Times New Roman" w:hAnsi="Times New Roman" w:cs="Times New Roman"/>
          <w:color w:val="000000"/>
          <w:sz w:val="20"/>
          <w:szCs w:val="20"/>
        </w:rPr>
        <w:t>Bregagnoli</w:t>
      </w:r>
      <w:proofErr w:type="spellEnd"/>
      <w:r w:rsidRPr="006B1274">
        <w:rPr>
          <w:rFonts w:ascii="Times New Roman" w:hAnsi="Times New Roman" w:cs="Times New Roman"/>
          <w:color w:val="000000"/>
          <w:sz w:val="20"/>
          <w:szCs w:val="20"/>
        </w:rPr>
        <w:t xml:space="preserve">.  </w:t>
      </w:r>
    </w:p>
    <w:p w14:paraId="4307D9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20AD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secretário apresentou três desafios para a EPT que devem ser o foco da aliança, na avaliação da presidência rotativa do Brasil no BRICS:</w:t>
      </w:r>
    </w:p>
    <w:p w14:paraId="43B3FA5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98181F" w14:textId="74BD002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garantia de uma educação de qualidade que promova a inclusão s</w:t>
      </w:r>
      <w:r w:rsidR="003608D2" w:rsidRPr="006B1274">
        <w:rPr>
          <w:rFonts w:ascii="Times New Roman" w:hAnsi="Times New Roman" w:cs="Times New Roman"/>
          <w:color w:val="000000"/>
          <w:sz w:val="20"/>
          <w:szCs w:val="20"/>
        </w:rPr>
        <w:t>ó</w:t>
      </w:r>
      <w:r w:rsidRPr="006B1274">
        <w:rPr>
          <w:rFonts w:ascii="Times New Roman" w:hAnsi="Times New Roman" w:cs="Times New Roman"/>
          <w:color w:val="000000"/>
          <w:sz w:val="20"/>
          <w:szCs w:val="20"/>
        </w:rPr>
        <w:t>cio</w:t>
      </w:r>
      <w:r w:rsidR="00EA0D25"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produtiva dos jovens; </w:t>
      </w:r>
    </w:p>
    <w:p w14:paraId="67E25D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33EF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importância da TVET (</w:t>
      </w:r>
      <w:proofErr w:type="spellStart"/>
      <w:r w:rsidRPr="006B1274">
        <w:rPr>
          <w:rFonts w:ascii="Times New Roman" w:hAnsi="Times New Roman" w:cs="Times New Roman"/>
          <w:color w:val="000000"/>
          <w:sz w:val="20"/>
          <w:szCs w:val="20"/>
        </w:rPr>
        <w:t>Technical</w:t>
      </w:r>
      <w:proofErr w:type="spellEnd"/>
      <w:r w:rsidRPr="006B1274">
        <w:rPr>
          <w:rFonts w:ascii="Times New Roman" w:hAnsi="Times New Roman" w:cs="Times New Roman"/>
          <w:color w:val="000000"/>
          <w:sz w:val="20"/>
          <w:szCs w:val="20"/>
        </w:rPr>
        <w:t xml:space="preserve"> and </w:t>
      </w:r>
      <w:proofErr w:type="spellStart"/>
      <w:r w:rsidRPr="006B1274">
        <w:rPr>
          <w:rFonts w:ascii="Times New Roman" w:hAnsi="Times New Roman" w:cs="Times New Roman"/>
          <w:color w:val="000000"/>
          <w:sz w:val="20"/>
          <w:szCs w:val="20"/>
        </w:rPr>
        <w:t>Vocational</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Education</w:t>
      </w:r>
      <w:proofErr w:type="spellEnd"/>
      <w:r w:rsidRPr="006B1274">
        <w:rPr>
          <w:rFonts w:ascii="Times New Roman" w:hAnsi="Times New Roman" w:cs="Times New Roman"/>
          <w:color w:val="000000"/>
          <w:sz w:val="20"/>
          <w:szCs w:val="20"/>
        </w:rPr>
        <w:t xml:space="preserve"> and Training, em inglês) para o desenvolvimento socioeconômico dos países do BRICS; </w:t>
      </w:r>
    </w:p>
    <w:p w14:paraId="4D7371D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E447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 o uso de novas tecnologias e processos inovadores na formação técnico-profissional. </w:t>
      </w:r>
    </w:p>
    <w:p w14:paraId="30A3BB3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5155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 debate, os participantes foram convidados a apresentar suas experiências na promoção da EPT a partir dos temas "Acesso, permanência e êxito de jovens na Educação Profissional e Tecnológica", "Educação Profissional e Tecnológica e desenvolvimento nacional" e "Inovação".  </w:t>
      </w:r>
    </w:p>
    <w:p w14:paraId="0F5129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7B91C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secretário Marcelo </w:t>
      </w:r>
      <w:proofErr w:type="spellStart"/>
      <w:r w:rsidRPr="006B1274">
        <w:rPr>
          <w:rFonts w:ascii="Times New Roman" w:hAnsi="Times New Roman" w:cs="Times New Roman"/>
          <w:color w:val="000000"/>
          <w:sz w:val="20"/>
          <w:szCs w:val="20"/>
        </w:rPr>
        <w:t>Bregagnoli</w:t>
      </w:r>
      <w:proofErr w:type="spellEnd"/>
      <w:r w:rsidRPr="006B1274">
        <w:rPr>
          <w:rFonts w:ascii="Times New Roman" w:hAnsi="Times New Roman" w:cs="Times New Roman"/>
          <w:color w:val="000000"/>
          <w:sz w:val="20"/>
          <w:szCs w:val="20"/>
        </w:rPr>
        <w:t xml:space="preserve"> destacou as políticas desenvolvidas no âmbito do MEC e lembrou a relevância da Rede Federal Educação Profissional, Científica e Tecnológica, criada em 2008 pelo então presidente Luiz Inácio Lula da Silva, por meio da Lei nº 11.892.</w:t>
      </w:r>
    </w:p>
    <w:p w14:paraId="537CCE5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0591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Parceria internacional</w:t>
      </w:r>
    </w:p>
    <w:p w14:paraId="4EB8A69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DBE5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encontro, os delegados foram convidados a apresentar suas experiências na promoção da EPT - Foto: Audiovisual / BRICS Brasil</w:t>
      </w:r>
    </w:p>
    <w:p w14:paraId="3B04B46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8A34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representantes dos países do BRICS foram convidados a falar sobre as experiências locais e estimulados a trocar experiências com as autoridades brasileiras. Diretor da área de cooperação em educação profissional da Associação Chinesa de Intercâmbio Educacional Internacional (CEAIE), </w:t>
      </w:r>
      <w:proofErr w:type="spellStart"/>
      <w:r w:rsidRPr="006B1274">
        <w:rPr>
          <w:rFonts w:ascii="Times New Roman" w:hAnsi="Times New Roman" w:cs="Times New Roman"/>
          <w:color w:val="000000"/>
          <w:sz w:val="20"/>
          <w:szCs w:val="20"/>
        </w:rPr>
        <w:t>Zhai</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Jinming</w:t>
      </w:r>
      <w:proofErr w:type="spellEnd"/>
      <w:r w:rsidRPr="006B1274">
        <w:rPr>
          <w:rFonts w:ascii="Times New Roman" w:hAnsi="Times New Roman" w:cs="Times New Roman"/>
          <w:color w:val="000000"/>
          <w:sz w:val="20"/>
          <w:szCs w:val="20"/>
        </w:rPr>
        <w:t xml:space="preserve"> afirmou que a China deseja expandir essa cooperação globalmente e a "comunicação entre China e Brasil está se tornando cada vez mais próxima, especialmente no contexto da expansão e do aprofundamento da cooperação industrial". "Acredito que a relação amistosa entre China e Brasil será duradoura e cada vez mais fortalecida no futuro. A TCA, como podem perceber, também está se tornando cada vez maior", afirmou.</w:t>
      </w:r>
    </w:p>
    <w:p w14:paraId="570A25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4782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 o representante chinês, a BRICS-TCA tem contribuído muito para a cooperação no campo da educação profissional entre os países do BRICS, por meio de intercâmbio de professores e estudantes, pesquisas conjuntas e capacitações, especialmente na formação de professores. "Acredito que o conteúdo dessa cooperação será cada vez mais amplo e que os intercâmbios e parcerias se tornarão cada vez mais profundos, pois a educação profissional e tecnológica é vital para os jovens, para a empregabilidade e para o desenvolvimento social e econômico de todos os países", completou </w:t>
      </w:r>
      <w:proofErr w:type="spellStart"/>
      <w:r w:rsidRPr="006B1274">
        <w:rPr>
          <w:rFonts w:ascii="Times New Roman" w:hAnsi="Times New Roman" w:cs="Times New Roman"/>
          <w:color w:val="000000"/>
          <w:sz w:val="20"/>
          <w:szCs w:val="20"/>
        </w:rPr>
        <w:t>Jinming</w:t>
      </w:r>
      <w:proofErr w:type="spellEnd"/>
      <w:r w:rsidRPr="006B1274">
        <w:rPr>
          <w:rFonts w:ascii="Times New Roman" w:hAnsi="Times New Roman" w:cs="Times New Roman"/>
          <w:color w:val="000000"/>
          <w:sz w:val="20"/>
          <w:szCs w:val="20"/>
        </w:rPr>
        <w:t>.</w:t>
      </w:r>
    </w:p>
    <w:p w14:paraId="41645B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1DFD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Segundo o diretor, a BRICS-TCA deve contribuir significativamente para a educação profissional e tecnológica (TVET) em todo o mundo, em nome do Sul Global, das economias emergentes e de outros países. O encontro também contou com representantes do Egito, da Etiópia, da Índia, da Indonésia, da Rússia, da África do Sul e dos Emirados Árabes Unidos.  </w:t>
      </w:r>
    </w:p>
    <w:p w14:paraId="13894E5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8EAA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Agenda</w:t>
      </w:r>
    </w:p>
    <w:p w14:paraId="1D29531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65C6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programação do grupo de educação do BRICS segue ao longo da semana. Nesta terça-feira, 3 de junho, será realizado um seminário voltado para os líderes de instituições de EPT do BRICS, na sede do MEC. Na programação, estão previstos debates sobre inclusão social, desenvolvimento nacional e empregabilidade, na EPT. No mesmo dia, também está prevista a 3ª Reunião de Altos Funcionários de Educação do BRICS, que será realizada no Serpro.   </w:t>
      </w:r>
    </w:p>
    <w:p w14:paraId="3C7207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9837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 dia 4 de junho, delegados internacionais farão uma visita técnica ao Instituto Federal de Brasília (IFB), campus Riacho Fundo. Estudantes do curso técnico de cozinha, superior de gastronomia e licenciatura em letras (inglês) compartilharão experiências e farão demonstrações práticas para as delegações do BRICS.   </w:t>
      </w:r>
    </w:p>
    <w:p w14:paraId="53A8AC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E49D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dia 5 de junho, o ministro da Educação, Camilo Santana, será o anfitrião da 12ª Reunião dos Ministros da Educação dos BRICS. O encontro revisará as prioridades do Brasil para a cooperação educacional no grupo em 2025.</w:t>
      </w:r>
    </w:p>
    <w:p w14:paraId="4575E6A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1D93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Além dos ministros da Educação do BRICS, a agenda contará com a participação da secretária de Educação Básica do MEC, </w:t>
      </w:r>
      <w:proofErr w:type="spellStart"/>
      <w:r w:rsidRPr="006B1274">
        <w:rPr>
          <w:rFonts w:ascii="Times New Roman" w:hAnsi="Times New Roman" w:cs="Times New Roman"/>
          <w:color w:val="000000"/>
          <w:sz w:val="20"/>
          <w:szCs w:val="20"/>
        </w:rPr>
        <w:t>Kátia</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Schweickardt</w:t>
      </w:r>
      <w:proofErr w:type="spellEnd"/>
      <w:r w:rsidRPr="006B1274">
        <w:rPr>
          <w:rFonts w:ascii="Times New Roman" w:hAnsi="Times New Roman" w:cs="Times New Roman"/>
          <w:color w:val="000000"/>
          <w:sz w:val="20"/>
          <w:szCs w:val="20"/>
        </w:rPr>
        <w:t xml:space="preserve">; do secretário de Educação Profissional e Tecnológica do MEC, Marcelo </w:t>
      </w:r>
      <w:proofErr w:type="spellStart"/>
      <w:r w:rsidRPr="006B1274">
        <w:rPr>
          <w:rFonts w:ascii="Times New Roman" w:hAnsi="Times New Roman" w:cs="Times New Roman"/>
          <w:color w:val="000000"/>
          <w:sz w:val="20"/>
          <w:szCs w:val="20"/>
        </w:rPr>
        <w:t>Bregagnoli</w:t>
      </w:r>
      <w:proofErr w:type="spellEnd"/>
      <w:r w:rsidRPr="006B1274">
        <w:rPr>
          <w:rFonts w:ascii="Times New Roman" w:hAnsi="Times New Roman" w:cs="Times New Roman"/>
          <w:color w:val="000000"/>
          <w:sz w:val="20"/>
          <w:szCs w:val="20"/>
        </w:rPr>
        <w:t>; do secretário de Educação Superior do MEC, Marcus Vinicius David; do presidente do Instituto Nacional de Estudos e Pesquisas Educacionais (</w:t>
      </w:r>
      <w:proofErr w:type="spellStart"/>
      <w:r w:rsidRPr="006B1274">
        <w:rPr>
          <w:rFonts w:ascii="Times New Roman" w:hAnsi="Times New Roman" w:cs="Times New Roman"/>
          <w:color w:val="000000"/>
          <w:sz w:val="20"/>
          <w:szCs w:val="20"/>
        </w:rPr>
        <w:t>Inep</w:t>
      </w:r>
      <w:proofErr w:type="spellEnd"/>
      <w:r w:rsidRPr="006B1274">
        <w:rPr>
          <w:rFonts w:ascii="Times New Roman" w:hAnsi="Times New Roman" w:cs="Times New Roman"/>
          <w:color w:val="000000"/>
          <w:sz w:val="20"/>
          <w:szCs w:val="20"/>
        </w:rPr>
        <w:t xml:space="preserve">), Manuel Palácios; entre outras autoridades da educação brasileira. </w:t>
      </w:r>
    </w:p>
    <w:p w14:paraId="24A77D4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7EFE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trabalhos se encerram nos dias 6 e 7 de junho, com a realização do Fórum de Reitores das Universidades do BRICS, no Rio de Janeiro.</w:t>
      </w:r>
    </w:p>
    <w:p w14:paraId="4B0442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853B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Informações Completas Disponíveis em:</w:t>
      </w:r>
    </w:p>
    <w:p w14:paraId="7B3B03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F32F00" w14:textId="77777777" w:rsidR="001C11E3" w:rsidRPr="00811D29" w:rsidRDefault="00576533" w:rsidP="00B36B27">
      <w:pPr>
        <w:spacing w:before="240" w:after="240" w:line="360" w:lineRule="auto"/>
        <w:rPr>
          <w:rFonts w:ascii="Times New Roman" w:hAnsi="Times New Roman" w:cs="Times New Roman"/>
          <w:color w:val="000000"/>
          <w:sz w:val="20"/>
          <w:szCs w:val="20"/>
        </w:rPr>
      </w:pPr>
      <w:hyperlink r:id="rId22">
        <w:r w:rsidRPr="00811D29">
          <w:rPr>
            <w:rFonts w:ascii="Times New Roman" w:hAnsi="Times New Roman" w:cs="Times New Roman"/>
            <w:color w:val="000000"/>
            <w:sz w:val="20"/>
            <w:szCs w:val="20"/>
          </w:rPr>
          <w:t>https://brics.br/pt-br/noticias/colaboracao-em-educacao-profissional-e-foco-de-reuniao-do-brics</w:t>
        </w:r>
      </w:hyperlink>
    </w:p>
    <w:p w14:paraId="095EE72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D64F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SEMANA NACIONAL DO MEIO AMBIENTE</w:t>
      </w:r>
    </w:p>
    <w:p w14:paraId="70B8CC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06 de Junho de 2025.</w:t>
      </w:r>
    </w:p>
    <w:p w14:paraId="7C9D04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 amplia área de reconhecimento ambiental em preservação ecológica. Metas em desempenho à década de Recuperação Ambiental (2021-2030) do acordo de Metas Sustentáveis da ONU e Marco atingido em financiamento pela Transição Verde e Energética das intenções acerca do Mercado Regulável de Carbono.</w:t>
      </w:r>
    </w:p>
    <w:p w14:paraId="2EBE3B2F" w14:textId="31E19E6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2F13F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C13AD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EF07C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120A37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F4C4E5" w14:textId="731615C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5325A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7C52F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BAD6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06 de Junho de 2025 | 16:30 PM</w:t>
      </w:r>
    </w:p>
    <w:p w14:paraId="74D03A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5CCAB8" w14:textId="7219529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Finalizado na data de ontem (5), o 11º </w:t>
      </w:r>
      <w:r w:rsidR="002543B5" w:rsidRPr="006B1274">
        <w:rPr>
          <w:rFonts w:ascii="Times New Roman" w:hAnsi="Times New Roman" w:cs="Times New Roman"/>
          <w:color w:val="000000"/>
          <w:sz w:val="20"/>
          <w:szCs w:val="20"/>
        </w:rPr>
        <w:t>Fóru</w:t>
      </w:r>
      <w:r w:rsidRPr="006B1274">
        <w:rPr>
          <w:rFonts w:ascii="Times New Roman" w:hAnsi="Times New Roman" w:cs="Times New Roman"/>
          <w:color w:val="000000"/>
          <w:sz w:val="20"/>
          <w:szCs w:val="20"/>
        </w:rPr>
        <w:t>m Parlamentar do BRICS Brasil 2025. Em Brasília, durante os dias 03/06 à 05/06 representantes Parlamentares instituíram ações de Temáticas em Desenvolvimento Social de forma Sustentável por Pautas Globais em Redução de Impacto às Mudanças Climáticas, Transição Digital e Equidade ao Acesso Democrático de Informação em Governo Digital e Recursos Tecnológicos como a Inteligência Artificial. Essas as principais temáticas ao que tange educação e processo de responsabilidade de Nações e Instituições com o processo consultório em Políticas Públicas.</w:t>
      </w:r>
    </w:p>
    <w:p w14:paraId="49D9DE1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2B06AE" w14:textId="2D42387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6 eixos temáticos debatidos foram dentro das propostas documentais de Relatório Oficial da Reunião de Cúpulas do G20 Brasil e Sociedade Civil, entregue aos representantes Parlamentares com foco em Bloco Econômico de Aliança extra-eixo Sul Global, com o BRICS, incluindo países do Hemisfério Norte e Oriente Médio. Os 6 pontos principais, todos seguindo compromisso Ético-Diplom</w:t>
      </w:r>
      <w:r w:rsidR="002543B5" w:rsidRPr="006B1274">
        <w:rPr>
          <w:rFonts w:ascii="Times New Roman" w:hAnsi="Times New Roman" w:cs="Times New Roman"/>
          <w:color w:val="000000"/>
          <w:sz w:val="20"/>
          <w:szCs w:val="20"/>
        </w:rPr>
        <w:t>á</w:t>
      </w:r>
      <w:r w:rsidRPr="006B1274">
        <w:rPr>
          <w:rFonts w:ascii="Times New Roman" w:hAnsi="Times New Roman" w:cs="Times New Roman"/>
          <w:color w:val="000000"/>
          <w:sz w:val="20"/>
          <w:szCs w:val="20"/>
        </w:rPr>
        <w:t>tico foram:</w:t>
      </w:r>
    </w:p>
    <w:p w14:paraId="7BAC1C9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D2F0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Aliança em prol da Saúde Global</w:t>
      </w:r>
    </w:p>
    <w:p w14:paraId="7B6812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Clima e Sustentabilidade</w:t>
      </w:r>
    </w:p>
    <w:p w14:paraId="62A85E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Desenvolvimento Econômico Sustentável</w:t>
      </w:r>
    </w:p>
    <w:p w14:paraId="7050B3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Educação e Equidade Digital (Recursos de IA)</w:t>
      </w:r>
    </w:p>
    <w:p w14:paraId="631459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Cooperações em prol da Paz e Segurança entre Nações </w:t>
      </w:r>
    </w:p>
    <w:p w14:paraId="1EB1D7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Reforço dos Laços em Acordos Cooperacionais </w:t>
      </w:r>
    </w:p>
    <w:p w14:paraId="2796DA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5359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Extra Fórum - Assuntos Internacionais da Semana</w:t>
      </w:r>
    </w:p>
    <w:p w14:paraId="559DB4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32ED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Queda do Dólar ao menor Patamar de 2025:</w:t>
      </w:r>
    </w:p>
    <w:p w14:paraId="22BE9B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55B43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Redução de Inteligência Artificial com abertura de Postos de Trabalho nos EUA após Isolamento Social por Pandemia de COVID-19</w:t>
      </w:r>
    </w:p>
    <w:p w14:paraId="1932FA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B0C82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Tarifas Competitivas para redução de produção chinesa e aumento de preços em produtos finais por competitividade econômica</w:t>
      </w:r>
    </w:p>
    <w:p w14:paraId="3FFC4A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BB51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Aumento de Passivos Estatais em Bolsa por indenizações de vítimas de Catástrofes Climáticas subsidiado por Multinacionais e Brasileiros Imigrantes do Setor de Siderurgia transferidos em Ativos Americanos</w:t>
      </w:r>
    </w:p>
    <w:p w14:paraId="493839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0E47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Saúde Global e Saneamento</w:t>
      </w:r>
    </w:p>
    <w:p w14:paraId="77E998B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93E9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Debate em Fórum para incentivo de financiamento à vacinas e medicamentos para extensão de cobertura de tratamentos de saúde gratuito pelo SUS</w:t>
      </w:r>
    </w:p>
    <w:p w14:paraId="607DA1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B751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Veto à regularização da Maconha como Cannabis Medicinal</w:t>
      </w:r>
    </w:p>
    <w:p w14:paraId="69CB3B3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AB507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Política de Enfrentamento às drogas e evacuação da área da Cracolândia em São Paulo</w:t>
      </w:r>
    </w:p>
    <w:p w14:paraId="2B3BF5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4E8F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Sustentabilidade </w:t>
      </w:r>
    </w:p>
    <w:p w14:paraId="7ED1CA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59EF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Aumento de áreas de Preservação </w:t>
      </w:r>
    </w:p>
    <w:p w14:paraId="024A82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73A2C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Reconhecimento de metas de preservação e recuperação ambiental (2021-2030) pela ONU e Protocolo de Paris</w:t>
      </w:r>
    </w:p>
    <w:p w14:paraId="1238516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970A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Integração e eficiência dos Centros de Monitoramento Operacionais como Plano de Redução de Impactos à Catástrofes Climáticas e Mudança de Clima</w:t>
      </w:r>
    </w:p>
    <w:p w14:paraId="5E6A3C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ACD7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Desenvolvimento Econômico </w:t>
      </w:r>
    </w:p>
    <w:p w14:paraId="7DE568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F762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Plano de Equidade e Eficiência Digital de transição Administrativa do Governo Digital</w:t>
      </w:r>
    </w:p>
    <w:p w14:paraId="018F91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C171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Planos Sustentáveis da Nova Indústria Brasil 4.0, mapeamento de riscos e oportunidades do setor</w:t>
      </w:r>
    </w:p>
    <w:p w14:paraId="4730A76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93A4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Acordo de Paz e Segurança </w:t>
      </w:r>
    </w:p>
    <w:p w14:paraId="2B0EA9F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9C45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Principais negociações para acordo e intenção de Paz em Países do eixo do Oriente Médio e Bloco Econômico do BRICS Brasil 2025</w:t>
      </w:r>
    </w:p>
    <w:p w14:paraId="42352C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0B9C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Investimento em Tecnologia e Treinamento para plano efetivo de Segurança Nacionais e Regionais</w:t>
      </w:r>
    </w:p>
    <w:p w14:paraId="1192366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3EED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Acordos Cooperacionais</w:t>
      </w:r>
    </w:p>
    <w:p w14:paraId="56249C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8BBF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Sistema de Difusão em Comunicação para integração Ética-Diplomática na eficiência e transparência de ações em melhoria dos Direitos Civis e Ordem do Estado</w:t>
      </w:r>
    </w:p>
    <w:p w14:paraId="6D3435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E87A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Mapeamento de Riscos e Oportunidades no impacto das ações </w:t>
      </w:r>
    </w:p>
    <w:p w14:paraId="1FA9BBE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9AB9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Denúncias e Monitoramento de Corrupção por Green </w:t>
      </w:r>
      <w:proofErr w:type="spellStart"/>
      <w:r w:rsidRPr="006B1274">
        <w:rPr>
          <w:rFonts w:ascii="Times New Roman" w:hAnsi="Times New Roman" w:cs="Times New Roman"/>
          <w:color w:val="000000"/>
          <w:sz w:val="20"/>
          <w:szCs w:val="20"/>
        </w:rPr>
        <w:t>Wash</w:t>
      </w:r>
      <w:proofErr w:type="spellEnd"/>
      <w:r w:rsidRPr="006B1274">
        <w:rPr>
          <w:rFonts w:ascii="Times New Roman" w:hAnsi="Times New Roman" w:cs="Times New Roman"/>
          <w:color w:val="000000"/>
          <w:sz w:val="20"/>
          <w:szCs w:val="20"/>
        </w:rPr>
        <w:t xml:space="preserve"> Social</w:t>
      </w:r>
    </w:p>
    <w:p w14:paraId="43D8C2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B32D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TV Senado</w:t>
      </w:r>
    </w:p>
    <w:p w14:paraId="0DF63E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RJTV, Bom Dia Rio e g1 Rio</w:t>
      </w:r>
    </w:p>
    <w:p w14:paraId="3ABF3D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A245B8" w14:textId="12D2484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4D59866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7E84E5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4B5B69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0CEEBF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3E39CA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4A108F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784CE07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384BB0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4AB3DB0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70E5E2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3E2760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07A019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23FFF8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2DE78A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AFDF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442186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4457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A HORA DA DIP </w:t>
      </w:r>
      <w:r w:rsidRPr="006B1274">
        <w:rPr>
          <w:rFonts w:ascii="Apple Color Emoji" w:hAnsi="Apple Color Emoji" w:cs="Apple Color Emoji"/>
          <w:color w:val="000000"/>
          <w:sz w:val="20"/>
          <w:szCs w:val="20"/>
        </w:rPr>
        <w:t>💬</w:t>
      </w:r>
    </w:p>
    <w:p w14:paraId="39D5F2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100 anos de Imprensa Brasileira</w:t>
      </w:r>
    </w:p>
    <w:p w14:paraId="5FB499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66DC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3B3073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C001C8" w14:textId="7E63880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D6376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D112D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70A50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07 de Junho de 2025.</w:t>
      </w:r>
    </w:p>
    <w:p w14:paraId="01B76F9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41CB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 Dia Nacional da Liberdade de Imprensa, </w:t>
      </w:r>
      <w:proofErr w:type="spellStart"/>
      <w:r w:rsidRPr="006B1274">
        <w:rPr>
          <w:rFonts w:ascii="Times New Roman" w:hAnsi="Times New Roman" w:cs="Times New Roman"/>
          <w:color w:val="000000"/>
          <w:sz w:val="20"/>
          <w:szCs w:val="20"/>
        </w:rPr>
        <w:t>Aleam</w:t>
      </w:r>
      <w:proofErr w:type="spellEnd"/>
      <w:r w:rsidRPr="006B1274">
        <w:rPr>
          <w:rFonts w:ascii="Times New Roman" w:hAnsi="Times New Roman" w:cs="Times New Roman"/>
          <w:color w:val="000000"/>
          <w:sz w:val="20"/>
          <w:szCs w:val="20"/>
        </w:rPr>
        <w:t xml:space="preserve"> destaca a importância dessa atividade profissional para a democracia</w:t>
      </w:r>
    </w:p>
    <w:p w14:paraId="7827E14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FB8A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 Diretoria de Comunicação / </w:t>
      </w:r>
      <w:proofErr w:type="spellStart"/>
      <w:r w:rsidRPr="006B1274">
        <w:rPr>
          <w:rFonts w:ascii="Times New Roman" w:hAnsi="Times New Roman" w:cs="Times New Roman"/>
          <w:color w:val="000000"/>
          <w:sz w:val="20"/>
          <w:szCs w:val="20"/>
        </w:rPr>
        <w:t>Aleam</w:t>
      </w:r>
      <w:proofErr w:type="spellEnd"/>
    </w:p>
    <w:p w14:paraId="48F5E7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07.JUN. 2025 11:32h</w:t>
      </w:r>
    </w:p>
    <w:p w14:paraId="1CB4261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26E70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Dia Nacional da Liberdade de Imprensa, celebrado em 7 de junho, destaca a importância do jornalismo responsável na construção de uma sociedade democrática. A data reforça o direito fundamental da população ao acesso à informação transparente e sem interferências políticas ou econômicas.</w:t>
      </w:r>
    </w:p>
    <w:p w14:paraId="5D7AA0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62E93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INTERNACIONAL</w:t>
      </w:r>
    </w:p>
    <w:p w14:paraId="219958F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F5E2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COMITIVA DE IMPRENSA </w:t>
      </w:r>
      <w:r w:rsidRPr="006B1274">
        <w:rPr>
          <w:rFonts w:ascii="Apple Color Emoji" w:hAnsi="Apple Color Emoji" w:cs="Apple Color Emoji"/>
          <w:color w:val="000000"/>
          <w:sz w:val="20"/>
          <w:szCs w:val="20"/>
        </w:rPr>
        <w:t>📺</w:t>
      </w:r>
    </w:p>
    <w:p w14:paraId="7DF977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07 de Junho de 2025.</w:t>
      </w:r>
    </w:p>
    <w:p w14:paraId="666A5D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Trump Convoca Coletiva de Imprensa</w:t>
      </w:r>
    </w:p>
    <w:p w14:paraId="198E85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Semana com Reflexos Econômicos em Dólar </w:t>
      </w:r>
    </w:p>
    <w:p w14:paraId="0B9E79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94F4C0" w14:textId="68EBFE2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27E5E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Temática Social: Do Social para as Redes Sociais, a Importância da Representatividade Ética Profissional Feminina em Tempos Digitais. </w:t>
      </w:r>
    </w:p>
    <w:p w14:paraId="04F5FB5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B8C4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Saída de Elon Musk à frente do Governo Norte-Americano e redução de Inteligência Artificial em participação Industrial Pós-Pandemia de COVID-19, dá espaço à abertura de postos de trabalho e retomada de Produção nos EUA com taxações à China para equilíbrio econômico em competitividade de mercado.</w:t>
      </w:r>
    </w:p>
    <w:p w14:paraId="2A535D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4794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Bilionário da montadora Tesla, também é um dos financiadores de Projetos em Neurociência, como o </w:t>
      </w:r>
      <w:proofErr w:type="spellStart"/>
      <w:r w:rsidRPr="006B1274">
        <w:rPr>
          <w:rFonts w:ascii="Times New Roman" w:hAnsi="Times New Roman" w:cs="Times New Roman"/>
          <w:color w:val="000000"/>
          <w:sz w:val="20"/>
          <w:szCs w:val="20"/>
        </w:rPr>
        <w:t>Neuralink</w:t>
      </w:r>
      <w:proofErr w:type="spellEnd"/>
      <w:r w:rsidRPr="006B1274">
        <w:rPr>
          <w:rFonts w:ascii="Times New Roman" w:hAnsi="Times New Roman" w:cs="Times New Roman"/>
          <w:color w:val="000000"/>
          <w:sz w:val="20"/>
          <w:szCs w:val="20"/>
        </w:rPr>
        <w:t xml:space="preserve"> e Estudos Científicos de Drogas Alternativas como Tratamento Paliativo.</w:t>
      </w:r>
    </w:p>
    <w:p w14:paraId="642399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BBB30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b/>
          <w:bCs/>
          <w:color w:val="000000"/>
          <w:sz w:val="20"/>
          <w:szCs w:val="20"/>
        </w:rPr>
        <w:t xml:space="preserve"> LET’S CHAT - PUBLICITÁRIA EXPLICA</w:t>
      </w:r>
    </w:p>
    <w:p w14:paraId="6FCFC78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Demografia Brasileira - Colonização à Industrialização</w:t>
      </w:r>
    </w:p>
    <w:p w14:paraId="1126FB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Educação como Instrumento Civilizatório</w:t>
      </w:r>
    </w:p>
    <w:p w14:paraId="1F8E661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F017FD" w14:textId="71FB298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9D51A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F5D05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9CA0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07 de Junho de 2025 | 22:20 PM</w:t>
      </w:r>
    </w:p>
    <w:p w14:paraId="49BA09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020F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evolução humana é algo correlato desde processos paleolíticos, escrituras bíblicas e relatos científicos que compreendemos até os dias atuais como uma cíclica necessidade de adaptação humana ao ciclo da vida.</w:t>
      </w:r>
    </w:p>
    <w:p w14:paraId="470D28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CE4F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Cultura é o ponto em comum nos 3 períodos. Afinal é através da Cultura que encontramos nossa identidade com o elo de passado e futuro. E é através de históricos que formamos o conjunto de elementos necessários de identificação e pertencimento.</w:t>
      </w:r>
    </w:p>
    <w:p w14:paraId="2BDD4E9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1D4E6C" w14:textId="74CB2B9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Sociodemograficamente, a formação do ser humano estabelece o conjunto de leis, regras cívicas, conduta ética-moral e o conhecimento a</w:t>
      </w:r>
      <w:r w:rsidR="007A4A7D" w:rsidRPr="006B1274">
        <w:rPr>
          <w:rFonts w:ascii="Times New Roman" w:hAnsi="Times New Roman" w:cs="Times New Roman"/>
          <w:color w:val="000000"/>
          <w:sz w:val="20"/>
          <w:szCs w:val="20"/>
        </w:rPr>
        <w:t>d</w:t>
      </w:r>
      <w:r w:rsidRPr="006B1274">
        <w:rPr>
          <w:rFonts w:ascii="Times New Roman" w:hAnsi="Times New Roman" w:cs="Times New Roman"/>
          <w:color w:val="000000"/>
          <w:sz w:val="20"/>
          <w:szCs w:val="20"/>
        </w:rPr>
        <w:t>quirido pela educação na formação de cidadãos aptos à profissão e a postulação profissional em colaboração com o espaço o qual habita.</w:t>
      </w:r>
    </w:p>
    <w:p w14:paraId="5356755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DFE7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dever do Estado previsto em Constituição a garantia dos Direitos Universais ao que tange Direitos Humanos regidos em Carta Magna Universal. Direito à Saúde, Educação, Saneamento, Seguridade Social, Segurança, Cultura, Desporto e Lazer. Todos ligados ao Desenvolvimento Social, no papel de formação humana com dignidade e respeitabilidade ao bem maior, a VIDA. Desdobrando em seu viés o vínculo de adaptação e sustentabilidade com o Meio Ambiente, sendo dever de todo cidadão a garantia da segurança e preservação do território ao qual habita e o Meio Ambiente, sendo o Planeta elemento comum à todos seres vivos.</w:t>
      </w:r>
    </w:p>
    <w:p w14:paraId="46B4135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555FB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através da informação que adquirimos conhecimento e levamos à gerações a sabedoria necessária para existir e colaborar com o local a que se habita.</w:t>
      </w:r>
    </w:p>
    <w:p w14:paraId="4E926E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2B18C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Promulgação Constituinte em 1988, e acesso democrático à informação, é o que prevê em Direitos e Código de Conduta a relação Indivíduo e Estado.</w:t>
      </w:r>
    </w:p>
    <w:p w14:paraId="5073AEF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0C75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55F6315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CF42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0A29A0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0F2D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3352DCA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E6C9B5" w14:textId="77777777" w:rsidR="001C11E3"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Confira abaixo informações de Darcy Ribeiro, Oscar Niemeyer, Lúcio Costa e Gustavo Capanema pioneiros em inovação e modernismo brasileiro em estruturação da Identidade socioeconômica e cultural da América do Sul, ultrapassando fronteiras e colaborando em postulação brasileira com o Patrimônio Mundial, assim como a ONU e eixo econômico do BRICS Brasil 2025, em Século XXI em seu propósito </w:t>
      </w:r>
      <w:proofErr w:type="spellStart"/>
      <w:r w:rsidRPr="006B1274">
        <w:rPr>
          <w:rFonts w:ascii="Times New Roman" w:hAnsi="Times New Roman" w:cs="Times New Roman"/>
          <w:color w:val="000000"/>
          <w:sz w:val="20"/>
          <w:szCs w:val="20"/>
        </w:rPr>
        <w:t>Cooperacional</w:t>
      </w:r>
      <w:proofErr w:type="spellEnd"/>
      <w:r w:rsidRPr="006B1274">
        <w:rPr>
          <w:rFonts w:ascii="Times New Roman" w:hAnsi="Times New Roman" w:cs="Times New Roman"/>
          <w:color w:val="000000"/>
          <w:sz w:val="20"/>
          <w:szCs w:val="20"/>
        </w:rPr>
        <w:t xml:space="preserve"> entre Nações. Configurando as diferentes fases de civilização em visão universal: </w:t>
      </w:r>
    </w:p>
    <w:p w14:paraId="43D344AC" w14:textId="77777777" w:rsidR="009A1AD3" w:rsidRPr="006B1274" w:rsidRDefault="009A1AD3" w:rsidP="00B36B27">
      <w:pPr>
        <w:spacing w:before="240" w:after="240" w:line="360" w:lineRule="auto"/>
        <w:rPr>
          <w:rFonts w:ascii="Times New Roman" w:hAnsi="Times New Roman" w:cs="Times New Roman"/>
          <w:color w:val="000000"/>
          <w:sz w:val="20"/>
          <w:szCs w:val="20"/>
        </w:rPr>
      </w:pPr>
    </w:p>
    <w:p w14:paraId="0CD4E79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C5669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Apple Color Emoji" w:hAnsi="Apple Color Emoji" w:cs="Apple Color Emoji"/>
          <w:color w:val="000000"/>
        </w:rPr>
        <w:t>🎓</w:t>
      </w:r>
      <w:r w:rsidRPr="009A1AD3">
        <w:rPr>
          <w:rFonts w:ascii="Times New Roman" w:hAnsi="Times New Roman" w:cs="Times New Roman"/>
          <w:color w:val="000000"/>
        </w:rPr>
        <w:t xml:space="preserve"> DARCY RIBEIRO</w:t>
      </w:r>
    </w:p>
    <w:p w14:paraId="55FDADC8"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000C65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Darcy Ribeiro (Montes Claros, 26 de outubro de 1922 — Brasília, 17 de fevereiro de 1997) foi um antropólogo, historiador, sociólogo, escritor e político brasileiro, filiado ao Partido Democrático Trabalhista (PDT) e conhecido por seu foco em relação aos indígenas e à educação no país.</w:t>
      </w:r>
    </w:p>
    <w:p w14:paraId="38C50A83"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A310B72"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13.° Vice-governador do Rio de Janeiro (1983-1987)</w:t>
      </w:r>
    </w:p>
    <w:p w14:paraId="4691037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20.° Ministro-chefe da Casa Civil do Brasil (1963-1964)</w:t>
      </w:r>
    </w:p>
    <w:p w14:paraId="443E80B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20.° Ministro da Educação do Brasil (1962-1963)</w:t>
      </w:r>
    </w:p>
    <w:p w14:paraId="2CDBA9F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Senador pelo Rio de Janeiro (1991-1997)</w:t>
      </w:r>
    </w:p>
    <w:p w14:paraId="0214544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0F10E3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Suas ideias de identidade latino-americana influenciaram vários estudiosos latino-americanos posteriores. Como Ministro da Educação do Brasil realizou profundas reformas, o que o levou a ser convidado a participar de reformas universitárias no Chile, Peru, Venezuela, México e Uruguai, depois de deixar o Brasil devido à ditadura militar de 1964. Foi casado com a </w:t>
      </w:r>
      <w:proofErr w:type="spellStart"/>
      <w:r w:rsidRPr="009A1AD3">
        <w:rPr>
          <w:rFonts w:ascii="Times New Roman" w:hAnsi="Times New Roman" w:cs="Times New Roman"/>
          <w:color w:val="000000"/>
        </w:rPr>
        <w:t>etnóloga</w:t>
      </w:r>
      <w:proofErr w:type="spellEnd"/>
      <w:r w:rsidRPr="009A1AD3">
        <w:rPr>
          <w:rFonts w:ascii="Times New Roman" w:hAnsi="Times New Roman" w:cs="Times New Roman"/>
          <w:color w:val="000000"/>
        </w:rPr>
        <w:t xml:space="preserve"> e antropóloga Berta Ribeiro até 1974.</w:t>
      </w:r>
    </w:p>
    <w:p w14:paraId="1ABA39B5"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5449F4E"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Em novembro de 2024, Darcy teve seu nome inscrito no Livro de Aço do Panteão da Pátria e da Liberdade Tancredo Neves, recebendo assim o título de "Herói Nacional".</w:t>
      </w:r>
    </w:p>
    <w:p w14:paraId="64A06945"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8F3788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Notabilizou-se fundamentalmente por trabalhos desenvolvidos nas áreas de educação, sociologia e antropologia tendo sido, ao lado do amigo a quem admirava Anísio Teixeira, um dos responsáveis pela criação da Universidade de Brasília, elaborada no início da década de 1960, ficando também na história desta instituição por ter sido seu primeiro reitor. Redigiu o projeto, como funcionário do Serviço de Proteção ao Índio, do Parque Indígena do Xingu, criado em 1961. Também foi o idealizador da Universidade Estadual do Norte Fluminense (UENF). Publicou vários livros, vários deles sobre os povos indígenas.</w:t>
      </w:r>
    </w:p>
    <w:p w14:paraId="2F637B35"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67A618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Darcy Ribeiro foi ministro da Educação durante o Regime Parlamentarista do governo do presidente João Goulart (18 de setembro de 1962 a 24 de janeiro de 1963) e chefe da Casa Civil entre 18 de junho de 1963 e 31 de março de 1964. Durante a ditadura militar brasileira, como muitos outros intelectuais brasileiros, teve seus direitos políticos cassados e foi obrigado a se exilar, vivendo durante alguns anos no Uruguai.</w:t>
      </w:r>
    </w:p>
    <w:p w14:paraId="6FFBE6CF"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DD2759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Durante o primeiro governo de Leonel Brizola no Rio de Janeiro (1983-1987), Darcy Ribeiro, como vice-governador, criou, planejou e dirigiu a implantação dos Centros Integrados de Ensino Público (CIEP), um projeto pedagógico visionário e revolucionário no Brasil de assistência em tempo integral a crianças, incluindo atividades recreativas e culturais para além do ensino formal - dando concretude aos projetos idealizados décadas antes por Anísio.</w:t>
      </w:r>
    </w:p>
    <w:p w14:paraId="7DF59BA2"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52609322"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Nas eleições de 1986, Darcy foi candidato ao governo fluminense pelo Partido Democrático Trabalhista (PDT), concorrendo com Fernando Gabeira, então filiado ao Partido dos Trabalhadores (PT), Agnaldo Timóteo do Partido Democrático Social (PDS) e Moreira Franco do Movimento Democrático Brasileiro (então PMDB). Darcy foi derrotado nas urnas, recebendo 36% dos votos, com a eleição de Moreira, que recebeu 49% dos votos.</w:t>
      </w:r>
    </w:p>
    <w:p w14:paraId="5DF94DCD"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402A9221"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Foi responsável pela criação e pelo projeto cultural do Memorial da América Latina, centro cultural, político e de lazer, inaugurado em 18 de março de 1989, no bairro da Barra Funda, em São Paulo, assim como foi responsável pelo projeto de lei que deu origem a Lei de Diretrizes e Bases da Educação Brasileira (LDB), lei 9 394/96 aprovado pelo senado brasileiro.</w:t>
      </w:r>
    </w:p>
    <w:p w14:paraId="3C34E1F7"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3CDA2B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Exerceu o mandato de senador pelo Rio de Janeiro de 1991 até sua morte em 1997 - anunciada por um lento processo canceroso que comoveu o Brasil. Darcy, sempre polêmico e ardoroso defensor de suas ideias, teve, em sua longa agonia, o reconhecimento e admiração até dos adversários. Publica O Povo Brasileiro em 1995, obra em que aborda a formação histórica, étnica e cultural do povo brasileiro, com impressões baseadas nas experiências de sua vida.</w:t>
      </w:r>
    </w:p>
    <w:p w14:paraId="12E8F69E"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E49C99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Evolução sociocultural</w:t>
      </w:r>
    </w:p>
    <w:p w14:paraId="3FC7768E"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21BF11D" w14:textId="6C94F663"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Na visão de Ribeiro, as Ciências Humanas e Sociais de seu tempo tinham graves problemas: ou enfatizavam micro</w:t>
      </w:r>
      <w:r w:rsidR="00020AE7" w:rsidRPr="009A1AD3">
        <w:rPr>
          <w:rFonts w:ascii="Times New Roman" w:hAnsi="Times New Roman" w:cs="Times New Roman"/>
          <w:color w:val="000000"/>
        </w:rPr>
        <w:t xml:space="preserve"> </w:t>
      </w:r>
      <w:r w:rsidRPr="009A1AD3">
        <w:rPr>
          <w:rFonts w:ascii="Times New Roman" w:hAnsi="Times New Roman" w:cs="Times New Roman"/>
          <w:color w:val="000000"/>
        </w:rPr>
        <w:t>análises e se opunham a generalizações ou utilizavam péssimos esquemas evolutivos, por vezes implicitamente, entre outros, o que era especialmente prejudicial ao Brasil e à América Latina. Para superá-los, no livro O Processo Civilizatório, o autor propõe um esquema generalizador que tenta explicar porque as sociedades "mudam de tipo" e que tipos, exatamente, são esses.</w:t>
      </w:r>
    </w:p>
    <w:p w14:paraId="64FDC2F8"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62D9156"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Ribeiro defende que as tecnologias e a forma das sociedades incorporá-las modificam suas culturas de modo razoavelmente previsível, sendo possível agrupar as transformações desencadeadas em categorias, tipos de sociedade, que ele chama de formações socioculturais.</w:t>
      </w:r>
    </w:p>
    <w:p w14:paraId="4D2D8A00"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6714024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Ainda que admitindo a existência de outras, o autor define oito conjuntos de invenções e descobertas que alteraram profundamente as sociedades, as chamadas revoluções tecnológicas. Também, treze desdobramentos dessas inovações, que, aplicadas de distintos modos em diferentes contextos, criaram diferentes tipos de sociedade. A estes desdobramentos, o autor chama processos civilizatórios.</w:t>
      </w:r>
    </w:p>
    <w:p w14:paraId="05A86DA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983964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Todavia, assumindo que a mera organização em torno das mesmas tecnologias não é suficiente para classificar as sociedades como da mesma formação, Ribeiro concebe, ainda, os conceitos de aceleração evolutiva e atualização histórica, isto é, processos civilizatórios ativos e autônomos e passivos e dependentes, nesta ordem.</w:t>
      </w:r>
    </w:p>
    <w:p w14:paraId="3829103D"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A60C3F6"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As revoluções tecnológicas que propõe são:</w:t>
      </w:r>
    </w:p>
    <w:p w14:paraId="0D4A7901"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D10DD86"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 a revolução agrícola, que permite aos povos cultivarem o próprio alimento, dependendo menos da "boa-vontade" da natureza e permitindo alguma criação animal; </w:t>
      </w:r>
    </w:p>
    <w:p w14:paraId="0B0F466F"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40DC14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 a revolução urbana, que biparte os povos em componentes rurais e não rurais, conduzindo à especialização do trabalho e a consolidação do sedentarismo; </w:t>
      </w:r>
    </w:p>
    <w:p w14:paraId="7EBBA58A"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FCA918B"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do regadio: que permite os povos, por meio da irrigação, levarem a cabo expansões não condicionadas pela fertilidade do solo, o que exige a união de esforços de inúmeros setores sociais, acentuando a centralização do poder;</w:t>
      </w:r>
    </w:p>
    <w:p w14:paraId="193E8FCA"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01EE977"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metalúrgica, que permite a fabricação de armas mais poderosas e de instrumentos mais resistentes por meio do domínio do ferro, que, sendo abundante, atenua a centralização do poder;</w:t>
      </w:r>
    </w:p>
    <w:p w14:paraId="0CEF2CBC"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4E93EC1B"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pastoril, que permite aos povos equiparem animais de tração e montaria com as mais variadas ferramentas, potencializando sua expansão territorial;</w:t>
      </w:r>
    </w:p>
    <w:p w14:paraId="1BD5B06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FDD757F"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mercantil, que permite a conjunção de conhecimentos e tecnologias dos mais variados locais e sua aplicação em tentativas de superação do feudalismo;</w:t>
      </w:r>
    </w:p>
    <w:p w14:paraId="1DF182AC"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52ECBC9"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industrial, que permite multiplicar a produtividade e o poder bélico exorbitantemente, redirecionando o esforço humano e aproximando os membros das classes sociais de interesses comuns;</w:t>
      </w:r>
    </w:p>
    <w:p w14:paraId="7F4CCCE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405E0041"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a revolução termonuclear, que permite multiplicar ainda mais a capacidade de intervenção na natureza e no corpo humano, a produtividade, o poder bélico e a troca de informações. É a revolução de nossos dias, de consequências ainda pouco delimitáveis.</w:t>
      </w:r>
    </w:p>
    <w:p w14:paraId="713C8FF5"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B6B9BBF"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“A sucessão destas revoluções tecnológicas não nos permite, todavia, explicar a totalidade do processo evolutivo sem apelo ao conceito complementar de processo civilizatório, porque não é a invenção original ou reiterada de uma inovação que gera consequências, mas sua propagação sobre diversos contextos socioculturais e sua aplicação a diferentes setores produtivos".</w:t>
      </w:r>
    </w:p>
    <w:p w14:paraId="2A42BDE3"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D7B7C96"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Darcy Ribeiro, O processo civilizatório (1972), p. 36</w:t>
      </w:r>
    </w:p>
    <w:p w14:paraId="65677F80"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4E9338C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Utilizando estes conceitos, principalmente, o autor desenvolve um esquema que tenta classificar toda e qualquer sociedade existente ou outrora existente como pertencente a uma de suas categorias. Ele as dispõe de modo a evidenciar que cada formação pode transformar-se em certo grupo de formações, mas não em outro, que varia largamente.</w:t>
      </w:r>
    </w:p>
    <w:p w14:paraId="00F5032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285D99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Um dos outros conceitos que utiliza é o de regressão cultural, processos em que as civilizações não conseguem mais manter as transformações desencadeadas de modo duradouro e colapsam, sendo, segundo ele, os movimentos mais comuns no contínuo da evolução sociocultural.</w:t>
      </w:r>
    </w:p>
    <w:p w14:paraId="73FA2098"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DC1543D" w14:textId="694EC829"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Vale ressaltar que, para o autor, a evolução s</w:t>
      </w:r>
      <w:r w:rsidR="00222383" w:rsidRPr="009A1AD3">
        <w:rPr>
          <w:rFonts w:ascii="Times New Roman" w:hAnsi="Times New Roman" w:cs="Times New Roman"/>
          <w:color w:val="000000"/>
        </w:rPr>
        <w:t>o</w:t>
      </w:r>
      <w:r w:rsidRPr="009A1AD3">
        <w:rPr>
          <w:rFonts w:ascii="Times New Roman" w:hAnsi="Times New Roman" w:cs="Times New Roman"/>
          <w:color w:val="000000"/>
        </w:rPr>
        <w:t xml:space="preserve">ciocultural é </w:t>
      </w:r>
      <w:proofErr w:type="spellStart"/>
      <w:r w:rsidRPr="009A1AD3">
        <w:rPr>
          <w:rFonts w:ascii="Times New Roman" w:hAnsi="Times New Roman" w:cs="Times New Roman"/>
          <w:color w:val="000000"/>
        </w:rPr>
        <w:t>multilinear</w:t>
      </w:r>
      <w:proofErr w:type="spellEnd"/>
      <w:r w:rsidRPr="009A1AD3">
        <w:rPr>
          <w:rFonts w:ascii="Times New Roman" w:hAnsi="Times New Roman" w:cs="Times New Roman"/>
          <w:color w:val="000000"/>
        </w:rPr>
        <w:t xml:space="preserve"> e centrada na tecnologia. Quando se refere a uma sociedade como "atrasada", ele se refere a uma sociedade cuja tecnologia não tem as mesmas capacidades que as da de outra sociedade contemporânea.</w:t>
      </w:r>
    </w:p>
    <w:p w14:paraId="5CC98D16"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B36788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O livro fundamenta toda a sua obra antropológica posterior, iniciando os Estudos de Antropologia da Civilização, e tem íntima relação com conceitos e esquemas clássicos e contemporâneos, como os de Lewis Morgan, Karl Marx, Julian Steward, Julian Huxley, Leslie White, Gordon Childe, Paul </w:t>
      </w:r>
      <w:proofErr w:type="spellStart"/>
      <w:r w:rsidRPr="009A1AD3">
        <w:rPr>
          <w:rFonts w:ascii="Times New Roman" w:hAnsi="Times New Roman" w:cs="Times New Roman"/>
          <w:color w:val="000000"/>
        </w:rPr>
        <w:t>Baran</w:t>
      </w:r>
      <w:proofErr w:type="spellEnd"/>
      <w:r w:rsidRPr="009A1AD3">
        <w:rPr>
          <w:rFonts w:ascii="Times New Roman" w:hAnsi="Times New Roman" w:cs="Times New Roman"/>
          <w:color w:val="000000"/>
        </w:rPr>
        <w:t xml:space="preserve">, </w:t>
      </w:r>
      <w:proofErr w:type="spellStart"/>
      <w:r w:rsidRPr="009A1AD3">
        <w:rPr>
          <w:rFonts w:ascii="Times New Roman" w:hAnsi="Times New Roman" w:cs="Times New Roman"/>
          <w:color w:val="000000"/>
        </w:rPr>
        <w:t>Gunder</w:t>
      </w:r>
      <w:proofErr w:type="spellEnd"/>
      <w:r w:rsidRPr="009A1AD3">
        <w:rPr>
          <w:rFonts w:ascii="Times New Roman" w:hAnsi="Times New Roman" w:cs="Times New Roman"/>
          <w:color w:val="000000"/>
        </w:rPr>
        <w:t xml:space="preserve"> Frank, Celso Furtado e Guerreiro Ramos.</w:t>
      </w:r>
    </w:p>
    <w:p w14:paraId="33BAD6B1"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1CB239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Apple Color Emoji" w:hAnsi="Apple Color Emoji" w:cs="Apple Color Emoji"/>
          <w:color w:val="000000"/>
        </w:rPr>
        <w:t>🎓</w:t>
      </w:r>
      <w:r w:rsidRPr="009A1AD3">
        <w:rPr>
          <w:rFonts w:ascii="Times New Roman" w:hAnsi="Times New Roman" w:cs="Times New Roman"/>
          <w:color w:val="000000"/>
        </w:rPr>
        <w:t xml:space="preserve"> OSCAR NIEMEYER</w:t>
      </w:r>
    </w:p>
    <w:p w14:paraId="0921F350"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67FFD28"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Oscar Ribeiro de Almeida Niemeyer Soares Filho OMC • </w:t>
      </w:r>
      <w:proofErr w:type="spellStart"/>
      <w:r w:rsidRPr="009A1AD3">
        <w:rPr>
          <w:rFonts w:ascii="Times New Roman" w:hAnsi="Times New Roman" w:cs="Times New Roman"/>
          <w:color w:val="000000"/>
        </w:rPr>
        <w:t>GColSE</w:t>
      </w:r>
      <w:proofErr w:type="spellEnd"/>
      <w:r w:rsidRPr="009A1AD3">
        <w:rPr>
          <w:rFonts w:ascii="Times New Roman" w:hAnsi="Times New Roman" w:cs="Times New Roman"/>
          <w:color w:val="000000"/>
        </w:rPr>
        <w:t xml:space="preserve"> (Rio de Janeiro, 15 de dezembro de 1907 – Rio de Janeiro, 5 de dezembro de 2012) foi um arquiteto brasileiro, considerado uma das figuras-chave no desenvolvimento da arquitetura moderna. Niemeyer foi mais conhecido pelos projetos de edifícios cívicos para Brasília, uma cidade planejada que se tornou a capital do Brasil em 1960, bem como por sua colaboração no grupo de arquitetos indicados pelos Estados-membros da ONU que projetaram a sede das Nações Unidas em Nova Iorque, nos Estados Unidos. Sua exploração das possibilidades construtivas do concreto armado foi altamente influente na época, tal como na arquitetura do final do século XX e início do século XXI. Elogiado e criticado por ser um "escultor de monumentos", Niemeyer foi um grande artista e um dos maiores arquitetos de sua geração por seus partidários. Ele alegou que sua arquitetura foi fortemente influenciada por Le Corbusier, mas, em entrevista, assegurou que isso "não impediu que sua arquitetura seguisse em uma direção diferente".</w:t>
      </w:r>
    </w:p>
    <w:p w14:paraId="271FD11B"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AA5D01B"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Apple Color Emoji" w:hAnsi="Apple Color Emoji" w:cs="Apple Color Emoji"/>
          <w:color w:val="000000"/>
        </w:rPr>
        <w:t>🏛️</w:t>
      </w:r>
      <w:r w:rsidRPr="009A1AD3">
        <w:rPr>
          <w:rFonts w:ascii="Times New Roman" w:hAnsi="Times New Roman" w:cs="Times New Roman"/>
          <w:color w:val="000000"/>
        </w:rPr>
        <w:t xml:space="preserve"> Obras notáveis</w:t>
      </w:r>
    </w:p>
    <w:p w14:paraId="162D4060"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10B6EE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Palácio Itamaraty</w:t>
      </w:r>
    </w:p>
    <w:p w14:paraId="0EAB61F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Palácio do Planalto</w:t>
      </w:r>
    </w:p>
    <w:p w14:paraId="5FD977A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Palácio da Alvorada</w:t>
      </w:r>
    </w:p>
    <w:p w14:paraId="34D0FDDE"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Catedral de Brasília</w:t>
      </w:r>
    </w:p>
    <w:p w14:paraId="50A7F53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Congresso Nacional do Brasil</w:t>
      </w:r>
    </w:p>
    <w:p w14:paraId="5676B7A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Conjunto Arquitetônico da Pampulha</w:t>
      </w:r>
    </w:p>
    <w:p w14:paraId="236FC9B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Conjunto do </w:t>
      </w:r>
      <w:proofErr w:type="spellStart"/>
      <w:r w:rsidRPr="009A1AD3">
        <w:rPr>
          <w:rFonts w:ascii="Times New Roman" w:hAnsi="Times New Roman" w:cs="Times New Roman"/>
          <w:color w:val="000000"/>
        </w:rPr>
        <w:t>Ibirapuera</w:t>
      </w:r>
      <w:proofErr w:type="spellEnd"/>
    </w:p>
    <w:p w14:paraId="12999792"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Edifício Copan</w:t>
      </w:r>
    </w:p>
    <w:p w14:paraId="295870B7"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Sede da Organização das Nações Unidas (integrou a equipe)</w:t>
      </w:r>
    </w:p>
    <w:p w14:paraId="40E8EA8E"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Museu de Arte Contemporânea de Niterói</w:t>
      </w:r>
    </w:p>
    <w:p w14:paraId="427B2DC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Museu Oscar Niemeyer Sambódromo da Marquês de Sapucaí</w:t>
      </w:r>
    </w:p>
    <w:p w14:paraId="0A978C6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Rede Sarah</w:t>
      </w:r>
    </w:p>
    <w:p w14:paraId="72F2EB5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Sede do Partido Comunista Francês</w:t>
      </w:r>
    </w:p>
    <w:p w14:paraId="6C3C50B5"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0F12E9B"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Apple Color Emoji" w:hAnsi="Apple Color Emoji" w:cs="Apple Color Emoji"/>
          <w:color w:val="000000"/>
        </w:rPr>
        <w:t>🏆</w:t>
      </w:r>
      <w:r w:rsidRPr="009A1AD3">
        <w:rPr>
          <w:rFonts w:ascii="Times New Roman" w:hAnsi="Times New Roman" w:cs="Times New Roman"/>
          <w:color w:val="000000"/>
        </w:rPr>
        <w:t xml:space="preserve"> Prêmios</w:t>
      </w:r>
    </w:p>
    <w:p w14:paraId="1F95DE1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Prêmio Lênin da Paz (1963), Prêmio Pritzker de Arquitetura (1988), Prêmio Príncipe da Astúrias (1989), Medalha Chico Mendes (1989), Medalha de Ouro do RIBA (1998), </w:t>
      </w:r>
      <w:proofErr w:type="spellStart"/>
      <w:r w:rsidRPr="009A1AD3">
        <w:rPr>
          <w:rFonts w:ascii="Times New Roman" w:hAnsi="Times New Roman" w:cs="Times New Roman"/>
          <w:color w:val="000000"/>
        </w:rPr>
        <w:t>Praemium</w:t>
      </w:r>
      <w:proofErr w:type="spellEnd"/>
      <w:r w:rsidRPr="009A1AD3">
        <w:rPr>
          <w:rFonts w:ascii="Times New Roman" w:hAnsi="Times New Roman" w:cs="Times New Roman"/>
          <w:color w:val="000000"/>
        </w:rPr>
        <w:t xml:space="preserve"> </w:t>
      </w:r>
      <w:proofErr w:type="spellStart"/>
      <w:r w:rsidRPr="009A1AD3">
        <w:rPr>
          <w:rFonts w:ascii="Times New Roman" w:hAnsi="Times New Roman" w:cs="Times New Roman"/>
          <w:color w:val="000000"/>
        </w:rPr>
        <w:t>Imperiale</w:t>
      </w:r>
      <w:proofErr w:type="spellEnd"/>
      <w:r w:rsidRPr="009A1AD3">
        <w:rPr>
          <w:rFonts w:ascii="Times New Roman" w:hAnsi="Times New Roman" w:cs="Times New Roman"/>
          <w:color w:val="000000"/>
        </w:rPr>
        <w:t xml:space="preserve"> (2004)</w:t>
      </w:r>
    </w:p>
    <w:p w14:paraId="53758313"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E3259A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Nascido no Rio de Janeiro, Niemeyer estudou na Escola Nacional de Belas Artes (atual UFRJ) e durante seu terceiro ano estagiou com seu futuro colega na construção de Brasília Lúcio Costa, com quem acabou colaborando no projeto para o Ministério de Educação e Saúde, atual Palácio Gustavo Capanema, no Rio de Janeiro. Contando com a presença de Le Corbusier, Niemeyer teve a chance de trabalhar junto com o mestre suíço, sendo ele uma grande influência em sua arquitetura. O primeiro grande trabalho de arquitetura individual de Niemeyer foram os projetos de uma série de edifícios na Pampulha, um subúrbio planejado no norte de Belo Horizonte, tendo como parceiro o engenheiro Joaquim Cardozo — que viria a ser o autor dos cálculos de suas principais obras em Brasília.</w:t>
      </w:r>
    </w:p>
    <w:p w14:paraId="4CA53447"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8D369DF"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Esse trabalho, especialmente a Igreja São Francisco de Assis, recebeu elogios da crítica nacional e estrangeira, chamando a atenção internacional para Niemeyer. Ao longo dos anos 1940 e 1950, Niemeyer se tornou um dos arquitetos mais prolíficos do Brasil, projetando uma série de edifícios, tanto no país como no exterior. Isso incluiu o projeto de diversas residências e edifícios públicos, e ainda a colaboração com Le Corbusier (e outros) no projeto da sede das Nações Unidas em Nova Iorque, o que provocou convites para ensinar na Universidade Yale e na Escola de Design da Universidade Harvard.</w:t>
      </w:r>
    </w:p>
    <w:p w14:paraId="6191874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1956, Niemeyer foi convidado pelo novo presidente do Brasil, Juscelino </w:t>
      </w:r>
      <w:proofErr w:type="spellStart"/>
      <w:r w:rsidRPr="009A1AD3">
        <w:rPr>
          <w:rFonts w:ascii="Times New Roman" w:hAnsi="Times New Roman" w:cs="Times New Roman"/>
          <w:color w:val="000000"/>
        </w:rPr>
        <w:t>Kubitschek</w:t>
      </w:r>
      <w:proofErr w:type="spellEnd"/>
      <w:r w:rsidRPr="009A1AD3">
        <w:rPr>
          <w:rFonts w:ascii="Times New Roman" w:hAnsi="Times New Roman" w:cs="Times New Roman"/>
          <w:color w:val="000000"/>
        </w:rPr>
        <w:t xml:space="preserve">, para projetar os prédios públicos da nova capital do Brasil, que seria construída no centro do país. Seus projetos para o Congresso Nacional do Brasil, o Palácio da Alvorada, o Palácio do Planalto, o Supremo Tribunal Federal e a Catedral de Brasília, todos concluídos anteriormente a 1960, foram em grande parte de natureza experimental e foram ligados por elementos de design comuns. Esse trabalho levou à sua nomeação como diretor do departamento de arquitetura da Universidade de Brasília, bem como membro honorário do Instituto Americano de Arquitetos. Devido à sua ideologia de esquerda e sua militância no Partido Comunista Brasileiro (PCB), Niemeyer deixou o país após o golpe militar de 1964 e, posteriormente, abriu um escritório em Paris. Ele retornou ao Brasil em 1985 e foi premiado com o prêmio Pritzker de arquitetura, em 1988. Entre seus projetos mais recentes se destacam o Museu de Arte Contemporânea de Niterói (1996), o Museu Oscar Niemeyer, em Curitiba (2002), a Cidade Administrativa de Minas Gerais (2010), o Centro Cultural Internacional Oscar Niemeyer, na Espanha (2011) e o Memorial Luiz Carlos Prestes (projeto de 2012, obra concluída em 2017). Niemeyer continuou a trabalhar até dias antes de sua morte, em 5 de dezembro de 2012, aos 104 anos. Seu último projeto foi idealizado pouco antes de morrer: a "cidade das artes e da cultura", em </w:t>
      </w:r>
      <w:proofErr w:type="spellStart"/>
      <w:r w:rsidRPr="009A1AD3">
        <w:rPr>
          <w:rFonts w:ascii="Times New Roman" w:hAnsi="Times New Roman" w:cs="Times New Roman"/>
          <w:color w:val="000000"/>
        </w:rPr>
        <w:t>Essaouira</w:t>
      </w:r>
      <w:proofErr w:type="spellEnd"/>
      <w:r w:rsidRPr="009A1AD3">
        <w:rPr>
          <w:rFonts w:ascii="Times New Roman" w:hAnsi="Times New Roman" w:cs="Times New Roman"/>
          <w:color w:val="000000"/>
        </w:rPr>
        <w:t xml:space="preserve">, região litorânea do Marrocos. O rei Mohammed VI esperou oito anos para analisar e dar aval ao projeto. </w:t>
      </w:r>
    </w:p>
    <w:p w14:paraId="27004F0B"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51E52A11"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Niemeyer vivenciou a reforma proposta pelo recém nomeado diretor do curso de arquitetura, Lucio Costa. Em sua rápida passagem pela diretoria da ENBA entre 1930 e 1931, Lucio Costa remodelou o curso de arquitetura com base nos princípios modernos vigentes na Europa. Esse novo modelo repercutiu nos estudantes, cuja turma rendeu alguns dos grandes nomes do modernismo brasileiro. Durante o terceiro ano de curso, ao invés de estagiar numa firma construtora como era comum, Niemeyer decide trabalhar de graça no escritório de Lúcio Costa, Gregori </w:t>
      </w:r>
      <w:proofErr w:type="spellStart"/>
      <w:r w:rsidRPr="009A1AD3">
        <w:rPr>
          <w:rFonts w:ascii="Times New Roman" w:hAnsi="Times New Roman" w:cs="Times New Roman"/>
          <w:color w:val="000000"/>
        </w:rPr>
        <w:t>Warchavchik</w:t>
      </w:r>
      <w:proofErr w:type="spellEnd"/>
      <w:r w:rsidRPr="009A1AD3">
        <w:rPr>
          <w:rFonts w:ascii="Times New Roman" w:hAnsi="Times New Roman" w:cs="Times New Roman"/>
          <w:color w:val="000000"/>
        </w:rPr>
        <w:t xml:space="preserve"> e Carlos Leão, mesmo passando por dificuldades financeiras (sua filha Anna Maria viria a nascer em 1930). Niemeyer se forma Engenheiro Arquiteto em 1934.</w:t>
      </w:r>
    </w:p>
    <w:p w14:paraId="5F8BBC8B"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ECD0FB1"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As ideias de Le Corbusier, idealizador da arquitetura moderna na Europa, formam a base inicial da arquitetura de Niemeyer. O uso de materiais novos e técnicas construtivas modernas se manifestaram durante toda a obra de Niemeyer, algumas delas demonstrando princípios básicos de Le Corbusier, tais como os cinco pontos da nova arquitetura (incluindo pilotis, fachadas livres e terraços-jardim).</w:t>
      </w:r>
    </w:p>
    <w:p w14:paraId="6BDFC20E"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2247B3E"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1937, Niemeyer foi convidado por um parente para projetar um berçário para instituição filantrópica que atendidos jovens mães, a Obra do Berço, que se tornaria seu primeiro trabalho finalizado. Neste edifício nota-se a presença dos elementos defendidos na arquitetura moderna e clara influência de Le Corbusier: o pilotis, a planta livre, a fachada livre, possibilitando a abertura total de janelas na fachada, o terraço-jardim e o </w:t>
      </w:r>
      <w:proofErr w:type="spellStart"/>
      <w:r w:rsidRPr="009A1AD3">
        <w:rPr>
          <w:rFonts w:ascii="Times New Roman" w:hAnsi="Times New Roman" w:cs="Times New Roman"/>
          <w:color w:val="000000"/>
        </w:rPr>
        <w:t>brise-soleil</w:t>
      </w:r>
      <w:proofErr w:type="spellEnd"/>
      <w:r w:rsidRPr="009A1AD3">
        <w:rPr>
          <w:rFonts w:ascii="Times New Roman" w:hAnsi="Times New Roman" w:cs="Times New Roman"/>
          <w:color w:val="000000"/>
        </w:rPr>
        <w:t xml:space="preserve">, pela primeira vez utilizado na vertical. Durante a construção, o arquiteto estava fora do Brasil e, ao retornar, encontrou o </w:t>
      </w:r>
      <w:proofErr w:type="spellStart"/>
      <w:r w:rsidRPr="009A1AD3">
        <w:rPr>
          <w:rFonts w:ascii="Times New Roman" w:hAnsi="Times New Roman" w:cs="Times New Roman"/>
          <w:color w:val="000000"/>
        </w:rPr>
        <w:t>brise</w:t>
      </w:r>
      <w:proofErr w:type="spellEnd"/>
      <w:r w:rsidRPr="009A1AD3">
        <w:rPr>
          <w:rFonts w:ascii="Times New Roman" w:hAnsi="Times New Roman" w:cs="Times New Roman"/>
          <w:color w:val="000000"/>
        </w:rPr>
        <w:t xml:space="preserve"> instalado de forma inapropriada, sem proteger o interior contra a insolação. Sendo assim, Niemeyer, que nada havia cobrado pelo projeto, pagou pela execução do </w:t>
      </w:r>
      <w:proofErr w:type="spellStart"/>
      <w:r w:rsidRPr="009A1AD3">
        <w:rPr>
          <w:rFonts w:ascii="Times New Roman" w:hAnsi="Times New Roman" w:cs="Times New Roman"/>
          <w:color w:val="000000"/>
        </w:rPr>
        <w:t>brise</w:t>
      </w:r>
      <w:proofErr w:type="spellEnd"/>
      <w:r w:rsidRPr="009A1AD3">
        <w:rPr>
          <w:rFonts w:ascii="Times New Roman" w:hAnsi="Times New Roman" w:cs="Times New Roman"/>
          <w:color w:val="000000"/>
        </w:rPr>
        <w:t xml:space="preserve"> na forma em que havia projetado. O prédio da Obra do Berço foi inaugurado em 1938 e em 2012 a instituição ainda o ocupa.</w:t>
      </w:r>
    </w:p>
    <w:p w14:paraId="4C989911"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5350D1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No entanto, Niemeyer afirma que sua arquitetura começou na Pampulha, em Minas Gerais. "Pampulha foi o ponto de partida desta arquitetura livre e cheia de curvas que eu ainda amo até hoje. Foi, de fato, o início de Brasília...".</w:t>
      </w:r>
    </w:p>
    <w:p w14:paraId="2F4371F6"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4977BEF6"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Apple Color Emoji" w:hAnsi="Apple Color Emoji" w:cs="Apple Color Emoji"/>
          <w:color w:val="000000"/>
        </w:rPr>
        <w:t>🎓</w:t>
      </w:r>
      <w:r w:rsidRPr="009A1AD3">
        <w:rPr>
          <w:rFonts w:ascii="Times New Roman" w:hAnsi="Times New Roman" w:cs="Times New Roman"/>
          <w:color w:val="000000"/>
        </w:rPr>
        <w:t xml:space="preserve"> GUSTAVO CAPANEMA</w:t>
      </w:r>
    </w:p>
    <w:p w14:paraId="11E5BFFB"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602C72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Ministério da Educação e Cultura (atual Palácio Gustavo Capanema)</w:t>
      </w:r>
    </w:p>
    <w:p w14:paraId="239E8A7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431ED2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1935 foi realizado um concurso de arquitetura para a escolha do novo projeto para o Ministério de Educação e Saúde (atual Palácio Capanema). O vencedor foi o projeto do arquiteto Archimedes Memória, em estilo eclético, que misturava elementos neoclássicos com detalhes decorativos marajoaras. Descontente com o projeto vencedor, o então ministro Gustavo Capanema decidiu pagar o valor devido ao vencedor e contratar Lucio Costa para que realizasse um novo projeto. Costa então convidou os arquitetos Carlos Leão, </w:t>
      </w:r>
      <w:proofErr w:type="spellStart"/>
      <w:r w:rsidRPr="009A1AD3">
        <w:rPr>
          <w:rFonts w:ascii="Times New Roman" w:hAnsi="Times New Roman" w:cs="Times New Roman"/>
          <w:color w:val="000000"/>
        </w:rPr>
        <w:t>Affonso</w:t>
      </w:r>
      <w:proofErr w:type="spellEnd"/>
      <w:r w:rsidRPr="009A1AD3">
        <w:rPr>
          <w:rFonts w:ascii="Times New Roman" w:hAnsi="Times New Roman" w:cs="Times New Roman"/>
          <w:color w:val="000000"/>
        </w:rPr>
        <w:t xml:space="preserve"> </w:t>
      </w:r>
      <w:proofErr w:type="spellStart"/>
      <w:r w:rsidRPr="009A1AD3">
        <w:rPr>
          <w:rFonts w:ascii="Times New Roman" w:hAnsi="Times New Roman" w:cs="Times New Roman"/>
          <w:color w:val="000000"/>
        </w:rPr>
        <w:t>Reidy</w:t>
      </w:r>
      <w:proofErr w:type="spellEnd"/>
      <w:r w:rsidRPr="009A1AD3">
        <w:rPr>
          <w:rFonts w:ascii="Times New Roman" w:hAnsi="Times New Roman" w:cs="Times New Roman"/>
          <w:color w:val="000000"/>
        </w:rPr>
        <w:t xml:space="preserve">, Jorge Moreira, </w:t>
      </w:r>
      <w:proofErr w:type="spellStart"/>
      <w:r w:rsidRPr="009A1AD3">
        <w:rPr>
          <w:rFonts w:ascii="Times New Roman" w:hAnsi="Times New Roman" w:cs="Times New Roman"/>
          <w:color w:val="000000"/>
        </w:rPr>
        <w:t>Ernani</w:t>
      </w:r>
      <w:proofErr w:type="spellEnd"/>
      <w:r w:rsidRPr="009A1AD3">
        <w:rPr>
          <w:rFonts w:ascii="Times New Roman" w:hAnsi="Times New Roman" w:cs="Times New Roman"/>
          <w:color w:val="000000"/>
        </w:rPr>
        <w:t xml:space="preserve"> Vasconcellos e Oscar Niemeyer para participarem do novo projeto do Ministério, que agora seria feito em estilo moderno.</w:t>
      </w:r>
    </w:p>
    <w:p w14:paraId="5A633A9E"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BCCB69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Sabendo da importância de sua geração na mudança dos rumos culturais do país, Costa convidou Le Corbusier a vir ao Brasil em 1936 para uma série de conferências. Entre as conferências, Corbusier auxiliou a equipe no desenvolvimento do projeto. A arquitetura moderna do edifício iria ao encontro dos objetivos do Estado Novo de Vargas, ao passar ares de modernidade, futuro e progresso ao país.</w:t>
      </w:r>
    </w:p>
    <w:p w14:paraId="6786582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7F00BE9"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Gustavo Capanema Filho GOC • GCSE (</w:t>
      </w:r>
      <w:proofErr w:type="spellStart"/>
      <w:r w:rsidRPr="009A1AD3">
        <w:rPr>
          <w:rFonts w:ascii="Times New Roman" w:hAnsi="Times New Roman" w:cs="Times New Roman"/>
          <w:color w:val="000000"/>
        </w:rPr>
        <w:t>Pitangui</w:t>
      </w:r>
      <w:proofErr w:type="spellEnd"/>
      <w:r w:rsidRPr="009A1AD3">
        <w:rPr>
          <w:rFonts w:ascii="Times New Roman" w:hAnsi="Times New Roman" w:cs="Times New Roman"/>
          <w:color w:val="000000"/>
        </w:rPr>
        <w:t>, 10 de agosto de 1900 — Rio de Janeiro, 10 de março de 1985) foi um político brasileiro. Foi o Ministro da Educação que mais tempo ficou no cargo em toda a história do Brasil (1934 a 1945, aproximadamente 11 anos contínuos).</w:t>
      </w:r>
    </w:p>
    <w:p w14:paraId="3F05B147"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86EBD25"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18.º Presidente de Minas Gerais (1933-1933)</w:t>
      </w:r>
    </w:p>
    <w:p w14:paraId="2B5B11CE"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4.º Ministro da Educação e da Saúde Pública do Brasil (1934-1945)</w:t>
      </w:r>
    </w:p>
    <w:p w14:paraId="5FC6CBC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Senador por Minas Gerais (1971-1979)</w:t>
      </w:r>
    </w:p>
    <w:p w14:paraId="68835C4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Deputado Federal por Minas Gerais (1946-1971)</w:t>
      </w:r>
    </w:p>
    <w:p w14:paraId="12777C8A"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CF179D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1929, com o rompimento do pacto entre as oligarquias de Minas Gerais e São Paulo em torno da sucessão presidencial do ano seguinte, Capanema aderiu à Aliança Liberal, coalizão oposicionista formada pelos governos de Minas Gerais, Rio Grande do Sul e Paraíba. Ainda em 1929, após a indicação de seu primo </w:t>
      </w:r>
      <w:proofErr w:type="spellStart"/>
      <w:r w:rsidRPr="009A1AD3">
        <w:rPr>
          <w:rFonts w:ascii="Times New Roman" w:hAnsi="Times New Roman" w:cs="Times New Roman"/>
          <w:color w:val="000000"/>
        </w:rPr>
        <w:t>Olegário</w:t>
      </w:r>
      <w:proofErr w:type="spellEnd"/>
      <w:r w:rsidRPr="009A1AD3">
        <w:rPr>
          <w:rFonts w:ascii="Times New Roman" w:hAnsi="Times New Roman" w:cs="Times New Roman"/>
          <w:color w:val="000000"/>
        </w:rPr>
        <w:t xml:space="preserve"> Maciel à sucessão de Antônio Carlos, seu nome passou a ser citado entre os prováveis integrantes do futuro governo mineiro.</w:t>
      </w:r>
    </w:p>
    <w:p w14:paraId="26DB564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Em 1º de março de 1930 Maciel elegeu-se presidente de Minas, ao mesmo tempo em que Getúlio Vargas, candidato da Aliança Liberal, era derrotado pelo situacionista Júlio Prestes nas eleições para a presidência da República.</w:t>
      </w:r>
    </w:p>
    <w:p w14:paraId="4789348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5B150B2"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dezembro de 1930, Capanema travou os primeiros entendimentos com Francisco Campos a fim de destruir as bases de sustentação de Artur Bernardes em Minas Gerais, organizadas principalmente no interior do Partido Republicano Mineiro (PRM). Ministro da Educação e Saúde, pasta criada pelo Governo Provisório chefiado por Vargas, Campos exerceu uma influência decisiva nos rumos políticos de Minas após a Revolução de 1930, tendo sido, segundo Simon </w:t>
      </w:r>
      <w:proofErr w:type="spellStart"/>
      <w:r w:rsidRPr="009A1AD3">
        <w:rPr>
          <w:rFonts w:ascii="Times New Roman" w:hAnsi="Times New Roman" w:cs="Times New Roman"/>
          <w:color w:val="000000"/>
        </w:rPr>
        <w:t>Schwartzman</w:t>
      </w:r>
      <w:proofErr w:type="spellEnd"/>
      <w:r w:rsidRPr="009A1AD3">
        <w:rPr>
          <w:rFonts w:ascii="Times New Roman" w:hAnsi="Times New Roman" w:cs="Times New Roman"/>
          <w:color w:val="000000"/>
        </w:rPr>
        <w:t>, o "mentor político e intelectual de Capanema nesse período".</w:t>
      </w:r>
    </w:p>
    <w:p w14:paraId="2E71B034"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A81982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Nos meses seguintes, Capanema atuou como principal intermediário entre Vargas e Maciel, reaproximando Minas do Governo Provisório. Desempenhou ainda importante papel nas negociações que deram origem ao chamado "Acordo Mineiro", em fevereiro de 1932. O acordo, assinado por Capanema (pelo governo de Minas), Venceslau Brás (pelo conselho supremo da Legião de Outubro) e Virgílio de Melo Franco (pela comissão executiva do PRM), deu origem ao Partido Social Nacionalista, efêmera tentativa de fusão da Legião Mineira com o PRM. O acordo deu ainda a Bernardes o direito de indicar o nome dos novos secretários estaduais da Agricultura e de Finanças.</w:t>
      </w:r>
    </w:p>
    <w:p w14:paraId="38B7D5A8"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7F8C69AA"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O apoio de Minas a Getúlio Vargas foi posto à prova em julho de 1932, quando eclodiu a Revolução Constitucionalista de São Paulo.</w:t>
      </w:r>
    </w:p>
    <w:p w14:paraId="48BEA494"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4BCAB57"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Com o término da guerra civil paulista, Capanema e Maciel trataram de organizar um novo partido situacionista em Minas, em associação com os líderes políticos que até então vinham apoiando o governo do estado e Getúlio Vargas. Em janeiro de 1933, fundaram o Partido Progressista (PP) de Minas Gerais, juntamente com Antônio Carlos, Venceslau Brás, José Monteiro Ribeiro Junqueira e Virgílio de Melo Franco.</w:t>
      </w:r>
    </w:p>
    <w:p w14:paraId="6505FFD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234059D"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4 de dezembro, após se avistarem com Vargas no Rio de Janeiro, Capanema e Virgílio resolveram finalmente encerrar a disputa, comprometendo-se a aceitar a decisão presidencial desde que a escolha recaísse sobre um deles. No dia 12, após entendimentos mantidos com Antônio Carlos, Vargas deu uma solução inteiramente inesperada ao caso, nomeando interventor Benedito Valadares, deputado mineiro à Constituinte de expressão política muito inferior à dos principais postulantes ao governo estadual. </w:t>
      </w:r>
    </w:p>
    <w:p w14:paraId="10C82836"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69BB60BA"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Em 26 de julho de 1934, dez dias após a eleição de Vargas para a presidência da República pela Constituinte, Capanema foi efetivamente nomeado para a pasta da Educação e Saúde Pública.</w:t>
      </w:r>
    </w:p>
    <w:p w14:paraId="547AB9DA"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0338CAD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Uma vez no cargo, deu andamento à reorganização do ministério iniciada por seu antecessor, Washington Pires, com vistas ao aparelhamento do órgão para as responsabilidades decorrentes de sua criação em 1930. Em 1935, sua gestão caracterizou-se principalmente pela retomada das campanhas sanitárias, interrompidas entre 1930 e 1934, e pelo início dos estudos visando à criação da Universidade do Brasil e à construção do edifício-sede do ministério no Rio de Janeiro.</w:t>
      </w:r>
    </w:p>
    <w:p w14:paraId="34C99FF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60AEA74"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julho, Capanema formou uma comissão encarregada de estudar a ampliação da Universidade do Rio de Janeiro, que passaria a denominar-se em 1937 Universidade do Brasil. A comissão foi composta de doze membros, incluindo professores e intelectuais de diferentes tendências ideológicas, como Inácio Azevedo Amaral, um dos principais defensores do Estado autoritário, e elementos do movimento </w:t>
      </w:r>
      <w:proofErr w:type="spellStart"/>
      <w:r w:rsidRPr="009A1AD3">
        <w:rPr>
          <w:rFonts w:ascii="Times New Roman" w:hAnsi="Times New Roman" w:cs="Times New Roman"/>
          <w:color w:val="000000"/>
        </w:rPr>
        <w:t>escolanovista</w:t>
      </w:r>
      <w:proofErr w:type="spellEnd"/>
      <w:r w:rsidRPr="009A1AD3">
        <w:rPr>
          <w:rFonts w:ascii="Times New Roman" w:hAnsi="Times New Roman" w:cs="Times New Roman"/>
          <w:color w:val="000000"/>
        </w:rPr>
        <w:t xml:space="preserve">, como Edgar </w:t>
      </w:r>
      <w:proofErr w:type="spellStart"/>
      <w:r w:rsidRPr="009A1AD3">
        <w:rPr>
          <w:rFonts w:ascii="Times New Roman" w:hAnsi="Times New Roman" w:cs="Times New Roman"/>
          <w:color w:val="000000"/>
        </w:rPr>
        <w:t>Roquette-Pinto</w:t>
      </w:r>
      <w:proofErr w:type="spellEnd"/>
      <w:r w:rsidRPr="009A1AD3">
        <w:rPr>
          <w:rFonts w:ascii="Times New Roman" w:hAnsi="Times New Roman" w:cs="Times New Roman"/>
          <w:color w:val="000000"/>
        </w:rPr>
        <w:t xml:space="preserve"> e Lourenço Filho. Em outubro, Capanema encaminhou ao Congresso o Plano de Reorganização do Ministério da Educação e Saúde Pública, que só veio a ser aprovado em 13 de janeiro de 1937.</w:t>
      </w:r>
    </w:p>
    <w:p w14:paraId="5BD12A32"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24CBA00"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Durante o ano de 1936, prosseguiram os trabalhos da comissão encarregada de estudar a organização da Universidade do Brasil. Aprovada a proposta de construção de uma cidade universitária no Rio de Janeiro, reunindo o conjunto dos institutos e faculdades da futura universidade, a comissão escolheu os terrenos da Quinta da Boa Vista para sua localização. Mais tarde, porém, optou-se por sua construção na ilha do Fundão.</w:t>
      </w:r>
    </w:p>
    <w:p w14:paraId="548852D0"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0CDDD3FA"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Nas letras e nas artes plásticas, Capanema procurou colocar-se acima das disputas políticas e ideológicas que agitavam o país. Assessorado por seu chefe de gabinete, o poeta Carlos Drummond de Andrade, cercou-se de uma equipe diversificada, integrada, entre outros, por Mário de Andrade, Cândido Portinari, Manuel Bandeira, Heitor Vila-Lobos, Cecília Meireles, Lúcio Costa, Vinicius de Morais, Afonso </w:t>
      </w:r>
      <w:proofErr w:type="spellStart"/>
      <w:r w:rsidRPr="009A1AD3">
        <w:rPr>
          <w:rFonts w:ascii="Times New Roman" w:hAnsi="Times New Roman" w:cs="Times New Roman"/>
          <w:color w:val="000000"/>
        </w:rPr>
        <w:t>Arinos</w:t>
      </w:r>
      <w:proofErr w:type="spellEnd"/>
      <w:r w:rsidRPr="009A1AD3">
        <w:rPr>
          <w:rFonts w:ascii="Times New Roman" w:hAnsi="Times New Roman" w:cs="Times New Roman"/>
          <w:color w:val="000000"/>
        </w:rPr>
        <w:t xml:space="preserve"> de Melo Franco e Rodrigo Melo Franco de Andrade.</w:t>
      </w:r>
    </w:p>
    <w:p w14:paraId="3519E334"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D2E235F"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O projeto de construção do edifício-sede do ministério foi o maior exemplo de sua abertura em relação à arte moderna. Empenhado em transformar o prédio na "catedral da moderna arquitetura mundial", como definiu o poeta e calculista Joaquim Cardoso, Capanema não hesitou em anular o concurso que aprovara o projeto de autoria do arquiteto Archimedes </w:t>
      </w:r>
      <w:proofErr w:type="spellStart"/>
      <w:r w:rsidRPr="009A1AD3">
        <w:rPr>
          <w:rFonts w:ascii="Times New Roman" w:hAnsi="Times New Roman" w:cs="Times New Roman"/>
          <w:color w:val="000000"/>
        </w:rPr>
        <w:t>Memoria</w:t>
      </w:r>
      <w:proofErr w:type="spellEnd"/>
      <w:r w:rsidRPr="009A1AD3">
        <w:rPr>
          <w:rFonts w:ascii="Times New Roman" w:hAnsi="Times New Roman" w:cs="Times New Roman"/>
          <w:color w:val="000000"/>
        </w:rPr>
        <w:t xml:space="preserve"> e passar a incumbência da construção a uma equipe chefiada por Lúcio Costa e integrada por Oscar Niemeyer, Carlos Leão, Afonso Eduardo </w:t>
      </w:r>
      <w:proofErr w:type="spellStart"/>
      <w:r w:rsidRPr="009A1AD3">
        <w:rPr>
          <w:rFonts w:ascii="Times New Roman" w:hAnsi="Times New Roman" w:cs="Times New Roman"/>
          <w:color w:val="000000"/>
        </w:rPr>
        <w:t>Reidy</w:t>
      </w:r>
      <w:proofErr w:type="spellEnd"/>
      <w:r w:rsidRPr="009A1AD3">
        <w:rPr>
          <w:rFonts w:ascii="Times New Roman" w:hAnsi="Times New Roman" w:cs="Times New Roman"/>
          <w:color w:val="000000"/>
        </w:rPr>
        <w:t xml:space="preserve">, Jorge Moreira e Ernâni Vasconcelos. A pedido do grupo, Le Corbusier veio de Paris a fim de examinar o projeto. A obra contou ainda com a participação de Portinari, encarregado dos afrescos e do painel de azulejos, dos escultores Adriana </w:t>
      </w:r>
      <w:proofErr w:type="spellStart"/>
      <w:r w:rsidRPr="009A1AD3">
        <w:rPr>
          <w:rFonts w:ascii="Times New Roman" w:hAnsi="Times New Roman" w:cs="Times New Roman"/>
          <w:color w:val="000000"/>
        </w:rPr>
        <w:t>Janacopoulos</w:t>
      </w:r>
      <w:proofErr w:type="spellEnd"/>
      <w:r w:rsidRPr="009A1AD3">
        <w:rPr>
          <w:rFonts w:ascii="Times New Roman" w:hAnsi="Times New Roman" w:cs="Times New Roman"/>
          <w:color w:val="000000"/>
        </w:rPr>
        <w:t>, Celso Antônio, Bruno Giorgi e Jacques Lipschitz, e do paisagista Roberto Burle Marx. Iniciada em 1937, ficou praticamente pronta em 1944, mas só foi inaugurada em 1945, após a queda do Estado Novo, quando Capanema não se encontrava mais à frente do ministério.</w:t>
      </w:r>
    </w:p>
    <w:p w14:paraId="2E0FD96A"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3114928C"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A aprovação do plano de reorganização do ministério, pela lei de 17 de janeiro de 1937, permitiu a criação de novos organismos, contribuindo decisivamente para a dinamização de seus serviços. Pela mesma lei, o ministério teve sua designação alterada, passando a chamar-se oficialmente Ministério da Educação e Saúde. Logo em seguida, o Departamento Nacional de Saúde e Assistência Médico-Social, principal órgão executivo do ministério na área de saúde, assumiu plenamente a coordenação dos departamentos estaduais de saúde, num importante movimento no sentido da centralização. "É a partir desse momento", afirma Sérgio Góis de Paula, "que se pode identificar um relativo avanço da atenção à saúde para o interior do país, com a criação em 1937 do Serviço Nacional de Febre Amarela - o primeiro serviço de saúde pública de dimensão nacional - e, em 1939, do Serviço de Malária do Nordeste, ambos em convênio com a Fundação Rockefeller."</w:t>
      </w:r>
    </w:p>
    <w:p w14:paraId="7D46D2EE"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2116FF01"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Vários hospitais, colônias e asilos foram construídos para o tratamento de outras endemias, como a tuberculose e a lepra, e as doenças mentais. Em 1941, o Departamento Nacional de Saúde assumiu o controle da formação de técnicos em saúde pública, centralizando e integrando alguns cursos já existentes, inclusive no Instituto Osvaldo Cruz. Ainda em 1941, em consequência de sua reestruturação, o Departamento Nacional de Saúde passou a ser integrado pelos serviços nacionais de Tuberculose, de Peste, de Malária, de Lepra, de Câncer e de Doenças Mentais, incorporando outros criados anteriormente, como o Serviço Nacional de Febre Amarela (1937), o Departamento Nacional da Criança (1940) e o Serviço Nacional de Educação Sanitária (1941). Em 5 de julho de 1937, a Universidade do Brasil foi instituída com quinze escolas ou faculdades que receberam a denominação de nacionais e 16 institutos, alguns dos quais já existentes, além do Museu Nacional.</w:t>
      </w:r>
    </w:p>
    <w:p w14:paraId="0A419DA9"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124A1D23" w14:textId="77777777" w:rsidR="001C11E3" w:rsidRPr="009A1AD3"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No campo da cultura, a gestão de Capanema assinalou a criação de dois órgãos de destacada atuação ao longo do Estado Novo: o Serviço do Patrimônio Histórico e Artístico Nacional e o Instituto Nacional do Livro, fundados em novembro e dezembro de 1937, respectivamente. O primeiro foi responsável pelo tombamento e preservação de centenas de monumentos artísticos e históricos e pela criação do Museu Imperial, em Petrópolis (RJ), do Museu da Inconfidência, em Ouro Preto (MG), do Museu das Missões, em São Miguel das Missões (RS) e do Museu do Ouro, em Sabará (MG). O Instituto Nacional do Livro foi responsável pela criação de mais de uma centena de bibliotecas públicas no interior do país.</w:t>
      </w:r>
    </w:p>
    <w:p w14:paraId="404C78CB" w14:textId="77777777" w:rsidR="001C11E3" w:rsidRPr="009A1AD3" w:rsidRDefault="001C11E3" w:rsidP="00E53D50">
      <w:pPr>
        <w:spacing w:before="240" w:after="240" w:line="360" w:lineRule="auto"/>
        <w:ind w:left="2160"/>
        <w:jc w:val="both"/>
        <w:rPr>
          <w:rFonts w:ascii="Times New Roman" w:hAnsi="Times New Roman" w:cs="Times New Roman"/>
          <w:color w:val="000000"/>
        </w:rPr>
      </w:pPr>
    </w:p>
    <w:p w14:paraId="50C2DC9C" w14:textId="77777777" w:rsidR="001C11E3" w:rsidRPr="00616BAC" w:rsidRDefault="00576533" w:rsidP="00E53D50">
      <w:pPr>
        <w:spacing w:before="240" w:after="240" w:line="360" w:lineRule="auto"/>
        <w:ind w:left="2160"/>
        <w:jc w:val="both"/>
        <w:rPr>
          <w:rFonts w:ascii="Times New Roman" w:hAnsi="Times New Roman" w:cs="Times New Roman"/>
          <w:color w:val="000000"/>
        </w:rPr>
      </w:pPr>
      <w:r w:rsidRPr="009A1AD3">
        <w:rPr>
          <w:rFonts w:ascii="Times New Roman" w:hAnsi="Times New Roman" w:cs="Times New Roman"/>
          <w:color w:val="000000"/>
        </w:rPr>
        <w:t xml:space="preserve">Em 30 de julho de 1938, Capanema fundou o Instituto Nacional de Estudos Pedagógicos (INEP), nomeando para sua direção o professor Lourenço Filho. Em 4 de abril de 1939, inaugurou a Faculdade Nacional de Filosofia da Universidade do Brasil, que viria a ter profunda influência no ensino médio e superior. Com efeito, tornou-se o modelo de todas as faculdades que surgiram em seguida com o objetivo de preparar candidatos ao magistério secundário. Até então, os professores do ensino médio e superior eram recrutados entre os profissionais que fracassavam ou desistiam de suas profissões, através de um registro concedido, quase sempre graciosamente, pelo ministério. Com a criação da Faculdade Nacional de Filosofia a carreira docente adquiriu o status de uma profissão de </w:t>
      </w:r>
      <w:r w:rsidRPr="00616BAC">
        <w:rPr>
          <w:rFonts w:ascii="Times New Roman" w:hAnsi="Times New Roman" w:cs="Times New Roman"/>
          <w:color w:val="000000"/>
        </w:rPr>
        <w:t>nível superior. Ainda em 1939, foram fundadas a Faculdade Nacional de Arquitetura e a Faculdade de Ciências Econômicas. Em 1941, completando o quadro das instituições componentes da Universidade do Brasil, Capanema inaugurou a Escola Nacional de Educação Física e Desportos, visando principalmente a formação de pessoal técnico em educação física, prática obrigatória nas escolas pela Constituição do Estado Novo.</w:t>
      </w:r>
    </w:p>
    <w:p w14:paraId="5E9636D8" w14:textId="77777777" w:rsidR="001C11E3" w:rsidRPr="00616BAC" w:rsidRDefault="001C11E3" w:rsidP="00E53D50">
      <w:pPr>
        <w:spacing w:before="240" w:after="240" w:line="360" w:lineRule="auto"/>
        <w:ind w:left="2160"/>
        <w:jc w:val="both"/>
        <w:rPr>
          <w:rFonts w:ascii="Times New Roman" w:hAnsi="Times New Roman" w:cs="Times New Roman"/>
          <w:color w:val="000000"/>
        </w:rPr>
      </w:pPr>
    </w:p>
    <w:p w14:paraId="43C2E512" w14:textId="77777777" w:rsidR="001C11E3" w:rsidRPr="00616BAC" w:rsidRDefault="00576533" w:rsidP="00E53D50">
      <w:pPr>
        <w:spacing w:before="240" w:after="240" w:line="360" w:lineRule="auto"/>
        <w:ind w:left="2160"/>
        <w:jc w:val="both"/>
        <w:rPr>
          <w:rFonts w:ascii="Times New Roman" w:hAnsi="Times New Roman" w:cs="Times New Roman"/>
          <w:color w:val="000000"/>
        </w:rPr>
      </w:pPr>
      <w:r w:rsidRPr="00616BAC">
        <w:rPr>
          <w:rFonts w:ascii="Times New Roman" w:hAnsi="Times New Roman" w:cs="Times New Roman"/>
          <w:color w:val="000000"/>
        </w:rPr>
        <w:t>A partir de 1942, começaram a ser promulgadas, por iniciativa de Capanema, as leis orgânicas do ensino, reformando vários ramos do ensino médio. Em relação ao ensino técnico-profissional, foram instituídas a Lei Orgânica do Ensino Industrial, em 30 de janeiro de 1942, e a Lei Orgânica do Ensino Comercial, em 28 de dezembro de 1943. Entretanto, como o governo não possuía a infra-estrutura necessária à implantação em larga escala do ensino profissional, recorreu-se à criação de um sistema de ensino paralelo, em convênio com as indústrias, através de seu órgão máximo de representação, a Confederação Nacional da Indústria (CNI). Em 22 de janeiro de 1942, criou-se então o Serviço Nacional de Aprendizagem dos Industriários, mais tarde Serviço Nacional de Aprendizagem Industrial (</w:t>
      </w:r>
      <w:proofErr w:type="spellStart"/>
      <w:r w:rsidRPr="00616BAC">
        <w:rPr>
          <w:rFonts w:ascii="Times New Roman" w:hAnsi="Times New Roman" w:cs="Times New Roman"/>
          <w:color w:val="000000"/>
        </w:rPr>
        <w:t>Senai</w:t>
      </w:r>
      <w:proofErr w:type="spellEnd"/>
      <w:r w:rsidRPr="00616BAC">
        <w:rPr>
          <w:rFonts w:ascii="Times New Roman" w:hAnsi="Times New Roman" w:cs="Times New Roman"/>
          <w:color w:val="000000"/>
        </w:rPr>
        <w:t>), organizado e dirigido pela CNI e mantido pela contribuição dos estabelecimentos industriais a ela filiados. Como escola-padrão do ensino industrial, foi inaugurada em maio de 1942 a Escola Técnica Nacional, no Rio de Janeiro, dirigida inicialmente por uma equipe de professores suíços.</w:t>
      </w:r>
    </w:p>
    <w:p w14:paraId="26DAACE5"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2E27A05D"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 xml:space="preserve">Em 9 de abril de 1942, foi promulgada a Lei Orgânica do Ensino Secundário, instituindo um primeiro ciclo de quatro anos de duração, denominado ginasial, e um segundo ciclo de três anos, que podia ser o curso clássico ou o científico. Assim, este último ciclo, que na reforma Francisco Campos apresentava três opções, passou a ter apenas duas. Os novos currículos estabelecidos pela lei demonstravam, segundo </w:t>
      </w:r>
      <w:proofErr w:type="spellStart"/>
      <w:r w:rsidRPr="00535CC8">
        <w:rPr>
          <w:rFonts w:ascii="Times New Roman" w:hAnsi="Times New Roman" w:cs="Times New Roman"/>
          <w:color w:val="000000"/>
        </w:rPr>
        <w:t>Otaíza</w:t>
      </w:r>
      <w:proofErr w:type="spellEnd"/>
      <w:r w:rsidRPr="00535CC8">
        <w:rPr>
          <w:rFonts w:ascii="Times New Roman" w:hAnsi="Times New Roman" w:cs="Times New Roman"/>
          <w:color w:val="000000"/>
        </w:rPr>
        <w:t xml:space="preserve"> </w:t>
      </w:r>
      <w:proofErr w:type="spellStart"/>
      <w:r w:rsidRPr="00535CC8">
        <w:rPr>
          <w:rFonts w:ascii="Times New Roman" w:hAnsi="Times New Roman" w:cs="Times New Roman"/>
          <w:color w:val="000000"/>
        </w:rPr>
        <w:t>Romanelli</w:t>
      </w:r>
      <w:proofErr w:type="spellEnd"/>
      <w:r w:rsidRPr="00535CC8">
        <w:rPr>
          <w:rFonts w:ascii="Times New Roman" w:hAnsi="Times New Roman" w:cs="Times New Roman"/>
          <w:color w:val="000000"/>
        </w:rPr>
        <w:t>, uma "preocupação excessivamente enciclopédica e a predominância das matérias de cultura geral e humanística". Por influência da Segunda Guerra Mundial, a lei instituiu a educação militar para os alunos do sexo masculino, com diretrizes pedagógicas fixadas pelo Ministério da Guerra. Reafirmou a educação religiosa facultativa, a educação moral e cívica como matéria obrigatória e a limitação às escolas mistas, recomendando que a educação secundária da mulher se fizesse em estabelecimento de frequência exclusivamente feminina. A Lei Orgânica do Ensino Secundário, também conhecida como Reforma Capanema, permaneceu em vigor até a aprovação da Lei de Diretrizes e Bases da Educação Nacional, em 1961.</w:t>
      </w:r>
    </w:p>
    <w:p w14:paraId="413FDB17"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49C4C9E3"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Apple Color Emoji" w:hAnsi="Apple Color Emoji" w:cs="Apple Color Emoji"/>
          <w:color w:val="000000"/>
        </w:rPr>
        <w:t>🎓</w:t>
      </w:r>
      <w:r w:rsidRPr="00535CC8">
        <w:rPr>
          <w:rFonts w:ascii="Times New Roman" w:hAnsi="Times New Roman" w:cs="Times New Roman"/>
          <w:color w:val="000000"/>
        </w:rPr>
        <w:t xml:space="preserve"> LÚCIO COSTA</w:t>
      </w:r>
    </w:p>
    <w:p w14:paraId="1D81DCB6"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19FD0464"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Lúcio Marçal Ferreira Ribeiro de Lima Costa OMC (</w:t>
      </w:r>
      <w:proofErr w:type="spellStart"/>
      <w:r w:rsidRPr="00535CC8">
        <w:rPr>
          <w:rFonts w:ascii="Times New Roman" w:hAnsi="Times New Roman" w:cs="Times New Roman"/>
          <w:color w:val="000000"/>
        </w:rPr>
        <w:t>Toulon</w:t>
      </w:r>
      <w:proofErr w:type="spellEnd"/>
      <w:r w:rsidRPr="00535CC8">
        <w:rPr>
          <w:rFonts w:ascii="Times New Roman" w:hAnsi="Times New Roman" w:cs="Times New Roman"/>
          <w:color w:val="000000"/>
        </w:rPr>
        <w:t>, 27 de fevereiro de 1902 – Rio de Janeiro, 13 de junho de 1998) foi um arquiteto, urbanista e professor brasileiro nascido na França. Pioneiro da arquitetura modernista no Brasil, ficou conhecido mundialmente pelo projeto do Plano Piloto de Brasília.</w:t>
      </w:r>
    </w:p>
    <w:p w14:paraId="1A9E34BE"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425A0A48"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Apple Color Emoji" w:hAnsi="Apple Color Emoji" w:cs="Apple Color Emoji"/>
          <w:color w:val="000000"/>
        </w:rPr>
        <w:t>🏛️</w:t>
      </w:r>
      <w:r w:rsidRPr="00535CC8">
        <w:rPr>
          <w:rFonts w:ascii="Times New Roman" w:hAnsi="Times New Roman" w:cs="Times New Roman"/>
          <w:color w:val="000000"/>
        </w:rPr>
        <w:t xml:space="preserve"> Obras notáveis</w:t>
      </w:r>
    </w:p>
    <w:p w14:paraId="13493AE9"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Edifício Gustavo Capanema</w:t>
      </w:r>
    </w:p>
    <w:p w14:paraId="7B65AC72"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Plano Piloto de Brasília</w:t>
      </w:r>
    </w:p>
    <w:p w14:paraId="06958D46"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Plano Piloto da Barra da Tijuca</w:t>
      </w:r>
    </w:p>
    <w:p w14:paraId="325973A6"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2CB66A24"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Apple Color Emoji" w:hAnsi="Apple Color Emoji" w:cs="Apple Color Emoji"/>
          <w:color w:val="000000"/>
        </w:rPr>
        <w:t>🏆</w:t>
      </w:r>
      <w:r w:rsidRPr="00535CC8">
        <w:rPr>
          <w:rFonts w:ascii="Times New Roman" w:hAnsi="Times New Roman" w:cs="Times New Roman"/>
          <w:color w:val="000000"/>
        </w:rPr>
        <w:t xml:space="preserve"> Prêmios</w:t>
      </w:r>
    </w:p>
    <w:p w14:paraId="6D12C1D0"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Prêmio Abercrombie (1984)</w:t>
      </w:r>
    </w:p>
    <w:p w14:paraId="03A2477F"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Ordem do Mérito Cultural (1997)</w:t>
      </w:r>
    </w:p>
    <w:p w14:paraId="039D7B14"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Doutor honorário da Universidade de Brasília</w:t>
      </w:r>
    </w:p>
    <w:p w14:paraId="4B875A9F"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22AC73FC"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 xml:space="preserve">Devido às atividades oficiais de seu pai, o almirante Joaquim Ribeiro da Costa, morou em diversos países, o que lhe rendeu uma formação pluralista. Estudou na Royal </w:t>
      </w:r>
      <w:proofErr w:type="spellStart"/>
      <w:r w:rsidRPr="00535CC8">
        <w:rPr>
          <w:rFonts w:ascii="Times New Roman" w:hAnsi="Times New Roman" w:cs="Times New Roman"/>
          <w:color w:val="000000"/>
        </w:rPr>
        <w:t>Grammar</w:t>
      </w:r>
      <w:proofErr w:type="spellEnd"/>
      <w:r w:rsidRPr="00535CC8">
        <w:rPr>
          <w:rFonts w:ascii="Times New Roman" w:hAnsi="Times New Roman" w:cs="Times New Roman"/>
          <w:color w:val="000000"/>
        </w:rPr>
        <w:t xml:space="preserve"> School em Newcastle, no Reino Unido, e no </w:t>
      </w:r>
      <w:proofErr w:type="spellStart"/>
      <w:r w:rsidRPr="00535CC8">
        <w:rPr>
          <w:rFonts w:ascii="Times New Roman" w:hAnsi="Times New Roman" w:cs="Times New Roman"/>
          <w:color w:val="000000"/>
        </w:rPr>
        <w:t>Collège</w:t>
      </w:r>
      <w:proofErr w:type="spellEnd"/>
      <w:r w:rsidRPr="00535CC8">
        <w:rPr>
          <w:rFonts w:ascii="Times New Roman" w:hAnsi="Times New Roman" w:cs="Times New Roman"/>
          <w:color w:val="000000"/>
        </w:rPr>
        <w:t xml:space="preserve"> National em Montreux, na Suíça.</w:t>
      </w:r>
    </w:p>
    <w:p w14:paraId="4CEA4571"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 xml:space="preserve">Retornou ao Brasil em 1917 e, mais tarde, passou a frequentar o curso de arquitetura da Escola Nacional de Belas Artes, que ainda aplicava um programa neoclássico de ensino. Ele formou-se Arquiteto pela Escola em 1924. Apesar de praticar uma arquitetura neoclássica durante seus primeiros anos (defendendo em certos momentos uma arquitetura neocolonial), rompeu com essa formação </w:t>
      </w:r>
      <w:proofErr w:type="spellStart"/>
      <w:r w:rsidRPr="00535CC8">
        <w:rPr>
          <w:rFonts w:ascii="Times New Roman" w:hAnsi="Times New Roman" w:cs="Times New Roman"/>
          <w:color w:val="000000"/>
        </w:rPr>
        <w:t>historicista</w:t>
      </w:r>
      <w:proofErr w:type="spellEnd"/>
      <w:r w:rsidRPr="00535CC8">
        <w:rPr>
          <w:rFonts w:ascii="Times New Roman" w:hAnsi="Times New Roman" w:cs="Times New Roman"/>
          <w:color w:val="000000"/>
        </w:rPr>
        <w:t xml:space="preserve"> e passou a receber influências da obra do arquiteto franco-suíço Le Corbusier.</w:t>
      </w:r>
    </w:p>
    <w:p w14:paraId="5276D10C"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333EA0C3"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Após a Revolução de 1930, Lucio Costa foi indicado por Rodrigo Melo Franco de Andrade para assumir a direção da Escola Nacional de Belas Artes (ENBA), com a missão de renovar o ensino das artes plásticas e reformular o curso de arquitetura.</w:t>
      </w:r>
    </w:p>
    <w:p w14:paraId="04AA25CC"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0E78A521"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 xml:space="preserve">Sua passagem como diretor da ENBA durou apenas até setembro de 1931. Apesar do pouco tempo no cargo, seu tempo como diretor e professor da instituição marcou profundamente os caminhos da arte e da arquitetura brasileira. Entre os seus alunos na escola de arquitetura estavam Luís Nunes, Jorge Machado Moreira, </w:t>
      </w:r>
      <w:proofErr w:type="spellStart"/>
      <w:r w:rsidRPr="00535CC8">
        <w:rPr>
          <w:rFonts w:ascii="Times New Roman" w:hAnsi="Times New Roman" w:cs="Times New Roman"/>
          <w:color w:val="000000"/>
        </w:rPr>
        <w:t>Ernani</w:t>
      </w:r>
      <w:proofErr w:type="spellEnd"/>
      <w:r w:rsidRPr="00535CC8">
        <w:rPr>
          <w:rFonts w:ascii="Times New Roman" w:hAnsi="Times New Roman" w:cs="Times New Roman"/>
          <w:color w:val="000000"/>
        </w:rPr>
        <w:t xml:space="preserve"> Vasconcellos, Álvaro Vital Brazil, Oscar Niemeyer e Milton Roberto. Todos tornaram-se grandes expoentes da arquitetura brasileira.</w:t>
      </w:r>
    </w:p>
    <w:p w14:paraId="4563A84C"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1B3C4620"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Também foi professor no então Instituto de Educação do Rio de Janeiro, atual Instituto Superior de Educação do Rio de Janeiro (ISERJ).</w:t>
      </w:r>
    </w:p>
    <w:p w14:paraId="725AFD48"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27B3B42F" w14:textId="77777777" w:rsidR="001C11E3" w:rsidRPr="00535CC8"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 xml:space="preserve">Em 1936, aos 29, Lúcio Costa foi nomeado pelo então ministro da educação Gustavo Capanema para projetar a nova sede do Ministério da Educação e Saúde, no Rio de Janeiro, cujo concurso público ganho por Archimedes </w:t>
      </w:r>
      <w:proofErr w:type="spellStart"/>
      <w:r w:rsidRPr="00535CC8">
        <w:rPr>
          <w:rFonts w:ascii="Times New Roman" w:hAnsi="Times New Roman" w:cs="Times New Roman"/>
          <w:color w:val="000000"/>
        </w:rPr>
        <w:t>Memoria</w:t>
      </w:r>
      <w:proofErr w:type="spellEnd"/>
      <w:r w:rsidRPr="00535CC8">
        <w:rPr>
          <w:rFonts w:ascii="Times New Roman" w:hAnsi="Times New Roman" w:cs="Times New Roman"/>
          <w:color w:val="000000"/>
        </w:rPr>
        <w:t xml:space="preserve"> havia sido cancelado. Embora Costa estivesse convicto da modernidade arquitetônica necessária, ainda lhe faltava uma hábil utilização dessa linguagem, e portanto ele reuniu um grupo de jovens arquitetos (Carlos Leão, </w:t>
      </w:r>
      <w:proofErr w:type="spellStart"/>
      <w:r w:rsidRPr="00535CC8">
        <w:rPr>
          <w:rFonts w:ascii="Times New Roman" w:hAnsi="Times New Roman" w:cs="Times New Roman"/>
          <w:color w:val="000000"/>
        </w:rPr>
        <w:t>Affonso</w:t>
      </w:r>
      <w:proofErr w:type="spellEnd"/>
      <w:r w:rsidRPr="00535CC8">
        <w:rPr>
          <w:rFonts w:ascii="Times New Roman" w:hAnsi="Times New Roman" w:cs="Times New Roman"/>
          <w:color w:val="000000"/>
        </w:rPr>
        <w:t xml:space="preserve"> Eduardo </w:t>
      </w:r>
      <w:proofErr w:type="spellStart"/>
      <w:r w:rsidRPr="00535CC8">
        <w:rPr>
          <w:rFonts w:ascii="Times New Roman" w:hAnsi="Times New Roman" w:cs="Times New Roman"/>
          <w:color w:val="000000"/>
        </w:rPr>
        <w:t>Reidy</w:t>
      </w:r>
      <w:proofErr w:type="spellEnd"/>
      <w:r w:rsidRPr="00535CC8">
        <w:rPr>
          <w:rFonts w:ascii="Times New Roman" w:hAnsi="Times New Roman" w:cs="Times New Roman"/>
          <w:color w:val="000000"/>
        </w:rPr>
        <w:t xml:space="preserve">, Jorge Moreira e </w:t>
      </w:r>
      <w:proofErr w:type="spellStart"/>
      <w:r w:rsidRPr="00535CC8">
        <w:rPr>
          <w:rFonts w:ascii="Times New Roman" w:hAnsi="Times New Roman" w:cs="Times New Roman"/>
          <w:color w:val="000000"/>
        </w:rPr>
        <w:t>Ernani</w:t>
      </w:r>
      <w:proofErr w:type="spellEnd"/>
      <w:r w:rsidRPr="00535CC8">
        <w:rPr>
          <w:rFonts w:ascii="Times New Roman" w:hAnsi="Times New Roman" w:cs="Times New Roman"/>
          <w:color w:val="000000"/>
        </w:rPr>
        <w:t xml:space="preserve"> Vasconcellos) para projetar o edifício. Este projeto estava inserido no contexto político do Estado Novo, quando Getúlio Vargas, presidente do Brasil, usava a arquitetura e o urbanismo como ferramentas para ilustrar os novos rumos da nação em uma fase intermediária, que buscava se transformar de potência agrícola exportadora de café em um país industrializado.</w:t>
      </w:r>
    </w:p>
    <w:p w14:paraId="341440AC" w14:textId="77777777" w:rsidR="001C11E3" w:rsidRPr="00535CC8" w:rsidRDefault="001C11E3" w:rsidP="00E53D50">
      <w:pPr>
        <w:spacing w:before="240" w:after="240" w:line="360" w:lineRule="auto"/>
        <w:ind w:left="2160"/>
        <w:jc w:val="both"/>
        <w:rPr>
          <w:rFonts w:ascii="Times New Roman" w:hAnsi="Times New Roman" w:cs="Times New Roman"/>
          <w:color w:val="000000"/>
        </w:rPr>
      </w:pPr>
    </w:p>
    <w:p w14:paraId="0801D8E9"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535CC8">
        <w:rPr>
          <w:rFonts w:ascii="Times New Roman" w:hAnsi="Times New Roman" w:cs="Times New Roman"/>
          <w:color w:val="000000"/>
        </w:rPr>
        <w:t>Também insistiu que próprio Le Corbusier deve ser convidado como consultor. Apesar de Niemeyer não ter sido inicialmente incluído na equipe, Costa o adiciona a equipe após insistência do jovem arquiteto. Durante o período de estadia de Le Corbusier no Rio,</w:t>
      </w:r>
      <w:r w:rsidRPr="006B1274">
        <w:rPr>
          <w:rFonts w:ascii="Times New Roman" w:hAnsi="Times New Roman" w:cs="Times New Roman"/>
          <w:color w:val="000000"/>
          <w:sz w:val="20"/>
          <w:szCs w:val="20"/>
        </w:rPr>
        <w:t xml:space="preserve"> </w:t>
      </w:r>
      <w:r w:rsidRPr="00915FBE">
        <w:rPr>
          <w:rFonts w:ascii="Times New Roman" w:hAnsi="Times New Roman" w:cs="Times New Roman"/>
          <w:color w:val="000000"/>
        </w:rPr>
        <w:t>Niemeyer foi designado a ajudá-lo com os desenhos, o que lhe permitiu um contato mais próximo com o mestre suíço. Depois da partida de Corbusier, que havia produzido duas soluções para o edifício, Niemeyer modifica alguns aspectos de um dos esquemas, o que impressionou Lucio Costa a ponto do grupo decidir levar sua proposta adiante. Gradualmente Niemeyer se faz importante no grupo, sendo que em 1939 assume a liderança, após Lucio Costa se afastar do projeto.</w:t>
      </w:r>
    </w:p>
    <w:p w14:paraId="49EB0EA1"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599D01DD"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O Ministério, que havia assumido a tarefa de moldar o "novo homem, brasileiro e moderno" foi o primeiro edifício modernista no mundo a ser patrocinado pelo Estado, numa escala muito maior que qualquer projeto de Le Corbusier construído até então. Concluído em 1943, quando Niemeyer tinha 36 anos, o Ministério havia demonstrado na prática os elementos que viriam a ser reconhecido como a base modernismo arquitetônico brasileiro: eleva-se da rua apoiando-se em pilotis, sistema de pilares de concreto que mantém o prédio suspenso, permitindo o trânsito livre de pedestres por baixo do mesmo (um espaço público de passagem). Empregou materiais locais, como os azulejos ligados à tradição portuguesa; revolucionou os </w:t>
      </w:r>
      <w:proofErr w:type="spellStart"/>
      <w:r w:rsidRPr="00915FBE">
        <w:rPr>
          <w:rFonts w:ascii="Times New Roman" w:hAnsi="Times New Roman" w:cs="Times New Roman"/>
          <w:color w:val="000000"/>
        </w:rPr>
        <w:t>brises-soleil</w:t>
      </w:r>
      <w:proofErr w:type="spellEnd"/>
      <w:r w:rsidRPr="00915FBE">
        <w:rPr>
          <w:rFonts w:ascii="Times New Roman" w:hAnsi="Times New Roman" w:cs="Times New Roman"/>
          <w:color w:val="000000"/>
        </w:rPr>
        <w:t xml:space="preserve"> </w:t>
      </w:r>
      <w:proofErr w:type="spellStart"/>
      <w:r w:rsidRPr="00915FBE">
        <w:rPr>
          <w:rFonts w:ascii="Times New Roman" w:hAnsi="Times New Roman" w:cs="Times New Roman"/>
          <w:color w:val="000000"/>
        </w:rPr>
        <w:t>corbusianos</w:t>
      </w:r>
      <w:proofErr w:type="spellEnd"/>
      <w:r w:rsidRPr="00915FBE">
        <w:rPr>
          <w:rFonts w:ascii="Times New Roman" w:hAnsi="Times New Roman" w:cs="Times New Roman"/>
          <w:color w:val="000000"/>
        </w:rPr>
        <w:t xml:space="preserve">, ao torná-los ajustáveis e os relacionado com os dispositivos de sombreamento mouros da arquitetura colonial; cores ousadas, os jardins tropicais de Burle Marx, e especialmente encomendando obras de artistas, reunindo os maiores nomes do modernismo brasileiro, como Portinari, Alfredo </w:t>
      </w:r>
      <w:proofErr w:type="spellStart"/>
      <w:r w:rsidRPr="00915FBE">
        <w:rPr>
          <w:rFonts w:ascii="Times New Roman" w:hAnsi="Times New Roman" w:cs="Times New Roman"/>
          <w:color w:val="000000"/>
        </w:rPr>
        <w:t>Ceschiatti</w:t>
      </w:r>
      <w:proofErr w:type="spellEnd"/>
      <w:r w:rsidRPr="00915FBE">
        <w:rPr>
          <w:rFonts w:ascii="Times New Roman" w:hAnsi="Times New Roman" w:cs="Times New Roman"/>
          <w:color w:val="000000"/>
        </w:rPr>
        <w:t xml:space="preserve"> e Roberto Burle Marx. O edifício é considerado o primeiro grande marco da Arquitetura Moderna no Brasil. e um dos mais influentes do século XX, sendo um modelo de diálogo entre estruturas baixas e blocos em altura (a exemplo da </w:t>
      </w:r>
      <w:proofErr w:type="spellStart"/>
      <w:r w:rsidRPr="00915FBE">
        <w:rPr>
          <w:rFonts w:ascii="Times New Roman" w:hAnsi="Times New Roman" w:cs="Times New Roman"/>
          <w:color w:val="000000"/>
        </w:rPr>
        <w:t>Lever</w:t>
      </w:r>
      <w:proofErr w:type="spellEnd"/>
      <w:r w:rsidRPr="00915FBE">
        <w:rPr>
          <w:rFonts w:ascii="Times New Roman" w:hAnsi="Times New Roman" w:cs="Times New Roman"/>
          <w:color w:val="000000"/>
        </w:rPr>
        <w:t xml:space="preserve"> House, em Nova Iorque).</w:t>
      </w:r>
    </w:p>
    <w:p w14:paraId="775D7125"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56CA8DEE"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Em 1939, aos 32 anos, Niemeyer participa do concurso que escolheria o projeto para o pavilhão brasileiro na Feira Mundial de Nova Iorque, em 1939. Embora Lucio Costa houvesse vencido o concurso por produzir um projeto em que, segundo o júri, havia grande teor nacionalista, Costa julgou o projeto de Niemeyer mais moderno e ousado, melhor e, portanto, propôs uma parceria para produzir um novo projeto. Executado em colaboração com Paul Lester Wiener, responsável pelo detalhamento dos interiores e </w:t>
      </w:r>
      <w:proofErr w:type="spellStart"/>
      <w:r w:rsidRPr="00915FBE">
        <w:rPr>
          <w:rFonts w:ascii="Times New Roman" w:hAnsi="Times New Roman" w:cs="Times New Roman"/>
          <w:color w:val="000000"/>
        </w:rPr>
        <w:t>stands</w:t>
      </w:r>
      <w:proofErr w:type="spellEnd"/>
      <w:r w:rsidRPr="00915FBE">
        <w:rPr>
          <w:rFonts w:ascii="Times New Roman" w:hAnsi="Times New Roman" w:cs="Times New Roman"/>
          <w:color w:val="000000"/>
        </w:rPr>
        <w:t xml:space="preserve"> da exposição, a estrutura era vizinha do pavilhão francês e contrastava com sua massa pesada por meio de sua pequena dimensão e delicadeza. Costa explicou que o Pavilhão brasileiro adotou uma linguagem de "graça e elegância", leveza e fluidez espacial, com um plano aberto, curvas e paredes livres, que ele chamou de "jônico", contrastando-a com a arquitetura purista dominante na época, que ele classificou de "dórica". Impressionado com seu design vanguardista, o prefeito Fiorello La Guardia concedeu a Niemeyer as chaves da cidade de Nova Iorque. Em uma época em que a Europa e os Estados Unidos estavam concentrando suas potências industriais na Segunda Guerra Mundial, o Brasil estava investindo em arquitetura, o que lhe colocou na vanguarda da Arquitetura Modernista internacional.</w:t>
      </w:r>
    </w:p>
    <w:p w14:paraId="33B3B61C"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105E1110"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Em 1957, Niemeyer abre um concurso público para o Plano Piloto de Brasília, a nova capital. O projeto vencedor é o apresentado por Lúcio Costa, seu amigo e ex-patrão. Niemeyer, arquiteto escolhido por Juscelino, seria responsável pela concepção dos edifícios, enquanto Lúcio Costa desenvolveria o plano da cidade.</w:t>
      </w:r>
    </w:p>
    <w:p w14:paraId="03C151D5"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2A6D02A4"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A construção de Brasília foi desafiadora.[42] A cidade foi erigida na velocidade de um mandato, e Niemeyer teve de planejar uma série de edifícios em poucos meses para configurá-la. Entre os de maior destaque estão a residência do Presidente (Palácio da Alvorada), o Palácio do Congresso Nacional (Câmara dos Deputados e Senado Federal), a Catedral de Brasília, os prédios dos ministérios, a sede do governo (Palácio do Planalto) além de prédios residenciais e comerciais.</w:t>
      </w:r>
    </w:p>
    <w:p w14:paraId="330B1223"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4AC3AA45"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O engenheiro calculista Joaquim Cardozo foi o responsável pelos projetos estruturais das obras mais complexas da nova capital, como os palácios e a catedral, solucionando os desafios propostos por Niemeyer.</w:t>
      </w:r>
    </w:p>
    <w:p w14:paraId="4F6805F0"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64B89F1A"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A determinação de </w:t>
      </w:r>
      <w:proofErr w:type="spellStart"/>
      <w:r w:rsidRPr="00915FBE">
        <w:rPr>
          <w:rFonts w:ascii="Times New Roman" w:hAnsi="Times New Roman" w:cs="Times New Roman"/>
          <w:color w:val="000000"/>
        </w:rPr>
        <w:t>Kubitschek</w:t>
      </w:r>
      <w:proofErr w:type="spellEnd"/>
      <w:r w:rsidRPr="00915FBE">
        <w:rPr>
          <w:rFonts w:ascii="Times New Roman" w:hAnsi="Times New Roman" w:cs="Times New Roman"/>
          <w:color w:val="000000"/>
        </w:rPr>
        <w:t xml:space="preserve"> foi fundamental para a construção de Brasília, levando para frente sua intenção de desenvolver o centro despovoado do Brasil (a exemplo da marcha do oeste norte-americana): povoar o interior e levar o progresso Brasil adentro.</w:t>
      </w:r>
    </w:p>
    <w:p w14:paraId="19BC9D43"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73E9CDA2"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Dada a preferência pelo concreto armado e o desenvolvimento das inúmeras possibilidades fornecidas pelo mesmo, as obras de Niemeyer contaram com a fundamental parceria dos engenheiros Joaquim Cardozo (1897–1978) e José Carlos </w:t>
      </w:r>
      <w:proofErr w:type="spellStart"/>
      <w:r w:rsidRPr="00915FBE">
        <w:rPr>
          <w:rFonts w:ascii="Times New Roman" w:hAnsi="Times New Roman" w:cs="Times New Roman"/>
          <w:color w:val="000000"/>
        </w:rPr>
        <w:t>Sussekind</w:t>
      </w:r>
      <w:proofErr w:type="spellEnd"/>
      <w:r w:rsidRPr="00915FBE">
        <w:rPr>
          <w:rFonts w:ascii="Times New Roman" w:hAnsi="Times New Roman" w:cs="Times New Roman"/>
          <w:color w:val="000000"/>
        </w:rPr>
        <w:t xml:space="preserve"> (1947), sendo o primeiro responsável pelo cálculo da maioria das obras da construção de Brasília e o segundo pelas obras da década de 1970 até a atualidade.</w:t>
      </w:r>
    </w:p>
    <w:p w14:paraId="6B82A5D4"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0E20981A"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Niemeyer retorna ao Brasil no começo dos anos 1980, no início da abertura política, quando da anistia dos exilados no governo João Figueiredo. Na ocasião o antropólogo Darcy Ribeiro, amigo de Niemeyer, era vice de Leonel Brizola, ex-exilado e governador do Rio de Janeiro eleito em 1982. Para consolidar os projetos educacionais e culturais de Darcy Ribeiro, Niemeyer projeta os CIEPs e o Sambódromo do Rio de Janeiro, que possui salas de aula sob as arquibancadas.</w:t>
      </w:r>
    </w:p>
    <w:p w14:paraId="1377C815"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Projetou ainda na década de 1980 o Memorial JK; o Edifício Manchete; sede do Grupo Bloch em 1983; a Arena de Rodeios e o Parque do Peão "</w:t>
      </w:r>
      <w:proofErr w:type="spellStart"/>
      <w:r w:rsidRPr="00915FBE">
        <w:rPr>
          <w:rFonts w:ascii="Times New Roman" w:hAnsi="Times New Roman" w:cs="Times New Roman"/>
          <w:color w:val="000000"/>
        </w:rPr>
        <w:t>Mussa</w:t>
      </w:r>
      <w:proofErr w:type="spellEnd"/>
      <w:r w:rsidRPr="00915FBE">
        <w:rPr>
          <w:rFonts w:ascii="Times New Roman" w:hAnsi="Times New Roman" w:cs="Times New Roman"/>
          <w:color w:val="000000"/>
        </w:rPr>
        <w:t xml:space="preserve"> </w:t>
      </w:r>
      <w:proofErr w:type="spellStart"/>
      <w:r w:rsidRPr="00915FBE">
        <w:rPr>
          <w:rFonts w:ascii="Times New Roman" w:hAnsi="Times New Roman" w:cs="Times New Roman"/>
          <w:color w:val="000000"/>
        </w:rPr>
        <w:t>Calil</w:t>
      </w:r>
      <w:proofErr w:type="spellEnd"/>
      <w:r w:rsidRPr="00915FBE">
        <w:rPr>
          <w:rFonts w:ascii="Times New Roman" w:hAnsi="Times New Roman" w:cs="Times New Roman"/>
          <w:color w:val="000000"/>
        </w:rPr>
        <w:t xml:space="preserve"> Neto", na cidade de Barretos, interior de São Paulo (1984); o Panteão da Pátria em Brasília (1985) e o Memorial da América Latina (1987), em São Paulo. Em 1988, é criada a Fundação Oscar Niemeyer a fim de preservar o seu acervo de cerca de 500 trabalhos. O Memorial da América Latina, localizado no bairro da Barra Funda, na cidade de São Paulo, inaugurado em 18 de março de 1989, possui o conceito e o projeto cultural desenvolvido pelo antropólogo Darcy Ribeiro.</w:t>
      </w:r>
    </w:p>
    <w:p w14:paraId="75438EAA"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Em 1991, aos 84 anos, projetou o MAC Niterói, em um terreno que ele próprio escolheu quando andava de carro por Niterói. Considerado uma de suas grandes obras, o projeto do MAC integra a arquitetura com o panorama da Baía de Guanabara, a praia de </w:t>
      </w:r>
      <w:proofErr w:type="spellStart"/>
      <w:r w:rsidRPr="00915FBE">
        <w:rPr>
          <w:rFonts w:ascii="Times New Roman" w:hAnsi="Times New Roman" w:cs="Times New Roman"/>
          <w:color w:val="000000"/>
        </w:rPr>
        <w:t>Icaraí</w:t>
      </w:r>
      <w:proofErr w:type="spellEnd"/>
      <w:r w:rsidRPr="00915FBE">
        <w:rPr>
          <w:rFonts w:ascii="Times New Roman" w:hAnsi="Times New Roman" w:cs="Times New Roman"/>
          <w:color w:val="000000"/>
        </w:rPr>
        <w:t xml:space="preserve"> e o relevo do Rio de Janeiro.</w:t>
      </w:r>
    </w:p>
    <w:p w14:paraId="3BC50313"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1013B85C"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Em 22 de novembro de 2002 foi inaugurado o complexo que abriga o Museu Oscar Niemeyer, em Curitiba. Por sua forma inusitada, o museu é popularmente chamado de Museu do Olho ou Olho do Niemeyer. Abriga diversas exposições ao longo do ano e traz milhares de turistas do Brasil e do exterior. O Museu preza por sua arquitetura moderna, representando originalmente uma araucária (segundo Niemeyer).</w:t>
      </w:r>
    </w:p>
    <w:p w14:paraId="5F946DB3"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5C41426B"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Em 2003, Niemeyer foi escolhido para projetar seu primeiro edifício na Grã-Bretanha, um pavilhão provisório da </w:t>
      </w:r>
      <w:proofErr w:type="spellStart"/>
      <w:r w:rsidRPr="00915FBE">
        <w:rPr>
          <w:rFonts w:ascii="Times New Roman" w:hAnsi="Times New Roman" w:cs="Times New Roman"/>
          <w:color w:val="000000"/>
        </w:rPr>
        <w:t>Serpentine</w:t>
      </w:r>
      <w:proofErr w:type="spellEnd"/>
      <w:r w:rsidRPr="00915FBE">
        <w:rPr>
          <w:rFonts w:ascii="Times New Roman" w:hAnsi="Times New Roman" w:cs="Times New Roman"/>
          <w:color w:val="000000"/>
        </w:rPr>
        <w:t xml:space="preserve"> </w:t>
      </w:r>
      <w:proofErr w:type="spellStart"/>
      <w:r w:rsidRPr="00915FBE">
        <w:rPr>
          <w:rFonts w:ascii="Times New Roman" w:hAnsi="Times New Roman" w:cs="Times New Roman"/>
          <w:color w:val="000000"/>
        </w:rPr>
        <w:t>Galleries</w:t>
      </w:r>
      <w:proofErr w:type="spellEnd"/>
      <w:r w:rsidRPr="00915FBE">
        <w:rPr>
          <w:rFonts w:ascii="Times New Roman" w:hAnsi="Times New Roman" w:cs="Times New Roman"/>
          <w:color w:val="000000"/>
        </w:rPr>
        <w:t xml:space="preserve"> — uma galeria londrina que constrói a cada ano um pavilhão no Jardim do Hyde Park. Apesar de sua preferência pelo concreto, Niemeyer optou pela execução em aço devido ao caráter temporário da obra, que pedia uma arquitetura desmontável.</w:t>
      </w:r>
    </w:p>
    <w:p w14:paraId="4E9DED45"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1BA44736"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No ano de 2002 é concluída a 12ª versão do projeto do Auditório </w:t>
      </w:r>
      <w:proofErr w:type="spellStart"/>
      <w:r w:rsidRPr="00915FBE">
        <w:rPr>
          <w:rFonts w:ascii="Times New Roman" w:hAnsi="Times New Roman" w:cs="Times New Roman"/>
          <w:color w:val="000000"/>
        </w:rPr>
        <w:t>Ibirapuera</w:t>
      </w:r>
      <w:proofErr w:type="spellEnd"/>
      <w:r w:rsidRPr="00915FBE">
        <w:rPr>
          <w:rFonts w:ascii="Times New Roman" w:hAnsi="Times New Roman" w:cs="Times New Roman"/>
          <w:color w:val="000000"/>
        </w:rPr>
        <w:t>, projetado para o local desde 1952 e cujas obras são finalizadas em 2005.</w:t>
      </w:r>
    </w:p>
    <w:p w14:paraId="084C9F9D"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Em 15 de dezembro de 2006, com quase 50 anos de atraso, foi inaugurado o Museu Nacional </w:t>
      </w:r>
      <w:proofErr w:type="spellStart"/>
      <w:r w:rsidRPr="00915FBE">
        <w:rPr>
          <w:rFonts w:ascii="Times New Roman" w:hAnsi="Times New Roman" w:cs="Times New Roman"/>
          <w:color w:val="000000"/>
        </w:rPr>
        <w:t>Honestino</w:t>
      </w:r>
      <w:proofErr w:type="spellEnd"/>
      <w:r w:rsidRPr="00915FBE">
        <w:rPr>
          <w:rFonts w:ascii="Times New Roman" w:hAnsi="Times New Roman" w:cs="Times New Roman"/>
          <w:color w:val="000000"/>
        </w:rPr>
        <w:t xml:space="preserve"> Guimarães e a Biblioteca Nacional Leonel de Moura Brizola, que formam, juntas, o maior centro cultural do Brasil, denominado Complexo Cultural da República, na Esplanada dos Ministérios em Brasília. O Complexo, de 91,8 mil metros quadrados custou 110 milhões de reais ao Governo do Distrito Federal. A inauguração foi programada para coincidir com o 99º aniversário de Oscar Niemeyer.</w:t>
      </w:r>
    </w:p>
    <w:p w14:paraId="7E93F7F6"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0D9CA5D6"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Conjunto, projetado por Oscar Niemeyer, de construções na orla da cidade de Niterói, no estado do Rio de Janeiro, no Brasil, em caráter complementar ao Museu de Arte Contemporânea de Niterói, em um caminho entre o Centro da cidade e os bairros da Zona Sul, formando um complexo cultural, o Caminho Niemeyer. Integram, além do Museu de Arte Contemporânea, a estação de catamarãs de </w:t>
      </w:r>
      <w:proofErr w:type="spellStart"/>
      <w:r w:rsidRPr="00915FBE">
        <w:rPr>
          <w:rFonts w:ascii="Times New Roman" w:hAnsi="Times New Roman" w:cs="Times New Roman"/>
          <w:color w:val="000000"/>
        </w:rPr>
        <w:t>Charitas</w:t>
      </w:r>
      <w:proofErr w:type="spellEnd"/>
      <w:r w:rsidRPr="00915FBE">
        <w:rPr>
          <w:rFonts w:ascii="Times New Roman" w:hAnsi="Times New Roman" w:cs="Times New Roman"/>
          <w:color w:val="000000"/>
        </w:rPr>
        <w:t xml:space="preserve">, o Teatro Popular de Niterói, o Memorial Roberto Silveira, a sede da Fundação Oscar Niemeyer e a Praça JK. Está em construção o Museu do Cinema Brasileiro. </w:t>
      </w:r>
    </w:p>
    <w:p w14:paraId="4D92B3D2"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10095828"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Niemeyer completou em 2007 o centésimo aniversário perfeitamente lúcido e ativo. Neste mesmo ano, no dia 12 de dezembro, recebeu a mais alta condecoração do governo francês pelo conjunto de sua obra, o título de Comendador da Ordem Nacional da Legião de Honra.</w:t>
      </w:r>
    </w:p>
    <w:p w14:paraId="5187BA57"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5F048434"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Vladimir Putin, presidente da Rússia, conferiu-lhe a condecoração da Ordem da Amizade no dia 14 de dezembro. No mesmo ano de 2007 o </w:t>
      </w:r>
      <w:proofErr w:type="spellStart"/>
      <w:r w:rsidRPr="00915FBE">
        <w:rPr>
          <w:rFonts w:ascii="Times New Roman" w:hAnsi="Times New Roman" w:cs="Times New Roman"/>
          <w:color w:val="000000"/>
        </w:rPr>
        <w:t>Iphan</w:t>
      </w:r>
      <w:proofErr w:type="spellEnd"/>
      <w:r w:rsidRPr="00915FBE">
        <w:rPr>
          <w:rFonts w:ascii="Times New Roman" w:hAnsi="Times New Roman" w:cs="Times New Roman"/>
          <w:color w:val="000000"/>
        </w:rPr>
        <w:t xml:space="preserve"> tombou 35 obras do arquiteto, das quais 24 foram selecionadas pelo próprio Niemeyer.</w:t>
      </w:r>
    </w:p>
    <w:p w14:paraId="4B50AE9C"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714769D7"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 xml:space="preserve">Fora do Brasil, em 2007, o arquiteto iniciou as obras do seu primeiro projeto na Espanha: um centro cultural com o seu nome, Centro Niemeyer, em </w:t>
      </w:r>
      <w:proofErr w:type="spellStart"/>
      <w:r w:rsidRPr="00915FBE">
        <w:rPr>
          <w:rFonts w:ascii="Times New Roman" w:hAnsi="Times New Roman" w:cs="Times New Roman"/>
          <w:color w:val="000000"/>
        </w:rPr>
        <w:t>Avilés</w:t>
      </w:r>
      <w:proofErr w:type="spellEnd"/>
      <w:r w:rsidRPr="00915FBE">
        <w:rPr>
          <w:rFonts w:ascii="Times New Roman" w:hAnsi="Times New Roman" w:cs="Times New Roman"/>
          <w:color w:val="000000"/>
        </w:rPr>
        <w:t>, Astúrias. Este projeto foi oferecido à Fundação Príncipe das Astúrias como agradecimento pela condecoração que Niemeyer recebeu, em 1989 (Prémio Príncipe das Astúrias das Artes). Do projeto consta de cinco peças separadas e complementares: praça, auditório, cúpula, torre e um edifício polivalente. Foi inaugurado na Primavera de 2011.</w:t>
      </w:r>
    </w:p>
    <w:p w14:paraId="5BB44EC5"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2F3ECA89"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Em julho de 2008, foram inaugurados a Estação Cabo Branco e o Parque da Cidade Dom Nivaldo Monte em duas capitais nordestinas, respectivamente, João Pessoa e Natal. A Estação está localizada na Ponta do Seixas, ponto turístico da capital paraibana conhecido como extremo oriental das Américas, e tem como foco central "uma torre espelhada erguida em forma octogonal, com 43 metros de distância entre lados opostos e apoiada sobre uma parede cilíndrica com quinze metros de diâmetro".</w:t>
      </w:r>
    </w:p>
    <w:p w14:paraId="16ECC3FC"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142768B3"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Também foi convidado a elaborar o projeto arquitetônico do novo centro administrativo do governo de Minas Gerais. Este centro localiza-se entre a capital mineira e o Aeroporto Internacional Tancredo Neves (Confins).</w:t>
      </w:r>
    </w:p>
    <w:p w14:paraId="46E85FD0" w14:textId="77777777" w:rsidR="001C11E3" w:rsidRPr="00915FBE" w:rsidRDefault="001C11E3" w:rsidP="00E53D50">
      <w:pPr>
        <w:spacing w:before="240" w:after="240" w:line="360" w:lineRule="auto"/>
        <w:ind w:left="2160"/>
        <w:jc w:val="both"/>
        <w:rPr>
          <w:rFonts w:ascii="Times New Roman" w:hAnsi="Times New Roman" w:cs="Times New Roman"/>
          <w:color w:val="000000"/>
        </w:rPr>
      </w:pPr>
    </w:p>
    <w:p w14:paraId="5BB07EA9" w14:textId="77777777" w:rsidR="001C11E3" w:rsidRPr="00915FBE" w:rsidRDefault="00576533" w:rsidP="00E53D50">
      <w:pPr>
        <w:spacing w:before="240" w:after="240" w:line="360" w:lineRule="auto"/>
        <w:ind w:left="2160"/>
        <w:jc w:val="both"/>
        <w:rPr>
          <w:rFonts w:ascii="Times New Roman" w:hAnsi="Times New Roman" w:cs="Times New Roman"/>
          <w:color w:val="000000"/>
        </w:rPr>
      </w:pPr>
      <w:r w:rsidRPr="00915FBE">
        <w:rPr>
          <w:rFonts w:ascii="Times New Roman" w:hAnsi="Times New Roman" w:cs="Times New Roman"/>
          <w:color w:val="000000"/>
        </w:rPr>
        <w:t>Curvas, concreto armado e o maior prédio suspenso do mundo. A Cidade Administrativa de Minas Gerais é considerada o projeto mais ousado de Oscar Niemeyer. A obra, realizada no governo Aécio Neves, abriga as Secretarias e órgãos do Estado e foi inaugurada em 4 de março de 2010.</w:t>
      </w:r>
    </w:p>
    <w:p w14:paraId="1CF7F9E8" w14:textId="77777777" w:rsidR="001C11E3" w:rsidRPr="006B1274" w:rsidRDefault="001C11E3" w:rsidP="00E53D50">
      <w:pPr>
        <w:spacing w:before="240" w:after="240" w:line="360" w:lineRule="auto"/>
        <w:ind w:left="2160"/>
        <w:jc w:val="both"/>
        <w:rPr>
          <w:rFonts w:ascii="Times New Roman" w:hAnsi="Times New Roman" w:cs="Times New Roman"/>
          <w:color w:val="000000"/>
          <w:sz w:val="20"/>
          <w:szCs w:val="20"/>
        </w:rPr>
      </w:pPr>
    </w:p>
    <w:p w14:paraId="703AEAF5" w14:textId="77777777" w:rsidR="001C11E3" w:rsidRPr="006B1274" w:rsidRDefault="00576533" w:rsidP="009A1AD3">
      <w:pPr>
        <w:spacing w:before="240" w:after="240" w:line="360" w:lineRule="auto"/>
        <w:ind w:left="7920"/>
        <w:jc w:val="both"/>
        <w:rPr>
          <w:rFonts w:ascii="Times New Roman" w:hAnsi="Times New Roman" w:cs="Times New Roman"/>
          <w:color w:val="000000"/>
          <w:sz w:val="20"/>
          <w:szCs w:val="20"/>
        </w:rPr>
      </w:pPr>
      <w:r w:rsidRPr="006B1274">
        <w:rPr>
          <w:rFonts w:ascii="Times New Roman" w:hAnsi="Times New Roman" w:cs="Times New Roman"/>
          <w:color w:val="000000"/>
          <w:sz w:val="20"/>
          <w:szCs w:val="20"/>
        </w:rPr>
        <w:t>Fonte: Wikipédia</w:t>
      </w:r>
    </w:p>
    <w:p w14:paraId="1F54A3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07BDD2" w14:textId="4D6D0DA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[Nota</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Publicitária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A marcha para o Oeste ou Plano Piloto da Barra da Tijuca, idealizado por Lúcio Costa, mas com a frente organizacional assumida por Oscar Niemeyer, prevê a urbanização da área da Barra da Tijuca no Rio de Janeiro, como sede Administrativa da Estrutura Pública Brasileira, similar à Brasília em sua fundamentação, mas diferente de outras regiões idealizadas e exploradas de forma privada, vale ressaltar diretrizes de Plano estrutural da cidade e a necessidade e importância da conservação de áreas ambientais, tendo a região Oeste maior representação latifundiária de área verde em integração ao Parque Nacional da Tijuca. Em Plano Piloto original, Lúcio Costa, previa preservação ambiental e em antecipação ao processo de ocupação descontrolada da área, apresentava propostas de urbanidade para a cidade, proposta esta, atualmente, já apresentando construções irregulares fora do plano original e sem a concessão da prefeitura em plano paisagístico e urbanístico. O IPHAM e a UNESCO trabalham dentro das propostas da ONU em dever Nacional de um Pilar sustentável para identidade do Brasil e suas colaborações em seus acervos, construções, históricos e patrimônios Nacionais e Internacionais de parceria entre Nações, ou de processo nacionalista de pertencimento cultural.]</w:t>
      </w:r>
    </w:p>
    <w:p w14:paraId="7D09E68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DD76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Tese autoral com análise macro-social. Não autorizado compartilhamento por terceiros.</w:t>
      </w:r>
    </w:p>
    <w:p w14:paraId="6E0D56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CCA36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15A68B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StartUps Desenvolvidas ou Fábrica de </w:t>
      </w:r>
      <w:proofErr w:type="spellStart"/>
      <w:r w:rsidRPr="006B1274">
        <w:rPr>
          <w:rFonts w:ascii="Times New Roman" w:hAnsi="Times New Roman" w:cs="Times New Roman"/>
          <w:color w:val="000000"/>
          <w:sz w:val="20"/>
          <w:szCs w:val="20"/>
        </w:rPr>
        <w:t>Instagrammers</w:t>
      </w:r>
      <w:proofErr w:type="spellEnd"/>
      <w:r w:rsidRPr="006B1274">
        <w:rPr>
          <w:rFonts w:ascii="Times New Roman" w:hAnsi="Times New Roman" w:cs="Times New Roman"/>
          <w:color w:val="000000"/>
          <w:sz w:val="20"/>
          <w:szCs w:val="20"/>
        </w:rPr>
        <w:t>?</w:t>
      </w:r>
    </w:p>
    <w:p w14:paraId="312F69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E585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ESPECIAL COP 30</w:t>
      </w:r>
    </w:p>
    <w:p w14:paraId="3A3D9E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Futuro e as Gerações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r w:rsidRPr="006B1274">
        <w:rPr>
          <w:rFonts w:ascii="Apple Color Emoji" w:hAnsi="Apple Color Emoji" w:cs="Apple Color Emoji"/>
          <w:color w:val="000000"/>
          <w:sz w:val="20"/>
          <w:szCs w:val="20"/>
        </w:rPr>
        <w:t>🧒🇧🇷</w:t>
      </w:r>
    </w:p>
    <w:p w14:paraId="68FF8C3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B2AC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4thofJuly</w:t>
      </w:r>
      <w:proofErr w:type="spellEnd"/>
    </w:p>
    <w:p w14:paraId="177ECC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7685C3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A9EC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Conceito da Metodologia Harvard de Ensino no Brasil, em um Brasil que não é desenvolvido cientificamente geoespacialmente. O BRICS Brasil 2025 coloca um cenário à refletir em tempos de alto desenvolvimento tecnológico envolvendo crises climáticas, socioeconômicas e geopolíticas, quando, não somos uma grande potência espacial de referência científica espacial como a Rússia, Estados Unidos e Japão. </w:t>
      </w:r>
    </w:p>
    <w:p w14:paraId="05E0E7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2386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Indo mais além, não temos grandes centros nucleares subterrâneos e conflito eminente de Faixa de Gaza territorial, como questões que tangem o Oriente Médio e preparo nuclear que ocasionou doenças em século atual radioativas como câncer, por exemplo, ou a deformidade de fetos implicando em doenças neurocognitivas que temos em Século XXI um mapeamento inicial de doenças envolvendo espectro autista e sistema cerebral na codificação e comunicação causada por infecção rádio-nuclear.</w:t>
      </w:r>
    </w:p>
    <w:p w14:paraId="0DDA63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32DF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Tratar dessas questões deveriam ser restritas de forma ética em âmbito profissional, e não diante do cenário que me encontro com conflito familiar e aforismo social por não Diplomáticos de século passado que não possuem as especificações citadas em seus currículos e, atualmente, estamos em fóruns abordando mais temáticas banais interpretadas por toda a sociedade incluindo a classe civil que sequer saberia correlacionar as dimensões de conflitos diplomáticos em rodadas ministeriais e mais uma vez, o Brasil, apresenta a exclusão de profissionais habilitados em área para abordar questões pertinentes em visão multidisciplinar, restringido somente, no foco humanitário e piedoso de um Brasil que não é mais realidade de uma economia embrionária.</w:t>
      </w:r>
    </w:p>
    <w:p w14:paraId="50AD59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42E2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primeiro-ministro da Índia, </w:t>
      </w:r>
      <w:proofErr w:type="spellStart"/>
      <w:r w:rsidRPr="006B1274">
        <w:rPr>
          <w:rFonts w:ascii="Times New Roman" w:hAnsi="Times New Roman" w:cs="Times New Roman"/>
          <w:color w:val="000000"/>
          <w:sz w:val="20"/>
          <w:szCs w:val="20"/>
        </w:rPr>
        <w:t>Narendra</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Modi</w:t>
      </w:r>
      <w:proofErr w:type="spellEnd"/>
      <w:r w:rsidRPr="006B1274">
        <w:rPr>
          <w:rFonts w:ascii="Times New Roman" w:hAnsi="Times New Roman" w:cs="Times New Roman"/>
          <w:color w:val="000000"/>
          <w:sz w:val="20"/>
          <w:szCs w:val="20"/>
        </w:rPr>
        <w:t xml:space="preserve">, será o representante atual neste BRICS, um País que não enfrenta amplos conflitos bélicos como outros membros do BRICS, como Rússia e China, por exemplo. Mas como o Brasil, a desigualdade social assola questões de dignidade humana como saneamento e recursos básicos de saúde. </w:t>
      </w:r>
    </w:p>
    <w:p w14:paraId="12028E1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11B8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Brasil tem sido “elogiado” em algumas ocasiões, como lembrou o primeiro-ministro da Índia em ter retirado 200 Milhões de Pessoas da extrema pobreza do Bloco Econômico de forma conjunta à Índia e África do Sul, enaltecendo sistema de bolsa-família, principal programa do Governo Brasileiro. Sendo destaque entre os países sub-desenvolvidos com maior engajamento em contas do NDB, Novo Banco Nacional de Desenvolvimento dirigido por Dilma Rousseff.</w:t>
      </w:r>
    </w:p>
    <w:p w14:paraId="4DE9D15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115299" w14:textId="7ADB521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Meu comentário, um pouco comedido, em questões diplomáticas e acadêmicas diante dos últimos acontecimentos ao redor do mundo de extremas consequências climáticas, econômicas e humanitárias afetando a vida de milhares de pessoas sem a manipulação teatral de uma atuação de censura, me levam a ditar tais pontos principais dos últimos 13 anos de minha precoce carreira Diplomática, diante de tantas biomédicas, influenciadoras, psicólogas, nutricionistas e médicas aprovadas em Universidades Federais, além de atrizes, com constante postagens em Instagram, trazendo um Brasil de entretenimento e alto engajamento em Redes Sociais digno da crítica abaixo, também sugerida por mim,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Publicitária e Redatora que vos narra, e deixarei fixado em comentário os números de médicos formados em diferentes setores de Serviços Profissionais do Sistema Público Brasileiro e outras áreas de atendimento </w:t>
      </w:r>
      <w:proofErr w:type="spellStart"/>
      <w:r w:rsidRPr="006B1274">
        <w:rPr>
          <w:rFonts w:ascii="Times New Roman" w:hAnsi="Times New Roman" w:cs="Times New Roman"/>
          <w:color w:val="000000"/>
          <w:sz w:val="20"/>
          <w:szCs w:val="20"/>
        </w:rPr>
        <w:t>s</w:t>
      </w:r>
      <w:r w:rsidR="003F439A"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ciodesenvolvedor</w:t>
      </w:r>
      <w:proofErr w:type="spellEnd"/>
      <w:r w:rsidRPr="006B1274">
        <w:rPr>
          <w:rFonts w:ascii="Times New Roman" w:hAnsi="Times New Roman" w:cs="Times New Roman"/>
          <w:color w:val="000000"/>
          <w:sz w:val="20"/>
          <w:szCs w:val="20"/>
        </w:rPr>
        <w:t>, além de dados de problemas já identificados em Estrutura Pública Brasileira:</w:t>
      </w:r>
    </w:p>
    <w:p w14:paraId="199A767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BEDC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Atualmente, no Brasil, a periferia tem se empoderado tanto que qualquer um…</w:t>
      </w:r>
    </w:p>
    <w:p w14:paraId="161C8E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81A9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Que qualquer um pode atuar em Medicina como Biomédico sem Diploma conferido.</w:t>
      </w:r>
    </w:p>
    <w:p w14:paraId="69589F0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D9CF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Que qualquer um pode atuar em Advocacia como Advogado ou Juíz Leigo sem Diploma conferido.</w:t>
      </w:r>
    </w:p>
    <w:p w14:paraId="4A00C4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7342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Que qualquer um pode atuar na área de Artes como “Artista” sem saber o básico de Belas Artes sem um Diploma conferido.</w:t>
      </w:r>
    </w:p>
    <w:p w14:paraId="52DC32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7BEB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Que qualquer um pode atuar em Comunicação como Jornalista sem saber o mínimo de especificações curriculares de pertinência em ABNT sem Diploma conferido.</w:t>
      </w:r>
    </w:p>
    <w:p w14:paraId="00FD49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09C1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Que qualquer um pode atuar em Engenharia como Pedreiro sem saber o mínimo de exatas e suas proporções algébricas sem Diploma conferido.</w:t>
      </w:r>
    </w:p>
    <w:p w14:paraId="615A7C2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59B9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Tanta criatividade em Economia Criativa e Inclusiva não sei se tem nos levado à um Brasil mais “justo” por pena e caridade social, ou à reta do Abismo em proporções de um País Desenvolvido sem ser desenvolvido.</w:t>
      </w:r>
    </w:p>
    <w:p w14:paraId="78249C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9A62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Publicidade não é “só” convencer você sobre uma coisa óbvia com uma outra realidade persuasiva.</w:t>
      </w:r>
    </w:p>
    <w:p w14:paraId="50BAD1B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0BF881" w14:textId="51628AF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84927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98FAE1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165D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w:t>
      </w:r>
    </w:p>
    <w:p w14:paraId="4CFBC9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8086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notícia sobre o Fórum de Negócios do NDB:</w:t>
      </w:r>
    </w:p>
    <w:p w14:paraId="47AF72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B5707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Colômbia e Uzbequistão entram para o Banco do Brics, anuncia Dilma Rousseff no Rio</w:t>
      </w:r>
    </w:p>
    <w:p w14:paraId="3BA993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94128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Anúncio foi feito por Dilma Rousseff após reunião do Conselho de Governadores do Banco do Brics no Rio, neste sábado (5). Colômbia e Uzbequistão se juntam a grupo que já conta com 10 países membros.</w:t>
      </w:r>
    </w:p>
    <w:p w14:paraId="12973F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 Bette </w:t>
      </w:r>
      <w:proofErr w:type="spellStart"/>
      <w:r w:rsidRPr="006B1274">
        <w:rPr>
          <w:rFonts w:ascii="Times New Roman" w:hAnsi="Times New Roman" w:cs="Times New Roman"/>
          <w:color w:val="000000"/>
          <w:sz w:val="20"/>
          <w:szCs w:val="20"/>
        </w:rPr>
        <w:t>Lucchese</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Raoni</w:t>
      </w:r>
      <w:proofErr w:type="spellEnd"/>
      <w:r w:rsidRPr="006B1274">
        <w:rPr>
          <w:rFonts w:ascii="Times New Roman" w:hAnsi="Times New Roman" w:cs="Times New Roman"/>
          <w:color w:val="000000"/>
          <w:sz w:val="20"/>
          <w:szCs w:val="20"/>
        </w:rPr>
        <w:t xml:space="preserve"> Alves, TV Globo e g1 Rio</w:t>
      </w:r>
    </w:p>
    <w:p w14:paraId="4F719A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336B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05/07/2025 14h57  Atualizado há 3 horas</w:t>
      </w:r>
    </w:p>
    <w:p w14:paraId="53A7B4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BCAD36" w14:textId="77777777" w:rsidR="001C11E3" w:rsidRPr="00E243DA" w:rsidRDefault="00576533" w:rsidP="00B36B27">
      <w:pPr>
        <w:spacing w:before="240" w:after="240" w:line="360" w:lineRule="auto"/>
        <w:rPr>
          <w:rFonts w:ascii="Times New Roman" w:hAnsi="Times New Roman" w:cs="Times New Roman"/>
          <w:color w:val="000000"/>
          <w:sz w:val="20"/>
          <w:szCs w:val="20"/>
        </w:rPr>
      </w:pPr>
      <w:hyperlink r:id="rId23">
        <w:r w:rsidRPr="00E243DA">
          <w:rPr>
            <w:rFonts w:ascii="Times New Roman" w:hAnsi="Times New Roman" w:cs="Times New Roman"/>
            <w:color w:val="000000"/>
            <w:sz w:val="20"/>
            <w:szCs w:val="20"/>
          </w:rPr>
          <w:t>https://g1.globo.com/google/amp/rj/rio-de-janeiro/noticia/2025/07/05/colombia-e-uzbequistao-entram-para-o-banco-do-brics-anuncia-dilma-rousseff-no-rio.ghtml</w:t>
        </w:r>
      </w:hyperlink>
    </w:p>
    <w:p w14:paraId="584DD6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1D28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946AAF"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 xml:space="preserve">3º DIA BRICS | </w:t>
      </w: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 xml:space="preserve"> </w:t>
      </w:r>
      <w:proofErr w:type="spellStart"/>
      <w:r w:rsidRPr="006B1274">
        <w:rPr>
          <w:rFonts w:ascii="Times New Roman" w:hAnsi="Times New Roman" w:cs="Times New Roman"/>
          <w:b/>
          <w:bCs/>
          <w:color w:val="000000"/>
          <w:sz w:val="20"/>
          <w:szCs w:val="20"/>
        </w:rPr>
        <w:t>3th</w:t>
      </w:r>
      <w:proofErr w:type="spellEnd"/>
      <w:r w:rsidRPr="006B1274">
        <w:rPr>
          <w:rFonts w:ascii="Times New Roman" w:hAnsi="Times New Roman" w:cs="Times New Roman"/>
          <w:b/>
          <w:bCs/>
          <w:color w:val="000000"/>
          <w:sz w:val="20"/>
          <w:szCs w:val="20"/>
        </w:rPr>
        <w:t xml:space="preserve"> DAY BRICS</w:t>
      </w:r>
    </w:p>
    <w:p w14:paraId="32CD778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6EE8C9" w14:textId="6D15079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CE514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B58F5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D944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Entre as Organizações presentes além da ONU, principal entidade mundial, o Banco da América Latina (CAF) estará presente reforçando Alianças do Sul Global (CEPAL) e a OMS para condução de assuntos pertinentes no âmbito da Saúde e orientações de 1º nível em Saneamento.</w:t>
      </w:r>
    </w:p>
    <w:p w14:paraId="0012D87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0741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Entre Países Membros componentes do Bloco Econômico todos estão em reuniões presenciais na data de hoje e amanhã. Representados por Ministros e seus Líderes, destaca-se a Rússia que também contará com Vladmir Putin em presença confirmada via conferência (online).</w:t>
      </w:r>
    </w:p>
    <w:p w14:paraId="277AA0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7710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quanto aos países convidados e parceiros, pela primeira vez, a reunião terá um número significativo de Países da América do Sul e inclusão de novos países não integrados em grupos econômicos diretos como o G20 ou G7, tendo a principal inclusão e representação do Uzbequistão, local da última COP 29.</w:t>
      </w:r>
    </w:p>
    <w:p w14:paraId="40BF90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0729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Temas sensíveis quanto moedas próprias de economia local e alianças em suporte de conflitos de guerra, serão debatidos com as intenções e considerações da responsabilidade de destino das verbas à subsistência ou apoio civil, e não o controle maior pelo estado para aumento de Desigualdades Sociais, uma das linhas idealitárias do Oriente Médio. Tendo ainda uma pauta exclusiva quanto a Paz e redução de ataques à civis inocentes e crianças.</w:t>
      </w:r>
    </w:p>
    <w:p w14:paraId="7DDD81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B1E4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Abaixo os Órgãos presentes nas reuniões de hoje (6) e amanhã (7):</w:t>
      </w:r>
    </w:p>
    <w:p w14:paraId="04AA433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E204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AIIB (Banco Asiático de Investimento em Infraestrutura)</w:t>
      </w:r>
    </w:p>
    <w:p w14:paraId="03CBDD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Jin </w:t>
      </w:r>
      <w:proofErr w:type="spellStart"/>
      <w:r w:rsidRPr="006B1274">
        <w:rPr>
          <w:rFonts w:ascii="Times New Roman" w:hAnsi="Times New Roman" w:cs="Times New Roman"/>
          <w:color w:val="000000"/>
          <w:sz w:val="20"/>
          <w:szCs w:val="20"/>
        </w:rPr>
        <w:t>Liqun</w:t>
      </w:r>
      <w:proofErr w:type="spellEnd"/>
      <w:r w:rsidRPr="006B1274">
        <w:rPr>
          <w:rFonts w:ascii="Times New Roman" w:hAnsi="Times New Roman" w:cs="Times New Roman"/>
          <w:color w:val="000000"/>
          <w:sz w:val="20"/>
          <w:szCs w:val="20"/>
        </w:rPr>
        <w:t xml:space="preserve"> – Presidente</w:t>
      </w:r>
    </w:p>
    <w:p w14:paraId="3F0ECDA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F37A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CAF (Banco de Desenvolvimento da América Latina)</w:t>
      </w:r>
    </w:p>
    <w:p w14:paraId="58A4A34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Sergio Díaz-Granados – Presidente</w:t>
      </w:r>
    </w:p>
    <w:p w14:paraId="3F192BC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B0EE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NDB (Banco de Desenvolvimento do Brics)</w:t>
      </w:r>
    </w:p>
    <w:p w14:paraId="75C9A8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Dilma Rousseff – Presidente</w:t>
      </w:r>
    </w:p>
    <w:p w14:paraId="544775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6699A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(Organização das Nações Unidas)</w:t>
      </w:r>
    </w:p>
    <w:p w14:paraId="7F21B4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António Guterres – Secretário-Geral</w:t>
      </w:r>
    </w:p>
    <w:p w14:paraId="4B0BC1A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1100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OMS (Organização Mundial da Saúde)</w:t>
      </w:r>
    </w:p>
    <w:p w14:paraId="304D30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Tedros</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Adhanom</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Ghebreyesus</w:t>
      </w:r>
      <w:proofErr w:type="spellEnd"/>
      <w:r w:rsidRPr="006B1274">
        <w:rPr>
          <w:rFonts w:ascii="Times New Roman" w:hAnsi="Times New Roman" w:cs="Times New Roman"/>
          <w:color w:val="000000"/>
          <w:sz w:val="20"/>
          <w:szCs w:val="20"/>
        </w:rPr>
        <w:t xml:space="preserve"> – Diretor-Geral</w:t>
      </w:r>
    </w:p>
    <w:p w14:paraId="1C531D9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A247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BRICS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w:t>
      </w:r>
    </w:p>
    <w:p w14:paraId="5B943A9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98929D" w14:textId="38BED05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83D70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8031B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06 de Julho de 2025.</w:t>
      </w:r>
    </w:p>
    <w:p w14:paraId="3A55CB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apenas 3 países à menos da última Cúpula do BRICS na Rússia, no Rio de Janeiro, Brasil confirma 27 Países na 17º Cúpula dos BRICS, com o encerramento da Presidência Brasileira em Novo Banco de Desenvolvimento (NDB) neste mês de julho, além do relatório oficial do G20 os líderes em consenso apresentarão inclusões em relatório do Bloco.</w:t>
      </w:r>
    </w:p>
    <w:p w14:paraId="085D40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7393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Vale lembrar que todos os relatórios socioeconômicos das reuniões, servem como diretrizes para acordos como o Protocolo de Paris em visão sustentável e Acordos Cooperacionais Econômicos, atualmente, visando o multilateralismo entre os países envolvidos, reduzindo gastos diretos ao FMI.</w:t>
      </w:r>
    </w:p>
    <w:p w14:paraId="78EAB1D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B502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autoral, não autorizado compartilhamento por terceiros.</w:t>
      </w:r>
    </w:p>
    <w:p w14:paraId="613E5A7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21B105"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1790D7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Comissão Econômica da América Latina e Caribe</w:t>
      </w:r>
    </w:p>
    <w:p w14:paraId="2A9D675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9279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 30</w:t>
      </w:r>
    </w:p>
    <w:p w14:paraId="554473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00E7D7" w14:textId="08E69A0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3CB07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EF76ED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63CB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06 de Julho de 2025 | 18:25 PM</w:t>
      </w:r>
    </w:p>
    <w:p w14:paraId="7070A9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2C2A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CEPAL, Comissão Econômica para a América Latina e o Caribe, é uma das cinco comissões regionais das Nações Unidas, com sede em Santiago, Chile. Foi criada para promover o desenvolvimento econômico da América Latina, coordenar ações nesse sentido e fortalecer as relações econômicas entre os países da região e com outras nações do mundo.</w:t>
      </w:r>
    </w:p>
    <w:p w14:paraId="1271BE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A532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Histórico e Objetivos:</w:t>
      </w:r>
    </w:p>
    <w:p w14:paraId="4C868D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Fundada em 1948, a CEPAL tem como objetivo principal contribuir para o desenvolvimento econômico da região latino-americana e caribenha.</w:t>
      </w:r>
    </w:p>
    <w:p w14:paraId="60E031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D057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Busca promover a coordenação de ações para o desenvolvimento, além de fortalecer as relações econômicas tanto entre os países da região quanto com o resto do mundo.</w:t>
      </w:r>
    </w:p>
    <w:p w14:paraId="3AC429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8B87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 CEPAL realiza estudos, pesquisas e análises sobre o desenvolvimento econômico e social da região, além de oferecer assessoria e apoio técnico aos países membros.</w:t>
      </w:r>
    </w:p>
    <w:p w14:paraId="0DD399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A550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Principais áreas de atuação:</w:t>
      </w:r>
    </w:p>
    <w:p w14:paraId="2609CCE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071C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Desenvolvimento econômico: A CEPAL monitora e analisa as políticas de desenvolvimento econômico da região, buscando identificar os desafios e oportunidades para o crescimento sustentável.</w:t>
      </w:r>
    </w:p>
    <w:p w14:paraId="68EB9E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2BBE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Relações econômicas: A comissão atua no fortalecimento das relações comerciais e econômicas entre os países da América Latina e do Caribe, promovendo a integração regional e o comércio internacional.</w:t>
      </w:r>
    </w:p>
    <w:p w14:paraId="5329017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298B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Políticas públicas: A CEPAL oferece assessoria e suporte técnico na formulação, implementação e avaliação de políticas públicas voltadas para o desenvolvimento social e econômico da região.</w:t>
      </w:r>
    </w:p>
    <w:p w14:paraId="3FD37E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A4B0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Igualdade de gênero: A CEPAL também trabalha com questões de gênero, buscando promover a igualdade e a participação das mulheres no desenvolvimento da região.</w:t>
      </w:r>
    </w:p>
    <w:p w14:paraId="5C214B9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5E13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Atuação no Brasil: A CEPAL tem um escritório no Brasil e trabalha em estreita colaboração com o governo brasileiro em diversas áreas, como desenvolvimento econômico, políticas sociais e meio ambiente.</w:t>
      </w:r>
    </w:p>
    <w:p w14:paraId="281D586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D54CA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 comissão também realiza estudos e pesquisas sobre a realidade brasileira, buscando oferecer informações e análises que possam contribuir para o desenvolvimento do país.</w:t>
      </w:r>
    </w:p>
    <w:p w14:paraId="79EA3EF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7F63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CEPAL é uma instituição fundamental para o desenvolvimento da América Latina e do Caribe, oferecendo um valioso suporte técnico e analítico aos países da região.</w:t>
      </w:r>
    </w:p>
    <w:p w14:paraId="7408B0C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72E3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Países Membros</w:t>
      </w:r>
    </w:p>
    <w:p w14:paraId="2E8FFAC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946F5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Alemanha </w:t>
      </w:r>
      <w:r w:rsidRPr="006B1274">
        <w:rPr>
          <w:rFonts w:ascii="Apple Color Emoji" w:hAnsi="Apple Color Emoji" w:cs="Apple Color Emoji"/>
          <w:color w:val="000000"/>
          <w:sz w:val="20"/>
          <w:szCs w:val="20"/>
        </w:rPr>
        <w:t>🇩🇪</w:t>
      </w:r>
    </w:p>
    <w:p w14:paraId="2D8169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Antígua e Barbuda </w:t>
      </w:r>
      <w:r w:rsidRPr="006B1274">
        <w:rPr>
          <w:rFonts w:ascii="Apple Color Emoji" w:hAnsi="Apple Color Emoji" w:cs="Apple Color Emoji"/>
          <w:color w:val="000000"/>
          <w:sz w:val="20"/>
          <w:szCs w:val="20"/>
        </w:rPr>
        <w:t>🇦🇬</w:t>
      </w:r>
    </w:p>
    <w:p w14:paraId="58B933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Argentina </w:t>
      </w:r>
      <w:r w:rsidRPr="006B1274">
        <w:rPr>
          <w:rFonts w:ascii="Apple Color Emoji" w:hAnsi="Apple Color Emoji" w:cs="Apple Color Emoji"/>
          <w:color w:val="000000"/>
          <w:sz w:val="20"/>
          <w:szCs w:val="20"/>
        </w:rPr>
        <w:t>🇦🇷</w:t>
      </w:r>
    </w:p>
    <w:p w14:paraId="53EA8A5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Bahamas </w:t>
      </w:r>
      <w:r w:rsidRPr="006B1274">
        <w:rPr>
          <w:rFonts w:ascii="Apple Color Emoji" w:hAnsi="Apple Color Emoji" w:cs="Apple Color Emoji"/>
          <w:color w:val="000000"/>
          <w:sz w:val="20"/>
          <w:szCs w:val="20"/>
        </w:rPr>
        <w:t>🇧🇸</w:t>
      </w:r>
    </w:p>
    <w:p w14:paraId="67C93A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Barbados </w:t>
      </w:r>
      <w:r w:rsidRPr="006B1274">
        <w:rPr>
          <w:rFonts w:ascii="Apple Color Emoji" w:hAnsi="Apple Color Emoji" w:cs="Apple Color Emoji"/>
          <w:color w:val="000000"/>
          <w:sz w:val="20"/>
          <w:szCs w:val="20"/>
        </w:rPr>
        <w:t>🇧🇧</w:t>
      </w:r>
    </w:p>
    <w:p w14:paraId="2DE035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Belize </w:t>
      </w:r>
      <w:r w:rsidRPr="006B1274">
        <w:rPr>
          <w:rFonts w:ascii="Apple Color Emoji" w:hAnsi="Apple Color Emoji" w:cs="Apple Color Emoji"/>
          <w:color w:val="000000"/>
          <w:sz w:val="20"/>
          <w:szCs w:val="20"/>
        </w:rPr>
        <w:t>🇧🇿</w:t>
      </w:r>
    </w:p>
    <w:p w14:paraId="0D811B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Bolívia </w:t>
      </w:r>
      <w:r w:rsidRPr="006B1274">
        <w:rPr>
          <w:rFonts w:ascii="Apple Color Emoji" w:hAnsi="Apple Color Emoji" w:cs="Apple Color Emoji"/>
          <w:color w:val="000000"/>
          <w:sz w:val="20"/>
          <w:szCs w:val="20"/>
        </w:rPr>
        <w:t>🇧🇴</w:t>
      </w:r>
    </w:p>
    <w:p w14:paraId="2CFAF2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Brasil </w:t>
      </w:r>
      <w:r w:rsidRPr="006B1274">
        <w:rPr>
          <w:rFonts w:ascii="Apple Color Emoji" w:hAnsi="Apple Color Emoji" w:cs="Apple Color Emoji"/>
          <w:color w:val="000000"/>
          <w:sz w:val="20"/>
          <w:szCs w:val="20"/>
        </w:rPr>
        <w:t>🇧🇷</w:t>
      </w:r>
    </w:p>
    <w:p w14:paraId="322FF1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Canadá </w:t>
      </w:r>
      <w:r w:rsidRPr="006B1274">
        <w:rPr>
          <w:rFonts w:ascii="Apple Color Emoji" w:hAnsi="Apple Color Emoji" w:cs="Apple Color Emoji"/>
          <w:color w:val="000000"/>
          <w:sz w:val="20"/>
          <w:szCs w:val="20"/>
        </w:rPr>
        <w:t>🇨🇦</w:t>
      </w:r>
    </w:p>
    <w:p w14:paraId="7455C1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Chile </w:t>
      </w:r>
      <w:r w:rsidRPr="006B1274">
        <w:rPr>
          <w:rFonts w:ascii="Apple Color Emoji" w:hAnsi="Apple Color Emoji" w:cs="Apple Color Emoji"/>
          <w:color w:val="000000"/>
          <w:sz w:val="20"/>
          <w:szCs w:val="20"/>
        </w:rPr>
        <w:t>🇨🇱</w:t>
      </w:r>
    </w:p>
    <w:p w14:paraId="18F1CE9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Colômbia </w:t>
      </w:r>
      <w:r w:rsidRPr="006B1274">
        <w:rPr>
          <w:rFonts w:ascii="Apple Color Emoji" w:hAnsi="Apple Color Emoji" w:cs="Apple Color Emoji"/>
          <w:color w:val="000000"/>
          <w:sz w:val="20"/>
          <w:szCs w:val="20"/>
        </w:rPr>
        <w:t>🇨🇴</w:t>
      </w:r>
    </w:p>
    <w:p w14:paraId="0F8EA0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Costa Rica </w:t>
      </w:r>
      <w:r w:rsidRPr="006B1274">
        <w:rPr>
          <w:rFonts w:ascii="Apple Color Emoji" w:hAnsi="Apple Color Emoji" w:cs="Apple Color Emoji"/>
          <w:color w:val="000000"/>
          <w:sz w:val="20"/>
          <w:szCs w:val="20"/>
        </w:rPr>
        <w:t>🇨🇷</w:t>
      </w:r>
    </w:p>
    <w:p w14:paraId="6DBA3D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Cuba </w:t>
      </w:r>
      <w:r w:rsidRPr="006B1274">
        <w:rPr>
          <w:rFonts w:ascii="Apple Color Emoji" w:hAnsi="Apple Color Emoji" w:cs="Apple Color Emoji"/>
          <w:color w:val="000000"/>
          <w:sz w:val="20"/>
          <w:szCs w:val="20"/>
        </w:rPr>
        <w:t>🇨🇺</w:t>
      </w:r>
    </w:p>
    <w:p w14:paraId="1CE91B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Dominica </w:t>
      </w:r>
      <w:r w:rsidRPr="006B1274">
        <w:rPr>
          <w:rFonts w:ascii="Apple Color Emoji" w:hAnsi="Apple Color Emoji" w:cs="Apple Color Emoji"/>
          <w:color w:val="000000"/>
          <w:sz w:val="20"/>
          <w:szCs w:val="20"/>
        </w:rPr>
        <w:t>🇩🇲</w:t>
      </w:r>
    </w:p>
    <w:p w14:paraId="35CB43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El Salvador </w:t>
      </w:r>
      <w:r w:rsidRPr="006B1274">
        <w:rPr>
          <w:rFonts w:ascii="Apple Color Emoji" w:hAnsi="Apple Color Emoji" w:cs="Apple Color Emoji"/>
          <w:color w:val="000000"/>
          <w:sz w:val="20"/>
          <w:szCs w:val="20"/>
        </w:rPr>
        <w:t>🇸🇻</w:t>
      </w:r>
    </w:p>
    <w:p w14:paraId="51D857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Equador </w:t>
      </w:r>
      <w:r w:rsidRPr="006B1274">
        <w:rPr>
          <w:rFonts w:ascii="Apple Color Emoji" w:hAnsi="Apple Color Emoji" w:cs="Apple Color Emoji"/>
          <w:color w:val="000000"/>
          <w:sz w:val="20"/>
          <w:szCs w:val="20"/>
        </w:rPr>
        <w:t>🇪🇨</w:t>
      </w:r>
    </w:p>
    <w:p w14:paraId="73A123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Espanha </w:t>
      </w:r>
      <w:r w:rsidRPr="006B1274">
        <w:rPr>
          <w:rFonts w:ascii="Apple Color Emoji" w:hAnsi="Apple Color Emoji" w:cs="Apple Color Emoji"/>
          <w:color w:val="000000"/>
          <w:sz w:val="20"/>
          <w:szCs w:val="20"/>
        </w:rPr>
        <w:t>🇪🇸</w:t>
      </w:r>
    </w:p>
    <w:p w14:paraId="07D66F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Estados Unidos </w:t>
      </w:r>
      <w:r w:rsidRPr="006B1274">
        <w:rPr>
          <w:rFonts w:ascii="Apple Color Emoji" w:hAnsi="Apple Color Emoji" w:cs="Apple Color Emoji"/>
          <w:color w:val="000000"/>
          <w:sz w:val="20"/>
          <w:szCs w:val="20"/>
        </w:rPr>
        <w:t>🇺🇸</w:t>
      </w:r>
    </w:p>
    <w:p w14:paraId="487389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França </w:t>
      </w:r>
      <w:r w:rsidRPr="006B1274">
        <w:rPr>
          <w:rFonts w:ascii="Apple Color Emoji" w:hAnsi="Apple Color Emoji" w:cs="Apple Color Emoji"/>
          <w:color w:val="000000"/>
          <w:sz w:val="20"/>
          <w:szCs w:val="20"/>
        </w:rPr>
        <w:t>🇫🇷</w:t>
      </w:r>
    </w:p>
    <w:p w14:paraId="137F49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Granada </w:t>
      </w:r>
      <w:r w:rsidRPr="006B1274">
        <w:rPr>
          <w:rFonts w:ascii="Apple Color Emoji" w:hAnsi="Apple Color Emoji" w:cs="Apple Color Emoji"/>
          <w:color w:val="000000"/>
          <w:sz w:val="20"/>
          <w:szCs w:val="20"/>
        </w:rPr>
        <w:t>🇬🇩</w:t>
      </w:r>
    </w:p>
    <w:p w14:paraId="1545BF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Guatemala </w:t>
      </w:r>
      <w:r w:rsidRPr="006B1274">
        <w:rPr>
          <w:rFonts w:ascii="Apple Color Emoji" w:hAnsi="Apple Color Emoji" w:cs="Apple Color Emoji"/>
          <w:color w:val="000000"/>
          <w:sz w:val="20"/>
          <w:szCs w:val="20"/>
        </w:rPr>
        <w:t>🇬🇹</w:t>
      </w:r>
    </w:p>
    <w:p w14:paraId="2FCFAC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Guiana </w:t>
      </w:r>
      <w:r w:rsidRPr="006B1274">
        <w:rPr>
          <w:rFonts w:ascii="Apple Color Emoji" w:hAnsi="Apple Color Emoji" w:cs="Apple Color Emoji"/>
          <w:color w:val="000000"/>
          <w:sz w:val="20"/>
          <w:szCs w:val="20"/>
        </w:rPr>
        <w:t>🇬🇾</w:t>
      </w:r>
    </w:p>
    <w:p w14:paraId="4D13A3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Haiti </w:t>
      </w:r>
      <w:r w:rsidRPr="006B1274">
        <w:rPr>
          <w:rFonts w:ascii="Apple Color Emoji" w:hAnsi="Apple Color Emoji" w:cs="Apple Color Emoji"/>
          <w:color w:val="000000"/>
          <w:sz w:val="20"/>
          <w:szCs w:val="20"/>
        </w:rPr>
        <w:t>🇭🇹</w:t>
      </w:r>
    </w:p>
    <w:p w14:paraId="0584B3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Honduras </w:t>
      </w:r>
      <w:r w:rsidRPr="006B1274">
        <w:rPr>
          <w:rFonts w:ascii="Apple Color Emoji" w:hAnsi="Apple Color Emoji" w:cs="Apple Color Emoji"/>
          <w:color w:val="000000"/>
          <w:sz w:val="20"/>
          <w:szCs w:val="20"/>
        </w:rPr>
        <w:t>🇭🇳</w:t>
      </w:r>
    </w:p>
    <w:p w14:paraId="4EF5B7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Itália </w:t>
      </w:r>
      <w:r w:rsidRPr="006B1274">
        <w:rPr>
          <w:rFonts w:ascii="Apple Color Emoji" w:hAnsi="Apple Color Emoji" w:cs="Apple Color Emoji"/>
          <w:color w:val="000000"/>
          <w:sz w:val="20"/>
          <w:szCs w:val="20"/>
        </w:rPr>
        <w:t>🇮🇹</w:t>
      </w:r>
    </w:p>
    <w:p w14:paraId="438B822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Jamaica </w:t>
      </w:r>
      <w:r w:rsidRPr="006B1274">
        <w:rPr>
          <w:rFonts w:ascii="Apple Color Emoji" w:hAnsi="Apple Color Emoji" w:cs="Apple Color Emoji"/>
          <w:color w:val="000000"/>
          <w:sz w:val="20"/>
          <w:szCs w:val="20"/>
        </w:rPr>
        <w:t>🇯🇲</w:t>
      </w:r>
    </w:p>
    <w:p w14:paraId="5A0D08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Japão </w:t>
      </w:r>
      <w:r w:rsidRPr="006B1274">
        <w:rPr>
          <w:rFonts w:ascii="Apple Color Emoji" w:hAnsi="Apple Color Emoji" w:cs="Apple Color Emoji"/>
          <w:color w:val="000000"/>
          <w:sz w:val="20"/>
          <w:szCs w:val="20"/>
        </w:rPr>
        <w:t>🇯🇵</w:t>
      </w:r>
    </w:p>
    <w:p w14:paraId="40F9EA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México </w:t>
      </w:r>
      <w:r w:rsidRPr="006B1274">
        <w:rPr>
          <w:rFonts w:ascii="Apple Color Emoji" w:hAnsi="Apple Color Emoji" w:cs="Apple Color Emoji"/>
          <w:color w:val="000000"/>
          <w:sz w:val="20"/>
          <w:szCs w:val="20"/>
        </w:rPr>
        <w:t>🇲🇽</w:t>
      </w:r>
    </w:p>
    <w:p w14:paraId="4E9407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Nicarágua </w:t>
      </w:r>
      <w:r w:rsidRPr="006B1274">
        <w:rPr>
          <w:rFonts w:ascii="Apple Color Emoji" w:hAnsi="Apple Color Emoji" w:cs="Apple Color Emoji"/>
          <w:color w:val="000000"/>
          <w:sz w:val="20"/>
          <w:szCs w:val="20"/>
        </w:rPr>
        <w:t>🇳🇮</w:t>
      </w:r>
    </w:p>
    <w:p w14:paraId="1FF293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Noruega </w:t>
      </w:r>
      <w:r w:rsidRPr="006B1274">
        <w:rPr>
          <w:rFonts w:ascii="Apple Color Emoji" w:hAnsi="Apple Color Emoji" w:cs="Apple Color Emoji"/>
          <w:color w:val="000000"/>
          <w:sz w:val="20"/>
          <w:szCs w:val="20"/>
        </w:rPr>
        <w:t>🇳🇴</w:t>
      </w:r>
    </w:p>
    <w:p w14:paraId="38106E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Países Baixos </w:t>
      </w:r>
      <w:r w:rsidRPr="006B1274">
        <w:rPr>
          <w:rFonts w:ascii="Apple Color Emoji" w:hAnsi="Apple Color Emoji" w:cs="Apple Color Emoji"/>
          <w:color w:val="000000"/>
          <w:sz w:val="20"/>
          <w:szCs w:val="20"/>
        </w:rPr>
        <w:t>🇳🇱</w:t>
      </w:r>
    </w:p>
    <w:p w14:paraId="6965A9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Panamá </w:t>
      </w:r>
      <w:r w:rsidRPr="006B1274">
        <w:rPr>
          <w:rFonts w:ascii="Apple Color Emoji" w:hAnsi="Apple Color Emoji" w:cs="Apple Color Emoji"/>
          <w:color w:val="000000"/>
          <w:sz w:val="20"/>
          <w:szCs w:val="20"/>
        </w:rPr>
        <w:t>🇵🇦</w:t>
      </w:r>
    </w:p>
    <w:p w14:paraId="7C326E3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Paraguai </w:t>
      </w:r>
      <w:r w:rsidRPr="006B1274">
        <w:rPr>
          <w:rFonts w:ascii="Apple Color Emoji" w:hAnsi="Apple Color Emoji" w:cs="Apple Color Emoji"/>
          <w:color w:val="000000"/>
          <w:sz w:val="20"/>
          <w:szCs w:val="20"/>
        </w:rPr>
        <w:t>🇵🇾</w:t>
      </w:r>
    </w:p>
    <w:p w14:paraId="35BAC8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Peru </w:t>
      </w:r>
      <w:r w:rsidRPr="006B1274">
        <w:rPr>
          <w:rFonts w:ascii="Apple Color Emoji" w:hAnsi="Apple Color Emoji" w:cs="Apple Color Emoji"/>
          <w:color w:val="000000"/>
          <w:sz w:val="20"/>
          <w:szCs w:val="20"/>
        </w:rPr>
        <w:t>🇵🇪</w:t>
      </w:r>
    </w:p>
    <w:p w14:paraId="59B69A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Portugal </w:t>
      </w:r>
      <w:r w:rsidRPr="006B1274">
        <w:rPr>
          <w:rFonts w:ascii="Apple Color Emoji" w:hAnsi="Apple Color Emoji" w:cs="Apple Color Emoji"/>
          <w:color w:val="000000"/>
          <w:sz w:val="20"/>
          <w:szCs w:val="20"/>
        </w:rPr>
        <w:t>🇵🇹</w:t>
      </w:r>
    </w:p>
    <w:p w14:paraId="4D417B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Reino Unido </w:t>
      </w:r>
      <w:r w:rsidRPr="006B1274">
        <w:rPr>
          <w:rFonts w:ascii="Apple Color Emoji" w:hAnsi="Apple Color Emoji" w:cs="Apple Color Emoji"/>
          <w:color w:val="000000"/>
          <w:sz w:val="20"/>
          <w:szCs w:val="20"/>
        </w:rPr>
        <w:t>🇬🇧</w:t>
      </w:r>
    </w:p>
    <w:p w14:paraId="642A05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República Dominicana </w:t>
      </w:r>
      <w:r w:rsidRPr="006B1274">
        <w:rPr>
          <w:rFonts w:ascii="Apple Color Emoji" w:hAnsi="Apple Color Emoji" w:cs="Apple Color Emoji"/>
          <w:color w:val="000000"/>
          <w:sz w:val="20"/>
          <w:szCs w:val="20"/>
        </w:rPr>
        <w:t>🇩🇴</w:t>
      </w:r>
    </w:p>
    <w:p w14:paraId="3B3342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Santa Lúcia </w:t>
      </w:r>
      <w:r w:rsidRPr="006B1274">
        <w:rPr>
          <w:rFonts w:ascii="Apple Color Emoji" w:hAnsi="Apple Color Emoji" w:cs="Apple Color Emoji"/>
          <w:color w:val="000000"/>
          <w:sz w:val="20"/>
          <w:szCs w:val="20"/>
        </w:rPr>
        <w:t>🇱🇨</w:t>
      </w:r>
    </w:p>
    <w:p w14:paraId="388343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São Cristóvão e Neves </w:t>
      </w:r>
      <w:r w:rsidRPr="006B1274">
        <w:rPr>
          <w:rFonts w:ascii="Apple Color Emoji" w:hAnsi="Apple Color Emoji" w:cs="Apple Color Emoji"/>
          <w:color w:val="000000"/>
          <w:sz w:val="20"/>
          <w:szCs w:val="20"/>
        </w:rPr>
        <w:t>🇰🇳</w:t>
      </w:r>
    </w:p>
    <w:p w14:paraId="1EC4B3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São Vicente e Granadinas </w:t>
      </w:r>
      <w:r w:rsidRPr="006B1274">
        <w:rPr>
          <w:rFonts w:ascii="Apple Color Emoji" w:hAnsi="Apple Color Emoji" w:cs="Apple Color Emoji"/>
          <w:color w:val="000000"/>
          <w:sz w:val="20"/>
          <w:szCs w:val="20"/>
        </w:rPr>
        <w:t>🇻🇨</w:t>
      </w:r>
    </w:p>
    <w:p w14:paraId="7B26FF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Suriname </w:t>
      </w:r>
      <w:r w:rsidRPr="006B1274">
        <w:rPr>
          <w:rFonts w:ascii="Apple Color Emoji" w:hAnsi="Apple Color Emoji" w:cs="Apple Color Emoji"/>
          <w:color w:val="000000"/>
          <w:sz w:val="20"/>
          <w:szCs w:val="20"/>
        </w:rPr>
        <w:t>🇸🇷</w:t>
      </w:r>
    </w:p>
    <w:p w14:paraId="2222E9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Trinidad e Tobago </w:t>
      </w:r>
      <w:r w:rsidRPr="006B1274">
        <w:rPr>
          <w:rFonts w:ascii="Apple Color Emoji" w:hAnsi="Apple Color Emoji" w:cs="Apple Color Emoji"/>
          <w:color w:val="000000"/>
          <w:sz w:val="20"/>
          <w:szCs w:val="20"/>
        </w:rPr>
        <w:t>🇹🇹</w:t>
      </w:r>
    </w:p>
    <w:p w14:paraId="306C22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Turquia </w:t>
      </w:r>
      <w:r w:rsidRPr="006B1274">
        <w:rPr>
          <w:rFonts w:ascii="Apple Color Emoji" w:hAnsi="Apple Color Emoji" w:cs="Apple Color Emoji"/>
          <w:color w:val="000000"/>
          <w:sz w:val="20"/>
          <w:szCs w:val="20"/>
        </w:rPr>
        <w:t>🇹🇷</w:t>
      </w:r>
    </w:p>
    <w:p w14:paraId="3F6F15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Uruguai </w:t>
      </w:r>
      <w:r w:rsidRPr="006B1274">
        <w:rPr>
          <w:rFonts w:ascii="Apple Color Emoji" w:hAnsi="Apple Color Emoji" w:cs="Apple Color Emoji"/>
          <w:color w:val="000000"/>
          <w:sz w:val="20"/>
          <w:szCs w:val="20"/>
        </w:rPr>
        <w:t>🇺🇾</w:t>
      </w:r>
    </w:p>
    <w:p w14:paraId="23917B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Venezuela </w:t>
      </w:r>
      <w:r w:rsidRPr="006B1274">
        <w:rPr>
          <w:rFonts w:ascii="Apple Color Emoji" w:hAnsi="Apple Color Emoji" w:cs="Apple Color Emoji"/>
          <w:color w:val="000000"/>
          <w:sz w:val="20"/>
          <w:szCs w:val="20"/>
        </w:rPr>
        <w:t>🇻🇪</w:t>
      </w:r>
    </w:p>
    <w:p w14:paraId="1F3BA4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1E16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Membros Associados</w:t>
      </w:r>
    </w:p>
    <w:p w14:paraId="736514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DD85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Anguila </w:t>
      </w:r>
      <w:r w:rsidRPr="006B1274">
        <w:rPr>
          <w:rFonts w:ascii="Apple Color Emoji" w:hAnsi="Apple Color Emoji" w:cs="Apple Color Emoji"/>
          <w:color w:val="000000"/>
          <w:sz w:val="20"/>
          <w:szCs w:val="20"/>
        </w:rPr>
        <w:t>🇦🇮</w:t>
      </w:r>
    </w:p>
    <w:p w14:paraId="584425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Antilhas Holandesas: As Antilhas Holandesas eram um grupo de ilhas no Caribe que faziam parte do Reino dos Países Baixos, dissolvidas em 2010. Incluíam Curaçao, </w:t>
      </w:r>
      <w:proofErr w:type="spellStart"/>
      <w:r w:rsidRPr="006B1274">
        <w:rPr>
          <w:rFonts w:ascii="Times New Roman" w:hAnsi="Times New Roman" w:cs="Times New Roman"/>
          <w:color w:val="000000"/>
          <w:sz w:val="20"/>
          <w:szCs w:val="20"/>
        </w:rPr>
        <w:t>Bonaire</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Sint</w:t>
      </w:r>
      <w:proofErr w:type="spellEnd"/>
      <w:r w:rsidRPr="006B1274">
        <w:rPr>
          <w:rFonts w:ascii="Times New Roman" w:hAnsi="Times New Roman" w:cs="Times New Roman"/>
          <w:color w:val="000000"/>
          <w:sz w:val="20"/>
          <w:szCs w:val="20"/>
        </w:rPr>
        <w:t xml:space="preserve"> Maarten, </w:t>
      </w:r>
      <w:proofErr w:type="spellStart"/>
      <w:r w:rsidRPr="006B1274">
        <w:rPr>
          <w:rFonts w:ascii="Times New Roman" w:hAnsi="Times New Roman" w:cs="Times New Roman"/>
          <w:color w:val="000000"/>
          <w:sz w:val="20"/>
          <w:szCs w:val="20"/>
        </w:rPr>
        <w:t>Sint</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Eustatius</w:t>
      </w:r>
      <w:proofErr w:type="spellEnd"/>
      <w:r w:rsidRPr="006B1274">
        <w:rPr>
          <w:rFonts w:ascii="Times New Roman" w:hAnsi="Times New Roman" w:cs="Times New Roman"/>
          <w:color w:val="000000"/>
          <w:sz w:val="20"/>
          <w:szCs w:val="20"/>
        </w:rPr>
        <w:t xml:space="preserve">, Saba e, até 1986, Aruba. Após a dissolução, Curaçao e São Martinho tornaram-se países autônomos dentro do Reino, enquanto </w:t>
      </w:r>
      <w:proofErr w:type="spellStart"/>
      <w:r w:rsidRPr="006B1274">
        <w:rPr>
          <w:rFonts w:ascii="Times New Roman" w:hAnsi="Times New Roman" w:cs="Times New Roman"/>
          <w:color w:val="000000"/>
          <w:sz w:val="20"/>
          <w:szCs w:val="20"/>
        </w:rPr>
        <w:t>Bonaire</w:t>
      </w:r>
      <w:proofErr w:type="spellEnd"/>
      <w:r w:rsidRPr="006B1274">
        <w:rPr>
          <w:rFonts w:ascii="Times New Roman" w:hAnsi="Times New Roman" w:cs="Times New Roman"/>
          <w:color w:val="000000"/>
          <w:sz w:val="20"/>
          <w:szCs w:val="20"/>
        </w:rPr>
        <w:t>, Saba e Santo Eustáquio tornaram-se municípios especiais dos Países Baixos.</w:t>
      </w:r>
    </w:p>
    <w:p w14:paraId="495D55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Aruba </w:t>
      </w:r>
      <w:r w:rsidRPr="006B1274">
        <w:rPr>
          <w:rFonts w:ascii="Apple Color Emoji" w:hAnsi="Apple Color Emoji" w:cs="Apple Color Emoji"/>
          <w:color w:val="000000"/>
          <w:sz w:val="20"/>
          <w:szCs w:val="20"/>
        </w:rPr>
        <w:t>🇦🇼</w:t>
      </w:r>
    </w:p>
    <w:p w14:paraId="1C9622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Ilhas Virgens Americanas </w:t>
      </w:r>
      <w:r w:rsidRPr="006B1274">
        <w:rPr>
          <w:rFonts w:ascii="Apple Color Emoji" w:hAnsi="Apple Color Emoji" w:cs="Apple Color Emoji"/>
          <w:color w:val="000000"/>
          <w:sz w:val="20"/>
          <w:szCs w:val="20"/>
        </w:rPr>
        <w:t>🇻🇮</w:t>
      </w:r>
    </w:p>
    <w:p w14:paraId="46B87B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Ilhas Virgens Britânicas </w:t>
      </w:r>
      <w:r w:rsidRPr="006B1274">
        <w:rPr>
          <w:rFonts w:ascii="Apple Color Emoji" w:hAnsi="Apple Color Emoji" w:cs="Apple Color Emoji"/>
          <w:color w:val="000000"/>
          <w:sz w:val="20"/>
          <w:szCs w:val="20"/>
        </w:rPr>
        <w:t>🇻🇬</w:t>
      </w:r>
    </w:p>
    <w:p w14:paraId="2E5B36A9"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Monserrate</w:t>
      </w:r>
      <w:proofErr w:type="spellEnd"/>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p>
    <w:p w14:paraId="7C4CB0C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26DC1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Dados da Plenária BRICS Brasil 2025 (WBA)</w:t>
      </w:r>
      <w:r w:rsidRPr="006B1274">
        <w:rPr>
          <w:rFonts w:ascii="Apple Color Emoji" w:hAnsi="Apple Color Emoji" w:cs="Apple Color Emoji"/>
          <w:color w:val="000000"/>
          <w:sz w:val="20"/>
          <w:szCs w:val="20"/>
        </w:rPr>
        <w:t>📈</w:t>
      </w:r>
    </w:p>
    <w:p w14:paraId="5ED767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Inscrição de 2.000 Mulheres no Programa de StartUps BRICS WBA. África do Sul com 300 inscrições. Mulheres africanas com 15% de representação no grupo.</w:t>
      </w:r>
    </w:p>
    <w:p w14:paraId="08B05C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C8CF51" w14:textId="106EE43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Radar Informação</w:t>
      </w:r>
    </w:p>
    <w:p w14:paraId="62C639C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A381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MDIC</w:t>
      </w:r>
    </w:p>
    <w:p w14:paraId="40BD2E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34A916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55D7EA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573BC5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2B0452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5FDDE83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5F227F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4982B6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3696CA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1E3B0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26F5E4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42416F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6C85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553A92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03EBF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880AB5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38FF9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B13F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b/>
          <w:bCs/>
          <w:color w:val="000000"/>
          <w:sz w:val="20"/>
          <w:szCs w:val="20"/>
        </w:rPr>
        <w:t>ESG: RIO DE JANEIRO DIGITAL</w:t>
      </w:r>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p>
    <w:p w14:paraId="7EED862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3FEB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Uma governança sustentável, exige medidas sustentáveis. Você tem sido um cidadão responsável socialmente?</w:t>
      </w:r>
    </w:p>
    <w:p w14:paraId="243187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39D6BD" w14:textId="49B7776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4EFD9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0777F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p>
    <w:p w14:paraId="136446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18 de Julho de 2025 | 16:50 PM</w:t>
      </w:r>
    </w:p>
    <w:p w14:paraId="08E5B2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ED48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Bullying não melhora a nossa cidade.</w:t>
      </w:r>
    </w:p>
    <w:p w14:paraId="2000B9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Intolerância religiosa não melhora a nossa cidade.</w:t>
      </w:r>
    </w:p>
    <w:p w14:paraId="56E28B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Racismo e injúria racial não melhoram a nossa cidade.</w:t>
      </w:r>
    </w:p>
    <w:p w14:paraId="4C1874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Drogas não melhoram a nossa cidade.</w:t>
      </w:r>
    </w:p>
    <w:p w14:paraId="612FE4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Desolamento social não melhora a nossa cidade.</w:t>
      </w:r>
    </w:p>
    <w:p w14:paraId="0565D5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Depredação Patrimonial não melhora a nossa cidade.</w:t>
      </w:r>
    </w:p>
    <w:p w14:paraId="2EBAE4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Desordem Cívica não melhora a nossa cidade.</w:t>
      </w:r>
    </w:p>
    <w:p w14:paraId="52D59FB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5DE4D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21A5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D85B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4A6C62"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MINDSET</w:t>
      </w:r>
      <w:proofErr w:type="spellEnd"/>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p>
    <w:p w14:paraId="232CBFA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C1FB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Inclusão Social melhora a nossa cidade.</w:t>
      </w:r>
    </w:p>
    <w:p w14:paraId="5AE126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Respeito à diversidade cultural melhora a nossa cidade.</w:t>
      </w:r>
    </w:p>
    <w:p w14:paraId="0A7C3F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Respeito ao próximo melhora a nossa cidade.</w:t>
      </w:r>
    </w:p>
    <w:p w14:paraId="5B912F8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Atos de cidadania melhoram a nossa cidade.</w:t>
      </w:r>
    </w:p>
    <w:p w14:paraId="6BD99A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Direitos Cívicos-Sociais melhoram a nossa cidade.</w:t>
      </w:r>
    </w:p>
    <w:p w14:paraId="161554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Conservação e Sanitarismo melhoram a nossa cidade.</w:t>
      </w:r>
    </w:p>
    <w:p w14:paraId="4B533B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Cordialidade melhora a nossa cidade.</w:t>
      </w:r>
    </w:p>
    <w:p w14:paraId="53222A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Responsabilidade econômica melhora a nossa cidade.</w:t>
      </w:r>
    </w:p>
    <w:p w14:paraId="60B454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Igualdade de gênero melhora a nossa cidade.</w:t>
      </w:r>
    </w:p>
    <w:p w14:paraId="0110C3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rial Unicode MS" w:hAnsi="Apple Color Emoji" w:cs="Apple Color Emoji"/>
          <w:color w:val="000000"/>
          <w:sz w:val="20"/>
          <w:szCs w:val="20"/>
        </w:rPr>
        <w:t>✅</w:t>
      </w:r>
      <w:r w:rsidRPr="006B1274">
        <w:rPr>
          <w:rFonts w:ascii="Times New Roman" w:eastAsia="Arial Unicode MS" w:hAnsi="Times New Roman" w:cs="Times New Roman"/>
          <w:color w:val="000000"/>
          <w:sz w:val="20"/>
          <w:szCs w:val="20"/>
        </w:rPr>
        <w:t xml:space="preserve"> Sustentabilidade melhora a nossa cidade.</w:t>
      </w:r>
    </w:p>
    <w:p w14:paraId="7B30FA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FD60FD" w14:textId="19EB2F8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Texto: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37E92F7" w14:textId="6910571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Temática Social: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9D8EB65" w14:textId="5B0DD67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Vídeo </w:t>
      </w:r>
      <w:proofErr w:type="spellStart"/>
      <w:r w:rsidRPr="006B1274">
        <w:rPr>
          <w:rFonts w:ascii="Times New Roman" w:hAnsi="Times New Roman" w:cs="Times New Roman"/>
          <w:color w:val="000000"/>
          <w:sz w:val="20"/>
          <w:szCs w:val="20"/>
        </w:rPr>
        <w:t>Maker</w:t>
      </w:r>
      <w:proofErr w:type="spellEnd"/>
      <w:r w:rsidRPr="006B1274">
        <w:rPr>
          <w:rFonts w:ascii="Times New Roman" w:hAnsi="Times New Roman" w:cs="Times New Roman"/>
          <w:color w:val="000000"/>
          <w:sz w:val="20"/>
          <w:szCs w:val="20"/>
        </w:rPr>
        <w:t xml:space="preserve">/Arte: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1CB371E" w14:textId="76E6ECE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Edição: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C0E40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Instituição: Universidade Estácio de Sá ao Governo do Estado do Rio de Janeiro.</w:t>
      </w:r>
    </w:p>
    <w:p w14:paraId="29DDCB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Eventos Globais: G20 Brasil | BRICS | COP 30</w:t>
      </w:r>
    </w:p>
    <w:p w14:paraId="3CE002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8D4E365" w14:textId="11A685C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1A248D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50AD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MDIC</w:t>
      </w:r>
    </w:p>
    <w:p w14:paraId="3D1B5E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5E15D3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65497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7632F4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1BDFC5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72B4AA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17EBDD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4E920E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5433B8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5F42F4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26A94F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486910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01B546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6672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o compartilhamento.</w:t>
      </w:r>
    </w:p>
    <w:p w14:paraId="4F3931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2DEEB1"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Denúncias de Corrupção no Processo de Revitalização da Capital do Estado do Rio de Janeiro:</w:t>
      </w:r>
    </w:p>
    <w:p w14:paraId="5D2AF6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457C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Lavagem de Dinheiro</w:t>
      </w:r>
    </w:p>
    <w:p w14:paraId="08CAC7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Violação de Direitos Femininos</w:t>
      </w:r>
    </w:p>
    <w:p w14:paraId="665B82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Insalubridade e Insegurança Sanitária </w:t>
      </w:r>
    </w:p>
    <w:p w14:paraId="5FA2BC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Sonegação Fiscal aos Cofres Públicos</w:t>
      </w:r>
    </w:p>
    <w:p w14:paraId="011C11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Falsificação de Moedas por Crimes Digitais</w:t>
      </w:r>
    </w:p>
    <w:p w14:paraId="2CE0F4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Aumento do Índice de Violência e Criminalidade</w:t>
      </w:r>
    </w:p>
    <w:p w14:paraId="4D1C02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Demissões em Massa de Trabalhadores Naturais do Estado</w:t>
      </w:r>
    </w:p>
    <w:p w14:paraId="46AB70D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Aumento do Trabalho Informal e Empreendedorismo Digital</w:t>
      </w:r>
    </w:p>
    <w:p w14:paraId="3A1426C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201E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ECO 92: 1995 O NOVO SÉCULO SUSTENTÁVEL</w:t>
      </w:r>
    </w:p>
    <w:p w14:paraId="153BDA5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3341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 ANOS DA ORGANIZAÇÃO DAS NAÇÕES UNIDAS</w:t>
      </w:r>
    </w:p>
    <w:p w14:paraId="2D60B61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35F6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1B4A19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ADD884" w14:textId="464328B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B051F6"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C57E6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32B8B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8A815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19 de Julho de 2025 | 13:55 PM</w:t>
      </w:r>
    </w:p>
    <w:p w14:paraId="249219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E013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integrar cidades e populações, não é preciso destruir o meio ambiente e devastar um Estado. Isto é CORRUPÇÃO.</w:t>
      </w:r>
    </w:p>
    <w:p w14:paraId="16695D3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29D2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Propagar cultura, não é financiar o entretenimento e o CAOS de uma cidade.</w:t>
      </w:r>
    </w:p>
    <w:p w14:paraId="568EE1E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7C95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SalveoRJ</w:t>
      </w:r>
      <w:proofErr w:type="spellEnd"/>
    </w:p>
    <w:p w14:paraId="4092BA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FDB4E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Responsabilidade Socioambiental</w:t>
      </w:r>
    </w:p>
    <w:p w14:paraId="3B10F5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AFC0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26/11/2020 12h22</w:t>
      </w:r>
    </w:p>
    <w:p w14:paraId="356C75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Apresentação</w:t>
      </w:r>
    </w:p>
    <w:p w14:paraId="1CF247E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BD07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Jardim Botânico do Rio de Janeiro (JBRJ) entende que a responsabilidade socioambiental é uma postura permanente, base da atividade humana e profissional. Com um enfoque transformador, o Centro de Responsabilidade Socioambiental (CRS) busca uma forma diferenciada de relação entre os distintos atores da sociedade e o meio em que estão inseridos.</w:t>
      </w:r>
    </w:p>
    <w:p w14:paraId="0FCC84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10C4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Centro de Responsabilidade Socioambiental do JBRJ qualifica e promove a inclusão social e profissional de jovens com idades entre 15 e 18 anos, através da educação e capacitação para o trabalho, desenvolvendo habilidades intelectuais, culturais, sociais e ambientais. O objetivo é formar cidadãos mais conscientes e preparados para o mercado de trabalho e para a vida. Em seus 30 anos de existência, com o início dos trabalhos em 1989, já foram atendidos mais de 4 mil jovens.</w:t>
      </w:r>
    </w:p>
    <w:p w14:paraId="023C58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17E2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equipe do CRS é formada por técnicos do Instituto de Pesquisas Jardim Botânico do Rio de Janeiro, educadores e instrutores externos - prestadores de serviço com formações diversificadas, oferecendo um trabalho transversal, incluindo ainda acompanhamento psicopedagógico.</w:t>
      </w:r>
    </w:p>
    <w:p w14:paraId="0F49B6E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FA49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Sobre o CRS</w:t>
      </w:r>
    </w:p>
    <w:p w14:paraId="31E4A8A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27B1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conceito de Responsabilidade Socioambiental envolve de maneira indissociável três pilares: social, econômico e ambiental. Essa noção propõe uma visão de gestão pautada pela relação ética e de transparência com todos os públicos com os quais ela se relaciona, e é capaz de criar metas que impulsionam o desenvolvimento sustentável da sociedade, preservando recursos ambientais e culturais para as gerações futuras, respeitando a diversidade e promovendo a redução das desigualdades sociais.</w:t>
      </w:r>
    </w:p>
    <w:p w14:paraId="09CD1A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7209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atividades do JBRJ na esfera social tiveram início em 21 de junho de 1869 com a inauguração do “Asilo Agrícola da Fazenda Normal”, Escola cujo compromisso era profissionalizar órfãos oriundos da Santa Casa de Misericórdia como aprendizes em técnicas agrícolas. O Asilo atuou até os primeiros anos da República, quando houve a extinção do Ministério da Agricultura, Comércio e Obras Públicas.</w:t>
      </w:r>
    </w:p>
    <w:p w14:paraId="5DEF45C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53EB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Dando sequência à vocação histórica do JBRJ no campo da capacitação profissional para os socialmente excluídos, em 29 de outubro de 1989 foi iniciada mais uma etapa dessa trajetória, com a implantação e execução do Projeto denominado Extramuros: Meninos de Rua/Jardinagem. O projeto era voltado a jovens e adultos de ambos os sexos, entre 14 e 21 anos, com o objetivo de atender à demanda crescente do mercado por mão de obra especializada em manutenção de áreas verdes e possibilitar a inserção das comunidades do entorno nas atividades do JBRJ.</w:t>
      </w:r>
    </w:p>
    <w:p w14:paraId="116F5D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863BB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Após uma reestruturação do trabalho realizado no projeto inicial, surgiu em 1995 o Programa Educação e Trabalho, com o objetivo de enfrentar quatro grandes desafios: 1) desenvolver uma proposta educativa e inovadora capaz de estimular competências, qualidades pessoais e valores éticos; 2) incentivar, através de novas metodologias, a produtividade, a iniciativa e a aprendizagem com autonomia; 3) promover no jovem a capacidade de gerir seu próprio desenvolvimento pessoal e profissional; e 4) formar cidadãos.</w:t>
      </w:r>
    </w:p>
    <w:p w14:paraId="250B54E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C546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Atualmente, o Programa Educação e Trabalho permanece atuando com os mesmos objetivos e, juntamente com o Programa de Ações para a Sociedade, congregam as ações e compromissos do CRS do JBRJ no que concerne às questões sociais, culturais, científicas e ambientais para a formação de recursos humanos.</w:t>
      </w:r>
    </w:p>
    <w:p w14:paraId="312452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8199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Visão e Valores do CRS</w:t>
      </w:r>
    </w:p>
    <w:p w14:paraId="5BEB1F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3522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w:t>
      </w:r>
    </w:p>
    <w:p w14:paraId="1F8748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Promover a formação de cidadãos através da educação, profissionalização e respeito ao meio Ambiente.</w:t>
      </w:r>
    </w:p>
    <w:p w14:paraId="23F957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A71F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Visão</w:t>
      </w:r>
    </w:p>
    <w:p w14:paraId="397F0C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Ser referência no Brasil na formação de cidadãos, na promoção de sua inserção no mercado de trabalho e na produção e difusão de conhecimento em educação socioambiental.</w:t>
      </w:r>
    </w:p>
    <w:p w14:paraId="5A0E62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F74B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Valores</w:t>
      </w:r>
    </w:p>
    <w:p w14:paraId="4E18B9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Educação como meio transformador do indivíduo e da sociedade;</w:t>
      </w:r>
    </w:p>
    <w:p w14:paraId="259B00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Respeito às instituições, ao ser humano e ao meio ambiente;</w:t>
      </w:r>
    </w:p>
    <w:p w14:paraId="467A6A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Confiança;</w:t>
      </w:r>
    </w:p>
    <w:p w14:paraId="6149FD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Ética e transparência;</w:t>
      </w:r>
    </w:p>
    <w:p w14:paraId="6E9F322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Diversidade;</w:t>
      </w:r>
    </w:p>
    <w:p w14:paraId="6C54FA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Equidade de gênero;</w:t>
      </w:r>
    </w:p>
    <w:p w14:paraId="1321DB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Inovação.</w:t>
      </w:r>
    </w:p>
    <w:p w14:paraId="14F536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2809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Educação Ambiental</w:t>
      </w:r>
    </w:p>
    <w:p w14:paraId="00F5363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2D32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Publicado em 29/10/2020 17h27</w:t>
      </w:r>
    </w:p>
    <w:p w14:paraId="12F60DA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Atualizado em 25/08/2023 16h08</w:t>
      </w:r>
    </w:p>
    <w:p w14:paraId="047749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“Entendem-se por educação ambiental os processos por meio dos quais o indivíduo e a coletividade constroem valores sociais, conhecimentos, habilidades, atitudes e competências voltadas para a conservação do meio ambiente, bem de uso comum do povo, essencial à sadia qualidade de vida e sua sustentabilidade." (Política Nacional de Educação Ambiental - Lei nº 9795/1999, Art 1º).</w:t>
      </w:r>
    </w:p>
    <w:p w14:paraId="6F5A717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BFC0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"Programa destinado a assegurar, no âmbito educativo, a integração equilibrada das múltiplas dimensões da sustentabilidade - ambiental, social, ética, cultural, econômica, espacial e política - ao desenvolvimento do País, resultando em melhor qualidade de vida para toda a população brasileira, por intermédio do envolvimento e participação social na proteção e conservação ambiental e da manutenção dessas condições ao longo prazo." (Ministério do Meio Ambiente)</w:t>
      </w:r>
    </w:p>
    <w:p w14:paraId="064B48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2A326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Serviço de Educação Ambiental do Instituto de Pesquisas Jardim Botânico do Rio de Janeiro – JBRJ foi criado em julho de 1992 e atualmente funciona na Sede da Educação Ambiental (ao lado da Casa Pacheco Leão). Conta com uma equipe multidisciplinar e tem por objetivo formar sujeitos críticos com base na conservação da biodiversidade e na sustentabilidade socioambiental, visando a transformação para uma sociedade mais justa e sustentável. Suas ações estão organizadas nas seguintes linhas: Divulgação Científica, Formação em Educação Ambiental, Educação para Gestão Ambiental, Extensão e Pesquisa em Educação Ambiental.</w:t>
      </w:r>
    </w:p>
    <w:p w14:paraId="1ADC0D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0D4B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#DivulgaçãoCientífica</w:t>
      </w:r>
    </w:p>
    <w:p w14:paraId="241B1F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#EducaçãoAmbiental</w:t>
      </w:r>
    </w:p>
    <w:p w14:paraId="3F99298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71DBB35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7B84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Informações Disponíveis em:</w:t>
      </w:r>
    </w:p>
    <w:p w14:paraId="619E58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https://www.gov.br/jbrj/pt-br</w:t>
      </w:r>
    </w:p>
    <w:p w14:paraId="12C0F2B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2CD65D" w14:textId="4665DBE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COP30 Brasil</w:t>
      </w:r>
    </w:p>
    <w:p w14:paraId="46286C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E5A4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MDIC</w:t>
      </w:r>
    </w:p>
    <w:p w14:paraId="5FF67E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0E6109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Unesco Brasil</w:t>
      </w:r>
    </w:p>
    <w:p w14:paraId="3BB011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6C9FB6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462A4F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604187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4D0A9A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2ACB681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5864AC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2931A7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70E89B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26AD27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BCB0C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17B6BF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58EDF4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3BD4AF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695875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A64C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63D58DF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B4AE7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b/>
          <w:bCs/>
          <w:color w:val="000000"/>
          <w:sz w:val="20"/>
          <w:szCs w:val="20"/>
        </w:rPr>
        <w:t xml:space="preserve">EDUCAÇÃO MOVE O MUNDO </w:t>
      </w: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w:t>
      </w:r>
      <w:r w:rsidRPr="006B1274">
        <w:rPr>
          <w:rFonts w:ascii="Apple Color Emoji" w:hAnsi="Apple Color Emoji" w:cs="Apple Color Emoji"/>
          <w:b/>
          <w:bCs/>
          <w:color w:val="000000"/>
          <w:sz w:val="20"/>
          <w:szCs w:val="20"/>
        </w:rPr>
        <w:t>🎓</w:t>
      </w:r>
      <w:r w:rsidRPr="006B1274">
        <w:rPr>
          <w:rFonts w:ascii="Apple Color Emoji" w:hAnsi="Apple Color Emoji" w:cs="Apple Color Emoji"/>
          <w:color w:val="000000"/>
          <w:sz w:val="20"/>
          <w:szCs w:val="20"/>
        </w:rPr>
        <w:t>🇧🇷</w:t>
      </w:r>
    </w:p>
    <w:p w14:paraId="389556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124C18" w14:textId="78C7EB2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CFE10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9D4B1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B88C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605524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53220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6F0807A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1B68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108C16E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579C7E" w14:textId="173C779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611B82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UNICEF BRASIL </w:t>
      </w:r>
    </w:p>
    <w:p w14:paraId="776215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Este ano, o UNICEF comemora 75 anos no Brasil. Ao longos desses anos, o País alcançou conquistas fundamentais para crianças e adolescentes, como a redução da mortalidade infantil, o acesso ao pré-natal e à saúde materno infantil, o acesso à educação, entre outros.  </w:t>
      </w:r>
    </w:p>
    <w:p w14:paraId="08E6113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2F71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Veja no carrossel alguns desses marcos históricos. </w:t>
      </w:r>
    </w:p>
    <w:p w14:paraId="203270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03A1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 acesse: https://www.unicef.org/brazil/unicef-75-anos </w:t>
      </w:r>
    </w:p>
    <w:p w14:paraId="08683DC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1670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#UNICEF75anos</w:t>
      </w:r>
    </w:p>
    <w:p w14:paraId="51DE391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413DBC"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42EA44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 25 Anos do Novo Século</w:t>
      </w:r>
    </w:p>
    <w:p w14:paraId="304C9EC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74756A" w14:textId="7CB3DF6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CC928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C29F4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09D42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22 de Julho de 2025 | 20:10 PM</w:t>
      </w:r>
    </w:p>
    <w:p w14:paraId="6C1D7E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86018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Nota-se com a cultura digital como o marco da internet auxilia na propagação da cultura, hábitos e consumo divididos em produtor e consumidor em sociedade. E como a comunicação adaptada ao mundo pós-moderno evolui da rede social, e chega em um dos maiores meios de comunicação de massa, a televisão, auxiliando em processo de Desenvolvimento Social e Democratização da Informação. Com trabalho conclusivo à nível de Doutorado em pesquisa midiática e empírica com cobertura informacional e projeto publicitário com </w:t>
      </w:r>
      <w:proofErr w:type="spellStart"/>
      <w:r w:rsidRPr="006B1274">
        <w:rPr>
          <w:rFonts w:ascii="Times New Roman" w:hAnsi="Times New Roman" w:cs="Times New Roman"/>
          <w:color w:val="000000"/>
          <w:sz w:val="20"/>
          <w:szCs w:val="20"/>
        </w:rPr>
        <w:t>realeses</w:t>
      </w:r>
      <w:proofErr w:type="spellEnd"/>
      <w:r w:rsidRPr="006B1274">
        <w:rPr>
          <w:rFonts w:ascii="Times New Roman" w:hAnsi="Times New Roman" w:cs="Times New Roman"/>
          <w:color w:val="000000"/>
          <w:sz w:val="20"/>
          <w:szCs w:val="20"/>
        </w:rPr>
        <w:t xml:space="preserve"> econômicos e censitários em página de Redes Sociais, através da emissora Globo com sua diversidade em audiência e influenciadores fomenta a população a grandes debates pelas redes sociais e inclusão em equidade digital. Abordagem dos impactos da comunicação em sociedade em século XXI e análise em Redes Sociais. No digital com perfis oficiais de influenciadores e chefes-de-estado, percebe-se como mesmo que sem intenção, está envolvida uma lembrança televisiva nos usuários da internet, fato que representa a importância da emissora como ferramenta no processo de convergência midiática e cobertura informacional de 100 anos da Imprensa Brasileira em referência de influência e credibilidade informacional.</w:t>
      </w:r>
    </w:p>
    <w:p w14:paraId="29F4FA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330B2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nova linguagem da publicidade na televisão através de produtores de conteúdo digital aliada a convergência midiática nos veículos de informação, traçam o processo de democratização da informação em nosso País, compreendendo, 95 anos de ministérios brasileiros. Em século XXI, no ano de 2025, transcende-se 100 anos do Departamento de Imprensa Brasileira e 60 anos da emissora Rede Globo.</w:t>
      </w:r>
    </w:p>
    <w:p w14:paraId="5F40A7D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7301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Instituído pela UNESCO, dedicado à Liberdade de Imprensa em proposta de Acordos Cooperacionais pela ONU pós II Guerra Mundial. Estruturado por pilares de Desenvolvimento Social de forma Sustentável, no Brasil, o regimento do Código de Conduta Brasileiro em Autorregulamentação Publicitária (CONAR) e Direitos Constitucionais pós Promulgação Constituinte de 1988. Orientam os conceitos de publicidade e seus multimeios a estratégia da comunicação de incluir socialmente e desenvolver a sociedade com conteúdo democrático de informação. Em era digital a representatividade na internet convergidas na televisão, mantém e auxilia a interação cognitiva e complementa o processo de acessibilidade à educação, no dever do Estado de desenvolver e instruir o público como sociedade mais justa e responsável. Os perfis digitais na internet, nos possibilitam compreender a recepção do público da televisão de influenciadores digitais em uma nova ótica, com interação e troca do cotidiano em rotina compartilhados na internet além da bolha de estratificação social e distanciamento entre classes sociais, demonstrando os reflexos da equidade digital e audiência inclusiva mediante a evolução do conceito de transmídia da emissora Globo.</w:t>
      </w:r>
    </w:p>
    <w:p w14:paraId="2D0985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4B3C8D" w14:textId="227CDEF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o fluxo comunicacional estabelecido pelos influenciadores como personalidades influentes em perfis de produtores de conteúdo, a troca entre o público da internet e o público telespectador como sociedade, em século XXI  possibilita enxergar o “choque” entre as mídias e as relações interpessoais do mundo Globalizado. Globalização esta que melhora qualidade de vida em índices de desenvolvimento conforme relatórios segundo a ONU e censo do IBGE por inclusão de Políticas Públicas em Desenvolvimento Social, mas por alta atratividade em entretenimento reduzem o censo ético, cordial e financeiro no que tange economia circular criativa em sociedade nos tempos atuais de convergências s</w:t>
      </w:r>
      <w:r w:rsidR="00D97A2F" w:rsidRPr="006B1274">
        <w:rPr>
          <w:rFonts w:ascii="Times New Roman" w:hAnsi="Times New Roman" w:cs="Times New Roman"/>
          <w:color w:val="000000"/>
          <w:sz w:val="20"/>
          <w:szCs w:val="20"/>
        </w:rPr>
        <w:t>oc</w:t>
      </w:r>
      <w:r w:rsidRPr="006B1274">
        <w:rPr>
          <w:rFonts w:ascii="Times New Roman" w:hAnsi="Times New Roman" w:cs="Times New Roman"/>
          <w:color w:val="000000"/>
          <w:sz w:val="20"/>
          <w:szCs w:val="20"/>
        </w:rPr>
        <w:t>iocultural e econômica. Pilar em processo de desenvolvimento social conhecido como, redução das desigualdades, que em sua condução não pode ser sucumbido pelo processo de favelização e perda de direitos sociais. Atualmente tangidos por meio digital em redemocratização brasileira e desburocratização administrativa.</w:t>
      </w:r>
    </w:p>
    <w:p w14:paraId="1E5ED0C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7D31AC" w14:textId="72EF16B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Pois a percepção do fluxo comunicacional democratizado, possibilita e fomenta vários pontos críticos e analíticos com relevância social. Norteando costumes e consumos culturais que a publicidade influencia através dos seus meios. A identificação com um determinado modo interpessoal de identidade nas relações s</w:t>
      </w:r>
      <w:r w:rsidR="00C04177"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cioculturais baseado em hábitos relevantes direciona e impulsiona o público para análise e discernimento dos comportamentos do que é moral ou imoral, do que é real ou circunstancial só embasado por tendências.</w:t>
      </w:r>
    </w:p>
    <w:p w14:paraId="7BE76E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87C59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processo midiático auxilia a comunicação em massa e os meios os quais há a divulgação de conteúdo podendo ser adaptado ou produzido para o meio necessário. A televisão com o audiovisual permite a adaptação do conteúdo para diversos meios levando ao entretenimento do público e criando conteúdo embasatório para análise de questões sociais que auxiliam na avaliação da evolução comunicacional e das relações humanas, que aprofundadas possibilitam o entendimento do caráter ético de um grupo como público; produtor como consumidor; indivíduo como sociedade para que assim haja a continuidade deste fluxo adaptado para o tempo e era em questão na comunicação.</w:t>
      </w:r>
    </w:p>
    <w:p w14:paraId="5579A0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17F8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w:t>
      </w:r>
    </w:p>
    <w:p w14:paraId="50ADECC2" w14:textId="3393562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Políticas Públicas em prol de uma sociedade sã os Planos em Desenvolvimento de uma indústria em Século XXI do processo  econômico e social,  reservados para o Brasil, como anfitrião do ciclo de 10 anos (2014-2024) como principal País Diplomático do Grupo das 20 maiores economias mundiais, em prover democratização informacional e educação em equidade digital estando à frente como anfitrião do G20 Brasil e liderança do BRICS em transparência de Políticas Públicas em Comunicação, Desporto, Cultura e Desenvolvimento Social. Principalmente pelo Governo Do Estado do Rio de Janeiro e Pacto Federativo do eixo Sul e Sudeste, para duas décadas de novo Milênio, o Brasil ganhou destaque representado pelo Marco Olímpico da XXXI Olimpíada de Verão, a Rio 2016. Como alusão à Semana de 1922, Primeiro centenário de Independência Brasileira com a reunião de toda a classe civil do Brasil no Rio de Janeiro e São Paulo para prestigiar a classe militar participante da primeira turma civil formada de artilharia Brasileira. Em Paris, na Europa, paralelo aos movimentos de emancipação Nacional Brasileira (1921-1924),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 Em seu Bicentenário em 2022, a democratização do acesso à informação pela educação e cultura com auxílio do digital e audiovisual ganharam espaço em muse</w:t>
      </w:r>
      <w:r w:rsidR="00FC545D" w:rsidRPr="006B1274">
        <w:rPr>
          <w:rFonts w:ascii="Times New Roman" w:hAnsi="Times New Roman" w:cs="Times New Roman"/>
          <w:color w:val="000000"/>
          <w:sz w:val="20"/>
          <w:szCs w:val="20"/>
        </w:rPr>
        <w:t>us e</w:t>
      </w:r>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tours</w:t>
      </w:r>
      <w:proofErr w:type="spellEnd"/>
      <w:r w:rsidRPr="006B1274">
        <w:rPr>
          <w:rFonts w:ascii="Times New Roman" w:hAnsi="Times New Roman" w:cs="Times New Roman"/>
          <w:color w:val="000000"/>
          <w:sz w:val="20"/>
          <w:szCs w:val="20"/>
        </w:rPr>
        <w:t xml:space="preserve"> virtuais como reflexo da Globalização. Demonstrando mesmo em meio à Pandemia de COVID-19 a eficiência de um desenvolvimento inclusivo com cobertura da mídia televisiva e digital. Seguido da Presidência do G20 Brasil, evento de alinhamento Global com sede no Rio de Janeiro em 2024 o principal fórum econômico entre as Nações Unidas, após a Rio 92 e início da Diplomacia Sustentável colocando o Brasil como membro interlocutor da ONU em Diplomacia de Relações Exteriores.</w:t>
      </w:r>
    </w:p>
    <w:p w14:paraId="3B60AB9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A477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Encerrando assim em 2025, ciclo como líder e principal anfitrião da Diplomacia Global dos últimos 20 anos, por auxílio do acesso informacional e desempenho ministerial em rendimento de melhores índices do Brasil em acesso à educação ao Ensino Superior como País Sustentável em Desenvolvimento e líder representativo do Mercado de Carbono Regulado por Marco Legal Ambiental. Tendo a COP 30 em Belém, principal evento sociosustentàvel mediado pela Indústria Brasil 4.0 Digital, como um marco da evolução industrial, Globalização em século XXI e responsabilidade sustentável de consumo em sociedade.</w:t>
      </w:r>
    </w:p>
    <w:p w14:paraId="6E85B4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7096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Conscientizar a sociedade por ferramentas de acesso à informação com cobertura midiática e integração social, é um trabalho desempenhado há 100 anos pelo Grupo Globo por papel da Imprensa Nacional e 95 Anos de compromisso Ministerial Federativo, provido pelo Ministério da Educação e Ministérios da República Federativa do Brasil.</w:t>
      </w:r>
    </w:p>
    <w:p w14:paraId="6C3B54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14C3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26AB4E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 Brasil</w:t>
      </w:r>
    </w:p>
    <w:p w14:paraId="1500B3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UNICEF Brasil</w:t>
      </w:r>
    </w:p>
    <w:p w14:paraId="56F976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Unesco Brasil</w:t>
      </w:r>
    </w:p>
    <w:p w14:paraId="3B42C1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AF883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7AD314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0EB3C9E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225469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1B704A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3DE784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75C913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3E0361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22C447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5F0580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712007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74C3A8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111886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74FE94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A1A1AC" w14:textId="399DD95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RJTV, Bom Dia Rio e g1 Rio</w:t>
      </w:r>
    </w:p>
    <w:p w14:paraId="04C436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7CDE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2F7450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46CB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62FF3C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 Brasil</w:t>
      </w:r>
    </w:p>
    <w:p w14:paraId="74C1DA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Unesco Brasil</w:t>
      </w:r>
    </w:p>
    <w:p w14:paraId="4BF15A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UNICEF Brasil</w:t>
      </w:r>
    </w:p>
    <w:p w14:paraId="05250D4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797B7F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11D2D8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60D9AF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1A40F1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487E64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33D497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7DBEAB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16C2CD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4A632E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59EE70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2B57F80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68D39A4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18D39A26"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Rio de Janeiro, 23 de Julho de 2025.</w:t>
      </w:r>
    </w:p>
    <w:p w14:paraId="08CD684B" w14:textId="096A1AA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B26B9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27A6219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634E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Hoje a Diretora do Radar Informação, comemora a criança nascida no período da década dos anos 1990 que colaborou e ainda colabora para tanto mudar as Políticas Públicas do Brasil de forma mais inclusiva e justa.</w:t>
      </w:r>
    </w:p>
    <w:p w14:paraId="1BB581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2BF6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Obrigada à, ONU Brasil, a Unesco Brasil e a UNICEF Brasil que transformaram o futuro de gerações e continuam contribuindo para o desenvolvimento sustentável do nosso Planeta e Gerações Sociais.</w:t>
      </w:r>
    </w:p>
    <w:p w14:paraId="3A9971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9DE3DC" w14:textId="7F3A920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#ParaTodosVerem Vídeo publicidade institucional de campanha especial COP 30, do social para as Redes Sociais à Geração 1990. Com feed em Rede Social da 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é Doutora na Área de Comunicação com ênfase em Ciências Jurídicas pela Universidade Estácio de Sá, focada em Políticas Públicas e Especialista em Educação e Economia Política, eu,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cito 3 desejos aos quais </w:t>
      </w:r>
      <w:r w:rsidR="00FC545D" w:rsidRPr="006B1274">
        <w:rPr>
          <w:rFonts w:ascii="Times New Roman" w:hAnsi="Times New Roman" w:cs="Times New Roman"/>
          <w:color w:val="000000"/>
          <w:sz w:val="20"/>
          <w:szCs w:val="20"/>
        </w:rPr>
        <w:t>ansiei</w:t>
      </w:r>
      <w:r w:rsidRPr="006B1274">
        <w:rPr>
          <w:rFonts w:ascii="Times New Roman" w:hAnsi="Times New Roman" w:cs="Times New Roman"/>
          <w:color w:val="000000"/>
          <w:sz w:val="20"/>
          <w:szCs w:val="20"/>
        </w:rPr>
        <w:t xml:space="preserve"> há 20 anos atrás e continuo desejando para o futuro e as próximas gerações para uma sociedade mais Justa e Inclusiva. Livre de preconceitos raciais e violências de gênero, considerando o Século XXI Globalizado, Tecnológico e próspero para integrar e formar socialmente cidadãos responsáveis sustentávelmente. </w:t>
      </w:r>
    </w:p>
    <w:p w14:paraId="633B2CD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3302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 por terceiros.</w:t>
      </w:r>
    </w:p>
    <w:p w14:paraId="6FFD5BC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B623C6" w14:textId="652F076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17875E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3AE9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 Brasil</w:t>
      </w:r>
    </w:p>
    <w:p w14:paraId="521503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0B36AE4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4BC913D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7C0AF9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4C114C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4EB792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7370399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335F37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66EA49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4518F0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68C3AE8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360ADD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59E2AE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684BB3D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3F2A2E"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LET'S CHAT - PUBLICITÁRIA EXPLICA</w:t>
      </w:r>
    </w:p>
    <w:p w14:paraId="0141EF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Tipografia Carioca: 490 Anos de História</w:t>
      </w:r>
    </w:p>
    <w:p w14:paraId="599AEFB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EBD6F7" w14:textId="17B2DF3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1DA294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12BADB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B504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25 de Julho de 2025 | 17:10 PM</w:t>
      </w:r>
    </w:p>
    <w:p w14:paraId="5281329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7EDD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documentos oficiais de Rota Expedicionária das Capitanias Hereditárias em Descoberta do Brasil, com ofícios por cartas desde 1534, as rotas brasileiras em Capitanias deram início a divisão administrativa territorial do Brasil em expansões marítimas Portuguesas pelo Continente Americano. Tendo os primeiros vestígios documentais desde cartas e prensas gráficas do Real Gabinete Português Brasileiro em formação da Imprensa Nacional em solo Brasileiro.</w:t>
      </w:r>
    </w:p>
    <w:p w14:paraId="3AF4210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A4F94B" w14:textId="15B458F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cidade do Rio de Janeiro, conhecida pela Imprensa Régia Brasileira desde era colonial e descobrimento de Terras brasileiras, inspira em princípio do descobrimento das Américas, por Cristóvão Colombo, um governo ari</w:t>
      </w:r>
      <w:r w:rsidR="00CB0471" w:rsidRPr="006B1274">
        <w:rPr>
          <w:rFonts w:ascii="Times New Roman" w:hAnsi="Times New Roman" w:cs="Times New Roman"/>
          <w:color w:val="000000"/>
          <w:sz w:val="20"/>
          <w:szCs w:val="20"/>
        </w:rPr>
        <w:t>s</w:t>
      </w:r>
      <w:r w:rsidRPr="006B1274">
        <w:rPr>
          <w:rFonts w:ascii="Times New Roman" w:hAnsi="Times New Roman" w:cs="Times New Roman"/>
          <w:color w:val="000000"/>
          <w:sz w:val="20"/>
          <w:szCs w:val="20"/>
        </w:rPr>
        <w:t>tocrático, justo em soberania e difusão idealitária de desenvolvimento econômico s</w:t>
      </w:r>
      <w:r w:rsidR="00CB0471"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ciosustentável.</w:t>
      </w:r>
    </w:p>
    <w:p w14:paraId="4DFC78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AB9B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objetivo comercial de importação e exportação de especiarias, o Brasil, é até os dias atuais o líder em mercado Sul-Americano em Acordos Cooperacionais de livre comércio regulado e conscientemente responsável com o meio ambiente.</w:t>
      </w:r>
    </w:p>
    <w:p w14:paraId="77713C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2DB3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Hemisfério Norte-Americano, em 1974, durante  governo de Richard Nixon, principal presidente dos Estados Unidos após Franklin Roosevelt e plano Pós II Guerra Mundial em continuação do New </w:t>
      </w:r>
      <w:proofErr w:type="spellStart"/>
      <w:r w:rsidRPr="006B1274">
        <w:rPr>
          <w:rFonts w:ascii="Times New Roman" w:hAnsi="Times New Roman" w:cs="Times New Roman"/>
          <w:color w:val="000000"/>
          <w:sz w:val="20"/>
          <w:szCs w:val="20"/>
        </w:rPr>
        <w:t>Deal</w:t>
      </w:r>
      <w:proofErr w:type="spellEnd"/>
      <w:r w:rsidRPr="006B1274">
        <w:rPr>
          <w:rFonts w:ascii="Times New Roman" w:hAnsi="Times New Roman" w:cs="Times New Roman"/>
          <w:color w:val="000000"/>
          <w:sz w:val="20"/>
          <w:szCs w:val="20"/>
        </w:rPr>
        <w:t>. Nixon, correlacionando planos de desenvolvimento social e econômico aristocrático que mobilizou o mundo em intenções pró-sociais. Para o não colapso social e econômico, com movimento globalizatório pré-disposto ao reforço de desigualdades quando temos milhares de famílias desprovidas de rendas e bens em convívio livre em sociedade. Nixon, implementou com seu protagonismo e discernimento social de um mundo globalizado, intenções intervencionistas em combate à desigualdades raciais e sociais.</w:t>
      </w:r>
    </w:p>
    <w:p w14:paraId="4A44CA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21D9B2" w14:textId="42C6F1B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Richard Nixon, deixando seu governo em 1995 com principais conquistas universais em Acordos Cooperacionais Sócio-econômicos, em âmbito diplomático, lançou uma candidatura pró-americana intervindo em condições exploratórias tanto em dignidade humana em não compensação salarial diante de explorações trabalhistas opressivas, mediando a defesa de direitos trabalhistas, como sócio</w:t>
      </w:r>
      <w:r w:rsidR="00CB0471"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ambientais pela Agência Americana de Proteção Ambiental criada em 1970.</w:t>
      </w:r>
    </w:p>
    <w:p w14:paraId="49A96E3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F6D5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em 1995 em Ação Global, idealizada, organizada e mediada pelo Brasil conforme intenções universais de 1992 pela ECO 92, que a ONU Brasil em parceria com Organizações e Instituições Eficazes como a Unesco Brasil e UNICEF Brasil despertaram ações globais em desenvolvimento sustentável, saúde, saneamento e direitos universais. Propagando pela educação e cultura o diálogo em consenso global de um mundo mais justo e em intenções de Paz.</w:t>
      </w:r>
    </w:p>
    <w:p w14:paraId="2F5E0AD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D21F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em início de Acordos Comerciais entre Estados Unidos, China e Rússia, que em 1972, o Brasil viu os reflexos negativos socioeconômicos do Continente Americano em disputas e guerras por bens de produção após era colonial e Pós II Guerra Mundial. Os objetivos além de industriais provisionavam o fim da exploração territorial européia para disseminação idealitária ortodoxa, principal causa que fomenta disputas em tensão pela Europa e Oriente Médio. Tendo em 1980 revisões intencionais em ações globais em intenção de paz e dignidade em Direitos Humanos com redução de corrida bélica para expansão industrial.</w:t>
      </w:r>
    </w:p>
    <w:p w14:paraId="291B3C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E3BE0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crise do mercado do Petróleo e a necessidade de uma união interna entre os Estados Brasileiros, que através do Governo Federal Brasileiro pós criação de Brasília, se fez um Brasil mais democrático, inclusivo e de acesso à direitos sociais básicos como saúde, necessário à todos, até recursos básicos e essenciais como a água e o ar, antes em níveis alarmantes em Região do Nordeste Brasileiro em escassez por decorrência exploratória, implicando em restrição e precariedade salubre.</w:t>
      </w:r>
    </w:p>
    <w:p w14:paraId="7FFE6E7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E05C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Nessas condições de principal evolução tecnológica em mitigação em impacto global pela indústria, que o audiovisual, rede conectada à internet e imprensa, ganharam destaque para o acesso democrático informacional globalizado. Reduzindo em emissões de  resíduos poluentes com transferência da imprensa em mídia física para a rede global de internet, atualmente, em constante evolução garantido educação, cultura, cidadania e desenvolvimento social de forma menos poluente, mais democrática e consciente.</w:t>
      </w:r>
    </w:p>
    <w:p w14:paraId="605392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1549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macroeconômica de tese autoral, não autorizado compartilhamento por terceiros.</w:t>
      </w:r>
    </w:p>
    <w:p w14:paraId="28B231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197950" w14:textId="3F1595C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Confira abaixo história da Imprensa Régia Brasileira, extraída do Wikipédia, com marco cronológico iniciado por Frota Expedicionária Européia, seguida da Real Academia Militar Brasileira </w:t>
      </w:r>
      <w:r w:rsidR="0081159D" w:rsidRPr="006B1274">
        <w:rPr>
          <w:rFonts w:ascii="Times New Roman" w:hAnsi="Times New Roman" w:cs="Times New Roman"/>
          <w:color w:val="000000"/>
          <w:sz w:val="20"/>
          <w:szCs w:val="20"/>
        </w:rPr>
        <w:t>estendida</w:t>
      </w:r>
      <w:r w:rsidRPr="006B1274">
        <w:rPr>
          <w:rFonts w:ascii="Times New Roman" w:hAnsi="Times New Roman" w:cs="Times New Roman"/>
          <w:color w:val="000000"/>
          <w:sz w:val="20"/>
          <w:szCs w:val="20"/>
        </w:rPr>
        <w:t xml:space="preserve"> em direitos à sociedade civil pela Educação e Profissionalismo Ético pelo Ministério da Ciência, Tecnologia e Inovação:</w:t>
      </w:r>
    </w:p>
    <w:p w14:paraId="074FD57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BCAE24" w14:textId="7A36F97E"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O modelo de capitanias e donat</w:t>
      </w:r>
      <w:r w:rsidR="0081159D" w:rsidRPr="00806B17">
        <w:rPr>
          <w:rFonts w:ascii="Times New Roman" w:hAnsi="Times New Roman" w:cs="Times New Roman"/>
          <w:color w:val="000000"/>
        </w:rPr>
        <w:t>á</w:t>
      </w:r>
      <w:r w:rsidRPr="00806B17">
        <w:rPr>
          <w:rFonts w:ascii="Times New Roman" w:hAnsi="Times New Roman" w:cs="Times New Roman"/>
          <w:color w:val="000000"/>
        </w:rPr>
        <w:t>rias já era utilizado por Portugal desde o século XV nas ilhas da Madeira e de Cabo Verde. Em 1504, o rei Manuel I concedeu, por meio de Carta Régia, a doação da então chamada Ilha de São João a Fernão de Noronha. Em carta dirigida a Martim Afonso de Sousa em 1532, o rei João III comunicou sua decisão de dividir o território português na América em várias capitanias e, em 1534, oficializou as primeiras doações.</w:t>
      </w:r>
    </w:p>
    <w:p w14:paraId="0D715D3E"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5112D5E9"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Dentre os fatores que motivaram a adoção do sistema de capitanias no Brasil, tanto no âmbito do Estado do Brasil, quanto no Estado do Maranhão, destacam-se a intenção de promover a colonização portuguesa do território, o impulso à evangelização e a recompensa da Coroa a particulares por serviços prestados.</w:t>
      </w:r>
    </w:p>
    <w:p w14:paraId="5AA522EF"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0C3A1C1F"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Segundo o historiador Capistrano de Abreu, a criação das capitanias foi uma resposta da monarquia portuguesa à ameaça representada pela França ao seu projeto de domínio na América. Outro fator apontado para explicar a escolha pelas capitanias foi a transferência dos custos da colonização do Estado para os donatários, beneficiando a Coroa em um contexto de escassez de recursos.</w:t>
      </w:r>
    </w:p>
    <w:p w14:paraId="2C5576F4"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65C13020"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Pesquisas sugerem ainda que as capitanias no Brasil foram implementadas com o objetivo de converter a população nativa ao cristianismo, alinhando-se ao ideal das Cruzadas.</w:t>
      </w:r>
    </w:p>
    <w:p w14:paraId="3F603263"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6879D5FB"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TENSÕES GEOPOLÍTICAS EUROPA E ORIENTE MÉDIO</w:t>
      </w:r>
    </w:p>
    <w:p w14:paraId="2512EC1B"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61F88D31"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Cruzadas foram uma série de guerras religiosas iniciadas, apoiadas e, às vezes, dirigidas pela Igreja Cristã Latina no período medieval. As mais conhecidas dessas expedições militares são aquelas realizadas na Terra Santa entre 1095 e 1291, que tinham o objetivo de reconquistar Jerusalém e seus arredores do domínio muçulmano, depois que a região foi invadida pelo Califado Ortodoxo séculos antes. Começando com a Primeira Cruzada, que resultou na conquista de Jerusalém em 1099, dezenas de campanhas militares foram organizadas, fornecendo um ponto focal da história europeia por séculos. As cruzadas declinaram rapidamente após o século XV.</w:t>
      </w:r>
    </w:p>
    <w:p w14:paraId="174D7249"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11261A10"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Os historiadores consideram a arquitetura militar dos cruzados do Oriente Médio uma síntese das tradições europeia, bizantina e muçulmana e a realização artística mais original e impressionante das cruzadas. Os castelos eram um símbolo tangível do domínio de uma minoria cristã latina sobre uma população majoritária amplamente hostil. Eles também atuavam como centros de administração. A historiografia moderna rejeita o consenso do século XIX de que os ocidentais aprenderam a base da arquitetura militar no Oriente Próximo, pois a Europa já havia experimentado um rápido desenvolvimento em tecnologia defensiva antes da Primeira Cruzada. O contato direto com fortificações árabes originalmente construídas pelos bizantinos influenciou os desenvolvimentos no oriente, o que levou à inclusão de características de design oriental, como grandes reservatórios de água, e à exclusão de características ocidentais, como fossos.</w:t>
      </w:r>
    </w:p>
    <w:p w14:paraId="7DC28C7C"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2B94657D" w14:textId="5C14D63E"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CONTINENTE AMERICANO E OFÍCIOS CAPIT</w:t>
      </w:r>
      <w:r w:rsidR="0070339E" w:rsidRPr="00806B17">
        <w:rPr>
          <w:rFonts w:ascii="Times New Roman" w:hAnsi="Times New Roman" w:cs="Times New Roman"/>
          <w:color w:val="000000"/>
        </w:rPr>
        <w:t>Â</w:t>
      </w:r>
      <w:r w:rsidRPr="00806B17">
        <w:rPr>
          <w:rFonts w:ascii="Times New Roman" w:hAnsi="Times New Roman" w:cs="Times New Roman"/>
          <w:color w:val="000000"/>
        </w:rPr>
        <w:t>NIAIS</w:t>
      </w:r>
    </w:p>
    <w:p w14:paraId="77062A39"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428EC74A"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Alvará de criação da Imprensa Régia de Portugal em 1768.</w:t>
      </w:r>
    </w:p>
    <w:p w14:paraId="7A804203"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25716F04"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 xml:space="preserve">A atual Imprensa Nacional tem origem na Impressão Régia, que foi criada por Alvará de 24 de dezembro de 1768, em seus primórdios também fora denominada de Régia Oficina Tipográfica, que fundiu com a antiga Fábrica dos </w:t>
      </w:r>
      <w:proofErr w:type="spellStart"/>
      <w:r w:rsidRPr="00806B17">
        <w:rPr>
          <w:rFonts w:ascii="Times New Roman" w:hAnsi="Times New Roman" w:cs="Times New Roman"/>
          <w:color w:val="000000"/>
        </w:rPr>
        <w:t>caractéres</w:t>
      </w:r>
      <w:proofErr w:type="spellEnd"/>
      <w:r w:rsidRPr="00806B17">
        <w:rPr>
          <w:rFonts w:ascii="Times New Roman" w:hAnsi="Times New Roman" w:cs="Times New Roman"/>
          <w:color w:val="000000"/>
        </w:rPr>
        <w:t>, fundada no ano de 1732 por Jean de Villeneuve.</w:t>
      </w:r>
    </w:p>
    <w:p w14:paraId="0BBCC4F2"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63DC3F3E"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Em 1833 teve a denominação reformada para Imprensa Nacional.</w:t>
      </w:r>
    </w:p>
    <w:p w14:paraId="13732ABB"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443B0F6A"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A INCM tem a seu cargo a produção de bens e serviços fundamentais ao funcionamento do Estado português, como:</w:t>
      </w:r>
    </w:p>
    <w:p w14:paraId="28CB3A4A"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1787E820"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Apple Color Emoji" w:hAnsi="Apple Color Emoji" w:cs="Apple Color Emoji"/>
          <w:color w:val="000000"/>
        </w:rPr>
        <w:t>📌</w:t>
      </w:r>
      <w:r w:rsidRPr="00806B17">
        <w:rPr>
          <w:rFonts w:ascii="Times New Roman" w:hAnsi="Times New Roman" w:cs="Times New Roman"/>
          <w:color w:val="000000"/>
        </w:rPr>
        <w:t xml:space="preserve"> edição de publicações oficiais, como o Diário da República;</w:t>
      </w:r>
    </w:p>
    <w:p w14:paraId="53E0D2CA"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73036DF1"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Apple Color Emoji" w:hAnsi="Apple Color Emoji" w:cs="Apple Color Emoji"/>
          <w:color w:val="000000"/>
        </w:rPr>
        <w:t>📌</w:t>
      </w:r>
      <w:r w:rsidRPr="00806B17">
        <w:rPr>
          <w:rFonts w:ascii="Times New Roman" w:hAnsi="Times New Roman" w:cs="Times New Roman"/>
          <w:color w:val="000000"/>
        </w:rPr>
        <w:t xml:space="preserve"> edição de obras essenciais da cultura portuguesa e universal;</w:t>
      </w:r>
    </w:p>
    <w:p w14:paraId="659D993B"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6A0C4ED0"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Apple Color Emoji" w:hAnsi="Apple Color Emoji" w:cs="Apple Color Emoji"/>
          <w:color w:val="000000"/>
        </w:rPr>
        <w:t>📌</w:t>
      </w:r>
      <w:r w:rsidRPr="00806B17">
        <w:rPr>
          <w:rFonts w:ascii="Times New Roman" w:hAnsi="Times New Roman" w:cs="Times New Roman"/>
          <w:color w:val="000000"/>
        </w:rPr>
        <w:t xml:space="preserve"> produção de documentos de segurança, como o cartão de cidadão, o passaporte e os selos postais;</w:t>
      </w:r>
    </w:p>
    <w:p w14:paraId="75386E5B"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cunhagem de moeda metálica;</w:t>
      </w:r>
    </w:p>
    <w:p w14:paraId="10EE8F60"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2AFF0229"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Apple Color Emoji" w:hAnsi="Apple Color Emoji" w:cs="Apple Color Emoji"/>
          <w:color w:val="000000"/>
        </w:rPr>
        <w:t>📌</w:t>
      </w:r>
      <w:r w:rsidRPr="00806B17">
        <w:rPr>
          <w:rFonts w:ascii="Times New Roman" w:hAnsi="Times New Roman" w:cs="Times New Roman"/>
          <w:color w:val="000000"/>
        </w:rPr>
        <w:t xml:space="preserve"> autenticação de artefactos de metais preciosos.</w:t>
      </w:r>
    </w:p>
    <w:p w14:paraId="14029FC9"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43B8A109" w14:textId="77777777"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A Imprensa Nacional-Casa da Moeda (INCM) é uma sociedade anônima de capitais públicos que resulta da fusão, em 1972, da Imprensa Nacional e da Casa da Moeda portuguesa.</w:t>
      </w:r>
    </w:p>
    <w:p w14:paraId="1D06A6E5"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233D63C1" w14:textId="0833623C" w:rsidR="001C11E3" w:rsidRPr="00806B17" w:rsidRDefault="00576533" w:rsidP="00806B17">
      <w:pPr>
        <w:spacing w:before="240" w:after="240" w:line="360" w:lineRule="auto"/>
        <w:ind w:left="2160"/>
        <w:jc w:val="both"/>
        <w:rPr>
          <w:rFonts w:ascii="Times New Roman" w:hAnsi="Times New Roman" w:cs="Times New Roman"/>
          <w:color w:val="000000"/>
        </w:rPr>
      </w:pPr>
      <w:r w:rsidRPr="00806B17">
        <w:rPr>
          <w:rFonts w:ascii="Times New Roman" w:hAnsi="Times New Roman" w:cs="Times New Roman"/>
          <w:color w:val="000000"/>
        </w:rPr>
        <w:t xml:space="preserve">Em 2018, a Imprensa Nacional assinala os seus 250 anos. A exposição </w:t>
      </w:r>
      <w:proofErr w:type="spellStart"/>
      <w:r w:rsidRPr="00806B17">
        <w:rPr>
          <w:rFonts w:ascii="Times New Roman" w:hAnsi="Times New Roman" w:cs="Times New Roman"/>
          <w:color w:val="000000"/>
        </w:rPr>
        <w:t>Imprim</w:t>
      </w:r>
      <w:r w:rsidR="002B2F5D" w:rsidRPr="00806B17">
        <w:rPr>
          <w:rFonts w:ascii="Times New Roman" w:hAnsi="Times New Roman" w:cs="Times New Roman"/>
          <w:color w:val="000000"/>
        </w:rPr>
        <w:t>e</w:t>
      </w:r>
      <w:r w:rsidRPr="00806B17">
        <w:rPr>
          <w:rFonts w:ascii="Times New Roman" w:hAnsi="Times New Roman" w:cs="Times New Roman"/>
          <w:color w:val="000000"/>
        </w:rPr>
        <w:t>re</w:t>
      </w:r>
      <w:proofErr w:type="spellEnd"/>
      <w:r w:rsidRPr="00806B17">
        <w:rPr>
          <w:rFonts w:ascii="Times New Roman" w:hAnsi="Times New Roman" w:cs="Times New Roman"/>
          <w:color w:val="000000"/>
        </w:rPr>
        <w:t xml:space="preserve"> na Casa do Design, com curadoria de </w:t>
      </w:r>
      <w:proofErr w:type="spellStart"/>
      <w:r w:rsidRPr="00806B17">
        <w:rPr>
          <w:rFonts w:ascii="Times New Roman" w:hAnsi="Times New Roman" w:cs="Times New Roman"/>
          <w:color w:val="000000"/>
        </w:rPr>
        <w:t>Rúben</w:t>
      </w:r>
      <w:proofErr w:type="spellEnd"/>
      <w:r w:rsidRPr="00806B17">
        <w:rPr>
          <w:rFonts w:ascii="Times New Roman" w:hAnsi="Times New Roman" w:cs="Times New Roman"/>
          <w:color w:val="000000"/>
        </w:rPr>
        <w:t xml:space="preserve"> Dias e Sofia Meira, é um dos primeiros eventos destas comemorações.</w:t>
      </w:r>
    </w:p>
    <w:p w14:paraId="05289E50" w14:textId="77777777" w:rsidR="001C11E3" w:rsidRPr="00806B17" w:rsidRDefault="001C11E3" w:rsidP="00806B17">
      <w:pPr>
        <w:spacing w:before="240" w:after="240" w:line="360" w:lineRule="auto"/>
        <w:ind w:left="2160"/>
        <w:jc w:val="both"/>
        <w:rPr>
          <w:rFonts w:ascii="Times New Roman" w:hAnsi="Times New Roman" w:cs="Times New Roman"/>
          <w:color w:val="000000"/>
        </w:rPr>
      </w:pPr>
    </w:p>
    <w:p w14:paraId="024E0336" w14:textId="77777777" w:rsidR="001C11E3" w:rsidRPr="00D333A0" w:rsidRDefault="00576533" w:rsidP="00806B17">
      <w:pPr>
        <w:spacing w:before="240" w:after="240" w:line="360" w:lineRule="auto"/>
        <w:jc w:val="both"/>
        <w:rPr>
          <w:rFonts w:ascii="Times New Roman" w:hAnsi="Times New Roman" w:cs="Times New Roman"/>
          <w:color w:val="000000"/>
          <w:sz w:val="24"/>
          <w:szCs w:val="24"/>
        </w:rPr>
      </w:pPr>
      <w:r w:rsidRPr="00D333A0">
        <w:rPr>
          <w:rFonts w:ascii="Times New Roman" w:hAnsi="Times New Roman" w:cs="Times New Roman"/>
          <w:color w:val="000000"/>
          <w:sz w:val="24"/>
          <w:szCs w:val="24"/>
        </w:rPr>
        <w:t>Não autorizado compartilhamento por terceiros.</w:t>
      </w:r>
    </w:p>
    <w:p w14:paraId="05DDDF2D" w14:textId="77777777" w:rsidR="001C11E3" w:rsidRDefault="001C11E3" w:rsidP="00B36B27">
      <w:pPr>
        <w:spacing w:before="240" w:after="240" w:line="360" w:lineRule="auto"/>
        <w:rPr>
          <w:rFonts w:ascii="Times New Roman" w:hAnsi="Times New Roman" w:cs="Times New Roman"/>
          <w:color w:val="000000"/>
          <w:sz w:val="24"/>
          <w:szCs w:val="24"/>
        </w:rPr>
      </w:pPr>
    </w:p>
    <w:p w14:paraId="1568A9B2" w14:textId="77777777" w:rsidR="00D333A0" w:rsidRPr="00D333A0" w:rsidRDefault="00D333A0" w:rsidP="00B36B27">
      <w:pPr>
        <w:spacing w:before="240" w:after="240" w:line="360" w:lineRule="auto"/>
        <w:rPr>
          <w:rFonts w:ascii="Times New Roman" w:hAnsi="Times New Roman" w:cs="Times New Roman"/>
          <w:color w:val="000000"/>
          <w:sz w:val="24"/>
          <w:szCs w:val="24"/>
        </w:rPr>
      </w:pPr>
    </w:p>
    <w:p w14:paraId="1C24BEFC" w14:textId="6B42C2BD" w:rsidR="001C11E3" w:rsidRPr="00D333A0"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FUNDO FLORESTAS PARA SEMPRE (TFFF)</w:t>
      </w:r>
    </w:p>
    <w:p w14:paraId="48BF7874" w14:textId="398002F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47CC8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22DE9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26 de Julho de 2025.</w:t>
      </w:r>
    </w:p>
    <w:p w14:paraId="665A405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6379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reconhecimento de necessidade em investimento financeiro para preservação e conservação das Florestas representa grande importância como marco social ao que tange a sociedade Oriental e conservadora dos Países componentes do BRICS, em conscientização e aceitação por líderes representantes na necessidade de recursos naturais e equilíbrio de ecossistemas para a sobrevivência humana, uma das principais conquistas em Século XXI e nova cultura sustentável despertada pela ECO 92 e Conferência das Partes da ONU, esta, este ano representada pela COP 30, no Brasil, de 10 a 21 de Novembro em Belém.</w:t>
      </w:r>
    </w:p>
    <w:p w14:paraId="162C0A2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8DBE4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macroeconômica de tese autoral, não autorizado compartilhamento por terceiros.</w:t>
      </w:r>
    </w:p>
    <w:p w14:paraId="02CA64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898A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A27A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42E615"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660C75E6" wp14:editId="0713F444">
            <wp:extent cx="4742898" cy="8406893"/>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4742898" cy="8406893"/>
                    </a:xfrm>
                    <a:prstGeom prst="rect">
                      <a:avLst/>
                    </a:prstGeom>
                    <a:ln/>
                  </pic:spPr>
                </pic:pic>
              </a:graphicData>
            </a:graphic>
          </wp:inline>
        </w:drawing>
      </w:r>
    </w:p>
    <w:p w14:paraId="41817C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82244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B64175"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6B1274">
        <w:rPr>
          <w:rFonts w:ascii="Times New Roman" w:hAnsi="Times New Roman" w:cs="Times New Roman"/>
          <w:b/>
          <w:bCs/>
          <w:color w:val="000000"/>
          <w:sz w:val="20"/>
          <w:szCs w:val="20"/>
        </w:rPr>
        <w:t>LET'S CHAT - PUBLICITÁRIA EXPLICA</w:t>
      </w:r>
    </w:p>
    <w:p w14:paraId="10FA0FE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Corrupção - </w:t>
      </w:r>
      <w:proofErr w:type="spellStart"/>
      <w:r w:rsidRPr="006B1274">
        <w:rPr>
          <w:rFonts w:ascii="Times New Roman" w:hAnsi="Times New Roman" w:cs="Times New Roman"/>
          <w:color w:val="000000"/>
          <w:sz w:val="20"/>
          <w:szCs w:val="20"/>
        </w:rPr>
        <w:t>Greenwash</w:t>
      </w:r>
      <w:proofErr w:type="spellEnd"/>
      <w:r w:rsidRPr="006B1274">
        <w:rPr>
          <w:rFonts w:ascii="Times New Roman" w:hAnsi="Times New Roman" w:cs="Times New Roman"/>
          <w:color w:val="000000"/>
          <w:sz w:val="20"/>
          <w:szCs w:val="20"/>
        </w:rPr>
        <w:t xml:space="preserve"> x ESG</w:t>
      </w:r>
    </w:p>
    <w:p w14:paraId="6440E8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136A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Pela Integridade da Informação sobre Mudanças Climáticas na preparação para a COP30</w:t>
      </w:r>
    </w:p>
    <w:p w14:paraId="68F535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041A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Acompanhamento Diplomático da Administração Pública em Políticas Sustentáveis:  </w:t>
      </w:r>
    </w:p>
    <w:p w14:paraId="1269BB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Logística em Serviços - Administração Pública</w:t>
      </w:r>
    </w:p>
    <w:p w14:paraId="7D5659F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STARTUPS E TRANSIÇÕES ENERGÉTICAS</w:t>
      </w:r>
    </w:p>
    <w:p w14:paraId="74C68F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0080FC2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56A7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Portal de Transparência Pública </w:t>
      </w:r>
    </w:p>
    <w:p w14:paraId="6A6AAE0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A3FB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Especialidade de Políticas Públicas com Informação, Dicas, Conteúdo Ético e Transparência das Informações do Brasil e Parcerias de Implementação em Acordos Cooperacionais. </w:t>
      </w:r>
    </w:p>
    <w:p w14:paraId="43006BA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2DA5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em Inserção Contemporânea Século XXI INDÚSTRIA 4.0 EM INOVAÇÃO CIENTÍFICA</w:t>
      </w:r>
    </w:p>
    <w:p w14:paraId="2C3D96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(Tese Autoral em Monografia pela Universidade Estácio de Sá/Metodologia de Ensino </w:t>
      </w:r>
      <w:proofErr w:type="spellStart"/>
      <w:r w:rsidRPr="006B1274">
        <w:rPr>
          <w:rFonts w:ascii="Times New Roman" w:hAnsi="Times New Roman" w:cs="Times New Roman"/>
          <w:color w:val="000000"/>
          <w:sz w:val="20"/>
          <w:szCs w:val="20"/>
        </w:rPr>
        <w:t>Havard</w:t>
      </w:r>
      <w:proofErr w:type="spellEnd"/>
      <w:r w:rsidRPr="006B1274">
        <w:rPr>
          <w:rFonts w:ascii="Times New Roman" w:hAnsi="Times New Roman" w:cs="Times New Roman"/>
          <w:color w:val="000000"/>
          <w:sz w:val="20"/>
          <w:szCs w:val="20"/>
        </w:rPr>
        <w:t>)</w:t>
      </w:r>
    </w:p>
    <w:p w14:paraId="51B69F0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00A5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Aplicação de conhecimento em Projeto Autoral Pedagógico de Jornalismo Especializado (Comunitário, Rural e Empreendimento Científico) em Desenvolvimento da Classe Acadêmica:</w:t>
      </w:r>
    </w:p>
    <w:p w14:paraId="41E332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1D0493" w14:textId="306FFC6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84545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48578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6BF9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02 de Agosto de 2025 | 16:35 PM</w:t>
      </w:r>
    </w:p>
    <w:p w14:paraId="3C543B0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6955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mobilidade humana pelo sistema de transporte terrestre, aquaviário ou aéreo foi o primeiro processo para impulsionar a globalização e estreitar as formas de comunicação, esta iniciada presencialmente por serviço postal, até o método atual tecnológico à distância. Antes com fluxo de cidadãos somente da forma terrestre, as múltiplas invenções após a roda deram a possibilidade do ir e vir de cidadãos internamente como êxodo entre cidades.</w:t>
      </w:r>
    </w:p>
    <w:p w14:paraId="1200422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F65A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então, com posicionamento em preocupação às condições climáticas e saúde de combatentes em guerra, foi que a indústria brasileira se desenvolveu aos diversos tratamentos e sistema de recursos básicos de primeiros socorros para assistência humanitária.</w:t>
      </w:r>
    </w:p>
    <w:p w14:paraId="3C02C6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8E49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 ao chegar ao Brasil, muitos médicos e combatentes em guerra encontraram soluções eficazes aplicáveis até os dias atuais. Fleming com a Penicilina, o 14-BIS de Santos Dumont e todas as outras engenharias em suas variações agrícola, civil, biomédica, mecânica, elétrica, entre outras, é que permitem a forma manual do trabalho aliado à comunicação em execução de forma técnica por maquinários industriais automatizados, </w:t>
      </w:r>
      <w:proofErr w:type="spellStart"/>
      <w:r w:rsidRPr="006B1274">
        <w:rPr>
          <w:rFonts w:ascii="Times New Roman" w:hAnsi="Times New Roman" w:cs="Times New Roman"/>
          <w:color w:val="000000"/>
          <w:sz w:val="20"/>
          <w:szCs w:val="20"/>
        </w:rPr>
        <w:t>algoritimizados</w:t>
      </w:r>
      <w:proofErr w:type="spellEnd"/>
      <w:r w:rsidRPr="006B1274">
        <w:rPr>
          <w:rFonts w:ascii="Times New Roman" w:hAnsi="Times New Roman" w:cs="Times New Roman"/>
          <w:color w:val="000000"/>
          <w:sz w:val="20"/>
          <w:szCs w:val="20"/>
        </w:rPr>
        <w:t xml:space="preserve"> e em indústria 4.0 com auxílio da robótica e inteligência artificial na aplicabilidade eficiente. Como o GPS e as rotas fornecidas pelo sistema integrado de telecomunicação e inteligência artificial de roteirização.</w:t>
      </w:r>
    </w:p>
    <w:p w14:paraId="5A963BA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7ABEF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Pacto de 100 anos após proclamação da República, tendo o Rio de Janeiro, antes em era Imperial como Colônia Real. No novo formato administrativo Republicano faz da cidade do Rio de Janeiro a Capital administrativa, tendo as primeiras obras em andamento no formato universalizado de construções em ares Parisiense de um estilo Neo-Clássico com a mistura de Vitrais em Arte Sacra e colunas Clássicas inspiradas em obras Européias. Ruas amplas para recepção dos primeiros meios de transporte, as carruagens, e então introdução de metodologia de ensino à classe civil para educação, cultura e desporto em 1902 com início da grande reforma urbanística do Rio, começando pelo </w:t>
      </w:r>
      <w:proofErr w:type="spellStart"/>
      <w:r w:rsidRPr="006B1274">
        <w:rPr>
          <w:rFonts w:ascii="Times New Roman" w:hAnsi="Times New Roman" w:cs="Times New Roman"/>
          <w:color w:val="000000"/>
          <w:sz w:val="20"/>
          <w:szCs w:val="20"/>
        </w:rPr>
        <w:t>Theatro</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Municial</w:t>
      </w:r>
      <w:proofErr w:type="spellEnd"/>
      <w:r w:rsidRPr="006B1274">
        <w:rPr>
          <w:rFonts w:ascii="Times New Roman" w:hAnsi="Times New Roman" w:cs="Times New Roman"/>
          <w:color w:val="000000"/>
          <w:sz w:val="20"/>
          <w:szCs w:val="20"/>
        </w:rPr>
        <w:t xml:space="preserve"> e as ruas do centro do Rio de Janeiro.</w:t>
      </w:r>
    </w:p>
    <w:p w14:paraId="0FFD19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C30C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a partir de então que a engenharia brasileira ganha destaque, tendo a linha ferroviária a mais antiga forma de consenso entre os continentes Europeu e Americano em metodologia de mobilidade urbana como cidadania, diferentemente, de americanos que defendem o transporte particular e carros automobilísticos.</w:t>
      </w:r>
    </w:p>
    <w:p w14:paraId="04D1020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46AF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foco em Desenvolvimento Social através de programas de educação, saneamento, cultura, saúde, desporto e seguridade social é que se mantém o conceito de Desenvolvimento Sustentável para a garantia de direitos em sociedade.</w:t>
      </w:r>
    </w:p>
    <w:p w14:paraId="6FB8C1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EBEB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Até a década de 1945 pré II Guerra Mundial em que o Brasil com multilateralismo diplomático se posicionou mediador aos aliados e ao eixo, sempre demonstrou o bom relacionamento brasileiro em mercado bélico regido pela General Motors (Ge) e parceiro principal em Metalurgia e Siderurgia. Tendo pelo serviço postal de cartas, a principal atividade da boa literatura e diplomacia brasileira como mediadora em consensos e Acordos Diplomáticos.</w:t>
      </w:r>
    </w:p>
    <w:p w14:paraId="7EC520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839C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então acordos e diálogos entre as Nações trazem em inovação e troca de melhores práticas a forma de contínua evolução em cíclica da era moderna. Mas a corrupção iniciada por golpes fazendários, continua sendo sinal de alerta e controle em Segurança das contas Públicas e de Bancos Internacionais.</w:t>
      </w:r>
    </w:p>
    <w:p w14:paraId="331442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56B0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através da diplomacia, especialidade em Políticas Públicas, diálogo mediador e empreendimentos diplomáticos que soluções eficazes são encontradas e mediadas a cada Conferência das Partes para continuo Desenvolvimento Sustentável e aproveitamento em recursos administrativos internacionais entre os Países.</w:t>
      </w:r>
    </w:p>
    <w:p w14:paraId="37C73E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AD91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2AC0FA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46158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43B57E9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C736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097B56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AEA8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Apesar de todo charme arquitetônico, algumas soluções urbanas européias não funcionam no Brasil, isto pela diferente realidade em cultura de brasileiros, muito mais precária em cordialidade e conscientização humanitária pelo índice desordenado de controle social e urbano de áreas periféricas e a alta taxa de desigualdade social.</w:t>
      </w:r>
    </w:p>
    <w:p w14:paraId="567887B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FC79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economia de Cartéis clandestinos utilizam-se de alta tecnologia do mercado negro para contrabando, lavagem de dinheiro e aquisição de bens sonegados. As fraudes antes aplicadas à grande redes bancárias, já começam a interferir em classe civil com a criação do entretenimento do mercado de apostas digitais para facilitação de golpe ao sistema monetário, as formas são clonagem de cartões, criação de moedas digitais e aplicação de golpes em sistemas monetários de crédito, entre outras formas que periferias apesar de "boa intenção social" de prover ações inclusivas, tendo por apelo à caridade social, mascaram fontes de tributação para facilitação de lavagem de dinheiro.</w:t>
      </w:r>
    </w:p>
    <w:p w14:paraId="38D149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FEE73F0" w14:textId="155D5FF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situações com implantação do cartão magnético com Chip para transporte Carioca é um dos principais sinais de alerta na condução da economia circular que Centros Periféricos estão tentando implementar. O comprometimento do Saldo Trabalhista de trabalhadores foi o típico exemplo como calote aos trabalhadores, equiparado a ação na história cinematográfica tida como "Os Saltimbancos" quando grandes empresários bil</w:t>
      </w:r>
      <w:r w:rsidR="008E4597" w:rsidRPr="006B1274">
        <w:rPr>
          <w:rFonts w:ascii="Times New Roman" w:hAnsi="Times New Roman" w:cs="Times New Roman"/>
          <w:color w:val="000000"/>
          <w:sz w:val="20"/>
          <w:szCs w:val="20"/>
        </w:rPr>
        <w:t>i</w:t>
      </w:r>
      <w:r w:rsidRPr="006B1274">
        <w:rPr>
          <w:rFonts w:ascii="Times New Roman" w:hAnsi="Times New Roman" w:cs="Times New Roman"/>
          <w:color w:val="000000"/>
          <w:sz w:val="20"/>
          <w:szCs w:val="20"/>
        </w:rPr>
        <w:t>onários com pressão das bolsas de Nova York levaram ao colapso economia americana com violação de direitos trabalhistas em horas, remunerações trabalhistas, entre outras questões que quase desencadearam outra grande depressão americana, mas não prosseguiram pelo efeito de Acordos Cooperacionais entre países e medidas tidas por Richard Nixon da abertura da classe negra à empreendimentos científicos e altos cargos diplomáticos, encontrando através do diálogo e conscientização da classe negra americana a educação socioeconômica como metodologia educadora, foi a partir de então que criou-se uma cultura digital e as atividades em Plataformas Pedagógicas educacionais, que em países da Europa e nos Estados Unidos realmente funcionam e são levadas à sério através do Intercâmbio Educacional, diferentemente, do Brasil que utiliza-se dos recursos digitais como fonte de inclusão de jovens ao entretenimento e subversão.</w:t>
      </w:r>
    </w:p>
    <w:p w14:paraId="09E2A3F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6B821A7" w14:textId="2CE7534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COP30 Brasil é a grande arena da diplomacia para empreendimento científico universitário inovador em soluções ecologias e sustentáveis, mais especificamente voltado para área da Computação, Inteligência Artificial e Engenharias, além da Comunicação que continua sendo o sistema binário codificador de integração e solução da indústria como inovadora em redução de emissões poluentes em diferentes composições líquidas, sólidas ou por gases. As NDCs e relatórios em justiça climática avaliam as compensações e trazem diretrizes para o balanceamento de ações, farol de produção para países e de investimento ou não em inovação. E esta será uma das edições mais importantes ao avaliar resultados da maior fl</w:t>
      </w:r>
      <w:r w:rsidR="00FE68A7"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resta do Planeta.</w:t>
      </w:r>
    </w:p>
    <w:p w14:paraId="70EFD9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8A7B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As ações de </w:t>
      </w:r>
      <w:proofErr w:type="spellStart"/>
      <w:r w:rsidRPr="006B1274">
        <w:rPr>
          <w:rFonts w:ascii="Times New Roman" w:hAnsi="Times New Roman" w:cs="Times New Roman"/>
          <w:color w:val="000000"/>
          <w:sz w:val="20"/>
          <w:szCs w:val="20"/>
        </w:rPr>
        <w:t>Greenwash</w:t>
      </w:r>
      <w:proofErr w:type="spellEnd"/>
      <w:r w:rsidRPr="006B1274">
        <w:rPr>
          <w:rFonts w:ascii="Times New Roman" w:hAnsi="Times New Roman" w:cs="Times New Roman"/>
          <w:color w:val="000000"/>
          <w:sz w:val="20"/>
          <w:szCs w:val="20"/>
        </w:rPr>
        <w:t>, "Lavagem Verde" em, tradução literal, esbarram exatamente neste sentido. Quando o Crime Organizado aproveita brechas não reguláveis como Marco de Startups, Inteligência Artificial, Clonagem e monitoramento indevido de dados, entre outras ações típicas do mercado negro para venda de informações à grandes empresas, prejudicando com ações ineficazes de grandes obras em medidas importantes a serem adotadas para melhoria da urbanidade.</w:t>
      </w:r>
    </w:p>
    <w:p w14:paraId="27C301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1045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VLTs por exemplo envolvem captura sensível de dados de recursos integráveis em Geolocalização, além de duplicar a capacidade de abastecimento de energia para a efetiva implantação, no Brasil, com maior extensão da Mata Atlântica tão diversificada em biomas e condições de solo, podem causar impactos reais em sobrecarga da Floresta não apenas em condições de desmatamento, mas de resistência por força nuclear e o impacto à biomassa da floresta. Uma condição para continente Americano sensível ao que tange a saúde ambiental.</w:t>
      </w:r>
    </w:p>
    <w:p w14:paraId="2E4653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F986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 período semelhante a este na história, foi após a inclusão de negros em questões diplomáticas, uma tentativa de golpe aos Americanos por Alemãs intensificou conflitos raciais em 1970 com Apartheid racial entre Alemanha Ocidental e Oriental norteados por questões religiosas, sanitárias e culturais quanto a colonização e casamentos entre raças. Foi criado como forma de controle de renda pelo FMI a implantação dos modelos de Carta de Crédito das grandes financeiras, cedidas como Cartão Magnético, este juntamente gerido em período de transformação de mobilidade americana para integração de civis com implantação dos Metrôs entre estados, levou a crise sanitária americana, aumentando o cartel de drogas por circulação de civis, vazamentos de dados financeiros de famílias renomadas Americanas e outras situações que resultaram no corte integral do sistema de comunicação americano até a apreensão do Crime Organizado. Por fim, após prisão dos responsáveis o Governo Federal Americano, entendeu como sensível a questão e resolveu não estender o projeto de linha elétrica por entender o favorecimento apenas da indústria. </w:t>
      </w:r>
    </w:p>
    <w:p w14:paraId="3197B9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C464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fase os modelos eram cedidos por mercado Oriental de Chineses e ao fim um acordo entre a África do Sul, Brasil e Americanos resultou ao fim da década de 1980 uma política de conscientização </w:t>
      </w:r>
      <w:proofErr w:type="spellStart"/>
      <w:r w:rsidRPr="006B1274">
        <w:rPr>
          <w:rFonts w:ascii="Times New Roman" w:hAnsi="Times New Roman" w:cs="Times New Roman"/>
          <w:color w:val="000000"/>
          <w:sz w:val="20"/>
          <w:szCs w:val="20"/>
        </w:rPr>
        <w:t>multiracial</w:t>
      </w:r>
      <w:proofErr w:type="spellEnd"/>
      <w:r w:rsidRPr="006B1274">
        <w:rPr>
          <w:rFonts w:ascii="Times New Roman" w:hAnsi="Times New Roman" w:cs="Times New Roman"/>
          <w:color w:val="000000"/>
          <w:sz w:val="20"/>
          <w:szCs w:val="20"/>
        </w:rPr>
        <w:t xml:space="preserve"> e financiamento à Saúde Global com investimento em pesquisas, foi a fase para o Brasil de investimento em vacinas e erradicação de doenças virais com campanha vacinal de crianças, o período de tensão desencadeou alerta e pela Escola de Comunicação da Universidade Federal do Rio de Janeiro, originou-se a ECO 92, e seu legado até os dias atuais pela Conferência das Partes das Nações Unidas, esta em sua 30° versão em 2025 no Brasil.</w:t>
      </w:r>
    </w:p>
    <w:p w14:paraId="1D4FA30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2EA7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Entendem a diferença em um sistema eficaz de Segurança como forma de decisão em aplicação financeira em gerência da Administração Pública? A complexidade das condições climáticas e em dignidade aos cidadãos são o que tornam favoráveis ou não a expansão da indústria como principal fator econômico para negociação.</w:t>
      </w:r>
    </w:p>
    <w:p w14:paraId="7FCD5C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653B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de tese autoral, não autorizado o compartilhamento por terceiros.</w:t>
      </w:r>
    </w:p>
    <w:p w14:paraId="3AB6334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D9E1C9" w14:textId="57757B0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O Globo</w:t>
      </w:r>
    </w:p>
    <w:p w14:paraId="13B7E8A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6572F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7BF914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UNICEF Brasil</w:t>
      </w:r>
    </w:p>
    <w:p w14:paraId="1D8E7C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Unesco Brasil</w:t>
      </w:r>
    </w:p>
    <w:p w14:paraId="7E41FF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44FDCB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Saúde</w:t>
      </w:r>
    </w:p>
    <w:p w14:paraId="577420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1D0606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0B3AE3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Educação</w:t>
      </w:r>
    </w:p>
    <w:p w14:paraId="6D2374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042AFC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003393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das Relações Exteriores</w:t>
      </w:r>
    </w:p>
    <w:p w14:paraId="55A5372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3E4277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16FF279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559DE4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2554FC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4870B5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Gestão e da Inovação em Serviços Públicos</w:t>
      </w:r>
    </w:p>
    <w:p w14:paraId="26EFDD5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0B5D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eastAsia="Andika" w:hAnsi="Apple Color Emoji" w:cs="Apple Color Emoji"/>
          <w:color w:val="000000"/>
          <w:sz w:val="20"/>
          <w:szCs w:val="20"/>
        </w:rPr>
        <w:t>‼️</w:t>
      </w:r>
      <w:r w:rsidRPr="006B1274">
        <w:rPr>
          <w:rFonts w:ascii="Apple Color Emoji" w:hAnsi="Apple Color Emoji" w:cs="Apple Color Emoji"/>
          <w:b/>
          <w:bCs/>
          <w:color w:val="000000"/>
          <w:sz w:val="20"/>
          <w:szCs w:val="20"/>
        </w:rPr>
        <w:t>🤔</w:t>
      </w:r>
      <w:r w:rsidRPr="006B1274">
        <w:rPr>
          <w:rFonts w:ascii="Times New Roman" w:hAnsi="Times New Roman" w:cs="Times New Roman"/>
          <w:b/>
          <w:bCs/>
          <w:color w:val="000000"/>
          <w:sz w:val="20"/>
          <w:szCs w:val="20"/>
        </w:rPr>
        <w:t xml:space="preserve"> FAZ SENTIDO?! </w:t>
      </w:r>
      <w:r w:rsidRPr="006B1274">
        <w:rPr>
          <w:rFonts w:ascii="Apple Color Emoji" w:hAnsi="Apple Color Emoji" w:cs="Apple Color Emoji"/>
          <w:b/>
          <w:bCs/>
          <w:color w:val="000000"/>
          <w:sz w:val="20"/>
          <w:szCs w:val="20"/>
        </w:rPr>
        <w:t>🤔</w:t>
      </w:r>
      <w:r w:rsidRPr="006B1274">
        <w:rPr>
          <w:rFonts w:ascii="Apple Color Emoji" w:eastAsia="Andika" w:hAnsi="Apple Color Emoji" w:cs="Apple Color Emoji"/>
          <w:color w:val="000000"/>
          <w:sz w:val="20"/>
          <w:szCs w:val="20"/>
        </w:rPr>
        <w:t>‼️</w:t>
      </w:r>
    </w:p>
    <w:p w14:paraId="5E184DF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74C870" w14:textId="0AD9D88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E373A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C3A4F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3FF06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02 de Agosto de 2025.</w:t>
      </w:r>
    </w:p>
    <w:p w14:paraId="19ABCAF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96E5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2DDC78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FA8F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105049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1381A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4E61189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F932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Apesar de todo charme arquitetônico, algumas soluções urbanas européias não funcionam no Brasil, isto pela diferente realidade em cultura de brasileiros, muito mais precária em cordialidade e conscientização humanitária pelo índice desordenado de controle social e urbano de áreas periféricas e a alta taxa de desigualdade social.</w:t>
      </w:r>
    </w:p>
    <w:p w14:paraId="5C14E89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2BF0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economia de Cartéis clandestinos utilizam-se de alta tecnologia do mercado negro para contrabando, lavagem de dinheiro e aquisição de bens sonegados. As fraudes antes aplicadas à grande redes bancárias, já começam a interferir em classe civil com a criação do entretenimento do mercado de apostas digitais para facilitação de golpe ao sistema monetário, as formas são clonagem de cartões, criação de moedas digitais e aplicação de golpes em sistemas monetários de crédito, entre outras formas que periferias apesar de "boa intenção social" de prover ações inclusivas, tendo por apelo à caridade social, mascaram fontes de tributação para facilitação de lavagem de dinheiro.</w:t>
      </w:r>
    </w:p>
    <w:p w14:paraId="15C3A8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Parte fragmenta de Denúncia em Tese autoral de análise macroeconômica, não autorizado compartilhamento por terceiros. Confira abaixo a matéria do Diário do Porto sobre o Projeto do VLT.</w:t>
      </w:r>
    </w:p>
    <w:p w14:paraId="0E2AA1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47A15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Diário do Porto</w:t>
      </w:r>
    </w:p>
    <w:p w14:paraId="2AAA1B52" w14:textId="44ECA2E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SAI BRT, ENTRA VLT | Em 2022, a gestão de Eduardo Paes falou pela primeira vez sobre o processo de 'VLTzar' os corredores de BRT </w:t>
      </w:r>
      <w:proofErr w:type="spellStart"/>
      <w:r w:rsidRPr="006B1274">
        <w:rPr>
          <w:rFonts w:ascii="Times New Roman" w:hAnsi="Times New Roman" w:cs="Times New Roman"/>
          <w:color w:val="000000"/>
          <w:sz w:val="20"/>
          <w:szCs w:val="20"/>
        </w:rPr>
        <w:t>Trans</w:t>
      </w:r>
      <w:proofErr w:type="spellEnd"/>
      <w:r w:rsidR="00FE68A7" w:rsidRPr="006B1274">
        <w:rPr>
          <w:rFonts w:ascii="Times New Roman" w:hAnsi="Times New Roman" w:cs="Times New Roman"/>
          <w:color w:val="000000"/>
          <w:sz w:val="20"/>
          <w:szCs w:val="20"/>
        </w:rPr>
        <w:t xml:space="preserve"> O</w:t>
      </w:r>
      <w:r w:rsidRPr="006B1274">
        <w:rPr>
          <w:rFonts w:ascii="Times New Roman" w:hAnsi="Times New Roman" w:cs="Times New Roman"/>
          <w:color w:val="000000"/>
          <w:sz w:val="20"/>
          <w:szCs w:val="20"/>
        </w:rPr>
        <w:t xml:space="preserve">este e </w:t>
      </w:r>
      <w:proofErr w:type="spellStart"/>
      <w:r w:rsidRPr="006B1274">
        <w:rPr>
          <w:rFonts w:ascii="Times New Roman" w:hAnsi="Times New Roman" w:cs="Times New Roman"/>
          <w:color w:val="000000"/>
          <w:sz w:val="20"/>
          <w:szCs w:val="20"/>
        </w:rPr>
        <w:t>Tran</w:t>
      </w:r>
      <w:r w:rsidR="00694463" w:rsidRPr="006B1274">
        <w:rPr>
          <w:rFonts w:ascii="Times New Roman" w:hAnsi="Times New Roman" w:cs="Times New Roman"/>
          <w:color w:val="000000"/>
          <w:sz w:val="20"/>
          <w:szCs w:val="20"/>
        </w:rPr>
        <w:t>s</w:t>
      </w:r>
      <w:proofErr w:type="spellEnd"/>
      <w:r w:rsidR="00694463" w:rsidRPr="006B1274">
        <w:rPr>
          <w:rFonts w:ascii="Times New Roman" w:hAnsi="Times New Roman" w:cs="Times New Roman"/>
          <w:color w:val="000000"/>
          <w:sz w:val="20"/>
          <w:szCs w:val="20"/>
        </w:rPr>
        <w:t xml:space="preserve"> C</w:t>
      </w:r>
      <w:r w:rsidRPr="006B1274">
        <w:rPr>
          <w:rFonts w:ascii="Times New Roman" w:hAnsi="Times New Roman" w:cs="Times New Roman"/>
          <w:color w:val="000000"/>
          <w:sz w:val="20"/>
          <w:szCs w:val="20"/>
        </w:rPr>
        <w:t>arioca. Com isso, os ônibus dos corredores seriam gradualmente substituídos por VLTs, que poderiam circular mais rápido através em um corredor exclusivo, em um processo de até 15 anos de duração. Isso daria ao Rio o maior sistema de VLT das Américas, com 251km de trilhos.</w:t>
      </w:r>
    </w:p>
    <w:p w14:paraId="5AE6EA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B20A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Agora, o Estudo Nacional de Mobilidade Urbana, divulgado pelo @bndesgovbr e pelo @ministeriocidades neste mês, trouxe detalhes do plano: </w:t>
      </w:r>
    </w:p>
    <w:p w14:paraId="34542C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4159D6" w14:textId="453142E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TRANS</w:t>
      </w:r>
      <w:r w:rsidR="00694463"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OESTE</w:t>
      </w:r>
    </w:p>
    <w:p w14:paraId="12201A7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A347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corredor, que conecta o Jardim Oceânico (Barra) à Santa Cruz, seria o primeiro a ser convertido, com a transformação de 44km e 44 estações. Apenas a Avenida Cesário de Melo continuaria com ônibus. O projeto está avançado e buscando recursos junto ao PAC Mobilidade, do governo federal.</w:t>
      </w:r>
    </w:p>
    <w:p w14:paraId="36FFB8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566F4E" w14:textId="0DE004A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TRANS</w:t>
      </w:r>
      <w:r w:rsidR="00694463"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CARIOCA</w:t>
      </w:r>
    </w:p>
    <w:p w14:paraId="0DF8C4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9823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segundo da lista de conversão é a conexão entre o Terminal Alvorada e o Terminal Aroldo Melodia (no Fundão), com um trecho de 35km e 52 estações previstas. O trajeto até o Galeão não seria por VLT, mas sim com um ônibus elétrico. O projeto também está buscando recursos junto ao PAC Mobilidade. </w:t>
      </w:r>
    </w:p>
    <w:p w14:paraId="369958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D8A2C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A ZONA SUL?</w:t>
      </w:r>
    </w:p>
    <w:p w14:paraId="18E933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57C7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semana passada, publicamos sobre um estudo do BNDES de uma linha do VLT ligando a Praia de Botafogo, seguindo pela Rua São Clemente, o Humaitá, a Rua Jardim Botânico, a Gávea e o Leblon. Essa linha teria 20 estações. Ainda não está claro se ela está incluída no projeto.</w:t>
      </w:r>
    </w:p>
    <w:p w14:paraId="538B3ED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F5F96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QUAL O CUSTO?</w:t>
      </w:r>
    </w:p>
    <w:p w14:paraId="3A6D823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2A43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dezembro de 2024, o BNDES estimou em R$ 12 bilhões o investimento necessário para as obras de troca de BRT para VLT em ambos os sistemas. Será que sai do papel?</w:t>
      </w:r>
    </w:p>
    <w:p w14:paraId="6E62564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94907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775217" w14:textId="77777777" w:rsidR="001C11E3" w:rsidRPr="006B1274" w:rsidRDefault="00576533" w:rsidP="00B36B27">
      <w:pPr>
        <w:spacing w:before="240" w:after="240" w:line="360" w:lineRule="auto"/>
        <w:rPr>
          <w:rFonts w:ascii="Times New Roman" w:hAnsi="Times New Roman" w:cs="Times New Roman"/>
          <w:b/>
          <w:bCs/>
          <w:color w:val="000000"/>
          <w:sz w:val="20"/>
          <w:szCs w:val="20"/>
        </w:rPr>
      </w:pPr>
      <w:r w:rsidRPr="006B1274">
        <w:rPr>
          <w:rFonts w:ascii="Times New Roman" w:hAnsi="Times New Roman" w:cs="Times New Roman"/>
          <w:b/>
          <w:bCs/>
          <w:color w:val="000000"/>
          <w:sz w:val="20"/>
          <w:szCs w:val="20"/>
        </w:rPr>
        <w:t>MUITA ÁGUA, POUCA FONTE DE LUZ PARA CÁLCULO</w:t>
      </w:r>
    </w:p>
    <w:p w14:paraId="179517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C36A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 30</w:t>
      </w:r>
    </w:p>
    <w:p w14:paraId="5CE7679E" w14:textId="23D9A10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47EEF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Temática Social: Do Social para as Redes Sociais, a Importância da Representatividade Ética Profissional Feminina em Tempos Digitais. </w:t>
      </w:r>
    </w:p>
    <w:p w14:paraId="04ACE5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02 de Agosto de 2025.</w:t>
      </w:r>
    </w:p>
    <w:p w14:paraId="77DA3C2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4216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Entenda como a corrupção em fontes energéticas clandestinas tem demonstrado alto consumo, sem evasão eficaz em pontos de energia elétrica. </w:t>
      </w:r>
    </w:p>
    <w:p w14:paraId="246CF6B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428F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motim de milícias as invalidações em denúncias fazem parecer que outras regiões com fonte de denúncia sejam coagidas e inseridas irregularmente em sistema clandestino de energia, mascarando reais problemas sociais das áreas periféricas controladas por Organizações Criminosas em diversas partes do País com "pacificação" e falsa resolução de problemas administrativos comunitários e em áreas adjacentes.</w:t>
      </w:r>
    </w:p>
    <w:p w14:paraId="2B7D3A0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27DA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aumento de ações de medidas empreendedoras habitacionais urbanas a comunidade de emergentes periféricos está em melhores condições de vida, levando ao prejuízo Classe Média pagante de serviços por longos anos e deduções fiscais em fonte tributária por desequilíbrio em Administração Pública.</w:t>
      </w:r>
    </w:p>
    <w:p w14:paraId="59F5C3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46859BE" w14:textId="4A4B666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cenário à base de coação, a perda de direitos tem sido uma constante com retorno do alto índice de violência em capitais e perda de bens e imóveis por alagamentos decorrentes de chuvas concentradas como resposta climática do Meio Ambiente ao consumo desordenado e alto volume hídrico de escoamento de hidroelétricas por baixa a</w:t>
      </w:r>
      <w:r w:rsidR="00241C3A" w:rsidRPr="006B1274">
        <w:rPr>
          <w:rFonts w:ascii="Times New Roman" w:hAnsi="Times New Roman" w:cs="Times New Roman"/>
          <w:color w:val="000000"/>
          <w:sz w:val="20"/>
          <w:szCs w:val="20"/>
        </w:rPr>
        <w:t>ss</w:t>
      </w:r>
      <w:r w:rsidRPr="006B1274">
        <w:rPr>
          <w:rFonts w:ascii="Times New Roman" w:hAnsi="Times New Roman" w:cs="Times New Roman"/>
          <w:color w:val="000000"/>
          <w:sz w:val="20"/>
          <w:szCs w:val="20"/>
        </w:rPr>
        <w:t>ertividade em premissas de cálculo.</w:t>
      </w:r>
    </w:p>
    <w:p w14:paraId="7247A10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0FA06B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Denúncia de corrupção.</w:t>
      </w:r>
    </w:p>
    <w:p w14:paraId="52E0DE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17C188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769820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52130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254786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A1DEF7" w14:textId="1467DB0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Comportas da Usina de Itaipu liberam água acumulada no Rio Paraná por causa dos temporais</w:t>
      </w:r>
    </w:p>
    <w:p w14:paraId="0FB22DB9" w14:textId="1E6D97D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Mais de 50 estações de medição espalhadas pelo rio e afluentes ajudam a calcular a volume de água que chega ao reservatório da hidrelétrica. Quando o nível está alto, a abertura do vertedouro pode ser uma solução.</w:t>
      </w:r>
    </w:p>
    <w:p w14:paraId="4190D1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Por Jornal Nacional </w:t>
      </w:r>
    </w:p>
    <w:p w14:paraId="51D86274" w14:textId="7062EEB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10/11/2023 21h47  Atualizado há um ano</w:t>
      </w:r>
    </w:p>
    <w:p w14:paraId="7545E11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temporais que atingiram o estado do Paraná obrigaram a Usina de Itaipu a abrir as comportas. Já faz nove dias.</w:t>
      </w:r>
    </w:p>
    <w:p w14:paraId="14D83CB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Mais de 50 estações de medição espalhadas pelo Rio Paraná e afluentes ajudam a calcular a volume de água que chega ao reservatório da hidrelétrica. Quando o nível está alto, a abertura do vertedouro pode ser uma solução.</w:t>
      </w:r>
    </w:p>
    <w:p w14:paraId="39B5DF83" w14:textId="5F95E46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a semana passada, uma das três calhas está com as comportas abertas. Esse controle da vazão ajuda a manter o nível do reservatório e do Rio Paraná abaixo da barragem, sem comprometer a produção de energia.</w:t>
      </w:r>
    </w:p>
    <w:p w14:paraId="114C80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Completa Disponível em:</w:t>
      </w:r>
    </w:p>
    <w:p w14:paraId="3EE01088" w14:textId="77777777" w:rsidR="001C11E3" w:rsidRPr="008E6329" w:rsidRDefault="00576533" w:rsidP="00B36B27">
      <w:pPr>
        <w:spacing w:before="240" w:after="240" w:line="360" w:lineRule="auto"/>
        <w:rPr>
          <w:rFonts w:ascii="Times New Roman" w:hAnsi="Times New Roman" w:cs="Times New Roman"/>
          <w:color w:val="000000"/>
          <w:sz w:val="20"/>
          <w:szCs w:val="20"/>
        </w:rPr>
      </w:pPr>
      <w:hyperlink r:id="rId25">
        <w:r w:rsidRPr="008E6329">
          <w:rPr>
            <w:rFonts w:ascii="Times New Roman" w:hAnsi="Times New Roman" w:cs="Times New Roman"/>
            <w:color w:val="000000"/>
            <w:sz w:val="20"/>
            <w:szCs w:val="20"/>
          </w:rPr>
          <w:t>https://g1.globo.com/jornal-nacional/noticia/2023/11/10/comportas-da-usina-de-itaipu-liberam-agua-acumulada-no-rio-parana-por-causa-dos-temporais.ghtml#</w:t>
        </w:r>
      </w:hyperlink>
    </w:p>
    <w:p w14:paraId="1B43289E"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238E83E9" wp14:editId="2D6745C1">
            <wp:extent cx="5943600" cy="4445000"/>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6"/>
                    <a:srcRect/>
                    <a:stretch>
                      <a:fillRect/>
                    </a:stretch>
                  </pic:blipFill>
                  <pic:spPr>
                    <a:xfrm>
                      <a:off x="0" y="0"/>
                      <a:ext cx="5943600" cy="4445000"/>
                    </a:xfrm>
                    <a:prstGeom prst="rect">
                      <a:avLst/>
                    </a:prstGeom>
                    <a:ln/>
                  </pic:spPr>
                </pic:pic>
              </a:graphicData>
            </a:graphic>
          </wp:inline>
        </w:drawing>
      </w:r>
      <w:r w:rsidRPr="006B1274">
        <w:rPr>
          <w:rFonts w:ascii="Times New Roman" w:hAnsi="Times New Roman" w:cs="Times New Roman"/>
          <w:noProof/>
          <w:color w:val="000000"/>
          <w:sz w:val="20"/>
          <w:szCs w:val="20"/>
        </w:rPr>
        <w:drawing>
          <wp:inline distT="114300" distB="114300" distL="114300" distR="114300" wp14:anchorId="6DEBDB39" wp14:editId="0C45F8F2">
            <wp:extent cx="4640608" cy="8239446"/>
            <wp:effectExtent l="0" t="0" r="0" b="0"/>
            <wp:docPr id="1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4640608" cy="8239446"/>
                    </a:xfrm>
                    <a:prstGeom prst="rect">
                      <a:avLst/>
                    </a:prstGeom>
                    <a:ln/>
                  </pic:spPr>
                </pic:pic>
              </a:graphicData>
            </a:graphic>
          </wp:inline>
        </w:drawing>
      </w:r>
    </w:p>
    <w:p w14:paraId="7A79F9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736C0A4B" wp14:editId="2193528A">
            <wp:extent cx="4819650" cy="7990205"/>
            <wp:effectExtent l="0" t="0" r="6350" b="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8"/>
                    <a:srcRect/>
                    <a:stretch>
                      <a:fillRect/>
                    </a:stretch>
                  </pic:blipFill>
                  <pic:spPr>
                    <a:xfrm>
                      <a:off x="0" y="0"/>
                      <a:ext cx="4819856" cy="7990546"/>
                    </a:xfrm>
                    <a:prstGeom prst="rect">
                      <a:avLst/>
                    </a:prstGeom>
                    <a:ln/>
                  </pic:spPr>
                </pic:pic>
              </a:graphicData>
            </a:graphic>
          </wp:inline>
        </w:drawing>
      </w:r>
    </w:p>
    <w:p w14:paraId="34600E9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1CC4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EB2B4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68C6A2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INTERCOM PUC RIO 2025</w:t>
      </w:r>
    </w:p>
    <w:p w14:paraId="275E8B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25E819" w14:textId="1B4EC5D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64602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6E8B4D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6DC2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Acompanhamento Diplomático da Administração Pública em Políticas Sustentáveis: Logística em Serviços - Administração Pública</w:t>
      </w:r>
    </w:p>
    <w:p w14:paraId="65D0EC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FCFD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ESPECIAL COP 30 </w:t>
      </w:r>
      <w:r w:rsidRPr="006B1274">
        <w:rPr>
          <w:rFonts w:ascii="Apple Color Emoji" w:hAnsi="Apple Color Emoji" w:cs="Apple Color Emoji"/>
          <w:color w:val="000000"/>
          <w:sz w:val="20"/>
          <w:szCs w:val="20"/>
        </w:rPr>
        <w:t>🌳🧑🏾‍⚖️🇧🇷🇺🇸</w:t>
      </w:r>
    </w:p>
    <w:p w14:paraId="7696E4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 em Mediação Ética Publicitária</w:t>
      </w:r>
    </w:p>
    <w:p w14:paraId="15B9C5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D172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Especialista em Políticas Públicas e Gestão Governamental com ênfase em Educação e Economia Política, Projeto Acadêmico com ênfase em Conduta Ética e de Transparência das Informações do Brasil em Parcerias de Implementação em Acordos Cooperacionais. </w:t>
      </w:r>
    </w:p>
    <w:p w14:paraId="0832FB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DE1B4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Inserção Contemporânea Século XXI</w:t>
      </w:r>
    </w:p>
    <w:p w14:paraId="31C90F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INDÚSTRIA 4.0 DIGITAL EM INOVAÇÃO CIENTÍFICA</w:t>
      </w:r>
    </w:p>
    <w:p w14:paraId="09613E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9B616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STARTUPS E TRANSIÇÕES ENERGÉTICAS</w:t>
      </w:r>
    </w:p>
    <w:p w14:paraId="4DF455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71B8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26 de Setembro de 2025 | 13:15 PM</w:t>
      </w:r>
    </w:p>
    <w:p w14:paraId="72C238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F64FC4" w14:textId="4F8829F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Eu,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como Diretora de Comunicação de veículo comunitário independente em finalidade acadêmica científica. Tendo a influenciadora Bianca Andrade como um estudo de caso à Trabalho de Conclusão de Curso à nível de Doutorado em Comunicação com foco em Educação e Economia Política. Abordarei sobre questões de empreendedorismo digital com exemplo real da Influenciadora Digital Bianca Andrade, diante do cenário negativo em internet e sua produção com problemas característico de violação ao Código do Consumidor e à Agencia de Vigilância Sanitária.</w:t>
      </w:r>
    </w:p>
    <w:p w14:paraId="475EE6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C8FC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ação para reduzir ações de ativismo, atividade exploratória de degradação e impacto urbano que implicam também em Ordem Urbana, em INTERCOM, Multidisciplinar dos Cursos de Comunicação do Rio de Janeiro ando conscientizando e mediando situações não identificadas de financiamento de empresas Internacionais que não tem respeitado legislações legais e Universais estabelecidas pela Agência Ambiental Americana, e, consequentemente em visão comercial infringindo Leis de Importação e relação comercial Empresarial.</w:t>
      </w:r>
    </w:p>
    <w:p w14:paraId="1F940C2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DA381A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objetivo da ação é reverter a condição de alienação social e a comunicação periférica popular que tem crescido no Rio de Janeiro e polarizando a sociedade e reduzindo à condição não digna de habitação à toda população com alto índice de crescimento de construção em áreas irregulares de encosta, atividades clandestinas e aumento do entretenimento popular favorecendo o movimento de cartéis de drogas. Meu objetivo é a mediação em reversão do quadro de favelização e promover o Desenvolvimento Social de forma integrativa e ética.</w:t>
      </w:r>
    </w:p>
    <w:p w14:paraId="54B08CD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1843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Todas as temáticas abordadas são  pertinentes à geração 1990 e Metas Sustentáveis de Desenvolvimento (ODS) tanto da indústria como responsabilidade social, diante de resultados de histórico negativo de evasão escolar em áreas periféricas e não aplicação da consciência sustentável pelas atuais gerações com uso da comunicação em Redes Sociais para atividades empreendedoras e alienação em incentivo à bebidas e itens nocivos à saúde.</w:t>
      </w:r>
    </w:p>
    <w:p w14:paraId="01EB7A8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C7A6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Ontem foi o dia do encerramento da mesa do INTERCOM do Pós-Com PUC Rio com presença dos integrantes da PUC Rio, a professora Liz </w:t>
      </w:r>
      <w:proofErr w:type="spellStart"/>
      <w:r w:rsidRPr="006B1274">
        <w:rPr>
          <w:rFonts w:ascii="Times New Roman" w:hAnsi="Times New Roman" w:cs="Times New Roman"/>
          <w:color w:val="000000"/>
          <w:sz w:val="20"/>
          <w:szCs w:val="20"/>
        </w:rPr>
        <w:t>Rejane</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Issberner</w:t>
      </w:r>
      <w:proofErr w:type="spellEnd"/>
      <w:r w:rsidRPr="006B1274">
        <w:rPr>
          <w:rFonts w:ascii="Times New Roman" w:hAnsi="Times New Roman" w:cs="Times New Roman"/>
          <w:color w:val="000000"/>
          <w:sz w:val="20"/>
          <w:szCs w:val="20"/>
        </w:rPr>
        <w:t xml:space="preserve"> (IBICT/UFRJ), pesquisadora titular do Instituto Brasileiro de Informação em Ciência e Tecnologia (IBICT) e líder do grupo de pesquisa </w:t>
      </w:r>
      <w:proofErr w:type="spellStart"/>
      <w:r w:rsidRPr="006B1274">
        <w:rPr>
          <w:rFonts w:ascii="Times New Roman" w:hAnsi="Times New Roman" w:cs="Times New Roman"/>
          <w:color w:val="000000"/>
          <w:sz w:val="20"/>
          <w:szCs w:val="20"/>
        </w:rPr>
        <w:t>Ecoinfo</w:t>
      </w:r>
      <w:proofErr w:type="spellEnd"/>
      <w:r w:rsidRPr="006B1274">
        <w:rPr>
          <w:rFonts w:ascii="Times New Roman" w:hAnsi="Times New Roman" w:cs="Times New Roman"/>
          <w:color w:val="000000"/>
          <w:sz w:val="20"/>
          <w:szCs w:val="20"/>
        </w:rPr>
        <w:t xml:space="preserve"> - Ecologia, Informação e Inovação e do professor Marcelo Alves (PPGCOM/PUC-Rio), coordenador da Ênfase de Comunicação e Tecnologia da graduação em Estudo de Mídia da PUC-Rio e do Núcleo de Tecnologia e Comunicação (NuTeC/PUC-Rio). A mediação foi feita pela professora Tatiana Dourado (PPGCOM/PUC-Rio).</w:t>
      </w:r>
    </w:p>
    <w:p w14:paraId="2352A9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3D4B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data de hoje (26), foi dia de evidenciar colaboração participativa na comunicação do Rio de Janeiro, no RJTV 1º Edição e os casos de </w:t>
      </w:r>
      <w:proofErr w:type="spellStart"/>
      <w:r w:rsidRPr="006B1274">
        <w:rPr>
          <w:rFonts w:ascii="Times New Roman" w:hAnsi="Times New Roman" w:cs="Times New Roman"/>
          <w:color w:val="000000"/>
          <w:sz w:val="20"/>
          <w:szCs w:val="20"/>
        </w:rPr>
        <w:t>Greenwash</w:t>
      </w:r>
      <w:proofErr w:type="spellEnd"/>
      <w:r w:rsidRPr="006B1274">
        <w:rPr>
          <w:rFonts w:ascii="Times New Roman" w:hAnsi="Times New Roman" w:cs="Times New Roman"/>
          <w:color w:val="000000"/>
          <w:sz w:val="20"/>
          <w:szCs w:val="20"/>
        </w:rPr>
        <w:t xml:space="preserve"> que aproveitam linhas de financiamento verde, para apropriação de causas individuais na lavagem de dinheiro de verba destinada à Indústria Verde e desvio de verba destinada à ações em melhora urbana do Meio Ambiente e redução do uso de resíduos químicos na produção industrial extrativa em diferentes áreas da indústria alimentícia, de cosméticos, e de abastecimento de consumo urbano. </w:t>
      </w:r>
    </w:p>
    <w:p w14:paraId="0B90AE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7852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Minha presença em Oficina de Manifesto </w:t>
      </w:r>
      <w:proofErr w:type="spellStart"/>
      <w:r w:rsidRPr="006B1274">
        <w:rPr>
          <w:rFonts w:ascii="Times New Roman" w:hAnsi="Times New Roman" w:cs="Times New Roman"/>
          <w:color w:val="000000"/>
          <w:sz w:val="20"/>
          <w:szCs w:val="20"/>
        </w:rPr>
        <w:t>Antropoceno</w:t>
      </w:r>
      <w:proofErr w:type="spellEnd"/>
      <w:r w:rsidRPr="006B1274">
        <w:rPr>
          <w:rFonts w:ascii="Times New Roman" w:hAnsi="Times New Roman" w:cs="Times New Roman"/>
          <w:color w:val="000000"/>
          <w:sz w:val="20"/>
          <w:szCs w:val="20"/>
        </w:rPr>
        <w:t xml:space="preserve">, Balanço Ético Global no início da semana (terça-feira, 23) foi para evidenciar os casos que tem se formado e crescido de exploração ambiental do Rio de Janeiro, e alteração de consumo promovendo falsa ideologia ESG com empreendimentos verdes ineficientes e sendo aplicado verba em lavagem de dinheiro para aproveitamento e aplicação de créditos verdes em situações que são completamente o oposto das intenções legais de financiamento sustentável, inclusivo e desenvolvedor. </w:t>
      </w:r>
    </w:p>
    <w:p w14:paraId="4AF4FB7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5FAE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reversão do quadro a comunicação como ferramenta transformadora para orientação, educação ambiental e medidas inovadoras tem sido o instrumento para viabilizar caminhos éticos e deixar à par o poder público das ações a serem seguidas para evitar problemas e aplicações financeiras irregulares no Mercado Verde.</w:t>
      </w:r>
    </w:p>
    <w:p w14:paraId="78B2FC7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58C208C" w14:textId="029A302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Estácio |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 Ministério da Educação</w:t>
      </w:r>
    </w:p>
    <w:p w14:paraId="6BC961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9DAA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RJTV, Bom Dia Rio e g1 Rio</w:t>
      </w:r>
    </w:p>
    <w:p w14:paraId="66A5F5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B745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 Brasil</w:t>
      </w:r>
    </w:p>
    <w:p w14:paraId="1D042F2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 Brasil</w:t>
      </w:r>
    </w:p>
    <w:p w14:paraId="4491F9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Brasil</w:t>
      </w:r>
    </w:p>
    <w:p w14:paraId="2F1335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Cultura</w:t>
      </w:r>
    </w:p>
    <w:p w14:paraId="0EEF03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Fazenda</w:t>
      </w:r>
    </w:p>
    <w:p w14:paraId="025C01F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Prefeitura do Rio de Janeiro</w:t>
      </w:r>
    </w:p>
    <w:p w14:paraId="1EC453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Federal - MPF</w:t>
      </w:r>
    </w:p>
    <w:p w14:paraId="6CC4F9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Governo do Estado do Rio de Janeiro</w:t>
      </w:r>
    </w:p>
    <w:p w14:paraId="5BAA281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da Ciência, Tecnologia e Inovação</w:t>
      </w:r>
    </w:p>
    <w:p w14:paraId="29D13C5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Desenvolvimento Social - MDS</w:t>
      </w:r>
    </w:p>
    <w:p w14:paraId="5B04E0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do Meio Ambiente e Mudança do Clima</w:t>
      </w:r>
    </w:p>
    <w:p w14:paraId="651506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Ministério Público do Estado do Rio de Janeiro - MPRJ</w:t>
      </w:r>
    </w:p>
    <w:p w14:paraId="7299EA6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C30C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não autorizado compartilhamento.</w:t>
      </w:r>
    </w:p>
    <w:p w14:paraId="76C0675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4897B2" w14:textId="77777777" w:rsidR="001C11E3" w:rsidRDefault="001C11E3" w:rsidP="00B36B27">
      <w:pPr>
        <w:spacing w:before="240" w:after="240" w:line="360" w:lineRule="auto"/>
        <w:rPr>
          <w:rFonts w:ascii="Times New Roman" w:hAnsi="Times New Roman" w:cs="Times New Roman"/>
          <w:color w:val="000000"/>
          <w:sz w:val="20"/>
          <w:szCs w:val="20"/>
        </w:rPr>
      </w:pPr>
    </w:p>
    <w:p w14:paraId="685C5300" w14:textId="77777777" w:rsidR="0079332C" w:rsidRDefault="0079332C" w:rsidP="00B36B27">
      <w:pPr>
        <w:spacing w:before="240" w:after="240" w:line="360" w:lineRule="auto"/>
        <w:rPr>
          <w:rFonts w:ascii="Times New Roman" w:hAnsi="Times New Roman" w:cs="Times New Roman"/>
          <w:color w:val="000000"/>
          <w:sz w:val="20"/>
          <w:szCs w:val="20"/>
        </w:rPr>
      </w:pPr>
    </w:p>
    <w:p w14:paraId="61D43B9B" w14:textId="77777777" w:rsidR="0079332C" w:rsidRDefault="0079332C" w:rsidP="00B36B27">
      <w:pPr>
        <w:spacing w:before="240" w:after="240" w:line="360" w:lineRule="auto"/>
        <w:rPr>
          <w:rFonts w:ascii="Times New Roman" w:hAnsi="Times New Roman" w:cs="Times New Roman"/>
          <w:color w:val="000000"/>
          <w:sz w:val="20"/>
          <w:szCs w:val="20"/>
        </w:rPr>
      </w:pPr>
    </w:p>
    <w:p w14:paraId="5A031030" w14:textId="77777777" w:rsidR="0079332C" w:rsidRPr="006B1274" w:rsidRDefault="0079332C" w:rsidP="00B36B27">
      <w:pPr>
        <w:spacing w:before="240" w:after="240" w:line="360" w:lineRule="auto"/>
        <w:rPr>
          <w:rFonts w:ascii="Times New Roman" w:hAnsi="Times New Roman" w:cs="Times New Roman"/>
          <w:color w:val="000000"/>
          <w:sz w:val="20"/>
          <w:szCs w:val="20"/>
        </w:rPr>
      </w:pPr>
    </w:p>
    <w:p w14:paraId="51F0588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0C8073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Carta das Nações Unidas </w:t>
      </w:r>
    </w:p>
    <w:p w14:paraId="36CAB54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9952CA" w14:textId="69DFE01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A09DB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73F98A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D04B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03 de Outubro de 2025 | 12:00 PM</w:t>
      </w:r>
    </w:p>
    <w:p w14:paraId="7AE5ED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CA36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Acompanhamento Diplomático da Administração Pública em Políticas Sustentáveis: BRICS e COP30</w:t>
      </w:r>
    </w:p>
    <w:p w14:paraId="25A5AF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51E2E1"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A carreira política de Bertha Lutz começou em 1934, quando ela se candidatou à Câmara dos Deputados pela legenda do Partido Autonomista do Distrito Federal, representando a Liga Eleitoral Independente, criada por ela em 1932 e ligada à Federação Brasileira pelo Progresso Feminino. Obteve a primeira suplência e tomou posse em 28 de junho de 1936, após a morte do deputado titular Cândido Pessoa. Ela foi a segunda mulher a ocupar o cargo de deputada, mas seu mandato foi interrompido pelo Estado Novo.</w:t>
      </w:r>
    </w:p>
    <w:p w14:paraId="4079B9D0"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18DA45DE"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 xml:space="preserve">Internacionalmente, ela integrou a delegação brasileira à Conferência das Nações Unidas sobre Organização Internacional em São Francisco, no Estados Unidos, em 1945, onde lutou para incluir menções sobre igualdade de gênero no texto da Carta das Nações Unidas. Embora quatro mulheres tenham assinado a Carta, apenas Bertha e a delegada da República Dominicana, Minerva Bernardino, defenderam os direitos femininos. </w:t>
      </w:r>
    </w:p>
    <w:p w14:paraId="08B71F4F"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7438BC03"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A Carta das Nações Unidas de 1945 é o tratado fundamental das Nações Unidas, uma organização intergovernamental. A Carta da ONU articulou um compromisso de defender os direitos humanos dos cidadãos e delineou um amplo conjunto de princípios relacionados à obtenção de "padrões de vida mais altos", abordando "problemas econômicos, sociais, de saúde e afins" e "respeito universal e observância de direitos humanos e liberdades fundamentais para todos, sem distinção de raça, sexo, idioma ou religião". Como carta constitutiva, é um tratado constituinte e todos os membros estão vinculados a seus artigos. Além disso, o Artigo 103 da Carta afirma que as obrigações para com as Nações Unidas prevalecem sobre todas as outras obrigações do tratado.</w:t>
      </w:r>
    </w:p>
    <w:p w14:paraId="3F91C6A3"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567E2551"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 xml:space="preserve">A Entidade das Nações Unidas para a Igualdade de Gênero e o Empoderamento das Mulheres (ONU Mulheres; em inglês: UN Women, em francês: ONU </w:t>
      </w:r>
      <w:proofErr w:type="spellStart"/>
      <w:r w:rsidRPr="004B03BA">
        <w:rPr>
          <w:rFonts w:ascii="Times New Roman" w:hAnsi="Times New Roman" w:cs="Times New Roman"/>
          <w:color w:val="000000"/>
        </w:rPr>
        <w:t>Femmes</w:t>
      </w:r>
      <w:proofErr w:type="spellEnd"/>
      <w:r w:rsidRPr="004B03BA">
        <w:rPr>
          <w:rFonts w:ascii="Times New Roman" w:hAnsi="Times New Roman" w:cs="Times New Roman"/>
          <w:color w:val="000000"/>
        </w:rPr>
        <w:t xml:space="preserve">) é um órgão da Organização das Nações Unidas (ONU) destinado a promover empoderamento de mulheres e igualdade de gênero. Criada em 2010, iniciou suas operações em 2011. Foi estabelecida através da unificação dos mandatos e recursos de órgãos até então existentes para um impacto maior que os pequenos órgãos substituídos. Sua primeira chefe foi Michelle Bachelet, ex-presidente do Chile, e a atual diretora-executiva é a jordaniana Sima Sami </w:t>
      </w:r>
      <w:proofErr w:type="spellStart"/>
      <w:r w:rsidRPr="004B03BA">
        <w:rPr>
          <w:rFonts w:ascii="Times New Roman" w:hAnsi="Times New Roman" w:cs="Times New Roman"/>
          <w:color w:val="000000"/>
        </w:rPr>
        <w:t>Bahous</w:t>
      </w:r>
      <w:proofErr w:type="spellEnd"/>
      <w:r w:rsidRPr="004B03BA">
        <w:rPr>
          <w:rFonts w:ascii="Times New Roman" w:hAnsi="Times New Roman" w:cs="Times New Roman"/>
          <w:color w:val="000000"/>
        </w:rPr>
        <w:t>.</w:t>
      </w:r>
    </w:p>
    <w:p w14:paraId="406A86EB"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51C6ADD3"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No Brasil, a ONU Mulheres conta com um escritório-país localizado em Brasília, que sucede o Escritório Regional do Fundo de Desenvolvimento das Nações Unidas para a Mulher (UNIFEM) para Países do Cone Sul, que funcionou entre 1992 e 2010.</w:t>
      </w:r>
    </w:p>
    <w:p w14:paraId="4E076A4B"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0D8595A4"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O mandato e as funções da ONU Mulheres consistem em mandatos consolidados e funções do Escritório do Assessor Especial para Questões de Gênero e Avanço das Mulheres, a Divisão para o Avanço das Mulheres, o Fundo de Desenvolvimento das Nações Unidas para a Mulher e o Instituto Internacional de Pesquisas e Capacitação para o Progresso da Mulher. Além disso, a entidade deve liderar, coordenar e promover a responsabilização do sistema das Nações Unidas no seu trabalho sobre a igualdade de género e o empoderamento das mulheres. A meta da ONU Mulheres é para melhorar, e não substituir, os esforços por outras partes do sistema das Nações Unidas, tais como Fundo das Nações Unidas para a Infância (UNICEF), Programa das Nações Unidas para o Desenvolvimento (PNUD) e Fundo de População das Nações Unidas (UNFPA), tudo o que vai continuar a trabalhar para a igualdade de género e o empoderamento das mulheres em suas áreas de especialização.</w:t>
      </w:r>
    </w:p>
    <w:p w14:paraId="58CA789D"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6A81F62D"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Em conformidade com as disposições da Resolução 64/289, a ONU Mulheres trabalha no âmbito da Carta das Nações Unidas, a Declaração de Beijing e a Plataforma de Acção — incluindo as suas 12 áreas críticas de preocupação e os resultados da vigésima terceira sessão especial da Assembléia Geral das Nações Unidas — bem como outros instrumentos das Nações Unidas aplicáveis, normas e resoluções que abordam a igualdade de género e o empoderamento e promoção das mulheres.</w:t>
      </w:r>
    </w:p>
    <w:p w14:paraId="16CDFFB5"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77D770AF" w14:textId="77777777" w:rsidR="001C11E3" w:rsidRPr="004B03BA" w:rsidRDefault="00576533" w:rsidP="004B03BA">
      <w:pPr>
        <w:spacing w:before="240" w:after="240" w:line="360" w:lineRule="auto"/>
        <w:ind w:left="2160"/>
        <w:jc w:val="both"/>
        <w:rPr>
          <w:rFonts w:ascii="Times New Roman" w:hAnsi="Times New Roman" w:cs="Times New Roman"/>
          <w:color w:val="000000"/>
        </w:rPr>
      </w:pPr>
      <w:r w:rsidRPr="004B03BA">
        <w:rPr>
          <w:rFonts w:ascii="Times New Roman" w:hAnsi="Times New Roman" w:cs="Times New Roman"/>
          <w:color w:val="000000"/>
        </w:rPr>
        <w:t>As principais áreas temáticas femininas da ONU de trabalho incluem: liderança e participação política;  desenvolvimento econômico; fim da violência contra as mulheres; ação humanitária; paz e segurança; governança e planejamento nacional; Agenda para o Desenvolvimento Sustentável de 2030; e HIV e AIDS.</w:t>
      </w:r>
    </w:p>
    <w:p w14:paraId="1F0AD0AE"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7CF45449" w14:textId="77777777" w:rsidR="001C11E3" w:rsidRPr="004B03BA" w:rsidRDefault="00576533" w:rsidP="004B03BA">
      <w:pPr>
        <w:spacing w:before="240" w:after="240" w:line="360" w:lineRule="auto"/>
        <w:ind w:left="6480"/>
        <w:jc w:val="both"/>
        <w:rPr>
          <w:rFonts w:ascii="Times New Roman" w:hAnsi="Times New Roman" w:cs="Times New Roman"/>
          <w:color w:val="000000"/>
        </w:rPr>
      </w:pPr>
      <w:r w:rsidRPr="004B03BA">
        <w:rPr>
          <w:rFonts w:ascii="Times New Roman" w:hAnsi="Times New Roman" w:cs="Times New Roman"/>
          <w:color w:val="000000"/>
        </w:rPr>
        <w:t xml:space="preserve">Trecho integral do Wikipédia </w:t>
      </w:r>
    </w:p>
    <w:p w14:paraId="445273BF" w14:textId="77777777" w:rsidR="001C11E3" w:rsidRPr="004B03BA" w:rsidRDefault="001C11E3" w:rsidP="004B03BA">
      <w:pPr>
        <w:spacing w:before="240" w:after="240" w:line="360" w:lineRule="auto"/>
        <w:ind w:left="2160"/>
        <w:jc w:val="both"/>
        <w:rPr>
          <w:rFonts w:ascii="Times New Roman" w:hAnsi="Times New Roman" w:cs="Times New Roman"/>
          <w:color w:val="000000"/>
        </w:rPr>
      </w:pPr>
    </w:p>
    <w:p w14:paraId="2A2F5090" w14:textId="60EDF42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[Nota Publicitária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 </w:t>
      </w: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As ações instituídas pela "ONU Mulheres" defendem a igualdade feminina e direitos básicos de acesso social, isto, pela influência global de conceitos e dogmas religiosos que o catolicismo, protestantismo, islamismo e outras religiões carregam de fundamentos históricos e em suas escrituras de crenças limitantes que violam os Direitos em Dignidade Humana de Mulheres. Ações que equiparam a submissão e não Direito de Ascensão Social por Direitos Igualitários. Logo, ressalvar a importância de mulheres que em século XX se lançaram na defesa da Vida, e não somente, ao pragmatismo religioso fundamentalista que historicamente religiões carregam em idolatria da imagem feminina como sagrado e pureza. Mas da dignidade humana em ações à entender as vulnerabilidades que mulheres naturalmente sofrem por condição genética e fenótipa do gênero feminino em seus limites e diferenças físicas. Em 80 Anos da ONU, o Brasil, desde seu descobrimento e por Carta de Fundação da ONU, em 1945, se mostra como principal País Diplomático e Intermediador, sendo pioneiro em estudos biológicos e sociais que estreitam a Diplomacia e o entendimento das questões sociais para Paz ao que tange outras classes além do gênero masculino e atribuições militares em sociedade, ressalvando direitos de crianças e mulheres principais grupos atingidos em cenários de Guerra. Além de variações de grupos minoritários que em histórico carregam cenários de desigualdade como a raça negra e diferença em comparação à raças dos 4 continentes.]</w:t>
      </w:r>
    </w:p>
    <w:p w14:paraId="7432668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94F8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4CF95A5C" w14:textId="5031915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naçõesunidas</w:t>
      </w:r>
      <w:proofErr w:type="spellEnd"/>
    </w:p>
    <w:p w14:paraId="150C663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9C70C5" w14:textId="19214FC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VOZES PELO CLIMA</w:t>
      </w:r>
    </w:p>
    <w:p w14:paraId="359F0B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319200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3528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Acompanhamento Diplomático da Administração Pública em Políticas Sustentáveis: BRICS e COP30</w:t>
      </w:r>
    </w:p>
    <w:p w14:paraId="176E6E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998187" w14:textId="3C1FE95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560AC9D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6EF41D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BD86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03 de Outubro de 2025 | 15:20 PM</w:t>
      </w:r>
    </w:p>
    <w:p w14:paraId="28E5B1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C573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vias férreas demandam grande esforço de força e consumo de energia elétrica para manterem-se em circulação.</w:t>
      </w:r>
    </w:p>
    <w:p w14:paraId="47F0797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6FBB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Rio de Janeiro, com belos recursos hídricos em zona costeira de Oceano Atlântico e Mata Atlântica como principal bioma, concentra a 2° Maior economia do País com atividades industriais, turísticas, e de serviços.</w:t>
      </w:r>
    </w:p>
    <w:p w14:paraId="2C6A4A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B0AB0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Mas nosso território é pequeno. O Rio de Janeiro ocupa o 24° lugar em ranking da extensão territorial comparado aos outros Estados do nosso País (Brasil).</w:t>
      </w:r>
    </w:p>
    <w:p w14:paraId="089D596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7C5B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isso eu lhe convido, à dizer: NÃO!</w:t>
      </w:r>
    </w:p>
    <w:p w14:paraId="18BED5C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1AE5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NÃO, à extensão das linhas férreas de Metrôs, Trens, Bondes e VLTs no Rio de Janeiro.</w:t>
      </w:r>
    </w:p>
    <w:p w14:paraId="5ED661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751A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Além do desmatamento de vegetação nativa para extensões em obras, a produção de energia elétrica impacta diretamente na redução de volume hídrico para gerar e manter consumo energético.</w:t>
      </w:r>
    </w:p>
    <w:p w14:paraId="64848C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4C08A1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0238BD0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55B90E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
    <w:p w14:paraId="376C98F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REPOST ONU Brasil</w:t>
      </w:r>
    </w:p>
    <w:p w14:paraId="5C34186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9868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LIVE - YouTube </w:t>
      </w:r>
    </w:p>
    <w:p w14:paraId="52F599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próximo dia 6 de Outubro será realizada a Cerimônia Oficial de Lançamento da Conferência da Década do Oceano 2027.</w:t>
      </w:r>
    </w:p>
    <w:p w14:paraId="33201A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9DF5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cenário será o Rio de Janeiro, e a Cidade Maravilhosa já se prepara para acolher a comunidade oceânica global para definir o próximo capítulo da #DécadaDoOceano, um marco decisivo para a continuidade de seu legado além de 2030.</w:t>
      </w:r>
    </w:p>
    <w:p w14:paraId="53CF08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7E79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Saiba mais e acompanhe a transmissão ao vivo pelo link: https://m.youtube.com/watch?v=OH0cdrSP_DQ</w:t>
      </w:r>
    </w:p>
    <w:p w14:paraId="370E6D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7BC84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OceanDecade</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OceanDecade27</w:t>
      </w:r>
      <w:proofErr w:type="spellEnd"/>
      <w:r w:rsidRPr="006B1274">
        <w:rPr>
          <w:rFonts w:ascii="Times New Roman" w:hAnsi="Times New Roman" w:cs="Times New Roman"/>
          <w:color w:val="000000"/>
          <w:sz w:val="20"/>
          <w:szCs w:val="20"/>
        </w:rPr>
        <w:t xml:space="preserve"> #SDG14 #</w:t>
      </w:r>
      <w:proofErr w:type="spellStart"/>
      <w:r w:rsidRPr="006B1274">
        <w:rPr>
          <w:rFonts w:ascii="Times New Roman" w:hAnsi="Times New Roman" w:cs="Times New Roman"/>
          <w:color w:val="000000"/>
          <w:sz w:val="20"/>
          <w:szCs w:val="20"/>
        </w:rPr>
        <w:t>SaveOurOcean</w:t>
      </w:r>
      <w:proofErr w:type="spellEnd"/>
    </w:p>
    <w:p w14:paraId="0ABEF2C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73C1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5CCD7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onumulheres</w:t>
      </w:r>
      <w:proofErr w:type="spellEnd"/>
    </w:p>
    <w:p w14:paraId="3E6CCE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naçõesunidas</w:t>
      </w:r>
      <w:proofErr w:type="spellEnd"/>
    </w:p>
    <w:p w14:paraId="6F2AFA6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D54E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831AC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AA7A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7B3508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92DE2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6962447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E9FE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CB8F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Câmara Legislativa do Rio de Janeiro</w:t>
      </w:r>
    </w:p>
    <w:p w14:paraId="3C4843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57EE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04 de Outubro de 2025 | 16:00 PM</w:t>
      </w:r>
    </w:p>
    <w:p w14:paraId="376F257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FD78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fundada junto com a cidade, em 1566. Em 2022, em Bicentenário do Brasil a Câmara Municipal Rio completou 100 anos após sua construção e solidificação em Câmara Legislativa Federal no ano de 1922. Status como Câmara da Capital Federal até 1960, quando houve transição política Federativa para Brasília.</w:t>
      </w:r>
    </w:p>
    <w:p w14:paraId="3FF5AC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DE0A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 ano depois, em 1923, a Princesa Isabel, como a 1º mulher a participar de uma Assembléia Constituinte com a promulgação da Lei LEI Nº 3.353, DE 13 DE MAIO DE 1888, Lei Áurea de Abolição do Trabalho Escravo em Terras Brasileiras, a câmara passou a ser símbolo de abertura social à sociedade e democracia.</w:t>
      </w:r>
    </w:p>
    <w:p w14:paraId="37470A3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5F3DF7" w14:textId="77777777" w:rsidR="001C11E3"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Seu nome oficial, Palácio Pedro Ernesto, uma homenagem ao médico e político Pedro Ernesto.</w:t>
      </w:r>
    </w:p>
    <w:p w14:paraId="2F980DF7" w14:textId="6817BD18" w:rsidR="00996E95" w:rsidRPr="006B1274" w:rsidRDefault="009C7A37" w:rsidP="00B36B27">
      <w:pPr>
        <w:spacing w:before="240" w:after="240" w:line="360" w:lineRule="auto"/>
        <w:rPr>
          <w:rFonts w:ascii="Times New Roman" w:hAnsi="Times New Roman" w:cs="Times New Roman"/>
          <w:color w:val="000000"/>
          <w:sz w:val="20"/>
          <w:szCs w:val="20"/>
        </w:rPr>
      </w:pPr>
      <w:r>
        <w:rPr>
          <w:rFonts w:ascii="Times New Roman" w:hAnsi="Times New Roman" w:cs="Times New Roman"/>
          <w:noProof/>
          <w:color w:val="000000"/>
          <w:sz w:val="20"/>
          <w:szCs w:val="20"/>
        </w:rPr>
        <w:drawing>
          <wp:anchor distT="0" distB="0" distL="114300" distR="114300" simplePos="0" relativeHeight="251659264" behindDoc="0" locked="0" layoutInCell="1" allowOverlap="1" wp14:anchorId="71BE2E23" wp14:editId="0645AA3C">
            <wp:simplePos x="0" y="0"/>
            <wp:positionH relativeFrom="column">
              <wp:posOffset>0</wp:posOffset>
            </wp:positionH>
            <wp:positionV relativeFrom="paragraph">
              <wp:posOffset>0</wp:posOffset>
            </wp:positionV>
            <wp:extent cx="5943600" cy="7924800"/>
            <wp:effectExtent l="0" t="0" r="0" b="0"/>
            <wp:wrapTopAndBottom/>
            <wp:docPr id="2202274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27484" name="Imagem 22022748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4FD8F4B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31BF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8C0D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61F155D3" wp14:editId="02765AC5">
            <wp:extent cx="5943600" cy="4102100"/>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0"/>
                    <a:srcRect/>
                    <a:stretch>
                      <a:fillRect/>
                    </a:stretch>
                  </pic:blipFill>
                  <pic:spPr>
                    <a:xfrm>
                      <a:off x="0" y="0"/>
                      <a:ext cx="5943600" cy="4102100"/>
                    </a:xfrm>
                    <a:prstGeom prst="rect">
                      <a:avLst/>
                    </a:prstGeom>
                    <a:ln/>
                  </pic:spPr>
                </pic:pic>
              </a:graphicData>
            </a:graphic>
          </wp:inline>
        </w:drawing>
      </w:r>
    </w:p>
    <w:p w14:paraId="23EFDC3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DF30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440E6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EAA7BF"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1184E640" wp14:editId="3281DEF3">
            <wp:extent cx="5029957" cy="8934450"/>
            <wp:effectExtent l="0" t="0" r="0" 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5029957" cy="8934450"/>
                    </a:xfrm>
                    <a:prstGeom prst="rect">
                      <a:avLst/>
                    </a:prstGeom>
                    <a:ln/>
                  </pic:spPr>
                </pic:pic>
              </a:graphicData>
            </a:graphic>
          </wp:inline>
        </w:drawing>
      </w:r>
    </w:p>
    <w:p w14:paraId="423201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3B52D583" wp14:editId="4420629A">
            <wp:extent cx="5467350" cy="7620000"/>
            <wp:effectExtent l="0" t="0" r="635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2"/>
                    <a:srcRect/>
                    <a:stretch>
                      <a:fillRect/>
                    </a:stretch>
                  </pic:blipFill>
                  <pic:spPr>
                    <a:xfrm>
                      <a:off x="0" y="0"/>
                      <a:ext cx="5467350" cy="7620000"/>
                    </a:xfrm>
                    <a:prstGeom prst="rect">
                      <a:avLst/>
                    </a:prstGeom>
                    <a:ln/>
                  </pic:spPr>
                </pic:pic>
              </a:graphicData>
            </a:graphic>
          </wp:inline>
        </w:drawing>
      </w:r>
    </w:p>
    <w:p w14:paraId="1377725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6B20D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D6D3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7C7362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71A79AD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EBAAC8" w14:textId="3F9E8C7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D0386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B4DF5D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8DDF7E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10 de Novembro de 2025 | 12:45 PM</w:t>
      </w:r>
    </w:p>
    <w:p w14:paraId="067D14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8328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DBF15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BB1B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432AE920" w14:textId="71F3941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603E59E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530BAE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2914C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7D0F31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AF248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Uma Semana de Conteúdo Sustentável </w:t>
      </w:r>
      <w:r w:rsidRPr="006B1274">
        <w:rPr>
          <w:rFonts w:ascii="Apple Color Emoji" w:hAnsi="Apple Color Emoji" w:cs="Apple Color Emoji"/>
          <w:color w:val="000000"/>
          <w:sz w:val="20"/>
          <w:szCs w:val="20"/>
        </w:rPr>
        <w:t>🤩✨</w:t>
      </w:r>
    </w:p>
    <w:p w14:paraId="4BE236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06115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679524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5FB019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01DD290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#COP30Brasil</w:t>
      </w:r>
    </w:p>
    <w:p w14:paraId="1C7AA6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28465A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2E041FA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6F3F53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6B6ED1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5EB82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Nesta manhã (10), a Cerimônia de Abertura Oficial da COP30 Brasil começou por volta das 10:25, em Belém, no Pará.</w:t>
      </w:r>
    </w:p>
    <w:p w14:paraId="6DCB8EA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2C78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cerimônia teve abertura oficial composta da presença de Oficiais Militares, os Representantes de Estado das Nações Partes presentes, de Ministros e Representantes de Governo dos Estados Brasileiros.</w:t>
      </w:r>
    </w:p>
    <w:p w14:paraId="061307A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319EA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 10 a 21 de Novembro reuniões sobre temas importantes da nossa forma de habitar e consumir no Planeta, será levado em consenso por líderes de Estado e Empresas para encontrar caminhos mais sustentáveis, menos poluentes e mais eficientes para mitigar ciclos de exploração industrial, estes temas debatidos na Zona Azul da COP.</w:t>
      </w:r>
    </w:p>
    <w:p w14:paraId="343AF1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4465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Paralelo ao "High </w:t>
      </w:r>
      <w:proofErr w:type="spellStart"/>
      <w:r w:rsidRPr="006B1274">
        <w:rPr>
          <w:rFonts w:ascii="Times New Roman" w:hAnsi="Times New Roman" w:cs="Times New Roman"/>
          <w:color w:val="000000"/>
          <w:sz w:val="20"/>
          <w:szCs w:val="20"/>
        </w:rPr>
        <w:t>Level</w:t>
      </w:r>
      <w:proofErr w:type="spellEnd"/>
      <w:r w:rsidRPr="006B1274">
        <w:rPr>
          <w:rFonts w:ascii="Times New Roman" w:hAnsi="Times New Roman" w:cs="Times New Roman"/>
          <w:color w:val="000000"/>
          <w:sz w:val="20"/>
          <w:szCs w:val="20"/>
        </w:rPr>
        <w:t>", alto nível em tradução literal, como se menciona as pautas da Zona Azul. Na Zona Verde será debatido os temas de Plano Clima, que envolve temática que será tratada nesta COP, Mudanças Climáticas, e como ocorrerá a implementação nas cidades para mitigar impactos, reverter cenários devastados e adaptar sociedade, territórios e governanças em consciência sustentável, solidária, ética, integrativa e resiliente aos fenômenos que condições climáticas trarão nos próximos anos como fortes chuvas, calor extremo e rajadas intensas de vento.</w:t>
      </w:r>
    </w:p>
    <w:p w14:paraId="5EE5AC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04FE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Todas estas questões climáticas estão correlacionadas aos fenômenos principais El </w:t>
      </w:r>
      <w:proofErr w:type="spellStart"/>
      <w:r w:rsidRPr="006B1274">
        <w:rPr>
          <w:rFonts w:ascii="Times New Roman" w:hAnsi="Times New Roman" w:cs="Times New Roman"/>
          <w:color w:val="000000"/>
          <w:sz w:val="20"/>
          <w:szCs w:val="20"/>
        </w:rPr>
        <w:t>Niño</w:t>
      </w:r>
      <w:proofErr w:type="spellEnd"/>
      <w:r w:rsidRPr="006B1274">
        <w:rPr>
          <w:rFonts w:ascii="Times New Roman" w:hAnsi="Times New Roman" w:cs="Times New Roman"/>
          <w:color w:val="000000"/>
          <w:sz w:val="20"/>
          <w:szCs w:val="20"/>
        </w:rPr>
        <w:t xml:space="preserve"> e La Niña, em tradução literal, "O Menino" e "A Menina". O El </w:t>
      </w:r>
      <w:proofErr w:type="spellStart"/>
      <w:r w:rsidRPr="006B1274">
        <w:rPr>
          <w:rFonts w:ascii="Times New Roman" w:hAnsi="Times New Roman" w:cs="Times New Roman"/>
          <w:color w:val="000000"/>
          <w:sz w:val="20"/>
          <w:szCs w:val="20"/>
        </w:rPr>
        <w:t>Niño</w:t>
      </w:r>
      <w:proofErr w:type="spellEnd"/>
      <w:r w:rsidRPr="006B1274">
        <w:rPr>
          <w:rFonts w:ascii="Times New Roman" w:hAnsi="Times New Roman" w:cs="Times New Roman"/>
          <w:color w:val="000000"/>
          <w:sz w:val="20"/>
          <w:szCs w:val="20"/>
        </w:rPr>
        <w:t xml:space="preserve"> são os ventos de massa atmosférica formadores de grandes nuvens de ar quente, esta condição facilita para o aquecimento dos mares, propiciando o calor. O ciclo dura por volta de 2 anos e ocorre a cada 5 e 7 anos. </w:t>
      </w:r>
    </w:p>
    <w:p w14:paraId="56AFE7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436D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o Fenômeno La Niña, possui as mesmas características, os ventos de massa atmosférica formadores de grandes nuvens, mas inversamente na condição de ar frio, ou seja, são as passagens de temporais, tempestades, rajadas de vento e outros fenômenos que atingem as Zonas de Convergência, local onde se chocam as massas atmosféricas para formação da condição climática.</w:t>
      </w:r>
    </w:p>
    <w:p w14:paraId="76BE5A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90FD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sentido por isso muitas vezes alertas são emitidos e não chegam em estágios de conclusão e acionamento, ou seja, as tempestades não chegam à Nível Severo. Porque os fatores que colaboram para a condição de transformação e acontecimento do fenômeno climático são em tempo real, e nas Zonas de Convergência as massas de ar podem cientificamente se potencializar ou se dissiparem. Quando se dissipam é o ponto ideal, pois assim ocorrem a dispersão das nuvens ocasionando as chuvas regulares e distribuídas de forma "igual" por territórios, evitando assim, fenômenos concentrados em um só local e intensidade forte.</w:t>
      </w:r>
    </w:p>
    <w:p w14:paraId="7852AB1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79B69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Bom, este é o mecanismo para chuvas, e conceitos científicos. Nossa sociedade agora está em atuação para se adaptar e construir territórios e sociedades resilientes para manter a vida sobre a Terra e para isto precisamos fazer a nossa parte não poluindo, sendo mais sustentáveis e menos invasivos nos territórios verdes, que quando ameaçados, mandam respostas mais devastadoras para reverter cenários de desmatamento, isso é um mecanismo natural do ecossistema para se recuperar.</w:t>
      </w:r>
    </w:p>
    <w:p w14:paraId="565FA69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86A4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 por terceiros.</w:t>
      </w:r>
    </w:p>
    <w:p w14:paraId="7E61C4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C7C1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alguns temas principais de debate na data de hoje em Zona Azul e na Zona Verde:</w:t>
      </w:r>
    </w:p>
    <w:p w14:paraId="1554E5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E76EC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Zona Azul Pavilhão Brasil:</w:t>
      </w:r>
    </w:p>
    <w:p w14:paraId="6D923DF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60B7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14:15 - 15:15 Agência Nacional de Águas e Saneamento Básico/MIDR - Desafios da escassez hídrica e a integração da variável climática ao Índice de Segurança Hídrica (Auditório Sumaúma)</w:t>
      </w:r>
    </w:p>
    <w:p w14:paraId="7F5D301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0AE5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15:30 - 16:30 Ministério da Gestão e da Inovação em Serviços Públicos - Empresas Estatais Globais e a Ação Climática: da propriedade pública à entrega de resultados (Auditório Cumaru)</w:t>
      </w:r>
    </w:p>
    <w:p w14:paraId="7E1DF40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28CB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16:45 - 17:45 Ministério do Meio Ambiente e Mudança do Clima - Governança Climática Multinível - CIM e outras experiências globais (Auditório Sumaúma)</w:t>
      </w:r>
    </w:p>
    <w:p w14:paraId="5E11D9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C2FB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18:00 - 19:00 - Serviço Nacional de Aprendizagem  do Transporte - Infraestrutura Resiliente e Adaptação Climática no Transporte (Auditório Cumaru)</w:t>
      </w:r>
    </w:p>
    <w:p w14:paraId="6C2FF4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BE9EE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18:00 - 19:00 - Governo Federal - Inauguração do Pavilhão Brasil: O Momento é de Ação Climática (Auditório Sumaúma)</w:t>
      </w:r>
    </w:p>
    <w:p w14:paraId="59E3CFC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A6CB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Zona Verde</w:t>
      </w:r>
    </w:p>
    <w:p w14:paraId="00D6EF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9D0F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13:00 - 14:00 - Ministério do Meio Ambiente e Mudança do Clima - Governança Climática e Implementação do Plano Clima (Auditório Jandaíra)</w:t>
      </w:r>
    </w:p>
    <w:p w14:paraId="3461C1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59F0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13:00 - 14:00 - Federação de Órgãos para Assistência Social e Educacional - Transitar das Urgências para as Alternativas: a sociedade civil mobilizada no enfrentamento à crise climática nas cidades (Auditório Uruçu)</w:t>
      </w:r>
    </w:p>
    <w:p w14:paraId="067A8F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D8533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14:15 - 15:15 - Ministério das Cidades - Implementando a Adaptação Climática nas Cidades  (Auditório Jandaíra)</w:t>
      </w:r>
    </w:p>
    <w:p w14:paraId="53FD417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C46B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15:30 - 16:30 - Secretaria-Geral/PR - A importância da participação social na COP - Soluções e aportes da Sociedade Civil para o Regime Multilateral do Clima (Auditório Jandaíra)</w:t>
      </w:r>
    </w:p>
    <w:p w14:paraId="4B5A63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B87CC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15:30 - 16:30 - Instituto Estadual do Ambiente - Incorporando a Biodiversidade na Adaptação às Mudanças Climáticas por meio de Soluções Baseadas na Natureza (Auditório Uruçu)</w:t>
      </w:r>
    </w:p>
    <w:p w14:paraId="7198880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A87B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16:45 - 17:45 - Ministério do Meio Ambiente e Mudança do Clima - Cidades Verdes Resilientes - enfrentamento calor urbano (Auditório Jandaíra)</w:t>
      </w:r>
    </w:p>
    <w:p w14:paraId="7189103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40A6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16:45 - 17:45 - Ministério da Fazenda - Economia Circular para Transformação Ecológica: Instrumentos Financeiros e Regulatórios (Auditório Uruçu)</w:t>
      </w:r>
    </w:p>
    <w:p w14:paraId="754C4B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F1F6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18:00 - 19:00 - Bancada do Clima - Legisla Brasil - Bancada do Clima e as cidades em transformação: como o legislativo pode liderar a adaptação climática urbana? (Auditório Jandaíra)</w:t>
      </w:r>
    </w:p>
    <w:p w14:paraId="7F79678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867E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18:00 - 19:00 - Ministério da Integração e do Desenvolvimento Regional - Papel central das mulheres na gestão da água: desafios e oportunidades para um futuro sustentável  (Auditório Uruçu)</w:t>
      </w:r>
    </w:p>
    <w:p w14:paraId="15B7FA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22958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1FCFAC7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19440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547E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3D7BC9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5100FB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B68821" w14:textId="147AFB8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E911F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07EA0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D551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11 de Novembro de 2025 | 13:38 PM</w:t>
      </w:r>
    </w:p>
    <w:p w14:paraId="06A5389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794B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748D8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9CEE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2F7E7F54" w14:textId="2886007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22E790B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28A840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B5F4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34643D4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48FC7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Semana de Conteúdo Sustentável </w:t>
      </w:r>
      <w:r w:rsidRPr="006B1274">
        <w:rPr>
          <w:rFonts w:ascii="Apple Color Emoji" w:hAnsi="Apple Color Emoji" w:cs="Apple Color Emoji"/>
          <w:color w:val="000000"/>
          <w:sz w:val="20"/>
          <w:szCs w:val="20"/>
        </w:rPr>
        <w:t>🤩✨</w:t>
      </w:r>
    </w:p>
    <w:p w14:paraId="1AD50E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9B16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AC3B4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30F2CD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6DCE3B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#COP30Brasil</w:t>
      </w:r>
    </w:p>
    <w:p w14:paraId="1BC75AD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49F4A2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4911A6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451A68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212505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491D7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Nesta manhã (11), Belém recebeu a inauguração da Casa da Ciência para a COP30, com cerimônia divulgada às 10h pelo Ministério da Ciência, Tecnologia e Inovação.</w:t>
      </w:r>
    </w:p>
    <w:p w14:paraId="23FB099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AB864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cerimônia abordou temas atuais como a gestão de Combustíveis Fósseis no processo industrial, e reforçou os saberes de povos indígenas que são os mais antigos sobreviventes adaptados à realidades climáticas em solo Brasileiro. Reforçando o papel da preservação e a importância dos diálogos norteadores nesta COP30 para produção sustentável.</w:t>
      </w:r>
    </w:p>
    <w:p w14:paraId="7F4C04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51A1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Autoral, não autorizado compartilhamento por terceiros.</w:t>
      </w:r>
    </w:p>
    <w:p w14:paraId="30A90ED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AAE0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16695C5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308BA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E841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491D2D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7F598A9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263B11" w14:textId="5A88E4C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AB4B2D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13E071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A322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12 de Novembro de 2025 | 12:50 PM</w:t>
      </w:r>
    </w:p>
    <w:p w14:paraId="247DA8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AB32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59C4EC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ACCF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6A95DDCC" w14:textId="37CDA11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126AC82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258C7E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EAEA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6439D0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F72C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Semana de Conteúdo Sustentável </w:t>
      </w:r>
      <w:r w:rsidRPr="006B1274">
        <w:rPr>
          <w:rFonts w:ascii="Apple Color Emoji" w:hAnsi="Apple Color Emoji" w:cs="Apple Color Emoji"/>
          <w:color w:val="000000"/>
          <w:sz w:val="20"/>
          <w:szCs w:val="20"/>
        </w:rPr>
        <w:t>🤩✨</w:t>
      </w:r>
    </w:p>
    <w:p w14:paraId="5D74D6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434B8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3EB4EE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3E3465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7B2671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#COP30Brasil</w:t>
      </w:r>
    </w:p>
    <w:p w14:paraId="0CCB2D1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698D24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66C85E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FDE32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7A458A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CD540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manhã (12), com evento paralelo à COP, por iniciativa da Advocacia Geral da União, "AGU na COP30: Desafios na Implementação dos Objetivos de Desenvolvimento Sustentável", atendendo aos eixos de Participação Social e ao eixo de Justiça Climática e Ambiental. Entre 11 à 13 de Novembro, Belém(PA), está contemplada com um diálogo e uma cartilha de integração de Povos Indígenas à linguagem Jurídica e Constitucional. </w:t>
      </w:r>
    </w:p>
    <w:p w14:paraId="581EA6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EF21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participação de uma rede Educacional, o objetivo da ação é garantir o conhecimento em Direitos Sociais destes povos em atendimento à introdução de cidadania e recursos para auxílio social em territórios indígenas.</w:t>
      </w:r>
    </w:p>
    <w:p w14:paraId="32DBCC3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3597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sistema de cotas e introdução regular de povos indígenas reconhecidamente em participação cidadã, assim como outras etnias, a oferta do saber vem para garantir a dignidade humana e direito de existência de povos indígenas, que esbarram culturalmente em conceitos limitantes comparativos à demais </w:t>
      </w:r>
      <w:proofErr w:type="spellStart"/>
      <w:r w:rsidRPr="006B1274">
        <w:rPr>
          <w:rFonts w:ascii="Times New Roman" w:hAnsi="Times New Roman" w:cs="Times New Roman"/>
          <w:color w:val="000000"/>
          <w:sz w:val="20"/>
          <w:szCs w:val="20"/>
        </w:rPr>
        <w:t>etinias</w:t>
      </w:r>
      <w:proofErr w:type="spellEnd"/>
      <w:r w:rsidRPr="006B1274">
        <w:rPr>
          <w:rFonts w:ascii="Times New Roman" w:hAnsi="Times New Roman" w:cs="Times New Roman"/>
          <w:color w:val="000000"/>
          <w:sz w:val="20"/>
          <w:szCs w:val="20"/>
        </w:rPr>
        <w:t>.</w:t>
      </w:r>
    </w:p>
    <w:p w14:paraId="64057E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D6D8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Como defendido por liderança jovem indígena na bancada do evento, toda ação foi conduzida respeitando consensos éticos de Justiça e Diretrizes da ONU, a Advocacia geral da União reforçou também conceitos constitucionais, como Artigo 225 da Constituição Federal.</w:t>
      </w:r>
    </w:p>
    <w:p w14:paraId="6A4517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7B406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primeira Corte de Justiça no Brasil, foi instalada na Cidade do Rio de Janeiro, ainda em Brasil Colônia. Confira abaixo uma informação disponível no Palácio da Justiça, na edição de 270 Anos dos Tribunais de Justiça do Rio de Janeiro:</w:t>
      </w:r>
    </w:p>
    <w:p w14:paraId="50753A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51B5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1752, instalou-se a primeira Corte ade </w:t>
      </w:r>
      <w:proofErr w:type="spellStart"/>
      <w:r w:rsidRPr="006B1274">
        <w:rPr>
          <w:rFonts w:ascii="Times New Roman" w:hAnsi="Times New Roman" w:cs="Times New Roman"/>
          <w:color w:val="000000"/>
          <w:sz w:val="20"/>
          <w:szCs w:val="20"/>
        </w:rPr>
        <w:t>Justica</w:t>
      </w:r>
      <w:proofErr w:type="spellEnd"/>
      <w:r w:rsidRPr="006B1274">
        <w:rPr>
          <w:rFonts w:ascii="Times New Roman" w:hAnsi="Times New Roman" w:cs="Times New Roman"/>
          <w:color w:val="000000"/>
          <w:sz w:val="20"/>
          <w:szCs w:val="20"/>
        </w:rPr>
        <w:t xml:space="preserve"> na cidade do Rio de Janeiro.</w:t>
      </w:r>
    </w:p>
    <w:p w14:paraId="25B7BAD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875C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Relação, denominação dada aos tribunais em Portugal e seu império colonial, surgiu com a atribuição principal de julgar recursos de processos das comarcas da parte sul do Brasil. Desde então, os órgãos que se sucederam nesta função garantiram a continuidade da prestação jurisdicional até os dias atuais.</w:t>
      </w:r>
    </w:p>
    <w:p w14:paraId="280447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72BCF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exposição Tribunais do Rio de Janeiro</w:t>
      </w:r>
    </w:p>
    <w:p w14:paraId="76C57F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- 270 Anos narra, com auxílio dos bens culturais acumulados ao longo desta jornada, a trajetória de órgãos colegiados que desempenharam papel relevante na História local e nacional.</w:t>
      </w:r>
    </w:p>
    <w:p w14:paraId="11A9FB7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20B0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História da Justiça se confunde com a de uma nação e de sua gente.</w:t>
      </w:r>
    </w:p>
    <w:p w14:paraId="1E2BF8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E25D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Sua preservação e difusão se constitui objetivo do Poder judiciário para a atual e as próximas gerações.</w:t>
      </w:r>
    </w:p>
    <w:p w14:paraId="621867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46B6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 relações eram tribunais de segunda</w:t>
      </w:r>
    </w:p>
    <w:p w14:paraId="7CD4E82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instância confirmados na Carta Constitucional de 1824. A Relação do Rio de Janeiro foi instalada com 14 desembargadores, no edifício da extinta Casa da Suplicação e, por estar sediada na capital do Império, recebia também a denominação de Relação da Corte.</w:t>
      </w:r>
    </w:p>
    <w:p w14:paraId="0EDBFA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2DF5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Nessa época havia no Brasil quatro Relações: a da Corte e as existentes nas Províncias da Bahia, Maranhão e Pernambuco.</w:t>
      </w:r>
    </w:p>
    <w:p w14:paraId="062C4F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FB6E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Regulamento destes tribunais foi dado pelo Decreto de 3 de janeiro de 1833, que, entre outras medidas, estabeleceu que seus despachos ocorreriam em sessão pública e não começariam sem a presença de cinco desembargadores, além do presidente ou seu substituto. A esse caberia dirigir os trabalhos e fazer executar as leis e o regulamento.</w:t>
      </w:r>
    </w:p>
    <w:p w14:paraId="04BFC6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371D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1874, o Decreto n° 5.618, de 2 de maio, elevou para 11 o número de Relações no Brasil e estabeleceu a jurisdição da Relação da Corte sobre a Capital do Império e as províncias do Rio de Janeiro e do Espírito Santo." </w:t>
      </w:r>
    </w:p>
    <w:p w14:paraId="797AE68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EA404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07B0B40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F7D22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45F8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3D6BCFB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6C0BEE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D9DF54" w14:textId="7A07319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1595C4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C35E39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67E7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12 de Novembro de 2025 | 17:30 PM</w:t>
      </w:r>
    </w:p>
    <w:p w14:paraId="7F3C15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21FB5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15B415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9BEC6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50CA1672" w14:textId="66A9B57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73CBEF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71A1850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7A29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558D5A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E479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Uma Semana de Conteúdo Sustentável </w:t>
      </w:r>
      <w:r w:rsidRPr="006B1274">
        <w:rPr>
          <w:rFonts w:ascii="Apple Color Emoji" w:hAnsi="Apple Color Emoji" w:cs="Apple Color Emoji"/>
          <w:color w:val="000000"/>
          <w:sz w:val="20"/>
          <w:szCs w:val="20"/>
        </w:rPr>
        <w:t>🤩✨</w:t>
      </w:r>
    </w:p>
    <w:p w14:paraId="1A1F98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3AEF0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74F0B0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50A0464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2FB62A6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7A8491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4AC9C3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396F24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77D48F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9347D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MutiraoCOP30</w:t>
      </w:r>
      <w:proofErr w:type="spellEnd"/>
    </w:p>
    <w:p w14:paraId="1D390C6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BalancoEticoGlobal</w:t>
      </w:r>
      <w:proofErr w:type="spellEnd"/>
    </w:p>
    <w:p w14:paraId="309DB5D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GlobalEthicalStocktake</w:t>
      </w:r>
      <w:proofErr w:type="spellEnd"/>
    </w:p>
    <w:p w14:paraId="2D54EA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A471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participação em ato de Ação Global e assumindo a função de Especialista em Políticas Públicas e Gestão Governamental, na data de hoje (12), contribuí com um artigo científico do contexto do Brasil nesses 525 anos em compromisso social de prover a dignidade humana em questões sociais e Direitos constitucionais. Como o Saneamento e a Água Potável, ambos defendidos em ODS 6 pelo eixo de Desenvolvimento Sustentável das Nações Unidas, a ONU Brasil. Deste modo expus os conceitos urbanísticos e culturais do Estado do Rio de Janeiro ao que tange os Arcos da Lapa e conceitos sociais de formação </w:t>
      </w:r>
      <w:proofErr w:type="spellStart"/>
      <w:r w:rsidRPr="006B1274">
        <w:rPr>
          <w:rFonts w:ascii="Times New Roman" w:hAnsi="Times New Roman" w:cs="Times New Roman"/>
          <w:color w:val="000000"/>
          <w:sz w:val="20"/>
          <w:szCs w:val="20"/>
        </w:rPr>
        <w:t>sociodemográfica</w:t>
      </w:r>
      <w:proofErr w:type="spellEnd"/>
      <w:r w:rsidRPr="006B1274">
        <w:rPr>
          <w:rFonts w:ascii="Times New Roman" w:hAnsi="Times New Roman" w:cs="Times New Roman"/>
          <w:color w:val="000000"/>
          <w:sz w:val="20"/>
          <w:szCs w:val="20"/>
        </w:rPr>
        <w:t xml:space="preserve"> do Estado expressando as lacunas sociais e barreiras limitantes.</w:t>
      </w:r>
    </w:p>
    <w:p w14:paraId="18A442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09FB4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Bacia Atlântico Sudeste integra parte da Baía de Guanabara, no Rio de Janeiro. A Baía é a segunda maior do Brasil, considerando a sua extensão em litoral brasileiro (Oceano Atlântico Sul), com 380 km².</w:t>
      </w:r>
    </w:p>
    <w:p w14:paraId="39CE2D6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B1AD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Bacia do Atlântico Sudeste possui uma área de aproximadamente 230 mil km², esta bacia está localizada nos estados de Minas Gerais, Espírito Santo, Rio de Janeiro, São Paulo e Paraná. Principais rios: Doce, Paraíba do Sul e Ribeira de Iguape. Atravessa regiões densamente povoadas e é bastante utilizada na economia local (geração de energia, navegação, etc.).</w:t>
      </w:r>
    </w:p>
    <w:p w14:paraId="7C6941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0A2E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Referente à dados demográficos em dimensões, abaixo, contribui com especificações de dimensões demográficas dos recursos hídricos, já para quesito de histórico Sócio-Demográfico, contribuí com um artigo composto do histórico da Cidade do Rio de Janeiro e atuais quesitos sociosustentáveis que tem afetado população do Estado do Rio de Janeiro em aflições energéticas, de abastecimento hídrico de água potável, e o saneamento que precisará ser redobrado em cuidados com inserções de reflorestamento e implantação dos Parques Urbanísticos que propiciam integração com territórios verdes. Ações sustentáveis reverberam positivamente em nossa qualidade de vida, mas trás também a necessidade de cuidado e atenção à população. </w:t>
      </w:r>
    </w:p>
    <w:p w14:paraId="3A990B3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5146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Sou concursada do Governo do Estado do Rio de Janeiro e participei de principais eventos mobilizados para a COP pela Universidade Federal do Rio de Janeiro. </w:t>
      </w:r>
    </w:p>
    <w:p w14:paraId="750D7BA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4E62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objetivo sustentável em Educação Ambiental, de conscientização social às entidades competentes e envolvidos quanto ao processo demográfico de formação Brasileira e a exploração territorial do Rio de Janeiro o que revela superlotação do Estado, fomento à atividades de influência digital que favorecem para economia circular periférica colaborando com aumento de atividades empreendedoras gerando confecção de produtos não eficientes em ciclo de consumo e que colaboram à poluição com descartes irregulares. Esbarrando em elevado número de construções irregulares em áreas verdes preservadas. </w:t>
      </w:r>
    </w:p>
    <w:p w14:paraId="5725D3C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3ADF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superlotação do Estado impacta em crise hídrica referente ao abastecimento energético de redes de transporte, as linhas férreas, e outros escopos como ligações de luz clandestinas irregulares, trazendo todo o contexto de alto consumo por demanda energética, como a que assolou a região Sudeste em 2001, com completo apagão. Este tema será levado à debate em COP30 Brasil referente a criação de Hidroelétricas em Região Amazônica.</w:t>
      </w:r>
    </w:p>
    <w:p w14:paraId="2AAD3E0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3125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Matéria Disponível em:</w:t>
      </w:r>
    </w:p>
    <w:p w14:paraId="1F6A18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https://acervo.oglobo.globo.com/fatos-historicos/da-falta-de-estrutura-fez-se-crise-do-apagao-no-brasil-do-inicio-do-seculo-xxi-9396417</w:t>
      </w:r>
    </w:p>
    <w:p w14:paraId="4431A1C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18F8AF" w14:textId="457CD44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Logo, deixo de ante-mão uma análise Profissional como Especialista em Políticas Públicas e Gestão Governamental, em que, eu,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cidadã natural do Rio de Janeiro, Publicitária, Economista e Redatora com Doutorado em Comunicação Social habilitada a Publicidade e Propaganda, considerando Capítulos V, VI e VII, como principais métricas Constitucionais da Co</w:t>
      </w:r>
      <w:r w:rsidR="004E471D" w:rsidRPr="006B1274">
        <w:rPr>
          <w:rFonts w:ascii="Times New Roman" w:hAnsi="Times New Roman" w:cs="Times New Roman"/>
          <w:color w:val="000000"/>
          <w:sz w:val="20"/>
          <w:szCs w:val="20"/>
        </w:rPr>
        <w:t>n</w:t>
      </w:r>
      <w:r w:rsidRPr="006B1274">
        <w:rPr>
          <w:rFonts w:ascii="Times New Roman" w:hAnsi="Times New Roman" w:cs="Times New Roman"/>
          <w:color w:val="000000"/>
          <w:sz w:val="20"/>
          <w:szCs w:val="20"/>
        </w:rPr>
        <w:t xml:space="preserve">stituição Federal da República Federativa do Brasil em conceitos sustentáveis de ESG quanto ao desenvolvimento regional do Estado do Rio de Janeiro e a não adaptabilidade para implantação do modelo "Smart </w:t>
      </w:r>
      <w:proofErr w:type="spellStart"/>
      <w:r w:rsidRPr="006B1274">
        <w:rPr>
          <w:rFonts w:ascii="Times New Roman" w:hAnsi="Times New Roman" w:cs="Times New Roman"/>
          <w:color w:val="000000"/>
          <w:sz w:val="20"/>
          <w:szCs w:val="20"/>
        </w:rPr>
        <w:t>Cities</w:t>
      </w:r>
      <w:proofErr w:type="spellEnd"/>
      <w:r w:rsidRPr="006B1274">
        <w:rPr>
          <w:rFonts w:ascii="Times New Roman" w:hAnsi="Times New Roman" w:cs="Times New Roman"/>
          <w:color w:val="000000"/>
          <w:sz w:val="20"/>
          <w:szCs w:val="20"/>
        </w:rPr>
        <w:t xml:space="preserve">" digitalmente conectadas para implementação de transportes integrados </w:t>
      </w:r>
      <w:proofErr w:type="spellStart"/>
      <w:r w:rsidRPr="006B1274">
        <w:rPr>
          <w:rFonts w:ascii="Times New Roman" w:hAnsi="Times New Roman" w:cs="Times New Roman"/>
          <w:color w:val="000000"/>
          <w:sz w:val="20"/>
          <w:szCs w:val="20"/>
        </w:rPr>
        <w:t>tecnológicamente</w:t>
      </w:r>
      <w:proofErr w:type="spellEnd"/>
      <w:r w:rsidRPr="006B1274">
        <w:rPr>
          <w:rFonts w:ascii="Times New Roman" w:hAnsi="Times New Roman" w:cs="Times New Roman"/>
          <w:color w:val="000000"/>
          <w:sz w:val="20"/>
          <w:szCs w:val="20"/>
        </w:rPr>
        <w:t xml:space="preserve"> envolvendo capacidade energética e eletricidade em viabilidade, pois o território do Rio de Janeiro não suportaria tal mudança.</w:t>
      </w:r>
    </w:p>
    <w:p w14:paraId="3C0928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6EB7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Dados Demográficos de Dimensão da Baía de Guanabara extraídos do Wikipédia:</w:t>
      </w:r>
    </w:p>
    <w:p w14:paraId="208A6AE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34ED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Comprimento máximo: 31 km</w:t>
      </w:r>
    </w:p>
    <w:p w14:paraId="7E8AF4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Largura máxima: 28 km</w:t>
      </w:r>
    </w:p>
    <w:p w14:paraId="33CBD86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Área superficial: 381 km²</w:t>
      </w:r>
    </w:p>
    <w:p w14:paraId="2E3A20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Profundidade média: 7,6 m (média)</w:t>
      </w:r>
    </w:p>
    <w:p w14:paraId="06F4AE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Profundidade máxima: 50 m</w:t>
      </w:r>
    </w:p>
    <w:p w14:paraId="73DD810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Volume de água: 3×109 m³</w:t>
      </w:r>
    </w:p>
    <w:p w14:paraId="13ACD3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2763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Ação Vinculada à COP30 em objetivo de Desenvolvimento Social cadastrada em Portal da Presidência da República do Brasil por Ato Social Sociosustentável Brasil Participativo: </w:t>
      </w:r>
    </w:p>
    <w:p w14:paraId="4A1FBC7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https://brasilparticipativo.presidencia.gov.br/processes/cop30/f/1346/proposals/63733</w:t>
      </w:r>
    </w:p>
    <w:p w14:paraId="3E8E4B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F4E8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Página de Especialidade de Políticas Públicas com Informação, Dicas, Conteúdo Ético e Transparência das Informações do Brasil e Parcerias de Implementação em Acordos Cooperacionais:</w:t>
      </w:r>
    </w:p>
    <w:p w14:paraId="158136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hRadar Informação</w:t>
      </w:r>
    </w:p>
    <w:p w14:paraId="1917AC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C4CF09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B5B81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4C63A31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74A2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0691308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FF3337" w14:textId="102E5E8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Anexo ao Portal da Agência Nacional de Águas e Saneamento Básico (ANA) disposto um Artigo Científico redigido por mim, </w:t>
      </w:r>
      <w:r w:rsidR="00345AF2"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Doutora em Comunicação, Publicitária e Especialista em Políticas Públicas e Gestão Governamental. O artigo contém pesquisa referente ao histórico da Capital do Rio de Janeiro e demanda energética em comparativo de conexão territorial em transportes públicos. Para composição do Estudo dispus de participação em Intercâmbio Nacional Vozes Pelo Clima - Ação da COP30 Brasil, pela Universidade Federal do Rio de Janeiro, assim como de Seminários, Oficinas e Auditoria com Acompanhamento Diplomático da Administração Pública em Políticas Sustentáveis em visão Macroeconômica quanto ao Grupo Econômico do BRICS, ao que tange produção Petrolífera e exploração de região oceânica do Rio de Janeiro.</w:t>
      </w:r>
    </w:p>
    <w:p w14:paraId="7B5C70B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5DDF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ação é uma alusão histórica regular da Educação Brasileira em formato democrático conforme Artigos em Dispositivo Constitucional, em seu Artigo 220, do cumprimento do papel da Comunicação instituído pela Primeira Universidade do Brasil, por competência da Real Academia Militar, a Universidade Federal do Rio de Janeiro e Escola de Comunicação lançado à Base de Políticas </w:t>
      </w:r>
      <w:proofErr w:type="spellStart"/>
      <w:r w:rsidRPr="006B1274">
        <w:rPr>
          <w:rFonts w:ascii="Times New Roman" w:hAnsi="Times New Roman" w:cs="Times New Roman"/>
          <w:color w:val="000000"/>
          <w:sz w:val="20"/>
          <w:szCs w:val="20"/>
        </w:rPr>
        <w:t>Sócioambientais</w:t>
      </w:r>
      <w:proofErr w:type="spellEnd"/>
      <w:r w:rsidRPr="006B1274">
        <w:rPr>
          <w:rFonts w:ascii="Times New Roman" w:hAnsi="Times New Roman" w:cs="Times New Roman"/>
          <w:color w:val="000000"/>
          <w:sz w:val="20"/>
          <w:szCs w:val="20"/>
        </w:rPr>
        <w:t xml:space="preserve"> em Século XXI pela Conferência da Terra, a ECO 92 e compromisso em Desenvolvimento Sustentável como disposição instituída pela COP30 Brasil.</w:t>
      </w:r>
    </w:p>
    <w:p w14:paraId="4053E7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D498D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Artigo Científico referente aos aspectos sociais do Brasil como sede da ONU em ciclo de 10 Anos. Patrimônio do Rio de Janeiro e Exploração de Recursos Hídricos, Vozes pelo Clima, COP30 Brasil.</w:t>
      </w:r>
    </w:p>
    <w:p w14:paraId="0FF97C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11ACA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2BCD430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9043B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82D9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47D2DD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7F7A1AE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66B037" w14:textId="310415A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082EC8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9B984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0B2A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13 de Novembro de 2025 | 13:05 PM</w:t>
      </w:r>
    </w:p>
    <w:p w14:paraId="706C68E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00F4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61BD488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9513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33162984" w14:textId="60E76C7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7443714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5A5DF08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E18A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47936B3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85FE6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187E20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9C48D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446647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22BFF24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38BE1E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#COP30Brasil</w:t>
      </w:r>
    </w:p>
    <w:p w14:paraId="709C62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3A6D92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188B1B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BA179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6CC7009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6DEF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manhã (13), foi oficialmente concluído com abertura de sessão Plenária transmitida por Canal Oficial da COP30 Brasil Amazônia o dia da "Justiça, Clima e Direitos Humanos". Cumprindo a agenda de 11 à 13 que a Advocacia Geral da União terá de representação na COP30. </w:t>
      </w:r>
    </w:p>
    <w:p w14:paraId="79975FF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49D5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participação do Presidente do Conselho Nacional de Justiça, Edson </w:t>
      </w:r>
      <w:proofErr w:type="spellStart"/>
      <w:r w:rsidRPr="006B1274">
        <w:rPr>
          <w:rFonts w:ascii="Times New Roman" w:hAnsi="Times New Roman" w:cs="Times New Roman"/>
          <w:color w:val="000000"/>
          <w:sz w:val="20"/>
          <w:szCs w:val="20"/>
        </w:rPr>
        <w:t>Fachin</w:t>
      </w:r>
      <w:proofErr w:type="spellEnd"/>
      <w:r w:rsidRPr="006B1274">
        <w:rPr>
          <w:rFonts w:ascii="Times New Roman" w:hAnsi="Times New Roman" w:cs="Times New Roman"/>
          <w:color w:val="000000"/>
          <w:sz w:val="20"/>
          <w:szCs w:val="20"/>
        </w:rPr>
        <w:t>, a sessão contemplou presença de Oficiais da Justiça Brasileira, Representante da ONU em alusão ao eixo Sul-Global e de outros representantes internacionais da China.</w:t>
      </w:r>
    </w:p>
    <w:p w14:paraId="0E86295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ED31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a sessão, foi proferido oficialmente a data de 11/12/2025 para julgamento de possibilidade ou impossibilidade da execução de exploração ambiental da Foz do Amazônia. Região que concentra os rios voadores de deságüe por todo território brasileiro e componente da Bacia do Atlântico.</w:t>
      </w:r>
    </w:p>
    <w:p w14:paraId="6587FA2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94C5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Ministério do Meio Ambiente e Mudança do Clima é o responsável por licenciamento de atividades de exploração ambiental por decorrência industrial. Mas graças as novas legislações ambientais, que consideram Desenvolvimento Sustentável e obrigatoriedade de Preservação Ambiental, somente o licenciamento não é eficaz se a ação envolve grandes impactos ambientais. Neste caso tratando-se da Amazônia e impacto à Nível Global.</w:t>
      </w:r>
    </w:p>
    <w:p w14:paraId="6266817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82C6FF" w14:textId="498A833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w:t>
      </w:r>
      <w:r w:rsidR="006F4293" w:rsidRPr="006B1274">
        <w:rPr>
          <w:rFonts w:ascii="Times New Roman" w:hAnsi="Times New Roman" w:cs="Times New Roman"/>
          <w:color w:val="000000"/>
          <w:sz w:val="20"/>
          <w:szCs w:val="20"/>
        </w:rPr>
        <w:t>n</w:t>
      </w:r>
      <w:r w:rsidRPr="006B1274">
        <w:rPr>
          <w:rFonts w:ascii="Times New Roman" w:hAnsi="Times New Roman" w:cs="Times New Roman"/>
          <w:color w:val="000000"/>
          <w:sz w:val="20"/>
          <w:szCs w:val="20"/>
        </w:rPr>
        <w:t>fira abaixo takes da sessão.</w:t>
      </w:r>
    </w:p>
    <w:p w14:paraId="6118E0A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6F53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53E1CC2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62D3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5051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7E511F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ENAEX 2025 - 43º Encontro Nacional de Comércio Exterior</w:t>
      </w:r>
    </w:p>
    <w:p w14:paraId="092644B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25DC19" w14:textId="3AB3FC2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3795B7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1B78A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5968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13 de Novembro de 2025 | 16:10 PM</w:t>
      </w:r>
    </w:p>
    <w:p w14:paraId="0612D3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B59F6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65471C6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1A85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Doutora em Comunicação Social com Ênfase em Educação e Economia Política </w:t>
      </w:r>
    </w:p>
    <w:p w14:paraId="3876A13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12D6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7FC755E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1D3875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19EEB1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751EAC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34C292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77DF9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26D2E2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56CA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MutiraoCOP30</w:t>
      </w:r>
      <w:proofErr w:type="spellEnd"/>
    </w:p>
    <w:p w14:paraId="339029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BalancoEticoGlobal</w:t>
      </w:r>
      <w:proofErr w:type="spellEnd"/>
    </w:p>
    <w:p w14:paraId="3CA577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GlobalEthicalStocktake</w:t>
      </w:r>
      <w:proofErr w:type="spellEnd"/>
    </w:p>
    <w:p w14:paraId="32ED67D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B47E5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Hoje (13), foi o 2º e último dia da 43º edição do Encontro Nacional de Comércio Exterior (ENAEX) realizado na cidade do Rio de Janeiro.</w:t>
      </w:r>
    </w:p>
    <w:p w14:paraId="1F5F99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7EC8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economista Roberto Giannetti da Fonseca, o atual Secretário Executivo da CAMEX - Câmara de Comércio Exterior, Presidente da </w:t>
      </w:r>
      <w:proofErr w:type="spellStart"/>
      <w:r w:rsidRPr="006B1274">
        <w:rPr>
          <w:rFonts w:ascii="Times New Roman" w:hAnsi="Times New Roman" w:cs="Times New Roman"/>
          <w:color w:val="000000"/>
          <w:sz w:val="20"/>
          <w:szCs w:val="20"/>
        </w:rPr>
        <w:t>Kaduna</w:t>
      </w:r>
      <w:proofErr w:type="spellEnd"/>
      <w:r w:rsidRPr="006B1274">
        <w:rPr>
          <w:rFonts w:ascii="Times New Roman" w:hAnsi="Times New Roman" w:cs="Times New Roman"/>
          <w:color w:val="000000"/>
          <w:sz w:val="20"/>
          <w:szCs w:val="20"/>
        </w:rPr>
        <w:t xml:space="preserve"> Consultoria e Participações Ltda. Debateu sobre as Políticas Econômicas à nível de Bancos Centrais para análise de Financiamento entre Bancos Mundiais.</w:t>
      </w:r>
    </w:p>
    <w:p w14:paraId="67DB2B5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19FE6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assunto trouxe uma correlação e gancho do atual cenário do Brasil com taxações para equilibrar economia, conforme reforma fiscal e tributária implementada no Plano Real que alicerçou economia Brasileira frente ao Mercado Internacional e que mantém viva e estável a economia Brasileira, mesmo após período longo de recessão econômica por Período de Isolamento Mundial Decretado Mundialmente pela OMS por Pandemia Mundial de COVID-19.</w:t>
      </w:r>
    </w:p>
    <w:p w14:paraId="264244F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5C4F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Edição de 2023, na 42º Edição Nacional do Evento com  o Vice-Presidente e Ministro do @MDIC, Ministério do Desenvolvimento, Indústria e Comércio Exterior, Geraldo Alckmin, oficializou a retomada do Mercado de Importações e Exportações trazendo o Brasil entre os 20 Países com melhores rendimentos em PIB e Balanço Patrimonial Líquido Satisfatório honrando Dívidas Externas e Orçamento de Políticas Públicas do Governo do Brasil conforme incidências Constitucionais em encerramento de ciclo, do Brasil, como anfitrião Líder do BRICS e sede Oficial dos Eventos da ONU.</w:t>
      </w:r>
    </w:p>
    <w:p w14:paraId="0B50D28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AA53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COP30 Brasil, na data de ontem (12), o Governador da Califórnia, Gavin Christopher </w:t>
      </w:r>
      <w:proofErr w:type="spellStart"/>
      <w:r w:rsidRPr="006B1274">
        <w:rPr>
          <w:rFonts w:ascii="Times New Roman" w:hAnsi="Times New Roman" w:cs="Times New Roman"/>
          <w:color w:val="000000"/>
          <w:sz w:val="20"/>
          <w:szCs w:val="20"/>
        </w:rPr>
        <w:t>Newsom</w:t>
      </w:r>
      <w:proofErr w:type="spellEnd"/>
      <w:r w:rsidRPr="006B1274">
        <w:rPr>
          <w:rFonts w:ascii="Times New Roman" w:hAnsi="Times New Roman" w:cs="Times New Roman"/>
          <w:color w:val="000000"/>
          <w:sz w:val="20"/>
          <w:szCs w:val="20"/>
        </w:rPr>
        <w:t>, criticou o período da Presidência Brasileira com altas taxações durante período de COVID-19. Questão que à distância foi contornada por Donald Trump com críticas à fala do Governador.</w:t>
      </w:r>
    </w:p>
    <w:p w14:paraId="3F55EF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CDD53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Apesar de envolver questões humanitárias e de Desenvolvimento Social de forma justa, a fala do Governador Gavin </w:t>
      </w:r>
      <w:proofErr w:type="spellStart"/>
      <w:r w:rsidRPr="006B1274">
        <w:rPr>
          <w:rFonts w:ascii="Times New Roman" w:hAnsi="Times New Roman" w:cs="Times New Roman"/>
          <w:color w:val="000000"/>
          <w:sz w:val="20"/>
          <w:szCs w:val="20"/>
        </w:rPr>
        <w:t>Newsom</w:t>
      </w:r>
      <w:proofErr w:type="spellEnd"/>
      <w:r w:rsidRPr="006B1274">
        <w:rPr>
          <w:rFonts w:ascii="Times New Roman" w:hAnsi="Times New Roman" w:cs="Times New Roman"/>
          <w:color w:val="000000"/>
          <w:sz w:val="20"/>
          <w:szCs w:val="20"/>
        </w:rPr>
        <w:t>, trouxe a nível de análise os limites em taxação para não colapsar uma economia Nacional. Já que o Brasil está fechando o ciclo econômico de 10 anos com Balança Comercial Positiva e Liquidez em Dívidas Externas entrando para novas negociações para Acordos Cooperacionais Econômicos no BRICS com Emirados Árabes e China.</w:t>
      </w:r>
    </w:p>
    <w:p w14:paraId="1979DC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0356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Para as novas negociações Empresas Estatais como a </w:t>
      </w:r>
      <w:proofErr w:type="spellStart"/>
      <w:r w:rsidRPr="006B1274">
        <w:rPr>
          <w:rFonts w:ascii="Times New Roman" w:hAnsi="Times New Roman" w:cs="Times New Roman"/>
          <w:color w:val="000000"/>
          <w:sz w:val="20"/>
          <w:szCs w:val="20"/>
        </w:rPr>
        <w:t>Petrobrás</w:t>
      </w:r>
      <w:proofErr w:type="spellEnd"/>
      <w:r w:rsidRPr="006B1274">
        <w:rPr>
          <w:rFonts w:ascii="Times New Roman" w:hAnsi="Times New Roman" w:cs="Times New Roman"/>
          <w:color w:val="000000"/>
          <w:sz w:val="20"/>
          <w:szCs w:val="20"/>
        </w:rPr>
        <w:t xml:space="preserve"> cogitam hipótese de expansão industrial à novos territórios além da sede oficial no Rio de Janeiro, passando a venda de produção para Região Amazônica em Bacia do Atlântico na Foz do Amazônia, de Rio Amazonas. Tendo os Emirados Árabes o principal mercado de Produção Petrolífera da OPEP.</w:t>
      </w:r>
    </w:p>
    <w:p w14:paraId="621458A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9A64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Justiça Brasileira já está em atuação nos consensos éticos, isto, pelo risco que tal avanço pode representar em escala Global. </w:t>
      </w:r>
    </w:p>
    <w:p w14:paraId="5B18D2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25BD844" w14:textId="61D7CF62"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Estes serão os assuntos debatidos em CCOP30 Brasil</w:t>
      </w:r>
      <w:r w:rsidR="006F4293"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 xml:space="preserve">para conscientizar analistas de dados, dos limites para expandir territorialmente no avanço de produção petrolífera, e também alertar sobre demanda energética de Usinas Hidrelétricas para suportar tal ação de temas de cidades conectadas </w:t>
      </w:r>
      <w:proofErr w:type="spellStart"/>
      <w:r w:rsidRPr="006B1274">
        <w:rPr>
          <w:rFonts w:ascii="Times New Roman" w:hAnsi="Times New Roman" w:cs="Times New Roman"/>
          <w:color w:val="000000"/>
          <w:sz w:val="20"/>
          <w:szCs w:val="20"/>
        </w:rPr>
        <w:t>energéticamente</w:t>
      </w:r>
      <w:proofErr w:type="spellEnd"/>
      <w:r w:rsidRPr="006B1274">
        <w:rPr>
          <w:rFonts w:ascii="Times New Roman" w:hAnsi="Times New Roman" w:cs="Times New Roman"/>
          <w:color w:val="000000"/>
          <w:sz w:val="20"/>
          <w:szCs w:val="20"/>
        </w:rPr>
        <w:t xml:space="preserve">, como conceito universal de Smart </w:t>
      </w:r>
      <w:proofErr w:type="spellStart"/>
      <w:r w:rsidRPr="006B1274">
        <w:rPr>
          <w:rFonts w:ascii="Times New Roman" w:hAnsi="Times New Roman" w:cs="Times New Roman"/>
          <w:color w:val="000000"/>
          <w:sz w:val="20"/>
          <w:szCs w:val="20"/>
        </w:rPr>
        <w:t>Cities</w:t>
      </w:r>
      <w:proofErr w:type="spellEnd"/>
      <w:r w:rsidRPr="006B1274">
        <w:rPr>
          <w:rFonts w:ascii="Times New Roman" w:hAnsi="Times New Roman" w:cs="Times New Roman"/>
          <w:color w:val="000000"/>
          <w:sz w:val="20"/>
          <w:szCs w:val="20"/>
        </w:rPr>
        <w:t xml:space="preserve"> e conexão ferroviária e de carros elétricos.</w:t>
      </w:r>
    </w:p>
    <w:p w14:paraId="788481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71419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eixo apresentar quais são os limites para o Brasil, que diferente de Países Desenvolvidos como EUA, Países da Europa ou Alemanha, que possuem grandes hectares de territórios de desertificação e cooperação para mercado de energia eólica, no Brasil, de bioma preservado e floresta nativa viva com maior relevância para o Clima em Impacto Global aponta inúmeros riscos de prosseguir com tal expansão para exploração.</w:t>
      </w:r>
    </w:p>
    <w:p w14:paraId="29EE1E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0CCDF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11 de Dezembro de 2025, foi o prazo e data que a Justiça Brasileira anunciou em COP30 junto à ONU da garantia da Justiça em preservar dignidade humana e condições habitáveis no Planeta, marcado pelo dia da "Justiça, Clima e Direitos Humanos". A audiência aberta prevista em Dezembro irá decidir procedente ou improcedente, possível ou não possível a exploração em Região Amazônica.</w:t>
      </w:r>
    </w:p>
    <w:p w14:paraId="1945F80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4853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fala de Trump, que criticou o Governador Californiano, na visão global macroeconômica e social muitas vezes distorcida por imprensa, traz a centralidade de produção pelo EUA em território Norte-Americano, com cooperação de mercado dos Países da ONU. </w:t>
      </w:r>
    </w:p>
    <w:p w14:paraId="6DC84D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519C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Setores e mercados alternativos como estão querendo formar entre Brasil, Emirados Árabes e China, pelo BRICS envolve exploração nuclear e outras questões em infrações ambientais e de dignidade à vida humana, e, que a ONU defende preservação de Vida sobre a Terra. A produção por estes Países em novos mercados burlaria critérios da ONU e colocaria como "facilitado" novas regulamentações para explorar a Região Amazônica.</w:t>
      </w:r>
    </w:p>
    <w:p w14:paraId="2DF0063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2B7E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Análise autoral. Projeto autoral para inclusão social e Ação Global Sustentável em forma de acesso democrático à informação para Desenvolvimento Social. Não autorizado compartilhamento por terceiros.</w:t>
      </w:r>
    </w:p>
    <w:p w14:paraId="5B96D99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25E0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22714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195FB3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0784ED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8B856F" w14:textId="2FA7122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08A9B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50818B6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CE3B2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15 de Novembro de 2025 | 04:33 AM</w:t>
      </w:r>
    </w:p>
    <w:p w14:paraId="46BEF76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259D1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6907FB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510B40" w14:textId="77777777" w:rsidR="001C11E3" w:rsidRPr="00715F09"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715F09">
        <w:rPr>
          <w:rFonts w:ascii="Times New Roman" w:hAnsi="Times New Roman" w:cs="Times New Roman"/>
          <w:b/>
          <w:bCs/>
          <w:color w:val="000000"/>
          <w:sz w:val="20"/>
          <w:szCs w:val="20"/>
        </w:rPr>
        <w:t>LET'S CHAT - PUBLICITÁRIA EXPLICA</w:t>
      </w:r>
    </w:p>
    <w:p w14:paraId="2A2979AE" w14:textId="5B06209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142DE3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3F7F5BC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F1E7E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425A11E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6DE9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57AB012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658AE9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32F3DF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6667DA8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393866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#COP30Brasil</w:t>
      </w:r>
    </w:p>
    <w:p w14:paraId="43C24D4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101C00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1D4EE87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7737CC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32B7E20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6825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data de ontem (14), foi concluído o 5º dia da COP30 Brasil. Os temas abordados no dia foram do eixo do Ministério do Desenvolvimento, Indústria e Comércio Exterior variando entre Energia, Indústria 4.0 Digital e Financiamento.</w:t>
      </w:r>
    </w:p>
    <w:p w14:paraId="5D6DC79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78F84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Acerca dos avanços deste Século e com foco em redução de emissão de Gases causadores do Efeito Estufa (GEE), a abordagem foi sobre a inovação de servições em atendimento à sociedade ao exemplo em Saúde, Transportes, Finanças e Tecnologias de implementações colaborativas ao processo de descarbonização que prevê conforme </w:t>
      </w:r>
      <w:proofErr w:type="spellStart"/>
      <w:r w:rsidRPr="006B1274">
        <w:rPr>
          <w:rFonts w:ascii="Times New Roman" w:hAnsi="Times New Roman" w:cs="Times New Roman"/>
          <w:color w:val="000000"/>
          <w:sz w:val="20"/>
          <w:szCs w:val="20"/>
        </w:rPr>
        <w:t>Roadmap</w:t>
      </w:r>
      <w:proofErr w:type="spellEnd"/>
      <w:r w:rsidRPr="006B1274">
        <w:rPr>
          <w:rFonts w:ascii="Times New Roman" w:hAnsi="Times New Roman" w:cs="Times New Roman"/>
          <w:color w:val="000000"/>
          <w:sz w:val="20"/>
          <w:szCs w:val="20"/>
        </w:rPr>
        <w:t xml:space="preserve"> NetZero acabar com as emissões líquidas de combustíveis fósseis até 2050. </w:t>
      </w:r>
    </w:p>
    <w:p w14:paraId="37D3C65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6C79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Uma questão que demanda a coalisão de transportes para o modelo de eletrificação, situação do ponto de vista tida como desafiadora e quase impossível frente à grande demanda energética que tal ação envolveria.</w:t>
      </w:r>
    </w:p>
    <w:p w14:paraId="267D2BE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0A8D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inovações em Século XX como a chegada da luz elétrica, na década de 1930 o mundo já vivenciava recessões por escassez de recursos em atendimento aos avanços da indústria. E a Crise de 1929, tida como a "Grande Depressão", trazia as preocupações ao quesito da Exploração Ambiental por decorrência da industrialização.</w:t>
      </w:r>
    </w:p>
    <w:p w14:paraId="4EEC94C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147F9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Período em que países como o Reino Unido já buscava alternativas frente à pressão  causada por países como Alemanha com grande área de desertificação por alto investimento bélico e de exploração do território em demanda industrial energética. </w:t>
      </w:r>
    </w:p>
    <w:p w14:paraId="5E6EBF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B0E70B" w14:textId="151CE85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Nesta época, destaque para o Brasil com a General Motors e a Alemanha com a criação da Ford, marca de um Alemão em Território Norte-Americano. </w:t>
      </w:r>
    </w:p>
    <w:p w14:paraId="729C860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CED6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Desde o fim da II Guerra Mundial, o tema exploração ambiental passou então a ser prioridade mundial, para meios alternativos de produção sem destruição firmados por Acordos Diplomáticos e Econômicos em prol da paz. Isto demonstra o papel da ONU em Mediação Diplomática entre os países componentes das Nações-Quadro da Organização das Nações Unidas que defende vida sobre a Terra e dignidade humana.</w:t>
      </w:r>
    </w:p>
    <w:p w14:paraId="0F0693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4D1B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Tangido por Direitos Humanos,  os ODSs representam a forma de Desenvolver Sustentávelmente  pensando em evolução social de forma digna às gerações.</w:t>
      </w:r>
    </w:p>
    <w:p w14:paraId="4B1E4E1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A79E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Ao vivo da sede oficial das Nações Unidas, países como a Alemanha se pronunciaram em favor dos Direitos Humanos e consensos éticos tratando-se de indústria. Com posicionamento de não uso efetivo de dispositivos bélicos ou outras formas de interpretação de genocídio ou violação à  Dignidade Humana.</w:t>
      </w:r>
    </w:p>
    <w:p w14:paraId="0D6EF6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FE48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CEO da COP 30, Ana Toni, atualizou durante a Coletiva de Imprensa sobre os destaques da 1º semana da COP30 quanto a implementação do Plano Clima, que envolve as Contribuições Nacionalmente Determinadas(NDCs) antes acordas até o G20, no Brasil, com 113 em número oficial. Passando ao número atualizado de 115, número oficial e que irá compor o último e oficial documento para ser entregue à ONU com o balanço de 10 anos, do Brasil, como sede dos Eventos Oficias da ONU e líder do Mercado Econômico do BRICS representando os países do eixo Sul-Global.</w:t>
      </w:r>
    </w:p>
    <w:p w14:paraId="5A2960A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6EECD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Brasil foi o 2º país a entregar suas NDCs na ONU, sendo agora fase da implementação das ações sustentáveis e climáticas. Deixarei link abaixo com a 115º NDC, anunciada oficialmente em COP 29.</w:t>
      </w:r>
    </w:p>
    <w:p w14:paraId="3A80069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C8886B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7CA546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8671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A atual NDC estabelece uma meta de redução entre 59% e 67% das emissões de GEE (gases de efeito estufa) no Brasil até 2035, tomando como referência os índices de 2005.</w:t>
      </w:r>
    </w:p>
    <w:p w14:paraId="1FCF6F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FACF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números absolutos, isso significa que o país busca limitar suas emissões em 2035 a um intervalo entre 850 milhões e 1,05 bilhão de toneladas de CO2. O objetivo é zerar as emissões líquidas no Brasil até 2050.</w:t>
      </w:r>
    </w:p>
    <w:p w14:paraId="77E801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82B2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alcançar a redução nas emissões, o país também adota como medida principal a proposta de zerar o desmatamento ilegal até 2030 e zerar o desmatamento de maneira geral até 2035. (...)"</w:t>
      </w:r>
    </w:p>
    <w:p w14:paraId="2304FD8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7E37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Acesso disponível em:</w:t>
      </w:r>
    </w:p>
    <w:p w14:paraId="321A4F9E" w14:textId="77777777" w:rsidR="001C11E3" w:rsidRPr="00895394" w:rsidRDefault="00576533" w:rsidP="00B36B27">
      <w:pPr>
        <w:spacing w:before="240" w:after="240" w:line="360" w:lineRule="auto"/>
        <w:rPr>
          <w:rFonts w:ascii="Times New Roman" w:hAnsi="Times New Roman" w:cs="Times New Roman"/>
          <w:color w:val="000000"/>
          <w:sz w:val="20"/>
          <w:szCs w:val="20"/>
        </w:rPr>
      </w:pPr>
      <w:hyperlink r:id="rId33">
        <w:r w:rsidRPr="00895394">
          <w:rPr>
            <w:rFonts w:ascii="Times New Roman" w:hAnsi="Times New Roman" w:cs="Times New Roman"/>
            <w:color w:val="1A1A1A" w:themeColor="background1" w:themeShade="1A"/>
            <w:sz w:val="20"/>
            <w:szCs w:val="20"/>
          </w:rPr>
          <w:t>https://www.cnnbrasil.com.br/nacional/brasil/quais-sao-as-metas-apresentadas-pelo-brasil-para-a-cop30/</w:t>
        </w:r>
      </w:hyperlink>
    </w:p>
    <w:p w14:paraId="366D31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04377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D1430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09041E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7E0999D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600BCC" w14:textId="101019D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CB175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EF8EB9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72A92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15 de Novembro de 2025 | 15:05 PM</w:t>
      </w:r>
    </w:p>
    <w:p w14:paraId="6FCFA73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4EBA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34FF29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19D01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4E52AE">
        <w:rPr>
          <w:rFonts w:ascii="Times New Roman" w:hAnsi="Times New Roman" w:cs="Times New Roman"/>
          <w:b/>
          <w:bCs/>
          <w:color w:val="000000"/>
          <w:sz w:val="20"/>
          <w:szCs w:val="20"/>
        </w:rPr>
        <w:t>LET'S CHAT - PUBLICITÁRIA EXPLICA</w:t>
      </w:r>
    </w:p>
    <w:p w14:paraId="1251B2CB" w14:textId="110A473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6344C9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60F3E0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0647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16E5F2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95E2B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2727266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3F8FF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26BF9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235A00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4ED09F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348052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39DFD8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5B8F3C9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2113A64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DEA1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data de hoje (15), conclui-se a 1º semana da Conferência das Partes das Nações Unidas em sua versão em terras Brasileiras desta COP30 Brasil. Em Feriado Nacional de Proclamação da República, feriado que, após ato da Independência do Brasil em 07 de Setembro de 1822 para formação social do Estado Brasileiro como Independente. </w:t>
      </w:r>
    </w:p>
    <w:p w14:paraId="3CDBE0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48EA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cidade do Rio de Janeiro como Capital, após Relação da Corte com Promulgação Constituinte de 1823, seguindo movimentos emancipacionistas da população, inspirando-se em conceitos de soberania, democracia e igualdade altruísta influenciados universalmente pela França. Formava-se o Estado Brasileiro com ruptura da Colônia ligada à Portugal.</w:t>
      </w:r>
    </w:p>
    <w:p w14:paraId="3A6A73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CA911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1888 após Abolição da Escravatura, na data de 15 de Novembro do ano seguinte o Brasil era reconhecido, não apenas como Independente em riquezas e soberania, mas como Nação, um País.</w:t>
      </w:r>
    </w:p>
    <w:p w14:paraId="162D84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51B3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15 de Novembro de 1889, em 2025, o Brasil completa 136 anos como Nação e 525 anos de demarcação territorial.</w:t>
      </w:r>
    </w:p>
    <w:p w14:paraId="38658D3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E773B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2024, encerrando liderança em Diplomacia frente a ONU como sede de principais eventos oficias das Nações Unidas, recebendo a Cúpula das 20 maiores economias, o Brasil deixou o legado de 135 anos de parceria Diplomática à nível Global. </w:t>
      </w:r>
    </w:p>
    <w:p w14:paraId="0C4FDDB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F8CC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Encerrando com maestria ciclo como País anfitrião na ONU, e concluindo protocolarmente cerimônia da COP 30, de diálogo à nível universalizado com Sociedade, Classe Civil, Órgãos de Estado, Instituições, Líderes de Nações, Grupos Religiosos, Cientistas, Diplomáticos, Acadêmicos e Ala Militar sobre a importância do Desenvolvimento Sustentável, Inovador e Humanista. Como é defendido na ONU os consensos em prol da Paz e Direitos Humanos, neste Século XXI, sendo importante reforçar conceitos em Justiça Climática às gerações para que se haja vida sobre a Terra.</w:t>
      </w:r>
    </w:p>
    <w:p w14:paraId="59D5DE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B9D2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Assim foi aberto o dia com tom humanitário e o papel da Filantropia em ampla escala, desde Classe Civil com sociedade e Instituições Privadas. Até fundos Patrimoniais em prol social por Entidades Públicas e Governos. Tendo em mente o destino da verba de forma consciente em uso por decorrência de Fenômenos Climáticos. Mais ou menos o conceito que englobará o TFFF, "Fundo Florestas Tropicais para Sempre", de Capital garantido em prol do Meio Ambiente e Clima.</w:t>
      </w:r>
    </w:p>
    <w:p w14:paraId="7FBDC9D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F454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dia anterior (14) dedicado aos temas de Energia, Indústria 4.0 Digital e Financiamento. O dia de hoje trata da transição industrial ao conceito digital para descarbonização com redução do conceito comunicacional físico por papéis, visando desburocratizar e aproximar mais Governos e Sociedade.</w:t>
      </w:r>
    </w:p>
    <w:p w14:paraId="6E6362D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D4F6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As principais abordagens na parte da manhã foram acerca do setor de combustíveis em inovações para colaborar com o processo de despoluição, uma ação do chamado </w:t>
      </w:r>
      <w:proofErr w:type="spellStart"/>
      <w:r w:rsidRPr="006B1274">
        <w:rPr>
          <w:rFonts w:ascii="Times New Roman" w:hAnsi="Times New Roman" w:cs="Times New Roman"/>
          <w:color w:val="000000"/>
          <w:sz w:val="20"/>
          <w:szCs w:val="20"/>
        </w:rPr>
        <w:t>Roadmap</w:t>
      </w:r>
      <w:proofErr w:type="spellEnd"/>
      <w:r w:rsidRPr="006B1274">
        <w:rPr>
          <w:rFonts w:ascii="Times New Roman" w:hAnsi="Times New Roman" w:cs="Times New Roman"/>
          <w:color w:val="000000"/>
          <w:sz w:val="20"/>
          <w:szCs w:val="20"/>
        </w:rPr>
        <w:t xml:space="preserve"> Net Zero, que prevê redução zero em emissões líquidas de combustíveis fósseis até 2050.</w:t>
      </w:r>
    </w:p>
    <w:p w14:paraId="05F41AA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AF1C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Toda implementação e composição do plano programático desenvolvido pelo Plano Clima nos últimos 10 anos. Assuntos estes debatidos em convenções da ONU, divulgados em Redes Sociais e Veículos Digitais.</w:t>
      </w:r>
    </w:p>
    <w:p w14:paraId="58D634C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B4025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w:t>
      </w:r>
      <w:proofErr w:type="spellStart"/>
      <w:r w:rsidRPr="006B1274">
        <w:rPr>
          <w:rFonts w:ascii="Times New Roman" w:hAnsi="Times New Roman" w:cs="Times New Roman"/>
          <w:color w:val="000000"/>
          <w:sz w:val="20"/>
          <w:szCs w:val="20"/>
        </w:rPr>
        <w:t>Roadmap</w:t>
      </w:r>
      <w:proofErr w:type="spellEnd"/>
      <w:r w:rsidRPr="006B1274">
        <w:rPr>
          <w:rFonts w:ascii="Times New Roman" w:hAnsi="Times New Roman" w:cs="Times New Roman"/>
          <w:color w:val="000000"/>
          <w:sz w:val="20"/>
          <w:szCs w:val="20"/>
        </w:rPr>
        <w:t xml:space="preserve"> NetZero traça o desafio de colocar todos estes planos em vigor nas cidades. Saindo do limite digital e passando de forma física implementadas em ações nas cidades. </w:t>
      </w:r>
    </w:p>
    <w:p w14:paraId="10CA006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7DFF2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cenário toda discussão sustentável ao longo deste século XXI, passará a vigorar com ações como maior acesso à biocombustíveis, pois apesar de inovação não é ainda serviço com disponibilidade amplamente de forma comum em todos os Postos.</w:t>
      </w:r>
    </w:p>
    <w:p w14:paraId="6CB25A8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48B5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Entre as ações podemos citar:</w:t>
      </w:r>
    </w:p>
    <w:p w14:paraId="2D74615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4C7A3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Para transportes, no setor público de transportes urbanos estima-se a estabilidade e modelo ideal implantado para suportes urbanos. Para então adequação das cidades à comunicação acessível de linhas e conexões</w:t>
      </w:r>
    </w:p>
    <w:p w14:paraId="59DDC4A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BCD76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Redução de dispositivos digitais para acesso informacional aos serviços públicos na saúde com reforma e retomada de Hospitais, e, não mais unicamente serviços de atendimento por Unidades Básicas de Saúde e Clínicas Locais. </w:t>
      </w:r>
    </w:p>
    <w:p w14:paraId="045880E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54C0E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por fim mais diálogos focados em resiliência no combate e mitigação à mudanças climáticas preparando e construindo cidades mais adaptadas urbanamente e com engenharia eficiente, ao exemplo do modelo já implantado para o Rio de Janeiro no conceito de cidades esponjas. Tendo agora o desafio de adaptar outras cidades em outras regiões do País visando menor impacto por decorrência de fenômenos climáticos.</w:t>
      </w:r>
    </w:p>
    <w:p w14:paraId="187857B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CA21D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7480C91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BB0241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6670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180199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1064CC5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00EE3F" w14:textId="6EAB4FF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CC08DE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321188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5BEBF0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15 de Novembro de 2025 | 21:15 PM</w:t>
      </w:r>
    </w:p>
    <w:p w14:paraId="61B3E5C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D82185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12EDC6A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EA11B0" w14:textId="77777777" w:rsidR="001C11E3" w:rsidRPr="004E52AE"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4E52AE">
        <w:rPr>
          <w:rFonts w:ascii="Times New Roman" w:hAnsi="Times New Roman" w:cs="Times New Roman"/>
          <w:b/>
          <w:bCs/>
          <w:color w:val="000000"/>
          <w:sz w:val="20"/>
          <w:szCs w:val="20"/>
        </w:rPr>
        <w:t>LET'S CHAT - PUBLICITÁRIA EXPLICA</w:t>
      </w:r>
    </w:p>
    <w:p w14:paraId="1CB568CD" w14:textId="525BF61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76824E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000955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152AF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241DFF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D15B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53AAE6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51DC3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05793F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178913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00C447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04E8DBA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743F97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46AD45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00616F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F9444F" w14:textId="0BDF600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data de hoje (15), foi ao ar matéria com tema de pesquisa ao qual publiquei esta semana, na última quarta-feira (12) em portal da Agência Nacional de Águas e Saneamento Básico - ANA acerca do processo de formação social do Rio de Janeiro e evolução em Desenvol</w:t>
      </w:r>
      <w:r w:rsidR="00257D04" w:rsidRPr="006B1274">
        <w:rPr>
          <w:rFonts w:ascii="Times New Roman" w:hAnsi="Times New Roman" w:cs="Times New Roman"/>
          <w:color w:val="000000"/>
          <w:sz w:val="20"/>
          <w:szCs w:val="20"/>
        </w:rPr>
        <w:t>v</w:t>
      </w:r>
      <w:r w:rsidRPr="006B1274">
        <w:rPr>
          <w:rFonts w:ascii="Times New Roman" w:hAnsi="Times New Roman" w:cs="Times New Roman"/>
          <w:color w:val="000000"/>
          <w:sz w:val="20"/>
          <w:szCs w:val="20"/>
        </w:rPr>
        <w:t>imento Demográfico englobando temas sociais, de sustentabilidade, urbanismo, arquitetura, cultura, segurança, economia e Direitos Humanos em dever do papel da Publicidade conforme Artigo 220 da Constituição Federal e Capítulos V, VI e VII em prover princípios éticos sociais para plena Ordem e Progresso Social do Brasil em regimento de sua Administração Pública.</w:t>
      </w:r>
    </w:p>
    <w:p w14:paraId="59BE4D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A30A8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2025 o Brasil completa 525 anos e a cidade do Rio de Janeiro 420 anos como principal cidade "vitrine" de referências Democráticas, Inclusivas, Culturais e Patrimoniais Brasileiras.</w:t>
      </w:r>
    </w:p>
    <w:p w14:paraId="2DD8388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FCAE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Os VLTs veículos ligados à força elétrica entram na pauta de assuntos da descarbonização e uso de combustíveis fósseis visando contribuição sustentável ao Planeta. Mas tamanha inovação envolve muitos custos, obras para implantação e para suportar tal ação. O tamanho deste tema chegou à nível Global e está sendo debatido em COP30, em Belém. </w:t>
      </w:r>
    </w:p>
    <w:p w14:paraId="2AB075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86C6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esforço apesar de medida sustentável envolve outras questões nada sustentáveis quando avaliado risco de matrizes energéticas para suportar a demanda por sistemas de transportes públicos 100% livres de emissões de GEE, causados por processo de combustão de motores e abastecimento de veículos com combustíveis fósseis.</w:t>
      </w:r>
    </w:p>
    <w:p w14:paraId="238147C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AB37B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As Usinas Hidrelétricas entram neste assunto, para garantir o abastecimento de energia. </w:t>
      </w:r>
    </w:p>
    <w:p w14:paraId="1086527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1541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Ainda em período de análises sem ao menos 5% do total da frota viável por demanda energética, a Região Sudeste do Brasil já apresenta sinais de riscos com alterações significativas nas condições climáticas e desabastecimento de reservatórios hídricos, como exemplo, a Região na Cantareira. Local com afluentes de rios componentes da Bacia do Atlântico que chegam até região Amazônica e colocam em risco ambiental a Foz Amazônica.</w:t>
      </w:r>
    </w:p>
    <w:p w14:paraId="266E13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F785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superlotação do Estado impacta em crise hídrica referente ao abastecimento energético de redes de transporte, as linhas férreas, e outros escopos como ligações de luz clandestinas irregulares, trazendo todo o contexto de alto consumo por demanda energética, como a que assolou a região Sudeste em 2001, com completo apagão. Este tema será levado à debate em COP30 Brasil referente a criação de Hidroelétricas em Região Amazônica.</w:t>
      </w:r>
    </w:p>
    <w:p w14:paraId="1DC11CA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7447E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Uma Matéria com o tema pode ser consultada em:</w:t>
      </w:r>
    </w:p>
    <w:p w14:paraId="4BF6FC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https://acervo.oglobo.globo.com/fatos-historicos/da-falta-de-estrutura-fez-se-crise-do-apagao-no-brasil-do-inicio-do-seculo-xxi-9396417</w:t>
      </w:r>
    </w:p>
    <w:p w14:paraId="5D37F7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72BF6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estudo apresentado em contexto social de comportamento interpessoal demográfico da população habitante e nativa do Rio de Janeiro, aponta os desdobramentos em medidas do passado que estão sendo implementadas e não são viáveis adaptação em Século XXI por conceitos ambientais e o </w:t>
      </w:r>
      <w:proofErr w:type="spellStart"/>
      <w:r w:rsidRPr="006B1274">
        <w:rPr>
          <w:rFonts w:ascii="Times New Roman" w:hAnsi="Times New Roman" w:cs="Times New Roman"/>
          <w:color w:val="000000"/>
          <w:sz w:val="20"/>
          <w:szCs w:val="20"/>
        </w:rPr>
        <w:t>avaliativo</w:t>
      </w:r>
      <w:proofErr w:type="spellEnd"/>
      <w:r w:rsidRPr="006B1274">
        <w:rPr>
          <w:rFonts w:ascii="Times New Roman" w:hAnsi="Times New Roman" w:cs="Times New Roman"/>
          <w:color w:val="000000"/>
          <w:sz w:val="20"/>
          <w:szCs w:val="20"/>
        </w:rPr>
        <w:t xml:space="preserve"> de impactos em não adaptabilidade da população, em choque social, e não equidade social nivelar, apresentando índices de desigualdades latentes.</w:t>
      </w:r>
    </w:p>
    <w:p w14:paraId="7C8C4A9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D1636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48434B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B9DB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Ação Vinculada à COP30 em objetivo de Desenvolvimento Social cadastrada em Portal da Presidência da República do Brasil por Ato Social Sociosustentável Brasil Participativo: </w:t>
      </w:r>
    </w:p>
    <w:p w14:paraId="6D33E4A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https://brasilparticipativo.presidencia.gov.br/processes/cop30/f/1346/proposals/63733</w:t>
      </w:r>
    </w:p>
    <w:p w14:paraId="7AD8C0A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6482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Página de Especialidade de Políticas Públicas com Informação, Dicas, Conteúdo Ético e Transparência das Informações do Brasil e Parcerias de Implementação em Acordos Cooperacionais:</w:t>
      </w:r>
    </w:p>
    <w:p w14:paraId="72DDA7B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https://www.facebook.com/radarinformacao</w:t>
      </w:r>
    </w:p>
    <w:p w14:paraId="3C7777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E385A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62EF3BB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D2891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3DE2E8C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0868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6EA7FE9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DDF8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A3D73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COP30: Projeto da OTCA prevê políticas integradas entre países amazônicos e participação dos povos originários</w:t>
      </w:r>
    </w:p>
    <w:p w14:paraId="338361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2533C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encontro de ministros das nações amazônicas, Marina Silva cita combate ao crime ambiental entre fronteiras e proteção coordenada do bioma</w:t>
      </w:r>
    </w:p>
    <w:p w14:paraId="5E40B0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13/11/2025 15h07  Atualizado há 3 dias</w:t>
      </w:r>
    </w:p>
    <w:p w14:paraId="72BF249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EBA0C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Organização do Tratado de Cooperação Amazônica (OTCA) apresentou nesta quinta-feira o Projeto Regional OTCA – Florestas e Mudanças Climáticas, que busca fortalecer a cooperação entre os oito países amazônicos (Brasil, Bolívia, Colômbia, Equador, Guiana, Peru, Suriname e Venezuela) na proteção do bioma e na implementação de políticas integradas de adaptação climática. O encontro marca um passo decisivo rumo a uma visão de conjunto da Amazônia, como destacou a ministra brasileira do Meio Ambiente, Marina Silva, durante o evento na COP30, em Belém.</w:t>
      </w:r>
    </w:p>
    <w:p w14:paraId="4F82D52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38B04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ministra Marina Silva afirmou que o objetivo da OTCA na COP30 é consolidar a Comissão Especial de Meio Ambiente e Clima, que reunirá todos os ministros da região. Segundo Marina, a comissão vai operar com base na agenda definida na Cúpula da Amazônia de Belém, realizada em 2023, e se apoiará em um painel técnico-científico de monitoramento da Amazônia, que fornecerá dados para políticas públicas relacionadas a clima, biodiversidade, recursos hídricos e pesqueiros.</w:t>
      </w:r>
    </w:p>
    <w:p w14:paraId="3ECF95F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B82BF2" w14:textId="1374C2A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Entre as ações já em andamento, a ministra destacou o combate à criminalidade ambiental </w:t>
      </w:r>
      <w:proofErr w:type="spellStart"/>
      <w:r w:rsidRPr="006B1274">
        <w:rPr>
          <w:rFonts w:ascii="Times New Roman" w:hAnsi="Times New Roman" w:cs="Times New Roman"/>
          <w:color w:val="000000"/>
          <w:sz w:val="20"/>
          <w:szCs w:val="20"/>
        </w:rPr>
        <w:t>trans</w:t>
      </w:r>
      <w:proofErr w:type="spellEnd"/>
      <w:r w:rsidR="00257D04"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fronteiriça, com a criação de uma base avançada da Polícia Federal financiada pelo Fundo Amazônia. Além de projetos voltados à conectividade de áreas protegidas e ao fortalecimento de infraestruturas verdes e resilientes.</w:t>
      </w:r>
    </w:p>
    <w:p w14:paraId="007AC4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C77C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Queremos apostar também em uma agenda de desenvolvimento sustentável, em mecanismos de acesso a recursos genéticos que evitem a biopirataria e garantam a justa partilha de benefícios — disse Marina.</w:t>
      </w:r>
    </w:p>
    <w:p w14:paraId="000D9A7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EC13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a reunião dos ministros de Meio Ambiente da Amazônia também foi anunciado o mecanismo de povos indígenas da OTCA. O novo espaço institucional garante a representação igualitária de governos e lideranças indígenas, com um representante de cada país amazônico, totalizando 16 integrantes. O objetivo é assegurar que os povos originários participem diretamente das decisões sobre meio ambiente e clima.</w:t>
      </w:r>
    </w:p>
    <w:p w14:paraId="0FA7555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80EA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Marina Silva avaliou como positiva a condução da presidência brasileira da COP30, ressaltando o avanço das negociações e a rápida aprovação da agenda da conferência. Segundo ela, o Brasil pretende liderar a construção de um “mapa do caminho” para o fim do desmatamento e da dependência de combustíveis fósseis.</w:t>
      </w:r>
    </w:p>
    <w:p w14:paraId="69C0029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2FF6D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O presidente Lula levantou corajosamente a ideia de um plano global que una mitigação e adaptação. O Brasil fala com base em sua própria experiência, que já levou à redução de 50% do desmatamento na Amazônia nos últimos três anos e meio — afirmou.</w:t>
      </w:r>
    </w:p>
    <w:p w14:paraId="791D7D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5651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ministra também reforçou o papel do multilateralismo nas discussões climáticas e a importância da soberania compartilhada entre os países amazônicos, ao ser questionada sobre o estremecimento das relações entre Estados Unidos e Venezuela.</w:t>
      </w:r>
    </w:p>
    <w:p w14:paraId="398DE8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229F1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Nós somos países soberanos e queremos fortalecer relações de não de intervenção. E nesse sentido que a soberania de um não pode ser negligenciada porque isso significa enfraquecer a soberania de todos. Existem regras para as ações de combate ao crime organizado no âmbito dos acordos internacionais, e são esses acordos que devem ser observados — disse.</w:t>
      </w:r>
    </w:p>
    <w:p w14:paraId="0F3E02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E2B9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Link disponível em:</w:t>
      </w:r>
    </w:p>
    <w:p w14:paraId="0CF20245" w14:textId="77777777" w:rsidR="001C11E3" w:rsidRPr="002B2EDD" w:rsidRDefault="00576533" w:rsidP="00B36B27">
      <w:pPr>
        <w:spacing w:before="240" w:after="240" w:line="360" w:lineRule="auto"/>
        <w:rPr>
          <w:rFonts w:ascii="Times New Roman" w:hAnsi="Times New Roman" w:cs="Times New Roman"/>
          <w:color w:val="1A1A1A" w:themeColor="background1" w:themeShade="1A"/>
          <w:sz w:val="20"/>
          <w:szCs w:val="20"/>
        </w:rPr>
      </w:pPr>
      <w:hyperlink r:id="rId34">
        <w:r w:rsidRPr="002B2EDD">
          <w:rPr>
            <w:rFonts w:ascii="Times New Roman" w:hAnsi="Times New Roman" w:cs="Times New Roman"/>
            <w:color w:val="1A1A1A" w:themeColor="background1" w:themeShade="1A"/>
            <w:sz w:val="20"/>
            <w:szCs w:val="20"/>
          </w:rPr>
          <w:t>https://oglobo.globo.com/google/amp/brasil/cop-30-amazonia/noticia/2025/11/13/cop30-projeto-da-otca-preve-politicas-integradas-entre-paises-amazonicos-e-participacao-dos-povos-originarios.ghtml?fbclid=IwZnRzaAPJIotleHRuA2FlbQIxMQBzcnRjBmFwcF9pZAo2NjI4NTY4Mzc5AAEeIEEMyXcD5thEucf4qilriFDKMybjByukuh1bcZSBx28n7CI9xeY4iSPiZC0_aem_FkJjotr3AVRF4MRxK3F8Vg</w:t>
        </w:r>
      </w:hyperlink>
    </w:p>
    <w:p w14:paraId="3B4DC41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689AF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0D01A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ESPECIAL COP30 Brasil</w:t>
      </w:r>
    </w:p>
    <w:p w14:paraId="2F05C9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0C00A4F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C56C41" w14:textId="428BC2D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3D6A8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D1A244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EEE450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18 de Novembro de 2025 | 00:28 PM</w:t>
      </w:r>
    </w:p>
    <w:p w14:paraId="45DC09C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6FA2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6C3BE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E6850EF" w14:textId="77777777" w:rsidR="001C11E3" w:rsidRPr="002B2EDD"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2B2EDD">
        <w:rPr>
          <w:rFonts w:ascii="Times New Roman" w:hAnsi="Times New Roman" w:cs="Times New Roman"/>
          <w:b/>
          <w:bCs/>
          <w:color w:val="000000"/>
          <w:sz w:val="20"/>
          <w:szCs w:val="20"/>
        </w:rPr>
        <w:t>LET'S CHAT - PUBLICITÁRIA EXPLICA</w:t>
      </w:r>
    </w:p>
    <w:p w14:paraId="62F5CD2B" w14:textId="015CDBD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0ACCDD7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7059C9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8E130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487BE5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280A2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1F1A32E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1F1B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037128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2735F60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5C2BD9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1939AE3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54DD18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40F51F8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16C8870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F17F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data de ontem (17), houve a cerimônia de reunião de Ministros de 25 Países de delegações presentes em COP 30 para anunciar as suas Contribuições Nacionalmente Determinadas oficializadas à ONU.</w:t>
      </w:r>
    </w:p>
    <w:p w14:paraId="3CB5F8F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1C17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cada Conferência entre as Nações-Quadro representantes de Estado com balanço econômico, social, demográfico e ambiental ajustam seus Planejamentos ou anunciam novas Diretrizes em prol do cumprimento estabelecido em cada tratado.</w:t>
      </w:r>
    </w:p>
    <w:p w14:paraId="4CBAD32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43B8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o último protocolo oficialmente determinado de forma unânime em edições das COPs, o Protocolo de Paris de 2015, prevê o controle de temperatura do Planeta até 1,5ºC em comparativos pré-industriais.</w:t>
      </w:r>
    </w:p>
    <w:p w14:paraId="5F112E3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281FD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Nesta COP, no Brasil, a 30° Conferência das Partes trás o Mercado Regulado de Carbono e o TFFF. Medida inovadora que o Brasil encontrou para negociações econômicas, industriais e ambientais. Tudo que engloba os tratados internacionais em respeitar Limites Fronteiriços, Avaliações Bélicas em Produção e Exportação e Dignidade Humana para preservar vida sobre a Terra.</w:t>
      </w:r>
    </w:p>
    <w:p w14:paraId="6B599B9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7B219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 sentido para minimizar conflitos de Guerra e remunerar Países que cooperam com a manutenção do clima e a preservação ambiental. Reduzindo assim, fluxo de Exploração Industrial e alta competitividade entre mercados econômicos das Nações. Todos voltados pelo contexto de extração de matérias-primas para abastecimento do consumo mundial alimentar, energético e tecnológico colaborativos a manutenção do Desenvolvimento Sustentável, e ações para mitigar os impactos no Planeta, nos últimos anos, com maior foco na redução de emissões de GEE dos Combustíveis Fósseis.</w:t>
      </w:r>
    </w:p>
    <w:p w14:paraId="368A936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44DEA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a cerimônia de ontem (17), uma das representantes da ONU em bancada, mencionou que em 2024 houve o total de 2,2 Trilhões de Dólares de investimento em Biocombustíveis com 800 Milhões de Dólares à mais dos investimento em combustíveis fósseis, e encerrou discurso dizendo resumidamente, que: "Se o fluxo econômico tem sido aproveitado de forma sustentável, então o fluxo econômico está em caminho certo."</w:t>
      </w:r>
    </w:p>
    <w:p w14:paraId="561FAF5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97BA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Representando o Brasil, o Ministro Geraldo Alckmin, do Ministério da Indústria, Desenvolvimento, Comércio e Serviços (MDIC), citou o foco da redução das emissões provendo sustentabilidade e combate à Mudanças Climáticas. </w:t>
      </w:r>
    </w:p>
    <w:p w14:paraId="0FDDD5A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59196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112FE8F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60A460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2DF1C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ESPECIAL COP30 Brasil</w:t>
      </w:r>
    </w:p>
    <w:p w14:paraId="14A2559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32B9341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610C289" w14:textId="7DE2753F"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C03A3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429B229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48B18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18 de Novembro de 2025 | 01:15 AM</w:t>
      </w:r>
    </w:p>
    <w:p w14:paraId="773ACD2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DDB79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5D84A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BCA634" w14:textId="77777777" w:rsidR="001C11E3" w:rsidRPr="002B2EDD"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2B2EDD">
        <w:rPr>
          <w:rFonts w:ascii="Times New Roman" w:hAnsi="Times New Roman" w:cs="Times New Roman"/>
          <w:b/>
          <w:bCs/>
          <w:color w:val="000000"/>
          <w:sz w:val="20"/>
          <w:szCs w:val="20"/>
        </w:rPr>
        <w:t>LET'S CHAT - PUBLICITÁRIA EXPLICA</w:t>
      </w:r>
    </w:p>
    <w:p w14:paraId="0140C8EC" w14:textId="279F3E6D"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2D68C9C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281161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DDE4B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1407829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2AA89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2925D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641538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1D3176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0DAD3D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4A2FFA7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DA85B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2ED4E19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7E0307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Ontem (17), foi cumprida mais uma pequena etapa, de pequenos passos ao longo dos últimos 15 anos que estive ativamente promovendo através de Carreira Acadêmica e Profissional, diplomacia para fazer dos locais que habito ambientes melhores de se conviver, trabalhar e de aprender.</w:t>
      </w:r>
    </w:p>
    <w:p w14:paraId="2EAFCBF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930F6A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É através da informação, comunicação, da cultura e da educação que nos preparamos e fortalecemos em adversidades em tempo presente para transformar nosso futuro em algo melhor.</w:t>
      </w:r>
    </w:p>
    <w:p w14:paraId="567283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22761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Desenvolvimento Sustentável, um assunto do Século XXI, caminha lado-a-lado com a ética e justiça para transformar pessoas, territórios e o Planeta no símbolo do que entendemos como justo, inclusivo e digno.</w:t>
      </w:r>
    </w:p>
    <w:p w14:paraId="7F18EE2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7619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Este é só o começo de tudo que a ONU, o Brasil, cada Estado, cada Cidade e cada Cidadão idealizou e construiu nestes 525 anos de Brasil e 420 anos de Rio de Janeiro.</w:t>
      </w:r>
    </w:p>
    <w:p w14:paraId="1FBA5CB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B83A48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Parabéns Nações Unidas!</w:t>
      </w:r>
    </w:p>
    <w:p w14:paraId="144BDD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Prosperidade e Paz ao Planeta </w:t>
      </w:r>
      <w:r w:rsidRPr="006B1274">
        <w:rPr>
          <w:rFonts w:ascii="Apple Color Emoji" w:hAnsi="Apple Color Emoji" w:cs="Apple Color Emoji"/>
          <w:color w:val="000000"/>
          <w:sz w:val="20"/>
          <w:szCs w:val="20"/>
        </w:rPr>
        <w:t>💙</w:t>
      </w:r>
    </w:p>
    <w:p w14:paraId="3D73FD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CC21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233D15C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782C2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41F5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COP30 Brasil</w:t>
      </w:r>
    </w:p>
    <w:p w14:paraId="0780D2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7412CF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9E8922" w14:textId="15D0B4B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CFF9B9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501D4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3157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18 de Novembro de 2025 | 17:58 PM</w:t>
      </w:r>
    </w:p>
    <w:p w14:paraId="09F9CCF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F37FC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31EE5B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448331" w14:textId="77777777" w:rsidR="001C11E3" w:rsidRPr="002B2EDD"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2B2EDD">
        <w:rPr>
          <w:rFonts w:ascii="Times New Roman" w:hAnsi="Times New Roman" w:cs="Times New Roman"/>
          <w:b/>
          <w:bCs/>
          <w:color w:val="000000"/>
          <w:sz w:val="20"/>
          <w:szCs w:val="20"/>
        </w:rPr>
        <w:t>LET'S CHAT - PUBLICITÁRIA EXPLICA</w:t>
      </w:r>
    </w:p>
    <w:p w14:paraId="7F69BFB8" w14:textId="232AB51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16ECFCA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1CA4F0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B3DE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556D659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DE5B3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4D5F451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EB89C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191291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7877247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0DBF0B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7518BEE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516180E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49C2D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169648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54ED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 data de ontem (17), com a 2º e última semana da COP 30 aberta com agenda destinada ao Alto Nível, foram abertas as salas internacionais com participação de profissionais especialistas em área, representantes da ONU, cientistas, ambientalistas e parte de especialistas membros de Órgãos do Governo para tratar as questões ambientais no aspecto inter tático de ferramentas de </w:t>
      </w:r>
      <w:proofErr w:type="spellStart"/>
      <w:r w:rsidRPr="006B1274">
        <w:rPr>
          <w:rFonts w:ascii="Times New Roman" w:hAnsi="Times New Roman" w:cs="Times New Roman"/>
          <w:color w:val="000000"/>
          <w:sz w:val="20"/>
          <w:szCs w:val="20"/>
        </w:rPr>
        <w:t>geoprecisão</w:t>
      </w:r>
      <w:proofErr w:type="spellEnd"/>
      <w:r w:rsidRPr="006B1274">
        <w:rPr>
          <w:rFonts w:ascii="Times New Roman" w:hAnsi="Times New Roman" w:cs="Times New Roman"/>
          <w:color w:val="000000"/>
          <w:sz w:val="20"/>
          <w:szCs w:val="20"/>
        </w:rPr>
        <w:t xml:space="preserve"> e análise de dados.</w:t>
      </w:r>
    </w:p>
    <w:p w14:paraId="3B32097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A0DEFD" w14:textId="4649A4E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Entre as questões os especialistas trazem as necessidades para implementações eficazes e continuidade de forma a</w:t>
      </w:r>
      <w:r w:rsidR="00241C3A" w:rsidRPr="006B1274">
        <w:rPr>
          <w:rFonts w:ascii="Times New Roman" w:hAnsi="Times New Roman" w:cs="Times New Roman"/>
          <w:color w:val="000000"/>
          <w:sz w:val="20"/>
          <w:szCs w:val="20"/>
        </w:rPr>
        <w:t>ss</w:t>
      </w:r>
      <w:r w:rsidRPr="006B1274">
        <w:rPr>
          <w:rFonts w:ascii="Times New Roman" w:hAnsi="Times New Roman" w:cs="Times New Roman"/>
          <w:color w:val="000000"/>
          <w:sz w:val="20"/>
          <w:szCs w:val="20"/>
        </w:rPr>
        <w:t>ertiva aos planos de implementações já acordados.</w:t>
      </w:r>
    </w:p>
    <w:p w14:paraId="7B97467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76D9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a 1º rodada da coletiva de imprensa de hoje (18), representantes de análises de dados oficiais, mencionaram os eixos programáticos que também estão sendo acordados e não tão amplamente debatidos como o tema da Indústria e Combustíveis Fósseis, trazendo a necessidade de trazer representantes da área hidrológica para anteciparem as pautas do dia sobre saúde hídrica ao que compete áreas de mangues, vida marinha, preservação oceânica, segurança e turismo de áreas costeiras.</w:t>
      </w:r>
    </w:p>
    <w:p w14:paraId="6B7C823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29B9C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Este é o principal tema para abordar algumas novidades positivas como o sucesso de ONGs em segurança de Costa Marinha e aumento do número de locais de preservação que o Ministério do Meio Ambiente e Mudança do Clima já considera como positivo algumas ações anunciadas pelo Governo Federal, em conjunto ao </w:t>
      </w:r>
      <w:proofErr w:type="spellStart"/>
      <w:r w:rsidRPr="006B1274">
        <w:rPr>
          <w:rFonts w:ascii="Times New Roman" w:hAnsi="Times New Roman" w:cs="Times New Roman"/>
          <w:color w:val="000000"/>
          <w:sz w:val="20"/>
          <w:szCs w:val="20"/>
        </w:rPr>
        <w:t>ICMBio</w:t>
      </w:r>
      <w:proofErr w:type="spellEnd"/>
      <w:r w:rsidRPr="006B1274">
        <w:rPr>
          <w:rFonts w:ascii="Times New Roman" w:hAnsi="Times New Roman" w:cs="Times New Roman"/>
          <w:color w:val="000000"/>
          <w:sz w:val="20"/>
          <w:szCs w:val="20"/>
        </w:rPr>
        <w:t>.</w:t>
      </w:r>
    </w:p>
    <w:p w14:paraId="46DAEF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225C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A novidade foi anunciada em junho deste ano, com a ampliação de conservação da Costa de Corais com mais de 495 Hectares. As unidades anunciadas em preservação contemplam um dos mais importantes refúgios da biodiversidade marinha brasileira, abrigando espécies ameaçadas como tartarugas marinhas, baleias-jubarte, botos-cinza, aves migratórias e corais. </w:t>
      </w:r>
    </w:p>
    <w:p w14:paraId="394E64B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7A5D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Os pilares oficiais inseridos em Programa contém 6 eixos principais a serem debatidos em COP 30 neste alto nível:</w:t>
      </w:r>
    </w:p>
    <w:p w14:paraId="646F55D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3C737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1 - Cadeias agroindustriais sustentáveis e digitais para a segurança alimentar, nutricional e energética;</w:t>
      </w:r>
    </w:p>
    <w:p w14:paraId="10277B9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5BC5E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2 - Complexo econômico industrial de saúde resiliente para reduzir as vulnerabilidades do SUS</w:t>
      </w:r>
    </w:p>
    <w:p w14:paraId="3690216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ampliar o acesso à saúde;</w:t>
      </w:r>
    </w:p>
    <w:p w14:paraId="525EFD9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340731" w14:textId="68E9B81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3 - Infraes</w:t>
      </w:r>
      <w:r w:rsidR="00BC241F" w:rsidRPr="006B1274">
        <w:rPr>
          <w:rFonts w:ascii="Times New Roman" w:hAnsi="Times New Roman" w:cs="Times New Roman"/>
          <w:color w:val="000000"/>
          <w:sz w:val="20"/>
          <w:szCs w:val="20"/>
        </w:rPr>
        <w:t>t</w:t>
      </w:r>
      <w:r w:rsidRPr="006B1274">
        <w:rPr>
          <w:rFonts w:ascii="Times New Roman" w:hAnsi="Times New Roman" w:cs="Times New Roman"/>
          <w:color w:val="000000"/>
          <w:sz w:val="20"/>
          <w:szCs w:val="20"/>
        </w:rPr>
        <w:t>rutura, saneamento, moradia e mobilidades sustentáveis para a integração produtiva e o bem-estar nas cidades;</w:t>
      </w:r>
    </w:p>
    <w:p w14:paraId="64049B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C0CB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4 - Transformação digital da indústria para ampliar a produtividade;</w:t>
      </w:r>
    </w:p>
    <w:p w14:paraId="423AD88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9100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5 - Bioeconomia, descarbonização, transição e segurança energética para garantir os recursos para as gerações futuras;</w:t>
      </w:r>
    </w:p>
    <w:p w14:paraId="63C03E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3035A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Missão 6 - Tecnologias de interesse para soberania e defesa nacionais;</w:t>
      </w:r>
    </w:p>
    <w:p w14:paraId="11872F3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2B52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3AFE87F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1B1C83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5BEC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COP30 Brasil</w:t>
      </w:r>
    </w:p>
    <w:p w14:paraId="5D8746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299E4A3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91A800" w14:textId="58C2214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6E6CC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F340C2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AC30F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19 de Novembro de 2025 | 17:30 PM</w:t>
      </w:r>
    </w:p>
    <w:p w14:paraId="182E123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A7D0E9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6AA565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23D99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LET'S CHAT - PUBLICITÁRIA EXPLICA</w:t>
      </w:r>
    </w:p>
    <w:p w14:paraId="085FD645" w14:textId="694757A3"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5FABC91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5C4D6D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16586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4EDBEFB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88D8C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2AF0860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852CEE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4BD840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422674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584D5F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2B63EB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335D69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21AB5E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4653246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A7D62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Hoje (19), nas reuniões de Alto Nível envolvendo participação de profissionais especialistas em área, representantes da ONU, cientistas, ambientalistas e parte de especialistas membros de Órgãos do Governo para tratar as questões ambientais no aspecto inter tático de ferramentas de </w:t>
      </w:r>
      <w:proofErr w:type="spellStart"/>
      <w:r w:rsidRPr="006B1274">
        <w:rPr>
          <w:rFonts w:ascii="Times New Roman" w:hAnsi="Times New Roman" w:cs="Times New Roman"/>
          <w:color w:val="000000"/>
          <w:sz w:val="20"/>
          <w:szCs w:val="20"/>
        </w:rPr>
        <w:t>geoprecisão</w:t>
      </w:r>
      <w:proofErr w:type="spellEnd"/>
      <w:r w:rsidRPr="006B1274">
        <w:rPr>
          <w:rFonts w:ascii="Times New Roman" w:hAnsi="Times New Roman" w:cs="Times New Roman"/>
          <w:color w:val="000000"/>
          <w:sz w:val="20"/>
          <w:szCs w:val="20"/>
        </w:rPr>
        <w:t xml:space="preserve"> e análise de dados. A Casa da Ciência, do Ministério da Ciência, Tecnologia e Inovação, trouxe uma visão do monitoramento de sistemas em relação ao solo para controle da desertificação, característica marcada em Nordeste Brasileiro, por predominância de perfil semi-árido.</w:t>
      </w:r>
    </w:p>
    <w:p w14:paraId="07CFC7D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31B6E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o primeiro monitoramento realizado em 1992, e em contínua análise, especialistas identificam as oportunidades de irrigação, recuperação e até mesmo restauração com introdução agroindustrial por plantio para recuperar áreas desérticas que em sua maioria quando bem aproveitadas os solos apresentam mais oportunidades de ramificação e avanço produtivo do que outras áreas de cobertura verde. Mas todo este aspecto envolve alto custo, sendo apenas maneira paliativa agroindustrial de recuperação do solo e não para produção de larga-escala, são sistemas feitos por produtores regionais para controle do solo e reversão das secas causadas por períodos de estiagem severas que marcam o Nordeste.</w:t>
      </w:r>
    </w:p>
    <w:p w14:paraId="1342A0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E0793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Em outro espaço, também destinado ao Alto Nível com especialistas, a Casa Restauração, do Instituto Internacional para Sustentabilidade, com Painel de 11h30 às 13h abordou sobre Estratégias para expandir a regeneração natural assistida com os debatedores Cristian </w:t>
      </w:r>
      <w:proofErr w:type="spellStart"/>
      <w:r w:rsidRPr="006B1274">
        <w:rPr>
          <w:rFonts w:ascii="Times New Roman" w:hAnsi="Times New Roman" w:cs="Times New Roman"/>
          <w:color w:val="000000"/>
          <w:sz w:val="20"/>
          <w:szCs w:val="20"/>
        </w:rPr>
        <w:t>Samper</w:t>
      </w:r>
      <w:proofErr w:type="spellEnd"/>
      <w:r w:rsidRPr="006B1274">
        <w:rPr>
          <w:rFonts w:ascii="Times New Roman" w:hAnsi="Times New Roman" w:cs="Times New Roman"/>
          <w:color w:val="000000"/>
          <w:sz w:val="20"/>
          <w:szCs w:val="20"/>
        </w:rPr>
        <w:t xml:space="preserve"> da Bezos Earth </w:t>
      </w:r>
      <w:proofErr w:type="spellStart"/>
      <w:r w:rsidRPr="006B1274">
        <w:rPr>
          <w:rFonts w:ascii="Times New Roman" w:hAnsi="Times New Roman" w:cs="Times New Roman"/>
          <w:color w:val="000000"/>
          <w:sz w:val="20"/>
          <w:szCs w:val="20"/>
        </w:rPr>
        <w:t>Fund</w:t>
      </w:r>
      <w:proofErr w:type="spellEnd"/>
      <w:r w:rsidRPr="006B1274">
        <w:rPr>
          <w:rFonts w:ascii="Times New Roman" w:hAnsi="Times New Roman" w:cs="Times New Roman"/>
          <w:color w:val="000000"/>
          <w:sz w:val="20"/>
          <w:szCs w:val="20"/>
        </w:rPr>
        <w:t xml:space="preserve">, Mirela </w:t>
      </w:r>
      <w:proofErr w:type="spellStart"/>
      <w:r w:rsidRPr="006B1274">
        <w:rPr>
          <w:rFonts w:ascii="Times New Roman" w:hAnsi="Times New Roman" w:cs="Times New Roman"/>
          <w:color w:val="000000"/>
          <w:sz w:val="20"/>
          <w:szCs w:val="20"/>
        </w:rPr>
        <w:t>Sandrini</w:t>
      </w:r>
      <w:proofErr w:type="spellEnd"/>
      <w:r w:rsidRPr="006B1274">
        <w:rPr>
          <w:rFonts w:ascii="Times New Roman" w:hAnsi="Times New Roman" w:cs="Times New Roman"/>
          <w:color w:val="000000"/>
          <w:sz w:val="20"/>
          <w:szCs w:val="20"/>
        </w:rPr>
        <w:t xml:space="preserve"> da WRI-Brasil, Paulo Amaral da IMAZON e Marília </w:t>
      </w:r>
      <w:proofErr w:type="spellStart"/>
      <w:r w:rsidRPr="006B1274">
        <w:rPr>
          <w:rFonts w:ascii="Times New Roman" w:hAnsi="Times New Roman" w:cs="Times New Roman"/>
          <w:color w:val="000000"/>
          <w:sz w:val="20"/>
          <w:szCs w:val="20"/>
        </w:rPr>
        <w:t>Viotti</w:t>
      </w:r>
      <w:proofErr w:type="spellEnd"/>
      <w:r w:rsidRPr="006B1274">
        <w:rPr>
          <w:rFonts w:ascii="Times New Roman" w:hAnsi="Times New Roman" w:cs="Times New Roman"/>
          <w:color w:val="000000"/>
          <w:sz w:val="20"/>
          <w:szCs w:val="20"/>
        </w:rPr>
        <w:t xml:space="preserve"> do MMA com mediação de Bruna Pavani o tema foi a restauração de biomas de forma natural, com polinizadores citando o exemplo da espécie Jussara, o que conhecemos pelo tradicional Açaí, para auxiliar  na recuperação de áreas verdes.</w:t>
      </w:r>
    </w:p>
    <w:p w14:paraId="03A5DB0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CF449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para o tema efetivo e decisivo desta COP 30 sobre a região Amazônica e os Países desta região em eixo de Sul-Global o MGI, Ministério da Gestão e da Inovação em Serviços Públicos, promoveu um debate sobre os custos, transições, soluções renováveis e impactos que novos empreendimentos podem gerar na região Amazônica. De 12h30 às 13h30 com tema "Os custos de inação em Mudança Climática na Bacia Amazônica: capacidades estatais para a região", todos os debatedores do Painel de forma unânime expressaram os riscos e com dados expressando os resultados negativos captados por empresas ao avaliar Mudanças Climáticas e impacto à sociedade demonstrando também o alto valor estimado de custo para ações de Exploração Local Amazônica.</w:t>
      </w:r>
    </w:p>
    <w:p w14:paraId="068690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35D659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Um dos temas à debate pelo Brasil, é a liberação para Exploração do Petróleo via perfuração de solo em Foz Amazônica, um tema que chegou ao Supremo Tribunal de Justiça e corte Americana na ONU em limites éticos para exploração colocando como eixo central a Dignidade Humana e levando o tema a centro Global. Estas são as soluções inovadoras que balizaram diálogos em Século XXI apresentando soluções como Biocombustíveis e Transição Energética de Energia Limpa como os painéis solares e energia éolica. </w:t>
      </w:r>
    </w:p>
    <w:p w14:paraId="610F9D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2038A2" w14:textId="0F18047C"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Mercado Regulado de Carbono vem para viabilizar mercado entre o Brasil e o Oriente Medido com a OPEP em Golfo Pérsio para melhor redistribuição produtiva e descartar viabilidade de extração em áreas protegidas reforçando </w:t>
      </w:r>
      <w:proofErr w:type="spellStart"/>
      <w:r w:rsidRPr="006B1274">
        <w:rPr>
          <w:rFonts w:ascii="Times New Roman" w:hAnsi="Times New Roman" w:cs="Times New Roman"/>
          <w:color w:val="000000"/>
          <w:sz w:val="20"/>
          <w:szCs w:val="20"/>
        </w:rPr>
        <w:t>descartelização</w:t>
      </w:r>
      <w:proofErr w:type="spellEnd"/>
      <w:r w:rsidRPr="006B1274">
        <w:rPr>
          <w:rFonts w:ascii="Times New Roman" w:hAnsi="Times New Roman" w:cs="Times New Roman"/>
          <w:color w:val="000000"/>
          <w:sz w:val="20"/>
          <w:szCs w:val="20"/>
        </w:rPr>
        <w:t xml:space="preserve"> de mercado do Petróleo por áreas que possam gerar grandes impactos. Neste sentido, o EUA, aposta no controle do Mercado de Produção, por isso não se incluindo em Pro</w:t>
      </w:r>
      <w:r w:rsidR="007772AA" w:rsidRPr="006B1274">
        <w:rPr>
          <w:rFonts w:ascii="Times New Roman" w:hAnsi="Times New Roman" w:cs="Times New Roman"/>
          <w:color w:val="000000"/>
          <w:sz w:val="20"/>
          <w:szCs w:val="20"/>
        </w:rPr>
        <w:t>t</w:t>
      </w:r>
      <w:r w:rsidRPr="006B1274">
        <w:rPr>
          <w:rFonts w:ascii="Times New Roman" w:hAnsi="Times New Roman" w:cs="Times New Roman"/>
          <w:color w:val="000000"/>
          <w:sz w:val="20"/>
          <w:szCs w:val="20"/>
        </w:rPr>
        <w:t>ocolo de Paris como forma de Contingência, controlando também risco de elevadas emissões em escala isolada por Países, forçando aos Países a pensarem em soluções alternativas para redução de emissão e produção de combustíveis fósseis.</w:t>
      </w:r>
    </w:p>
    <w:p w14:paraId="0229695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9BAAA7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data de hoje após Painéis com os Órgãos Ministeriais foi encerrado período dedicado as reuniões de Alto Nível. A COP 30 vai até sexta-feira (21), com programações de Reuniões Oficiais nas Áreas da Zona Verde e Zona Azul do Pavilhão Brasil.</w:t>
      </w:r>
    </w:p>
    <w:p w14:paraId="592B314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0DBC7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4F04B3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7434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06FE6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ESPECIAL COP30 Brasil</w:t>
      </w:r>
    </w:p>
    <w:p w14:paraId="0A59C6F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313339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2B9440" w14:textId="27DB3A7B"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43E326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7C423E8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464BA7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19 de Novembro de 2025 | 23:42 PM</w:t>
      </w:r>
    </w:p>
    <w:p w14:paraId="7752851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3C92BC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7A182B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A210911" w14:textId="77777777" w:rsidR="001C11E3" w:rsidRPr="00D51D4C" w:rsidRDefault="00576533" w:rsidP="00B36B27">
      <w:pPr>
        <w:spacing w:before="240" w:after="240" w:line="360" w:lineRule="auto"/>
        <w:rPr>
          <w:rFonts w:ascii="Times New Roman" w:hAnsi="Times New Roman" w:cs="Times New Roman"/>
          <w:b/>
          <w:bCs/>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Pr="00D51D4C">
        <w:rPr>
          <w:rFonts w:ascii="Times New Roman" w:hAnsi="Times New Roman" w:cs="Times New Roman"/>
          <w:b/>
          <w:bCs/>
          <w:color w:val="000000"/>
          <w:sz w:val="20"/>
          <w:szCs w:val="20"/>
        </w:rPr>
        <w:t>LET'S CHAT - PUBLICITÁRIA EXPLICA</w:t>
      </w:r>
    </w:p>
    <w:p w14:paraId="00658F72" w14:textId="2770B67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533CB9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5BAD8F4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5D76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1895D85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799752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Conteúdo Sustentável </w:t>
      </w:r>
      <w:r w:rsidRPr="006B1274">
        <w:rPr>
          <w:rFonts w:ascii="Apple Color Emoji" w:hAnsi="Apple Color Emoji" w:cs="Apple Color Emoji"/>
          <w:color w:val="000000"/>
          <w:sz w:val="20"/>
          <w:szCs w:val="20"/>
        </w:rPr>
        <w:t>🤩✨</w:t>
      </w:r>
    </w:p>
    <w:p w14:paraId="652FE9B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2663E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ONU MULHERES </w:t>
      </w:r>
      <w:r w:rsidRPr="006B1274">
        <w:rPr>
          <w:rFonts w:ascii="Apple Color Emoji" w:hAnsi="Apple Color Emoji" w:cs="Apple Color Emoji"/>
          <w:color w:val="000000"/>
          <w:sz w:val="20"/>
          <w:szCs w:val="20"/>
        </w:rPr>
        <w:t>🌸</w:t>
      </w:r>
    </w:p>
    <w:p w14:paraId="2DD28A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113646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ONU exerce um importante papel em prol dos Direitos Humanos e desde sua 1º Carta, em fundação da Organização das Nações Unidas,  em 1945 o Brasil já estava entre as Nações representado por uma mulher.</w:t>
      </w:r>
    </w:p>
    <w:p w14:paraId="5FFFDA5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56775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Bertha Maria Júlia Lutz, uma ativista, bióloga, educadora, diplomata e política brasileira. Inspirando sempre noções sustentáveis e norteadoras em prol de um desenvolvimento sustentável e menos agressivo em ações degradantes ao Planeta, assim como o perfil de Bertha, esta COP, aqui no Brasil, reforça como é possível produzir sem degradar. Típico da força e resiliência de mulheres que sobrevivem em áreas amazônicas pelo trabalho artesanal sem perder o charme e a força que uma mulher carrega consigo.</w:t>
      </w:r>
    </w:p>
    <w:p w14:paraId="1D09E80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017FF6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mercado do vestuário sempre foi um dos vilões no aspecto de produção, até a criação e estratégia de mercado em manter áreas preservadas em cíclica produção em um conceito renovável e sustentável.</w:t>
      </w:r>
    </w:p>
    <w:p w14:paraId="53AF0E7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CA5CC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São peças menos agressivas ao meio ambiente em seu ciclo de produção de alta confecção ou até mesmo com tecidos mais ecológicos que sofreram menos processos químicos e de fácil decomposição.</w:t>
      </w:r>
    </w:p>
    <w:p w14:paraId="5755C93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115CA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Falando de aspectos econômicos e industriais isto soa sempre como uma decisão de como comprar conscientemente ou como não investir em peças que degradam o Meio Ambiente ou Animais para produção.</w:t>
      </w:r>
    </w:p>
    <w:p w14:paraId="0BFB0A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D65EC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Já para nós mulheres sempre fica aquela impressão de vaidade e muitas vezes críticas sem sermos taxadas ou julgadas, por isso ser economista ou uma mulher Especialista em áreas financeiras traz duplamente o julgamento e pré-impressão ao palpitarmos sobre algo sem sermos desacreditadas em estratégias específicas de aplicações financeiras, seja em Finanças Pessoais ou em Finanças Econômicas Administrativas por desempenho profissional.</w:t>
      </w:r>
    </w:p>
    <w:p w14:paraId="12FDD0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E44100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Isto representa boa parte de mulheres que não possuem autonomia na gestão de recursos financeiros. Pode parecer radical, mas acontece e nada melhor do que exemplificar o Brasil neste período atual em que somos maior parte da população e em algumas empresas maiores números em lideranças, mas ainda assim, não alcançamos patamares ideais de satisfação em recursos financeiros por meios lícitos e dignos em equiparação de gênero.</w:t>
      </w:r>
    </w:p>
    <w:p w14:paraId="0426A0E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F85E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Mulheres em carreiras meteóricas como Modelos, Artistas, "Partners" e agora na nova classificação de Influenciadoras Digitais alcançam índices econômicos em poder aquisitivo mais alto e em maior apelo ao mercado de luxo e "desejo" que o poder de compra pode persuadir em uma ação de venda.</w:t>
      </w:r>
    </w:p>
    <w:p w14:paraId="4B4168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5A3CA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 nesta ideologia tentam "acostumar" nós mulheres a termos índices econômicos menos igualitários do que outras mulheres tipificadas ou rotuladas como peças atribuíveis de apelo comercial ou então do que homens em mesmos históricos e cargos profissionais.</w:t>
      </w:r>
    </w:p>
    <w:p w14:paraId="4BD65B5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79FB2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Eis o conceito de desigualdade de gênero.</w:t>
      </w:r>
    </w:p>
    <w:p w14:paraId="57A5FB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Quando fica nitidamente escancarado que nós mulheres íntegras, profissionais e éticas não somos meritocráticas ou temos grande dificuldade de acessar economicamente autonomia financeira em gerir e sustentar-se de forma digna em carreiras de forma estruturada de educação regular, seguida de rotina acadêmica universitária e profissional.</w:t>
      </w:r>
    </w:p>
    <w:p w14:paraId="15BC133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392A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Seguindo a lógica do Alistamento Obrigatório para homens. Mulheres já apresentam desvantagem ao alcançarem mesmos índices econômicos de forma igualitária aos 18 anos. Afinal homens e mulheres disputamos as mesmas vagas em Universidades para acesso à carreira profissional. E em uma lógica mais convergente há ainda pautas homossexuais que em tempos atuais podem ser mais entendidas de forma aprofundada por homens em classificação </w:t>
      </w:r>
      <w:proofErr w:type="spellStart"/>
      <w:r w:rsidRPr="006B1274">
        <w:rPr>
          <w:rFonts w:ascii="Times New Roman" w:hAnsi="Times New Roman" w:cs="Times New Roman"/>
          <w:color w:val="000000"/>
          <w:sz w:val="20"/>
          <w:szCs w:val="20"/>
        </w:rPr>
        <w:t>LGBTQIAP</w:t>
      </w:r>
      <w:proofErr w:type="spellEnd"/>
      <w:r w:rsidRPr="006B1274">
        <w:rPr>
          <w:rFonts w:ascii="Times New Roman" w:hAnsi="Times New Roman" w:cs="Times New Roman"/>
          <w:color w:val="000000"/>
          <w:sz w:val="20"/>
          <w:szCs w:val="20"/>
        </w:rPr>
        <w:t xml:space="preserve">+ porque mulheres não conseguem alcançar certo mercado por tamanho preconceito e restrição, demonstrando ainda lacuna em disparidade de carreiras acadêmicas entre homens e mulheres, tendo o setor da moda número misto e, atualmente, em crescimento contínuo por homens </w:t>
      </w:r>
      <w:proofErr w:type="spellStart"/>
      <w:r w:rsidRPr="006B1274">
        <w:rPr>
          <w:rFonts w:ascii="Times New Roman" w:hAnsi="Times New Roman" w:cs="Times New Roman"/>
          <w:color w:val="000000"/>
          <w:sz w:val="20"/>
          <w:szCs w:val="20"/>
        </w:rPr>
        <w:t>LGBTQIAP</w:t>
      </w:r>
      <w:proofErr w:type="spellEnd"/>
      <w:r w:rsidRPr="006B1274">
        <w:rPr>
          <w:rFonts w:ascii="Times New Roman" w:hAnsi="Times New Roman" w:cs="Times New Roman"/>
          <w:color w:val="000000"/>
          <w:sz w:val="20"/>
          <w:szCs w:val="20"/>
        </w:rPr>
        <w:t>+.</w:t>
      </w:r>
    </w:p>
    <w:p w14:paraId="0B27DE1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7FA9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isso a ONU mulheres une forças para minimizar a desigualdade de gênero e garantir direitos femininos previstos constitucionalmente e em conceitos universais. Nestes 80 anos as Nações Unidas estreitam laços para garantir a redução das desigualdades, enquadrado também à conceitos de gênero.</w:t>
      </w:r>
    </w:p>
    <w:p w14:paraId="2391378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50C92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1E59817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AC96CD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61DC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614AB8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 Social para as Redes Sociais</w:t>
      </w:r>
    </w:p>
    <w:p w14:paraId="0AA7E84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85C261" w14:textId="00D969A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347EE8F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3BD256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A4FAA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20 de Novembro de 2025 | 17:10 PM</w:t>
      </w:r>
    </w:p>
    <w:p w14:paraId="2D40FD3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13F9BB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Economia, Educação e Trabalho</w:t>
      </w:r>
    </w:p>
    <w:p w14:paraId="7044DEA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D1E37C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Educação em Século XXI, Uma experiência Modernista da Semana de 2022</w:t>
      </w:r>
    </w:p>
    <w:p w14:paraId="2B4DE2D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0367D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Alusão a Semana de 1922 e Manifesto Social</w:t>
      </w:r>
    </w:p>
    <w:p w14:paraId="2BB4270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Racismo Estrutural, Revolta dos Canudos, Manifestos Estudantis, Democratização da Educação.</w:t>
      </w:r>
    </w:p>
    <w:p w14:paraId="394A3C0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ED44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Mudanças por Promulgação Constituinte (1988)</w:t>
      </w:r>
    </w:p>
    <w:p w14:paraId="7C70E89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9865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7B899EBC" w14:textId="2A145CD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699B9A5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117DDC9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48481E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0A77FD6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40BEF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26EA06A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7B0F26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0F569ED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091827C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7EBA9A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57D7CCD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0CDB6A7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8F4C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MutiraoCOP30</w:t>
      </w:r>
      <w:proofErr w:type="spellEnd"/>
    </w:p>
    <w:p w14:paraId="0C6F7C0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BalancoEticoGlobal</w:t>
      </w:r>
      <w:proofErr w:type="spellEnd"/>
    </w:p>
    <w:p w14:paraId="2BF689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GlobalEthicalStocktake</w:t>
      </w:r>
      <w:proofErr w:type="spellEnd"/>
    </w:p>
    <w:p w14:paraId="2C11C5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0E22A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ruptura do Período Neo-Clássico em 1920 o Brasil ansiando novos planos sociais reestruturou sua cultura através da Educação, Obras Públicas para receber a modernidade dos carros, Cultura com o Movimento Modernista e Economia com inserção de Negros em sistema educacional para emancipação pelo mercado de trabalho.</w:t>
      </w:r>
    </w:p>
    <w:p w14:paraId="3F92B14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A8DB71" w14:textId="6A39FEF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Estes foram os primeiros passos para um princípio de igualdade social, na Europa, tendo a estratificação social por classes, a queda da Bastilha na França, simbolizou ares de um Novo Mundo pautados por Direitos Constitucionais regido por Assembléias Constituintes e Direitos Humanos de dignidade à vida por Carta Magna Americana.</w:t>
      </w:r>
    </w:p>
    <w:p w14:paraId="5DF783A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824C0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 esta ação, em 1922, o Brasil, anunciou seus novos rumos da Diplomacia por Acadêmicos através do Modernismo. Um Movimento Cultural, Social, Arquitetônico, Urbanístico e Político que após ato de Proclamação da República e então firmamento do Brasil como Nação, o movimento idealizava formar uma identidade cultural alicerçada nas riquezas ambientais do País revelando forças e fraquezas do Brasil em um retrato social por regiões.</w:t>
      </w:r>
    </w:p>
    <w:p w14:paraId="50AC52E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DF5735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Movimento não aceito por Classe Social branca de forma receptiva por trazer em esfera Política-Social o corte de alguns privilégios de famílias colonas descendes de Europeus formadora da Alta Classe Brasileira, com Diplomacia, Educação e Políticas Públicas reverteram cenários de estratificação racial que o Brasil até então continha de forma escancarada por histórico de formação demográfica passando para um plano assertivo que pintou o Retrato do Brasil por Regiões.</w:t>
      </w:r>
    </w:p>
    <w:p w14:paraId="4C576B8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0C53BD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através do movimento Modernista que foi possível identificar as forças e as fragilidades do Brasil, e com denúncias de caráter ambiental traçou o estreitamento de laços por diversos povos que aqui habitavam o País, desde povos originários Indígenas até formação social de Mestiços e Colonos convergindo caminhos para o consenso de recuperação ambiental como legado que Dom Pedro I deixou por escrituras Régias em garantir melhores condições dignas ao Brasil após devastação do Estado do Rio de Janeiro como Capital Colonial Portuguesa.</w:t>
      </w:r>
    </w:p>
    <w:p w14:paraId="39947A9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030FA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sucesso do Movimento, formou-se um grupo de principais representantes Artísticos, Escritores, Musicistas, Engenheiros, Médicos, Políticos e Representantes do Direito para representar o Brasil.</w:t>
      </w:r>
    </w:p>
    <w:p w14:paraId="420151A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7A6FA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Nas Artes, formava-se o Grupo dos 5, com Tarsila do Amaral, Anita </w:t>
      </w:r>
      <w:proofErr w:type="spellStart"/>
      <w:r w:rsidRPr="006B1274">
        <w:rPr>
          <w:rFonts w:ascii="Times New Roman" w:hAnsi="Times New Roman" w:cs="Times New Roman"/>
          <w:color w:val="000000"/>
          <w:sz w:val="20"/>
          <w:szCs w:val="20"/>
        </w:rPr>
        <w:t>Malfati</w:t>
      </w:r>
      <w:proofErr w:type="spellEnd"/>
      <w:r w:rsidRPr="006B1274">
        <w:rPr>
          <w:rFonts w:ascii="Times New Roman" w:hAnsi="Times New Roman" w:cs="Times New Roman"/>
          <w:color w:val="000000"/>
          <w:sz w:val="20"/>
          <w:szCs w:val="20"/>
        </w:rPr>
        <w:t xml:space="preserve">, Mário de Andrade, Oswaldo de Andrade e Menotti del </w:t>
      </w:r>
      <w:proofErr w:type="spellStart"/>
      <w:r w:rsidRPr="006B1274">
        <w:rPr>
          <w:rFonts w:ascii="Times New Roman" w:hAnsi="Times New Roman" w:cs="Times New Roman"/>
          <w:color w:val="000000"/>
          <w:sz w:val="20"/>
          <w:szCs w:val="20"/>
        </w:rPr>
        <w:t>Picchia</w:t>
      </w:r>
      <w:proofErr w:type="spellEnd"/>
      <w:r w:rsidRPr="006B1274">
        <w:rPr>
          <w:rFonts w:ascii="Times New Roman" w:hAnsi="Times New Roman" w:cs="Times New Roman"/>
          <w:color w:val="000000"/>
          <w:sz w:val="20"/>
          <w:szCs w:val="20"/>
        </w:rPr>
        <w:t xml:space="preserve"> e para  outras classes de Profissionais tínhamos nomes como Heitor Villa Lobos, Oscar Niemeyer, Pereira Passos e Roquete Pinto para consolidar e incluir o Brasil no modernismo universalizado já contendo sua identidade. Todos eles passando pela primeira Universidade do Brasil, a Universidade Federal do Rio de Janeiro.</w:t>
      </w:r>
    </w:p>
    <w:p w14:paraId="6BE29B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F710D98" w14:textId="705E5AB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ascensão Social e Política de forma Diplomática o Brasil conseguiu fortalecer alianças </w:t>
      </w:r>
      <w:r w:rsidR="007772AA" w:rsidRPr="006B1274">
        <w:rPr>
          <w:rFonts w:ascii="Times New Roman" w:hAnsi="Times New Roman" w:cs="Times New Roman"/>
          <w:color w:val="000000"/>
          <w:sz w:val="20"/>
          <w:szCs w:val="20"/>
        </w:rPr>
        <w:t xml:space="preserve">sócio </w:t>
      </w:r>
      <w:r w:rsidRPr="006B1274">
        <w:rPr>
          <w:rFonts w:ascii="Times New Roman" w:hAnsi="Times New Roman" w:cs="Times New Roman"/>
          <w:color w:val="000000"/>
          <w:sz w:val="20"/>
          <w:szCs w:val="20"/>
        </w:rPr>
        <w:t>econômicas para acordo e cooperação em prol da Paz para tornar um mundo livre de Guerras Militares sendo mais justo e inclusivo, livre do trabalho escravo e inspirado em conceito de formação social regido por Direitos Sociais em Sociedade.</w:t>
      </w:r>
    </w:p>
    <w:p w14:paraId="5F23633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BA1736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os principais artistas em território Sula-Americano, entre eles as duas mulheres mais famosas com exposições em Louvre, Tarsila do Amaral e Frida Kahlo:</w:t>
      </w:r>
    </w:p>
    <w:p w14:paraId="2BD5AC2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https://www.artmajeur.com/pt/magazine/5-historia-da-arte/os-10-artistas-da-america-latina-que-revolucionaram-a-arte-mundial/335707</w:t>
      </w:r>
    </w:p>
    <w:p w14:paraId="3F3B588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2BFD12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73C812D8" w14:textId="77777777"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6D84C47E" wp14:editId="1973166E">
            <wp:extent cx="4662443" cy="8058012"/>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5"/>
                    <a:srcRect/>
                    <a:stretch>
                      <a:fillRect/>
                    </a:stretch>
                  </pic:blipFill>
                  <pic:spPr>
                    <a:xfrm>
                      <a:off x="0" y="0"/>
                      <a:ext cx="4662443" cy="8058012"/>
                    </a:xfrm>
                    <a:prstGeom prst="rect">
                      <a:avLst/>
                    </a:prstGeom>
                    <a:ln/>
                  </pic:spPr>
                </pic:pic>
              </a:graphicData>
            </a:graphic>
          </wp:inline>
        </w:drawing>
      </w:r>
    </w:p>
    <w:p w14:paraId="5D87D97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AE5A6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CF40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0FDB8DC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4DBAF36" w14:textId="72A152F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ADD9E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130C21C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37817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21 de Novembro de 2025 | 18:20 PM</w:t>
      </w:r>
    </w:p>
    <w:p w14:paraId="413D698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C063C5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46464081" w14:textId="3F8866F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10257FC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09A4239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8F5AB4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03B8735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62DEB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3ABB385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3B6C3B0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4221D0A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264DED8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169E5EF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54ADD4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2BAD5BB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A3E5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dia de ontem (20), em 10° dia da COP30 Brasil a agenda do dia foi pautada por temas da Agroindústria. Na Zona Azul em Pavilhão Brasil, no Auditório Cumaru, com Painel da Unilever, o tema do início da tarde foi "Agricultura Regenerativa como Caminho para Mitigação das Emissões na Produção Agrícola".</w:t>
      </w:r>
    </w:p>
    <w:p w14:paraId="0EB4BCE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BF96F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Marcado pela hegemonia de engenhos da cana-de-açúcar como característica do Grupo Unilever que agrega outras marcas brasileiras, o Painel debateu sobre as expectativas da indústria com esta COP30, e quais os processos de adaptação ou reconhecimento da Área Amazônica.</w:t>
      </w:r>
    </w:p>
    <w:p w14:paraId="3F0EC87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52E1F94" w14:textId="5F511FD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um debatedor de Países fronteiriços ao Brasil, o convidado internacional reforçou as falas de Ministros quanto a impleme</w:t>
      </w:r>
      <w:r w:rsidR="00BC2C3A" w:rsidRPr="006B1274">
        <w:rPr>
          <w:rFonts w:ascii="Times New Roman" w:hAnsi="Times New Roman" w:cs="Times New Roman"/>
          <w:color w:val="000000"/>
          <w:sz w:val="20"/>
          <w:szCs w:val="20"/>
        </w:rPr>
        <w:t>n</w:t>
      </w:r>
      <w:r w:rsidRPr="006B1274">
        <w:rPr>
          <w:rFonts w:ascii="Times New Roman" w:hAnsi="Times New Roman" w:cs="Times New Roman"/>
          <w:color w:val="000000"/>
          <w:sz w:val="20"/>
          <w:szCs w:val="20"/>
        </w:rPr>
        <w:t>tação como legado neste Século XXI de ampliar as soluções que foram negociadas entre países do Sul-Global, englobando também Países fronteiriços da Região Amazônica a OTCA (Bolívia, Brasil, Colômbia, Equador, Guiana, Peru, Suriname e Venezuela).</w:t>
      </w:r>
    </w:p>
    <w:p w14:paraId="457E452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82F17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tarde de ontem (20), próximo às 15h um incêndio atingiu o Pavilhão Brasil, local onde ocorreram os Painéis da Zona Azul e Zona Verde da COP 30 Brasil, em Belém, no Pará.</w:t>
      </w:r>
    </w:p>
    <w:p w14:paraId="61A25D8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CEBE9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Nenhuma pessoa ficou ferida. Os canais das Casas Abertas em Parceria para a COP 30 como a Casa da Ciência, Casa Brasil e Casa Sul Global mantiveram suas programações e não foram atingidas pelo incêndio.</w:t>
      </w:r>
    </w:p>
    <w:p w14:paraId="71762A4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D41C65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reunião do Grupo de Alto Nível para Ministros foi encerrada em cerimônia Oficial pela CEO Ana Toni e a Coordenadora-Geral da Agenda de Ação Bruna Cerqueira em 19/11.</w:t>
      </w:r>
    </w:p>
    <w:p w14:paraId="3F6276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F5CB1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Em Coletiva de Imprensa do 9° dia da</w:t>
      </w:r>
    </w:p>
    <w:p w14:paraId="62165A8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COP3O (19/11), foi anunciada a ausência do Presidente da República para o dia 20/11 por compromissos presidenciais paralelos à agenda.</w:t>
      </w:r>
    </w:p>
    <w:p w14:paraId="0E9CCB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457B5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Ontem, 20/11 não houve coletiva de imprensa veiculada pelos Canais Oficiais da COP3O Brasil, por este motivo, acompanhe um balanço final desta COP3O com menção aos pacotes financeiros que foram anunciados de ações para alcance da meta estabelecida de captações em NDCS por aportes financeiros.</w:t>
      </w:r>
    </w:p>
    <w:p w14:paraId="74993F7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625E0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 198 Países das Nações assinantes dos acordos para cooperações em mitigar impactos climáticos firmados pelo Acordo de Paris em 2015 e atualizadas para esta COP30 destes Países 118 já apresentaram suas soluções e contribuições. Os documentos foram assinados para as últimas negociações em Cúpula do G20 Brasil e BRICS Brasil, ambos com sede no Rio de Janeiro.</w:t>
      </w:r>
    </w:p>
    <w:p w14:paraId="6618CD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090373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O documento final e oficial de entrega destes 20 Anos em Século XXI irá conter o resumo das negociações em Reuniões de Cúpulas e as soluções da fase do Brasil em implementar e organizar a Indústria visando mais proteção ambiental e alternativas para redução gradativa de emissões até 2050. Para isto, apresentando e provendo seguridade econômica às alternativas de energias renováveis ou comprovando cientificamente por conseguir manter processos energéticos sem degradar ou desmatar áreas verdes e oceanos. </w:t>
      </w:r>
    </w:p>
    <w:p w14:paraId="17A3D82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3A93F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0EEEE1C4" w14:textId="77777777" w:rsidR="001C11E3" w:rsidRDefault="001C11E3" w:rsidP="00B36B27">
      <w:pPr>
        <w:spacing w:before="240" w:after="240" w:line="360" w:lineRule="auto"/>
        <w:rPr>
          <w:rFonts w:ascii="Times New Roman" w:hAnsi="Times New Roman" w:cs="Times New Roman"/>
          <w:color w:val="000000"/>
          <w:sz w:val="20"/>
          <w:szCs w:val="20"/>
        </w:rPr>
      </w:pPr>
    </w:p>
    <w:p w14:paraId="75DA8ECB" w14:textId="77777777" w:rsidR="001E6CA2" w:rsidRDefault="001E6CA2" w:rsidP="00B36B27">
      <w:pPr>
        <w:spacing w:before="240" w:after="240" w:line="360" w:lineRule="auto"/>
        <w:rPr>
          <w:rFonts w:ascii="Times New Roman" w:hAnsi="Times New Roman" w:cs="Times New Roman"/>
          <w:color w:val="000000"/>
          <w:sz w:val="20"/>
          <w:szCs w:val="20"/>
        </w:rPr>
      </w:pPr>
    </w:p>
    <w:p w14:paraId="3FECC899" w14:textId="77777777" w:rsidR="001E6CA2" w:rsidRPr="006B1274" w:rsidRDefault="001E6CA2" w:rsidP="00B36B27">
      <w:pPr>
        <w:spacing w:before="240" w:after="240" w:line="360" w:lineRule="auto"/>
        <w:rPr>
          <w:rFonts w:ascii="Times New Roman" w:hAnsi="Times New Roman" w:cs="Times New Roman"/>
          <w:color w:val="000000"/>
          <w:sz w:val="20"/>
          <w:szCs w:val="20"/>
        </w:rPr>
      </w:pPr>
    </w:p>
    <w:p w14:paraId="7D57DF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F311C1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0A0F011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CA87576" w14:textId="2AB8D3E5"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3F7229"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65AF27F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0B9D824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49AC8B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22 de Novembro de 2025 | 15:30 PM</w:t>
      </w:r>
    </w:p>
    <w:p w14:paraId="3111CFF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633FB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61914B24" w14:textId="463F1029"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1DFC8C3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7C9C795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9E7EA8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711C1FE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01580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519B06B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435CA1B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53B40A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3D16B09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2A81E73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5490696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432832E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836121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No dia de hoje (22), chega ao consenso a Plenária de Encerramento Oficial da COP30 Brasil. Todas as negociações debatidas ao longo dos 5 anos do Brasil como anfitrião do Evento Oficial sobre Mudanças Climáticas, esta edição e temática representada pelo Brasil em Liderança traz ao desfecho anúncios importantes para desdobramento do Século e decisões colaborativas à Conferência das Partes das Nações-Quadro pertencentes às Nações Unidas.</w:t>
      </w:r>
    </w:p>
    <w:p w14:paraId="4D603F4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068D261" w14:textId="648797C8"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Sendo o Emirados </w:t>
      </w:r>
      <w:r w:rsidR="008B587D" w:rsidRPr="006B1274">
        <w:rPr>
          <w:rFonts w:ascii="Times New Roman" w:hAnsi="Times New Roman" w:cs="Times New Roman"/>
          <w:color w:val="000000"/>
          <w:sz w:val="20"/>
          <w:szCs w:val="20"/>
        </w:rPr>
        <w:t>Árabes</w:t>
      </w:r>
      <w:r w:rsidRPr="006B1274">
        <w:rPr>
          <w:rFonts w:ascii="Times New Roman" w:hAnsi="Times New Roman" w:cs="Times New Roman"/>
          <w:color w:val="000000"/>
          <w:sz w:val="20"/>
          <w:szCs w:val="20"/>
        </w:rPr>
        <w:t xml:space="preserve"> um novo grupo incorporado ao contexto sócio-econômico de pertinência à Protocolos e Acordos Cooperacionais ao que compete visão Geop</w:t>
      </w:r>
      <w:r w:rsidR="008B587D"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lítica e Econômica da área de Golfo Pérsio representado pela OPEP, isto determina as próximas decisões do Mercado de Combustíveis Fósseis à Nível Global o que intermedia custos de mercado à todos os setores e provém das sanções e taxações concedidas pelo Estados Unidos da América, atual balanceador de mercado através da ONU desde o fim da 2º Guerra Mundial.</w:t>
      </w:r>
    </w:p>
    <w:p w14:paraId="505B743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F85EC1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Brasil é líder neste aspecto frente à ONU através do BRICS, grupo defendido e representado pela Rússia, Brasil, Índia, China e África do Sul. Na noite de ontem, negociadores e embaixadores debateram sobre os recursos de Combustíveis Fósseis alegando que Países da África do Sul, atualmente, detém somente 4% de mercado, valor inexpressivo para fortalecimento econômico. O Presidente da COP30, André Corrêa do Lago, reforçou em alta menção a forma resumida o "</w:t>
      </w:r>
      <w:proofErr w:type="spellStart"/>
      <w:r w:rsidRPr="006B1274">
        <w:rPr>
          <w:rFonts w:ascii="Times New Roman" w:hAnsi="Times New Roman" w:cs="Times New Roman"/>
          <w:color w:val="000000"/>
          <w:sz w:val="20"/>
          <w:szCs w:val="20"/>
        </w:rPr>
        <w:t>Roadmap</w:t>
      </w:r>
      <w:proofErr w:type="spellEnd"/>
      <w:r w:rsidRPr="006B1274">
        <w:rPr>
          <w:rFonts w:ascii="Times New Roman" w:hAnsi="Times New Roman" w:cs="Times New Roman"/>
          <w:color w:val="000000"/>
          <w:sz w:val="20"/>
          <w:szCs w:val="20"/>
        </w:rPr>
        <w:t xml:space="preserve"> Net Zero" ou o chamado Mapa do Caminho, reforçando a última NDC do Brasil apresentada em COP29 no </w:t>
      </w:r>
      <w:proofErr w:type="spellStart"/>
      <w:r w:rsidRPr="006B1274">
        <w:rPr>
          <w:rFonts w:ascii="Times New Roman" w:hAnsi="Times New Roman" w:cs="Times New Roman"/>
          <w:color w:val="000000"/>
          <w:sz w:val="20"/>
          <w:szCs w:val="20"/>
        </w:rPr>
        <w:t>Azerbajão</w:t>
      </w:r>
      <w:proofErr w:type="spellEnd"/>
      <w:r w:rsidRPr="006B1274">
        <w:rPr>
          <w:rFonts w:ascii="Times New Roman" w:hAnsi="Times New Roman" w:cs="Times New Roman"/>
          <w:color w:val="000000"/>
          <w:sz w:val="20"/>
          <w:szCs w:val="20"/>
        </w:rPr>
        <w:t xml:space="preserve">, em Baku, que implementa os esforços do Brasil em compromisso da descarbonização com Biocombustíveis e Energia Renovável estendida à todos os adeptos da negociação de forma justa. </w:t>
      </w:r>
    </w:p>
    <w:p w14:paraId="2FBF50F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915A4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Deste modo mantendo igualdades econômicas, mas reforçando a proteção ao Meio Ambiente, principalmente à países de áreas Amazônicas de Mata Atlântica, o grupo OTCA, por este motivo o Sul-Global já apresenta uma agenda para diálogos e transições equilibradas aos Países da OTCA com aporte financeiro negociado desde 2023. Estes recursos chegaram por meio de avaliação do Mercado Regulado de Carbono, que o Brasil, como membro integrante e representante oficial da ONU em eixo Sul-Global coordenará entre as Reuniões de Assembléias da ONU. O Presidente da COP, também anunciou a primeira Conferência acerca de Combustíveis Fósseis em Abril de 2026, conforme agenda 2030 programada já acordada em outras edições da UNFCCC.</w:t>
      </w:r>
    </w:p>
    <w:p w14:paraId="384089F7"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EF9A97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a Plenária representantes da Argentina mencionaram os Emirados Árabes lendo trechos do documento oficial, e uma menção ao que tange Direitos Femininos sobre Igualdade de Gênero, pontuando a soberania de intenção Jurídica, ou seja, Constituição de cada País Nação, sobre este eixo que é um tema de Objetivos de Desenvolvimento Sustentável. E assim, foi dado sequência aos diálogos que centraram-se também nesta COP30 quanto a resiliência de comunidades frente às Mudanças Climáticas e os Direitos em dignidade da vida humana.</w:t>
      </w:r>
    </w:p>
    <w:p w14:paraId="6AE700D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B17097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Durante os questionamentos em Plenária uma representante do Uruguai levantou uma questão seguida de uma representante da Colômbia que não pontuou questões do Documento, mas sim uma objeção, por este motivo a 1º fase da sessão plenária foi interrompida até haver um resumo em consenso da objeção. </w:t>
      </w:r>
    </w:p>
    <w:p w14:paraId="7DD24B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9B0BB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Vale ressaltar que na ausência de entendimento expresso pelos Países de forma Jurídica ou documental durante as Sessões de Plenária sobre consensos que violam questões humanitárias, questões estas fundamentais perante a ONU, estes temas são levados à Corte da ONU para consenso Universalizado entre os Países, à exemplo da Foz Amazônica e determinação da Advocacia Geral da União (AGU) com levantamento de tema ao Supremo Tribunal Federal quanto a exploração do Território Amazônico e as consequências à Nível Global, por isto envolvendo a OTCA e os Países componentes de eixo fronteiriço.</w:t>
      </w:r>
    </w:p>
    <w:p w14:paraId="621D237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2E5E6E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Já para as menções de Direitos Femininos, durante a Plenária foram reforçados o conceito de Gênero para Homens e Mulheres, não podendo haver sobreposição de direitos por inflexão adaptativa sexual quanto a classe </w:t>
      </w:r>
      <w:proofErr w:type="spellStart"/>
      <w:r w:rsidRPr="006B1274">
        <w:rPr>
          <w:rFonts w:ascii="Times New Roman" w:hAnsi="Times New Roman" w:cs="Times New Roman"/>
          <w:color w:val="000000"/>
          <w:sz w:val="20"/>
          <w:szCs w:val="20"/>
        </w:rPr>
        <w:t>LGBTQIAP</w:t>
      </w:r>
      <w:proofErr w:type="spellEnd"/>
      <w:r w:rsidRPr="006B1274">
        <w:rPr>
          <w:rFonts w:ascii="Times New Roman" w:hAnsi="Times New Roman" w:cs="Times New Roman"/>
          <w:color w:val="000000"/>
          <w:sz w:val="20"/>
          <w:szCs w:val="20"/>
        </w:rPr>
        <w:t>+.</w:t>
      </w:r>
    </w:p>
    <w:p w14:paraId="18D88DA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6C00A8D" w14:textId="58ED326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Esta questão leva a reflexão dos ataques em Faixa de Gaza em Oriente Médio, o extremismo religioso e o genocídio à mulheres que não possuem Direitos Femininos amplamente defendidos jur</w:t>
      </w:r>
      <w:r w:rsidR="00D96B92" w:rsidRPr="006B1274">
        <w:rPr>
          <w:rFonts w:ascii="Times New Roman" w:hAnsi="Times New Roman" w:cs="Times New Roman"/>
          <w:color w:val="000000"/>
          <w:sz w:val="20"/>
          <w:szCs w:val="20"/>
        </w:rPr>
        <w:t>í</w:t>
      </w:r>
      <w:r w:rsidRPr="006B1274">
        <w:rPr>
          <w:rFonts w:ascii="Times New Roman" w:hAnsi="Times New Roman" w:cs="Times New Roman"/>
          <w:color w:val="000000"/>
          <w:sz w:val="20"/>
          <w:szCs w:val="20"/>
        </w:rPr>
        <w:t>dicamente por pragmatismo Cultural e Religioso do território. Neste aspecto com atuação in loco das Tropas Americanas o objetivo é garantir a dignidade da vida Humana sem tendenciar decisões que cooperam para o massacre com fim de objetivos Políticos, Econômicos ou Culturais podendo ser interpretado pela Corte como Tortura levando a atuação de presença de tropas Humanitárias.</w:t>
      </w:r>
    </w:p>
    <w:p w14:paraId="5061A1D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C8B383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Durante o dia 14/11, este tema foi debatido em Assembléia de Segurança da ONU, com um pronunciamento da Alemanha que reforçou de forma unânime o entendimento ao que tange Direitos Humanos e dignidade para que se haja vida sobre a Terra. Isto engloba respeito aos Acordos Cooperacionais e não uso de armamentos letais nucleares de forma à prejudicar curso das condições climáticas do Planeta, levando o voto em Assembléia a favor de dirimir as questões em Gaza e cooperar ao melhor caminho para fim dos conflitos.</w:t>
      </w:r>
    </w:p>
    <w:p w14:paraId="13F8277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20DD9E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Esta análise demonstra o quão importante são as Sessões Plenárias e Conferências de diálogos entre Líderes, Delegações e Representantes das Nações, pois o diálogo continua sendo o melhor caminho para as negociações.</w:t>
      </w:r>
    </w:p>
    <w:p w14:paraId="586CD06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182D6D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737868B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D553AC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9BD7E8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ESPECIAL COP30 Brasil</w:t>
      </w:r>
    </w:p>
    <w:p w14:paraId="75ACA3F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B1C06BC" w14:textId="2B10811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64684B"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7D3B54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68313C1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3DA8BA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22 de Novembro de 2025 | 21:45 PM</w:t>
      </w:r>
    </w:p>
    <w:p w14:paraId="322B7A74"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9057B3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7256082F" w14:textId="40D6C506"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6984ED4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2B8FC6E3"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CDC33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01C7CDA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9297F5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7807409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4945C7B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150C39E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1116657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233FDE4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643E0A6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3B22D4E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24DC169"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 noite de hoje (22), foi encerrada oficialmente a COP30 Brasil 2025 e o ciclo do Brasil à frente dos Eventos Oficiais da ONU no Sul-Global.</w:t>
      </w:r>
    </w:p>
    <w:p w14:paraId="3C01B4C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8813C1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Com seu legado a COP 30 deixa 2 tarefas ao Presidente da COP, André Correia do Lago, divulgar os Documentos </w:t>
      </w:r>
      <w:proofErr w:type="spellStart"/>
      <w:r w:rsidRPr="006B1274">
        <w:rPr>
          <w:rFonts w:ascii="Times New Roman" w:hAnsi="Times New Roman" w:cs="Times New Roman"/>
          <w:color w:val="000000"/>
          <w:sz w:val="20"/>
          <w:szCs w:val="20"/>
        </w:rPr>
        <w:t>Roadmap</w:t>
      </w:r>
      <w:proofErr w:type="spellEnd"/>
      <w:r w:rsidRPr="006B1274">
        <w:rPr>
          <w:rFonts w:ascii="Times New Roman" w:hAnsi="Times New Roman" w:cs="Times New Roman"/>
          <w:color w:val="000000"/>
          <w:sz w:val="20"/>
          <w:szCs w:val="20"/>
        </w:rPr>
        <w:t xml:space="preserve"> Net Zero de Descarbonização e transição Energética com redução de Combustíveis Fósseis e de Desmatamento. O Presidente anunciou seu compromisso durante 11 meses até a próxima COP que será na Turquia com liderança da Austrália.</w:t>
      </w:r>
    </w:p>
    <w:p w14:paraId="00EC0E1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AE61F6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Antes da COP, André Correia do Lago, divulgou os próximos passos da agenda Sócioambiental 2030 com a 1º conferência dedicada à Combustíveis Fósseis na Colômbia, em Abril de 2026. Como líder do Mercado de Carbono o Brasil regulará e assegura parceria Multilateral para cooperar para uma Transição Energética justa para todos.</w:t>
      </w:r>
    </w:p>
    <w:p w14:paraId="694F034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3E0986" w14:textId="0A514A3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Quanto a números oficiais de 198 Países assinantes durante as Reuniões de Cúpulas do G20 e BRICS, destes houve a presença de 195 Países, mais de 42.000 Delegados de Delegações Representantes e 300 Indígenas participando ativamente como representantes entre as alas do Pavilhão Brasil, o maior número de Povos Indígenas em uma reunião oficial da COP.</w:t>
      </w:r>
    </w:p>
    <w:p w14:paraId="420012C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7DD1F8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190E6F1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C83C9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19B22CA" w14:textId="1579F0F2" w:rsidR="001C11E3" w:rsidRPr="006B1274" w:rsidRDefault="00576533" w:rsidP="00B36B27">
      <w:pPr>
        <w:spacing w:before="240" w:after="240" w:line="360" w:lineRule="auto"/>
        <w:jc w:val="center"/>
        <w:rPr>
          <w:rFonts w:ascii="Times New Roman" w:hAnsi="Times New Roman" w:cs="Times New Roman"/>
          <w:color w:val="000000"/>
          <w:sz w:val="20"/>
          <w:szCs w:val="20"/>
        </w:rPr>
      </w:pPr>
      <w:r w:rsidRPr="006B1274">
        <w:rPr>
          <w:rFonts w:ascii="Times New Roman" w:hAnsi="Times New Roman" w:cs="Times New Roman"/>
          <w:noProof/>
          <w:color w:val="000000"/>
          <w:sz w:val="20"/>
          <w:szCs w:val="20"/>
        </w:rPr>
        <w:drawing>
          <wp:inline distT="114300" distB="114300" distL="114300" distR="114300" wp14:anchorId="6F3028CA" wp14:editId="2599BB61">
            <wp:extent cx="4388057" cy="7725911"/>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6"/>
                    <a:srcRect/>
                    <a:stretch>
                      <a:fillRect/>
                    </a:stretch>
                  </pic:blipFill>
                  <pic:spPr>
                    <a:xfrm>
                      <a:off x="0" y="0"/>
                      <a:ext cx="4388057" cy="7725911"/>
                    </a:xfrm>
                    <a:prstGeom prst="rect">
                      <a:avLst/>
                    </a:prstGeom>
                    <a:ln/>
                  </pic:spPr>
                </pic:pic>
              </a:graphicData>
            </a:graphic>
          </wp:inline>
        </w:drawing>
      </w:r>
      <w:r w:rsidRPr="006B1274">
        <w:rPr>
          <w:rFonts w:ascii="Times New Roman" w:hAnsi="Times New Roman" w:cs="Times New Roman"/>
          <w:noProof/>
          <w:color w:val="000000"/>
          <w:sz w:val="20"/>
          <w:szCs w:val="20"/>
        </w:rPr>
        <w:drawing>
          <wp:inline distT="114300" distB="114300" distL="114300" distR="114300" wp14:anchorId="15B64498" wp14:editId="4FCF4444">
            <wp:extent cx="4286250" cy="7747000"/>
            <wp:effectExtent l="0" t="0" r="6350" b="0"/>
            <wp:docPr id="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7"/>
                    <a:srcRect/>
                    <a:stretch>
                      <a:fillRect/>
                    </a:stretch>
                  </pic:blipFill>
                  <pic:spPr>
                    <a:xfrm>
                      <a:off x="0" y="0"/>
                      <a:ext cx="4286733" cy="7747873"/>
                    </a:xfrm>
                    <a:prstGeom prst="rect">
                      <a:avLst/>
                    </a:prstGeom>
                    <a:ln/>
                  </pic:spPr>
                </pic:pic>
              </a:graphicData>
            </a:graphic>
          </wp:inline>
        </w:drawing>
      </w:r>
    </w:p>
    <w:p w14:paraId="7792874E" w14:textId="13FB448A"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Apple Color Emoji" w:hAnsi="Apple Color Emoji" w:cs="Apple Color Emoji"/>
          <w:color w:val="000000"/>
          <w:sz w:val="20"/>
          <w:szCs w:val="20"/>
        </w:rPr>
        <w:t>💬</w:t>
      </w:r>
      <w:r w:rsidRPr="006B1274">
        <w:rPr>
          <w:rFonts w:ascii="Times New Roman" w:hAnsi="Times New Roman" w:cs="Times New Roman"/>
          <w:color w:val="000000"/>
          <w:sz w:val="20"/>
          <w:szCs w:val="20"/>
        </w:rPr>
        <w:t xml:space="preserve"> </w:t>
      </w:r>
      <w:r w:rsidR="004404D8">
        <w:rPr>
          <w:rFonts w:ascii="Times New Roman" w:hAnsi="Times New Roman" w:cs="Times New Roman"/>
          <w:color w:val="000000"/>
          <w:sz w:val="20"/>
          <w:szCs w:val="20"/>
        </w:rPr>
        <w:t xml:space="preserve"> </w:t>
      </w:r>
      <w:r w:rsidRPr="00D51D4C">
        <w:rPr>
          <w:rFonts w:ascii="Times New Roman" w:hAnsi="Times New Roman" w:cs="Times New Roman"/>
          <w:b/>
          <w:bCs/>
          <w:color w:val="000000"/>
          <w:sz w:val="20"/>
          <w:szCs w:val="20"/>
        </w:rPr>
        <w:t>LET'S CHAT - PUBLICITÁRIA EXLICA</w:t>
      </w:r>
    </w:p>
    <w:p w14:paraId="4B5DB91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Social Brasileiro do Século XXI</w:t>
      </w:r>
    </w:p>
    <w:p w14:paraId="65919312"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CC407D6" w14:textId="3D4058CE"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Publicitária, Redatora e Economista: </w:t>
      </w:r>
      <w:r w:rsidR="0064684B" w:rsidRPr="006B1274">
        <w:rPr>
          <w:rFonts w:ascii="Times New Roman" w:hAnsi="Times New Roman" w:cs="Times New Roman"/>
          <w:color w:val="000000"/>
          <w:sz w:val="20"/>
          <w:szCs w:val="20"/>
        </w:rPr>
        <w:t xml:space="preserve"> </w:t>
      </w:r>
      <w:r w:rsidRPr="006B1274">
        <w:rPr>
          <w:rFonts w:ascii="Times New Roman" w:hAnsi="Times New Roman" w:cs="Times New Roman"/>
          <w:color w:val="000000"/>
          <w:sz w:val="20"/>
          <w:szCs w:val="20"/>
        </w:rPr>
        <w:t>.</w:t>
      </w:r>
    </w:p>
    <w:p w14:paraId="276D5E9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Temática Social: Do Social para as Redes Sociais, a Importância da Representatividade Ética Profissional Feminina em Tempos Digitais.</w:t>
      </w:r>
    </w:p>
    <w:p w14:paraId="29D32D3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5794BD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Rio de Janeiro, 09 de Dezembro de 2025 | 13:05 PM</w:t>
      </w:r>
    </w:p>
    <w:p w14:paraId="395FB3A0"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77ADB4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BALANÇO ÉTICO GLOBAL </w:t>
      </w:r>
      <w:r w:rsidRPr="006B1274">
        <w:rPr>
          <w:rFonts w:ascii="Apple Color Emoji" w:hAnsi="Apple Color Emoji" w:cs="Apple Color Emoji"/>
          <w:color w:val="000000"/>
          <w:sz w:val="20"/>
          <w:szCs w:val="20"/>
        </w:rPr>
        <w:t>🌍📢🗣️</w:t>
      </w:r>
    </w:p>
    <w:p w14:paraId="2F3A86E3" w14:textId="6B986A41"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Balanço Ético Global - Mutirão Vozes Pelo Clima</w:t>
      </w:r>
    </w:p>
    <w:p w14:paraId="73557B5E"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 Locais - Rio de Ação 2025</w:t>
      </w:r>
    </w:p>
    <w:p w14:paraId="316ABB3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9DD0D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Doutora em Comunicação Social com Ênfase em Educação e Economia Política.</w:t>
      </w:r>
    </w:p>
    <w:p w14:paraId="4F611B4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B611AF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#ONU</w:t>
      </w:r>
    </w:p>
    <w:p w14:paraId="3755105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#RJ460Anos</w:t>
      </w:r>
    </w:p>
    <w:p w14:paraId="556178F4"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#80AnosONU</w:t>
      </w:r>
    </w:p>
    <w:p w14:paraId="176A193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#Brasil525Anos</w:t>
      </w:r>
    </w:p>
    <w:p w14:paraId="5C54F32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#NaçõesUnidas</w:t>
      </w:r>
    </w:p>
    <w:p w14:paraId="4201A35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#DiálogosLocais</w:t>
      </w:r>
    </w:p>
    <w:p w14:paraId="53E34D7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#DoSocialParaAsRedesSociais</w:t>
      </w:r>
    </w:p>
    <w:p w14:paraId="521EBAE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FF5C586"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MutiraoCOP30</w:t>
      </w:r>
      <w:proofErr w:type="spellEnd"/>
    </w:p>
    <w:p w14:paraId="12A7A51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BalancoEticoGlobal</w:t>
      </w:r>
      <w:proofErr w:type="spellEnd"/>
    </w:p>
    <w:p w14:paraId="4474023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w:t>
      </w:r>
      <w:proofErr w:type="spellStart"/>
      <w:r w:rsidRPr="006B1274">
        <w:rPr>
          <w:rFonts w:ascii="Times New Roman" w:hAnsi="Times New Roman" w:cs="Times New Roman"/>
          <w:color w:val="000000"/>
          <w:sz w:val="20"/>
          <w:szCs w:val="20"/>
        </w:rPr>
        <w:t>GlobalEthicalStocktake</w:t>
      </w:r>
      <w:proofErr w:type="spellEnd"/>
    </w:p>
    <w:p w14:paraId="31851886"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A0A96C8"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O ano de 1995, foi um ano marcante e emblemático na história do Brasil. Após a realização da 1º Conferência da Terra, a ECO-92, evento universal sustentável de sede no Rio de Janeiro em conjunto à Nações Unidas, que iniciou em prática o Plano de Reestruturação em Políticas Públicas do Brasil.</w:t>
      </w:r>
    </w:p>
    <w:p w14:paraId="63476925"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45999F4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Com 7 anos após a Promulgação Constituinte de 1988, em 1995, o Brasil se preparava para a primeira década, ou seja, os 10 anos de implementação de Políticas Sociais defendidas para a Capital do Rio de Janeiro que enfrentava crise econômica com crescimento desordenado da população periférica, além de crise sanitária e em saúde mental da população por crescimento do Tráfico de Drogas.</w:t>
      </w:r>
    </w:p>
    <w:p w14:paraId="317F999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73518CB" w14:textId="0C817B74"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 Câmara dos Vereadores para época em questão travava inúmeros conflitos em defesa social por políticos para Direitos a População do Estado, que foi prejudicada financeiramente em índices s</w:t>
      </w:r>
      <w:r w:rsidR="008B587D"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ci</w:t>
      </w:r>
      <w:r w:rsidR="00A77E2B" w:rsidRPr="006B1274">
        <w:rPr>
          <w:rFonts w:ascii="Times New Roman" w:hAnsi="Times New Roman" w:cs="Times New Roman"/>
          <w:color w:val="000000"/>
          <w:sz w:val="20"/>
          <w:szCs w:val="20"/>
        </w:rPr>
        <w:t>o</w:t>
      </w:r>
      <w:r w:rsidRPr="006B1274">
        <w:rPr>
          <w:rFonts w:ascii="Times New Roman" w:hAnsi="Times New Roman" w:cs="Times New Roman"/>
          <w:color w:val="000000"/>
          <w:sz w:val="20"/>
          <w:szCs w:val="20"/>
        </w:rPr>
        <w:t>econômicos como a fome afetando até mesmo a alta classe após mudança econômica para Plano Real.</w:t>
      </w:r>
    </w:p>
    <w:p w14:paraId="1B04E7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3CBAC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Foi uma época de atuação em Intervenção Federal, com abertura de Plano Educacional, Social e Patrimonial para defesa de Bens e Direitos Sociais.</w:t>
      </w:r>
    </w:p>
    <w:p w14:paraId="02D707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E46348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Nestes 525 anos de Brasil e 420 anos da Cidade do Rio de Janeiro, em 2025, o Brasil comemora não apenas o renascimento de Políticas Sociais Sustentáveis e alianças em Diplomacia Internacional, mas também 30 anos de solidez de Plano Econômico e da existência da Liberdade de Expressão, Democracia e Direitos Humanos estendidos à Classe Civil, de um Brasil mais justo e inclusivo.</w:t>
      </w:r>
    </w:p>
    <w:p w14:paraId="3659DFC9"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0EAEA1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Confira abaixo alguns legados do Rio de Janeiro, e do Brasil, em Políticas Sustentáveis após 10 anos de Liderança Sul-Americana Diplomática na ONU:</w:t>
      </w:r>
    </w:p>
    <w:p w14:paraId="3F23B73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839B08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Recuperação e despoluição da Baía de Guanabara pelo Governo do Estado do Rio de Janeiro;</w:t>
      </w:r>
    </w:p>
    <w:p w14:paraId="3835C6D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21A0ED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Renovação e reformulação do Ministério do Meio Ambiente e Mudança do Clima;</w:t>
      </w:r>
    </w:p>
    <w:p w14:paraId="3CB8BED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67E7C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Parcerias entre os Países Sul-americanos em Políticas de Mobilidade e Transportes Públicos;</w:t>
      </w:r>
    </w:p>
    <w:p w14:paraId="0D6CBAA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F4283FF"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 Aumento de Iniciativas Público-Privadas para dar suporte a Demandas de Direitos Constitucionais como a EBSERH no SUS para atendimento à saúde da população e infraestrutura do Ministério da Saúde; </w:t>
      </w:r>
    </w:p>
    <w:p w14:paraId="55CE9EDC"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B133DD"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Extensão do Serviço de Água encanada e regularizada em atendimento ao Saneamento Básico pela Agência Nacional de Águas e Saneamento Básico - ANA;</w:t>
      </w:r>
    </w:p>
    <w:p w14:paraId="131F8C3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C53C9A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Melhor monitoramento e fiscalização da condição energética no Brasil pela parceria Público-Privada Light, Agência Nacional de Energia Elétrica - ANEEL - Brasil e Enel Brasil;</w:t>
      </w:r>
    </w:p>
    <w:p w14:paraId="756C5FD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A68AB5"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Comunicação regulamentada pela Anatel - Agência Nacional de Telecomunicações;</w:t>
      </w:r>
    </w:p>
    <w:p w14:paraId="65243178"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388AC221"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Essas foram algumas mudanças do Século XXI que caracterizam a defesa de Direitos Humanos estendidos à todos. Parece "lógico" falarmos de temas que hoje nos parecem banais com a praticidade de acesso à serviços e comunicação instantânea por smartphones, mas é sempre importante lembrarmos avanços para que não sejam perdidas as conquistas alcançadas.</w:t>
      </w:r>
    </w:p>
    <w:p w14:paraId="3E46374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26C400C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485EA58A"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7201716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3C686731"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C4B9680"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4AD95BDB"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0FA5B29C"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Projeto autoral para inclusão social e Ação Global Sustentável em forma de acesso democrático à informação para Desenvolvimento Social. Não autorizado compartilhamento por terceiros.</w:t>
      </w:r>
    </w:p>
    <w:p w14:paraId="62C1BA2D"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59BF00FA" w14:textId="77777777" w:rsidR="004404D8" w:rsidRDefault="004404D8" w:rsidP="00B36B27">
      <w:pPr>
        <w:spacing w:before="240" w:after="240" w:line="360" w:lineRule="auto"/>
        <w:rPr>
          <w:rFonts w:ascii="Times New Roman" w:hAnsi="Times New Roman" w:cs="Times New Roman"/>
          <w:color w:val="000000"/>
          <w:sz w:val="20"/>
          <w:szCs w:val="20"/>
        </w:rPr>
      </w:pPr>
    </w:p>
    <w:p w14:paraId="2B8D4C12" w14:textId="29812040"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Referências Bibliográficas</w:t>
      </w:r>
    </w:p>
    <w:p w14:paraId="66AC1545"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CASTELLS</w:t>
      </w:r>
      <w:proofErr w:type="spellEnd"/>
      <w:r w:rsidRPr="006B1274">
        <w:rPr>
          <w:rFonts w:ascii="Times New Roman" w:hAnsi="Times New Roman" w:cs="Times New Roman"/>
          <w:color w:val="000000"/>
          <w:sz w:val="20"/>
          <w:szCs w:val="20"/>
        </w:rPr>
        <w:t>, Manuel. A Galáxia da Internet - Reflexões sobre a Internet, os negócios e a</w:t>
      </w:r>
    </w:p>
    <w:p w14:paraId="72B8E3E3"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 xml:space="preserve">sociedade: o perfil cognitivo do leitor imersivo. Inglaterra, 2001, São Paulo: Editora </w:t>
      </w:r>
      <w:proofErr w:type="spellStart"/>
      <w:r w:rsidRPr="006B1274">
        <w:rPr>
          <w:rFonts w:ascii="Times New Roman" w:hAnsi="Times New Roman" w:cs="Times New Roman"/>
          <w:color w:val="000000"/>
          <w:sz w:val="20"/>
          <w:szCs w:val="20"/>
        </w:rPr>
        <w:t>Zahar</w:t>
      </w:r>
      <w:proofErr w:type="spellEnd"/>
      <w:r w:rsidRPr="006B1274">
        <w:rPr>
          <w:rFonts w:ascii="Times New Roman" w:hAnsi="Times New Roman" w:cs="Times New Roman"/>
          <w:color w:val="000000"/>
          <w:sz w:val="20"/>
          <w:szCs w:val="20"/>
        </w:rPr>
        <w:t>,</w:t>
      </w:r>
    </w:p>
    <w:p w14:paraId="3A0B63EA"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2003</w:t>
      </w:r>
    </w:p>
    <w:p w14:paraId="6204E9CA"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JENKINS</w:t>
      </w:r>
      <w:proofErr w:type="spellEnd"/>
      <w:r w:rsidRPr="006B1274">
        <w:rPr>
          <w:rFonts w:ascii="Times New Roman" w:hAnsi="Times New Roman" w:cs="Times New Roman"/>
          <w:color w:val="000000"/>
          <w:sz w:val="20"/>
          <w:szCs w:val="20"/>
        </w:rPr>
        <w:t>, Henry Cultura da convergência. Nova York Universidade, 2006, São Paulo: Editora</w:t>
      </w:r>
    </w:p>
    <w:p w14:paraId="7189C5CB"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Aleph, 2015 (Edição em língua portuguesa).</w:t>
      </w:r>
    </w:p>
    <w:p w14:paraId="4D75EDAA"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KARHAWI</w:t>
      </w:r>
      <w:proofErr w:type="spellEnd"/>
      <w:r w:rsidRPr="006B1274">
        <w:rPr>
          <w:rFonts w:ascii="Times New Roman" w:hAnsi="Times New Roman" w:cs="Times New Roman"/>
          <w:color w:val="000000"/>
          <w:sz w:val="20"/>
          <w:szCs w:val="20"/>
        </w:rPr>
        <w:t xml:space="preserve">, </w:t>
      </w:r>
      <w:proofErr w:type="spellStart"/>
      <w:r w:rsidRPr="006B1274">
        <w:rPr>
          <w:rFonts w:ascii="Times New Roman" w:hAnsi="Times New Roman" w:cs="Times New Roman"/>
          <w:color w:val="000000"/>
          <w:sz w:val="20"/>
          <w:szCs w:val="20"/>
        </w:rPr>
        <w:t>Issaaf</w:t>
      </w:r>
      <w:proofErr w:type="spellEnd"/>
      <w:r w:rsidRPr="006B1274">
        <w:rPr>
          <w:rFonts w:ascii="Times New Roman" w:hAnsi="Times New Roman" w:cs="Times New Roman"/>
          <w:color w:val="000000"/>
          <w:sz w:val="20"/>
          <w:szCs w:val="20"/>
        </w:rPr>
        <w:t>. Influenciadores digitais: conceitos e práticas em discussão. São Paulo:</w:t>
      </w:r>
    </w:p>
    <w:p w14:paraId="402B6268"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Communicare</w:t>
      </w:r>
      <w:proofErr w:type="spellEnd"/>
      <w:r w:rsidRPr="006B1274">
        <w:rPr>
          <w:rFonts w:ascii="Times New Roman" w:hAnsi="Times New Roman" w:cs="Times New Roman"/>
          <w:color w:val="000000"/>
          <w:sz w:val="20"/>
          <w:szCs w:val="20"/>
        </w:rPr>
        <w:t xml:space="preserve"> Volume 17 – Edição especial de 70 anos da faculdade </w:t>
      </w:r>
      <w:proofErr w:type="spellStart"/>
      <w:r w:rsidRPr="006B1274">
        <w:rPr>
          <w:rFonts w:ascii="Times New Roman" w:hAnsi="Times New Roman" w:cs="Times New Roman"/>
          <w:color w:val="000000"/>
          <w:sz w:val="20"/>
          <w:szCs w:val="20"/>
        </w:rPr>
        <w:t>Cásper</w:t>
      </w:r>
      <w:proofErr w:type="spellEnd"/>
      <w:r w:rsidRPr="006B1274">
        <w:rPr>
          <w:rFonts w:ascii="Times New Roman" w:hAnsi="Times New Roman" w:cs="Times New Roman"/>
          <w:color w:val="000000"/>
          <w:sz w:val="20"/>
          <w:szCs w:val="20"/>
        </w:rPr>
        <w:t xml:space="preserve"> Líbero, 2017.</w:t>
      </w:r>
    </w:p>
    <w:p w14:paraId="5B6B0CD7"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Disponível em: https://s3.amazonaws.com/academia.edu. Acessado em: Fevereiro, 2020.</w:t>
      </w:r>
    </w:p>
    <w:p w14:paraId="34D884E0"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SANTAELLA</w:t>
      </w:r>
      <w:proofErr w:type="spellEnd"/>
      <w:r w:rsidRPr="006B1274">
        <w:rPr>
          <w:rFonts w:ascii="Times New Roman" w:hAnsi="Times New Roman" w:cs="Times New Roman"/>
          <w:color w:val="000000"/>
          <w:sz w:val="20"/>
          <w:szCs w:val="20"/>
        </w:rPr>
        <w:t>, Lucia Comunicação Ubíqua: repercussões na cultura e na educação. São</w:t>
      </w:r>
    </w:p>
    <w:p w14:paraId="716E470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Paulo: Editora Paulus, 2013.</w:t>
      </w:r>
    </w:p>
    <w:p w14:paraId="2EA71C6D"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SANTAELLA</w:t>
      </w:r>
      <w:proofErr w:type="spellEnd"/>
      <w:r w:rsidRPr="006B1274">
        <w:rPr>
          <w:rFonts w:ascii="Times New Roman" w:hAnsi="Times New Roman" w:cs="Times New Roman"/>
          <w:color w:val="000000"/>
          <w:sz w:val="20"/>
          <w:szCs w:val="20"/>
        </w:rPr>
        <w:t>, Lucia. Navegar no ciberespaço: o perfil cognitivo do leitor imersivo. São</w:t>
      </w:r>
    </w:p>
    <w:p w14:paraId="5BFA4F72" w14:textId="77777777" w:rsidR="001C11E3" w:rsidRPr="006B1274" w:rsidRDefault="00576533" w:rsidP="00B36B27">
      <w:pPr>
        <w:spacing w:before="240" w:after="240" w:line="360" w:lineRule="auto"/>
        <w:rPr>
          <w:rFonts w:ascii="Times New Roman" w:hAnsi="Times New Roman" w:cs="Times New Roman"/>
          <w:color w:val="000000"/>
          <w:sz w:val="20"/>
          <w:szCs w:val="20"/>
        </w:rPr>
      </w:pPr>
      <w:r w:rsidRPr="006B1274">
        <w:rPr>
          <w:rFonts w:ascii="Times New Roman" w:hAnsi="Times New Roman" w:cs="Times New Roman"/>
          <w:color w:val="000000"/>
          <w:sz w:val="20"/>
          <w:szCs w:val="20"/>
        </w:rPr>
        <w:t>Paulo: Editora Paulus, 2004.</w:t>
      </w:r>
    </w:p>
    <w:p w14:paraId="2CC6BE0E" w14:textId="77777777" w:rsidR="001C11E3" w:rsidRPr="006B1274" w:rsidRDefault="00576533" w:rsidP="00B36B27">
      <w:pPr>
        <w:spacing w:before="240" w:after="240" w:line="360" w:lineRule="auto"/>
        <w:rPr>
          <w:rFonts w:ascii="Times New Roman" w:hAnsi="Times New Roman" w:cs="Times New Roman"/>
          <w:color w:val="000000"/>
          <w:sz w:val="20"/>
          <w:szCs w:val="20"/>
        </w:rPr>
      </w:pPr>
      <w:proofErr w:type="spellStart"/>
      <w:r w:rsidRPr="006B1274">
        <w:rPr>
          <w:rFonts w:ascii="Times New Roman" w:hAnsi="Times New Roman" w:cs="Times New Roman"/>
          <w:color w:val="000000"/>
          <w:sz w:val="20"/>
          <w:szCs w:val="20"/>
        </w:rPr>
        <w:t>WOODART</w:t>
      </w:r>
      <w:proofErr w:type="spellEnd"/>
      <w:r w:rsidRPr="006B1274">
        <w:rPr>
          <w:rFonts w:ascii="Times New Roman" w:hAnsi="Times New Roman" w:cs="Times New Roman"/>
          <w:color w:val="000000"/>
          <w:sz w:val="20"/>
          <w:szCs w:val="20"/>
        </w:rPr>
        <w:t>, Emory. Mídia Interativa: Televisão no século XXI. Filadelfia: Universidade</w:t>
      </w:r>
    </w:p>
    <w:p w14:paraId="5F75D94E" w14:textId="77777777" w:rsidR="001C11E3" w:rsidRPr="0089783D" w:rsidRDefault="00576533" w:rsidP="00B36B27">
      <w:pPr>
        <w:spacing w:before="240" w:after="240" w:line="360" w:lineRule="auto"/>
        <w:rPr>
          <w:rFonts w:ascii="Times New Roman" w:hAnsi="Times New Roman" w:cs="Times New Roman"/>
          <w:color w:val="1A1A1A" w:themeColor="background1" w:themeShade="1A"/>
          <w:sz w:val="20"/>
          <w:szCs w:val="20"/>
        </w:rPr>
      </w:pPr>
      <w:r w:rsidRPr="006B1274">
        <w:rPr>
          <w:rFonts w:ascii="Times New Roman" w:hAnsi="Times New Roman" w:cs="Times New Roman"/>
          <w:color w:val="000000"/>
          <w:sz w:val="20"/>
          <w:szCs w:val="20"/>
        </w:rPr>
        <w:t xml:space="preserve">da Pensilvânia, 1993, Traduzido por DIAS, </w:t>
      </w:r>
      <w:r w:rsidRPr="0089783D">
        <w:rPr>
          <w:rFonts w:ascii="Times New Roman" w:hAnsi="Times New Roman" w:cs="Times New Roman"/>
          <w:color w:val="1A1A1A" w:themeColor="background1" w:themeShade="1A"/>
          <w:sz w:val="20"/>
          <w:szCs w:val="20"/>
        </w:rPr>
        <w:t>Letícia, 1994.</w:t>
      </w:r>
    </w:p>
    <w:p w14:paraId="471E6458" w14:textId="77777777" w:rsidR="001C11E3" w:rsidRPr="0089783D" w:rsidRDefault="00576533" w:rsidP="00B36B27">
      <w:pPr>
        <w:spacing w:before="240" w:after="240" w:line="360" w:lineRule="auto"/>
        <w:rPr>
          <w:rFonts w:ascii="Times New Roman" w:hAnsi="Times New Roman" w:cs="Times New Roman"/>
          <w:color w:val="1A1A1A" w:themeColor="background1" w:themeShade="1A"/>
          <w:sz w:val="20"/>
          <w:szCs w:val="20"/>
        </w:rPr>
      </w:pPr>
      <w:r w:rsidRPr="0089783D">
        <w:rPr>
          <w:rFonts w:ascii="Times New Roman" w:hAnsi="Times New Roman" w:cs="Times New Roman"/>
          <w:color w:val="1A1A1A" w:themeColor="background1" w:themeShade="1A"/>
          <w:sz w:val="20"/>
          <w:szCs w:val="20"/>
        </w:rPr>
        <w:t>Wikipédia Enciclopédia Digital Colaborativa Disponível em:</w:t>
      </w:r>
      <w:hyperlink r:id="rId38">
        <w:r w:rsidRPr="0089783D">
          <w:rPr>
            <w:rFonts w:ascii="Times New Roman" w:hAnsi="Times New Roman" w:cs="Times New Roman"/>
            <w:color w:val="1A1A1A" w:themeColor="background1" w:themeShade="1A"/>
            <w:sz w:val="20"/>
            <w:szCs w:val="20"/>
          </w:rPr>
          <w:t xml:space="preserve"> </w:t>
        </w:r>
      </w:hyperlink>
      <w:hyperlink r:id="rId39">
        <w:r w:rsidRPr="0089783D">
          <w:rPr>
            <w:rFonts w:ascii="Times New Roman" w:hAnsi="Times New Roman" w:cs="Times New Roman"/>
            <w:color w:val="1A1A1A" w:themeColor="background1" w:themeShade="1A"/>
            <w:sz w:val="20"/>
            <w:szCs w:val="20"/>
          </w:rPr>
          <w:t>https://pt.m.wikipedia.org/wiki/Rio_de_Janeiro_(estado)</w:t>
        </w:r>
      </w:hyperlink>
    </w:p>
    <w:p w14:paraId="06AA00D2" w14:textId="77777777" w:rsidR="0089783D" w:rsidRDefault="00576533" w:rsidP="00B36B27">
      <w:pPr>
        <w:spacing w:before="240" w:after="240" w:line="360" w:lineRule="auto"/>
        <w:rPr>
          <w:rFonts w:ascii="Times New Roman" w:eastAsia="Arial" w:hAnsi="Times New Roman" w:cs="Times New Roman"/>
          <w:color w:val="1A1A1A" w:themeColor="background1" w:themeShade="1A"/>
          <w:sz w:val="20"/>
          <w:szCs w:val="20"/>
        </w:rPr>
      </w:pPr>
      <w:hyperlink r:id="rId40">
        <w:r w:rsidRPr="0089783D">
          <w:rPr>
            <w:rFonts w:ascii="Times New Roman" w:hAnsi="Times New Roman" w:cs="Times New Roman"/>
            <w:color w:val="1A1A1A" w:themeColor="background1" w:themeShade="1A"/>
            <w:sz w:val="20"/>
            <w:szCs w:val="20"/>
          </w:rPr>
          <w:t>https://pt.m.wikipedia.org/wiki/União_Internacional_de_Telecomunicações</w:t>
        </w:r>
      </w:hyperlink>
    </w:p>
    <w:p w14:paraId="65C8DD78" w14:textId="4393AC96" w:rsidR="001C11E3" w:rsidRPr="0089783D" w:rsidRDefault="00576533" w:rsidP="00B36B27">
      <w:pPr>
        <w:spacing w:before="240" w:after="240" w:line="360" w:lineRule="auto"/>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Documentos</w:t>
      </w:r>
    </w:p>
    <w:p w14:paraId="65E529E5" w14:textId="77777777" w:rsidR="001C11E3" w:rsidRPr="0089783D"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BRASIL. LEI Nº 6.938, DE 31 DE AGOSTO DE 1981. Dispõe sobre a Política Nacional do Meio Ambiente, seus fins e mecanismos de formulação e aplicação, e dá outras providências. </w:t>
      </w:r>
      <w:r w:rsidRPr="0089783D">
        <w:rPr>
          <w:rFonts w:ascii="Times New Roman" w:eastAsia="Arial" w:hAnsi="Times New Roman" w:cs="Times New Roman"/>
          <w:b/>
          <w:bCs/>
          <w:color w:val="1A1A1A" w:themeColor="background1" w:themeShade="1A"/>
          <w:sz w:val="20"/>
          <w:szCs w:val="20"/>
        </w:rPr>
        <w:t>Diário Oficial da União</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color w:val="1A1A1A" w:themeColor="background1" w:themeShade="1A"/>
          <w:sz w:val="20"/>
          <w:szCs w:val="20"/>
          <w:shd w:val="clear" w:color="auto" w:fill="FAFAFA"/>
        </w:rPr>
        <w:t>pág. nº 16.509</w:t>
      </w:r>
      <w:r w:rsidRPr="0089783D">
        <w:rPr>
          <w:rFonts w:ascii="Times New Roman" w:eastAsia="Arial" w:hAnsi="Times New Roman" w:cs="Times New Roman"/>
          <w:color w:val="1A1A1A" w:themeColor="background1" w:themeShade="1A"/>
          <w:sz w:val="20"/>
          <w:szCs w:val="20"/>
        </w:rPr>
        <w:t xml:space="preserve">, Brasília, DF, 02 set. 1981. Disponível em: </w:t>
      </w:r>
      <w:hyperlink r:id="rId41">
        <w:r w:rsidRPr="0089783D">
          <w:rPr>
            <w:rFonts w:ascii="Times New Roman" w:eastAsia="Arial" w:hAnsi="Times New Roman" w:cs="Times New Roman"/>
            <w:color w:val="1A1A1A" w:themeColor="background1" w:themeShade="1A"/>
            <w:sz w:val="20"/>
            <w:szCs w:val="20"/>
          </w:rPr>
          <w:t>https://www.planalto.gov.br/ccivil_03/leis/l6938.htm</w:t>
        </w:r>
      </w:hyperlink>
      <w:r w:rsidRPr="0089783D">
        <w:rPr>
          <w:rFonts w:ascii="Times New Roman" w:eastAsia="Arial" w:hAnsi="Times New Roman" w:cs="Times New Roman"/>
          <w:color w:val="1A1A1A" w:themeColor="background1" w:themeShade="1A"/>
          <w:sz w:val="20"/>
          <w:szCs w:val="20"/>
        </w:rPr>
        <w:t>.</w:t>
      </w:r>
    </w:p>
    <w:p w14:paraId="23852636" w14:textId="77777777" w:rsidR="001C11E3" w:rsidRPr="0089783D"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 </w:t>
      </w:r>
    </w:p>
    <w:p w14:paraId="4617AE4C" w14:textId="77777777" w:rsidR="001C11E3" w:rsidRPr="0089783D"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BRASIL. LEI Nº 9.433, DE 08 DE JANEIRO DE 1997. Institui a Política Nacional de Recursos Hídricos, Cria o Sistema Nacional de Gerenciamento de Recursos Hídricos, Regulamenta o Inciso XIX do art. 21 da Constituição Federal, e Altera o art. 1º da Lei nº 8.001, de 13 de março de 1990, que Modificou a Lei nº 7.990, de 28 de dezembro de 1989. </w:t>
      </w:r>
      <w:r w:rsidRPr="0089783D">
        <w:rPr>
          <w:rFonts w:ascii="Times New Roman" w:eastAsia="Arial" w:hAnsi="Times New Roman" w:cs="Times New Roman"/>
          <w:b/>
          <w:bCs/>
          <w:color w:val="1A1A1A" w:themeColor="background1" w:themeShade="1A"/>
          <w:sz w:val="20"/>
          <w:szCs w:val="20"/>
        </w:rPr>
        <w:t>Diário Oficial da União</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color w:val="1A1A1A" w:themeColor="background1" w:themeShade="1A"/>
          <w:sz w:val="20"/>
          <w:szCs w:val="20"/>
          <w:shd w:val="clear" w:color="auto" w:fill="FAFAFA"/>
        </w:rPr>
        <w:t>pág. nº 470,</w:t>
      </w:r>
      <w:r w:rsidRPr="0089783D">
        <w:rPr>
          <w:rFonts w:ascii="Times New Roman" w:eastAsia="Arial" w:hAnsi="Times New Roman" w:cs="Times New Roman"/>
          <w:color w:val="1A1A1A" w:themeColor="background1" w:themeShade="1A"/>
          <w:sz w:val="20"/>
          <w:szCs w:val="20"/>
        </w:rPr>
        <w:t xml:space="preserve"> Brasília, DF, 09 jan. 1997. Disponível em: </w:t>
      </w:r>
      <w:hyperlink r:id="rId42">
        <w:r w:rsidRPr="0089783D">
          <w:rPr>
            <w:rFonts w:ascii="Times New Roman" w:eastAsia="Arial" w:hAnsi="Times New Roman" w:cs="Times New Roman"/>
            <w:color w:val="1A1A1A" w:themeColor="background1" w:themeShade="1A"/>
            <w:sz w:val="20"/>
            <w:szCs w:val="20"/>
          </w:rPr>
          <w:t>https://www.planalto.gov.br/ccivil_03/leis/l9433.htm</w:t>
        </w:r>
      </w:hyperlink>
      <w:r w:rsidRPr="0089783D">
        <w:rPr>
          <w:rFonts w:ascii="Times New Roman" w:eastAsia="Arial" w:hAnsi="Times New Roman" w:cs="Times New Roman"/>
          <w:color w:val="1A1A1A" w:themeColor="background1" w:themeShade="1A"/>
          <w:sz w:val="20"/>
          <w:szCs w:val="20"/>
        </w:rPr>
        <w:t>.</w:t>
      </w:r>
    </w:p>
    <w:p w14:paraId="15867ACB" w14:textId="22CB8B8D" w:rsidR="001C11E3" w:rsidRPr="0089783D" w:rsidRDefault="001C11E3" w:rsidP="00B36B27">
      <w:pPr>
        <w:spacing w:before="0" w:line="360" w:lineRule="auto"/>
        <w:jc w:val="both"/>
        <w:rPr>
          <w:rFonts w:ascii="Times New Roman" w:eastAsia="Arial" w:hAnsi="Times New Roman" w:cs="Times New Roman"/>
          <w:color w:val="1A1A1A" w:themeColor="background1" w:themeShade="1A"/>
          <w:sz w:val="20"/>
          <w:szCs w:val="20"/>
        </w:rPr>
      </w:pPr>
    </w:p>
    <w:p w14:paraId="632187C6" w14:textId="77777777" w:rsidR="001C11E3"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6B1274">
        <w:rPr>
          <w:rFonts w:ascii="Times New Roman" w:eastAsia="Arial" w:hAnsi="Times New Roman" w:cs="Times New Roman"/>
          <w:color w:val="000000"/>
          <w:sz w:val="20"/>
          <w:szCs w:val="20"/>
        </w:rPr>
        <w:t xml:space="preserve">BRASIL. LEI Nº 9.605, DE 12 DE FEVEREIRO DE 1998. Dispõe sobre as sanções penais e administrativas derivadas de condutas e atividades </w:t>
      </w:r>
      <w:r w:rsidRPr="0089783D">
        <w:rPr>
          <w:rFonts w:ascii="Times New Roman" w:eastAsia="Arial" w:hAnsi="Times New Roman" w:cs="Times New Roman"/>
          <w:color w:val="1A1A1A" w:themeColor="background1" w:themeShade="1A"/>
          <w:sz w:val="20"/>
          <w:szCs w:val="20"/>
        </w:rPr>
        <w:t xml:space="preserve">lesivas ao meio ambiente, e dá outras providências. </w:t>
      </w:r>
      <w:r w:rsidRPr="0089783D">
        <w:rPr>
          <w:rFonts w:ascii="Times New Roman" w:eastAsia="Arial" w:hAnsi="Times New Roman" w:cs="Times New Roman"/>
          <w:b/>
          <w:bCs/>
          <w:color w:val="1A1A1A" w:themeColor="background1" w:themeShade="1A"/>
          <w:sz w:val="20"/>
          <w:szCs w:val="20"/>
        </w:rPr>
        <w:t>Diário Oficial da União</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color w:val="1A1A1A" w:themeColor="background1" w:themeShade="1A"/>
          <w:sz w:val="20"/>
          <w:szCs w:val="20"/>
          <w:shd w:val="clear" w:color="auto" w:fill="FAFAFA"/>
        </w:rPr>
        <w:t>pág. nº 1</w:t>
      </w:r>
      <w:r w:rsidRPr="0089783D">
        <w:rPr>
          <w:rFonts w:ascii="Times New Roman" w:eastAsia="Arial" w:hAnsi="Times New Roman" w:cs="Times New Roman"/>
          <w:color w:val="1A1A1A" w:themeColor="background1" w:themeShade="1A"/>
          <w:sz w:val="20"/>
          <w:szCs w:val="20"/>
        </w:rPr>
        <w:t xml:space="preserve">, Brasília, DF, 13 fev. 1998. Disponível em: </w:t>
      </w:r>
      <w:hyperlink r:id="rId43" w:anchor=":~:text=L9605&amp;text=LEI%20N%C2%BA%209.605%2C%20DE%2012%20DE%20FEVEREIRO%20DE%201998.&amp;text=Disp%C3%B5e%20sobre%20as%20san%C3%A7%C3%B5es%20penais,ambiente%2C%20e%20d%C3%A1%20outras%20provid%C3%AAncias">
        <w:r w:rsidRPr="0089783D">
          <w:rPr>
            <w:rFonts w:ascii="Times New Roman" w:eastAsia="Arial" w:hAnsi="Times New Roman" w:cs="Times New Roman"/>
            <w:color w:val="1A1A1A" w:themeColor="background1" w:themeShade="1A"/>
            <w:sz w:val="20"/>
            <w:szCs w:val="20"/>
          </w:rPr>
          <w:t>https://www.planalto.gov.br/ccivil_03/leis/l9605.htm#:~:text=L9605&amp;text=LEI%20Nº%209.605%2C%20DE%2012%20DE%20FEVEREIRO%20DE%201998.&amp;text=Dispõe%20sobre%20as%20sanções%20penais,ambiente%2C%20e%20dá%20outras%20providências</w:t>
        </w:r>
      </w:hyperlink>
      <w:r w:rsidRPr="0089783D">
        <w:rPr>
          <w:rFonts w:ascii="Times New Roman" w:eastAsia="Arial" w:hAnsi="Times New Roman" w:cs="Times New Roman"/>
          <w:color w:val="1A1A1A" w:themeColor="background1" w:themeShade="1A"/>
          <w:sz w:val="20"/>
          <w:szCs w:val="20"/>
        </w:rPr>
        <w:t>.</w:t>
      </w:r>
    </w:p>
    <w:p w14:paraId="4913A34B" w14:textId="77777777" w:rsidR="005F4E7F" w:rsidRPr="0089783D" w:rsidRDefault="005F4E7F" w:rsidP="00B36B27">
      <w:pPr>
        <w:spacing w:before="0" w:line="360" w:lineRule="auto"/>
        <w:jc w:val="both"/>
        <w:rPr>
          <w:rFonts w:ascii="Times New Roman" w:eastAsia="Arial" w:hAnsi="Times New Roman" w:cs="Times New Roman"/>
          <w:color w:val="1A1A1A" w:themeColor="background1" w:themeShade="1A"/>
          <w:sz w:val="20"/>
          <w:szCs w:val="20"/>
        </w:rPr>
      </w:pPr>
    </w:p>
    <w:p w14:paraId="1862A274" w14:textId="77777777" w:rsidR="001C11E3" w:rsidRPr="0089783D"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BRASIL. LEI Nº 12.651, DE 25 DE MAIO DE 2012. Dispõe sobre a proteção da vegetação nativa; altera as Leis </w:t>
      </w:r>
      <w:proofErr w:type="spellStart"/>
      <w:r w:rsidRPr="0089783D">
        <w:rPr>
          <w:rFonts w:ascii="Times New Roman" w:eastAsia="Arial" w:hAnsi="Times New Roman" w:cs="Times New Roman"/>
          <w:color w:val="1A1A1A" w:themeColor="background1" w:themeShade="1A"/>
          <w:sz w:val="20"/>
          <w:szCs w:val="20"/>
        </w:rPr>
        <w:t>nºs</w:t>
      </w:r>
      <w:proofErr w:type="spellEnd"/>
      <w:r w:rsidRPr="0089783D">
        <w:rPr>
          <w:rFonts w:ascii="Times New Roman" w:eastAsia="Arial" w:hAnsi="Times New Roman" w:cs="Times New Roman"/>
          <w:color w:val="1A1A1A" w:themeColor="background1" w:themeShade="1A"/>
          <w:sz w:val="20"/>
          <w:szCs w:val="20"/>
        </w:rPr>
        <w:t xml:space="preserve"> 6.938, de 31 de agosto de 1981, 9.393, de 19 de dezembro de 1996, e 11.428, de 22 de dezembro de 2006; revoga as Leis </w:t>
      </w:r>
      <w:proofErr w:type="spellStart"/>
      <w:r w:rsidRPr="0089783D">
        <w:rPr>
          <w:rFonts w:ascii="Times New Roman" w:eastAsia="Arial" w:hAnsi="Times New Roman" w:cs="Times New Roman"/>
          <w:color w:val="1A1A1A" w:themeColor="background1" w:themeShade="1A"/>
          <w:sz w:val="20"/>
          <w:szCs w:val="20"/>
        </w:rPr>
        <w:t>nºs</w:t>
      </w:r>
      <w:proofErr w:type="spellEnd"/>
      <w:r w:rsidRPr="0089783D">
        <w:rPr>
          <w:rFonts w:ascii="Times New Roman" w:eastAsia="Arial" w:hAnsi="Times New Roman" w:cs="Times New Roman"/>
          <w:color w:val="1A1A1A" w:themeColor="background1" w:themeShade="1A"/>
          <w:sz w:val="20"/>
          <w:szCs w:val="20"/>
        </w:rPr>
        <w:t xml:space="preserve"> 4.771, de 15 de setembro de 1965, e 7.754, de 14 de abril de 1989, e a Medida Provisória nº 2.166-67, de 24 de agosto de 2001; e dá outras providências. </w:t>
      </w:r>
      <w:r w:rsidRPr="0089783D">
        <w:rPr>
          <w:rFonts w:ascii="Times New Roman" w:eastAsia="Arial" w:hAnsi="Times New Roman" w:cs="Times New Roman"/>
          <w:b/>
          <w:bCs/>
          <w:color w:val="1A1A1A" w:themeColor="background1" w:themeShade="1A"/>
          <w:sz w:val="20"/>
          <w:szCs w:val="20"/>
        </w:rPr>
        <w:t>Diário Oficial da União</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color w:val="1A1A1A" w:themeColor="background1" w:themeShade="1A"/>
          <w:sz w:val="20"/>
          <w:szCs w:val="20"/>
          <w:shd w:val="clear" w:color="auto" w:fill="FAFAFA"/>
        </w:rPr>
        <w:t>pág. nº 1,</w:t>
      </w:r>
      <w:r w:rsidRPr="0089783D">
        <w:rPr>
          <w:rFonts w:ascii="Times New Roman" w:eastAsia="Arial" w:hAnsi="Times New Roman" w:cs="Times New Roman"/>
          <w:color w:val="1A1A1A" w:themeColor="background1" w:themeShade="1A"/>
          <w:sz w:val="20"/>
          <w:szCs w:val="20"/>
        </w:rPr>
        <w:t xml:space="preserve"> Brasília, DF, 28 mai. 2012. Disponível em: </w:t>
      </w:r>
      <w:hyperlink r:id="rId44">
        <w:r w:rsidRPr="0089783D">
          <w:rPr>
            <w:rFonts w:ascii="Times New Roman" w:eastAsia="Arial" w:hAnsi="Times New Roman" w:cs="Times New Roman"/>
            <w:color w:val="1A1A1A" w:themeColor="background1" w:themeShade="1A"/>
            <w:sz w:val="20"/>
            <w:szCs w:val="20"/>
          </w:rPr>
          <w:t>https://www.planalto.gov.br/ccivil_03/_ato2011-2014/2012/lei/l12651.htm</w:t>
        </w:r>
      </w:hyperlink>
      <w:r w:rsidRPr="0089783D">
        <w:rPr>
          <w:rFonts w:ascii="Times New Roman" w:eastAsia="Arial" w:hAnsi="Times New Roman" w:cs="Times New Roman"/>
          <w:color w:val="1A1A1A" w:themeColor="background1" w:themeShade="1A"/>
          <w:sz w:val="20"/>
          <w:szCs w:val="20"/>
        </w:rPr>
        <w:t>.</w:t>
      </w:r>
    </w:p>
    <w:p w14:paraId="1AFF08B8" w14:textId="77777777" w:rsidR="001C11E3" w:rsidRPr="0089783D"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 </w:t>
      </w:r>
    </w:p>
    <w:p w14:paraId="214A4202" w14:textId="2D561EE6" w:rsidR="00CC7AAE" w:rsidRPr="00CC7AAE"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89783D">
        <w:rPr>
          <w:rFonts w:ascii="Times New Roman" w:eastAsia="Arial" w:hAnsi="Times New Roman" w:cs="Times New Roman"/>
          <w:color w:val="1A1A1A" w:themeColor="background1" w:themeShade="1A"/>
          <w:sz w:val="20"/>
          <w:szCs w:val="20"/>
        </w:rPr>
        <w:t xml:space="preserve">BRASIL. LEI Nº 15.042, DE 11 DE DEZEMBRO DE 2024. </w:t>
      </w:r>
      <w:r w:rsidRPr="0089783D">
        <w:rPr>
          <w:rFonts w:ascii="Times New Roman" w:eastAsia="Arial" w:hAnsi="Times New Roman" w:cs="Times New Roman"/>
          <w:color w:val="1A1A1A" w:themeColor="background1" w:themeShade="1A"/>
          <w:sz w:val="20"/>
          <w:szCs w:val="20"/>
          <w:shd w:val="clear" w:color="auto" w:fill="FAFAFA"/>
        </w:rPr>
        <w:t xml:space="preserve">Institui o Sistema Brasileiro de Comércio de Emissões de Gases de Efeito Estufa (SBCE); e altera as </w:t>
      </w:r>
      <w:hyperlink r:id="rId45">
        <w:r w:rsidRPr="0089783D">
          <w:rPr>
            <w:rFonts w:ascii="Times New Roman" w:eastAsia="Arial" w:hAnsi="Times New Roman" w:cs="Times New Roman"/>
            <w:color w:val="1A1A1A" w:themeColor="background1" w:themeShade="1A"/>
            <w:sz w:val="20"/>
            <w:szCs w:val="20"/>
            <w:shd w:val="clear" w:color="auto" w:fill="FAFAFA"/>
          </w:rPr>
          <w:t>Leis nºs 12.187</w:t>
        </w:r>
      </w:hyperlink>
      <w:r w:rsidRPr="0089783D">
        <w:rPr>
          <w:rFonts w:ascii="Times New Roman" w:eastAsia="Arial" w:hAnsi="Times New Roman" w:cs="Times New Roman"/>
          <w:color w:val="1A1A1A" w:themeColor="background1" w:themeShade="1A"/>
          <w:sz w:val="20"/>
          <w:szCs w:val="20"/>
          <w:shd w:val="clear" w:color="auto" w:fill="FAFAFA"/>
        </w:rPr>
        <w:t xml:space="preserve">, de 29 de dezembro de 2009, </w:t>
      </w:r>
      <w:hyperlink r:id="rId46">
        <w:r w:rsidRPr="0089783D">
          <w:rPr>
            <w:rFonts w:ascii="Times New Roman" w:eastAsia="Arial" w:hAnsi="Times New Roman" w:cs="Times New Roman"/>
            <w:color w:val="1A1A1A" w:themeColor="background1" w:themeShade="1A"/>
            <w:sz w:val="20"/>
            <w:szCs w:val="20"/>
            <w:shd w:val="clear" w:color="auto" w:fill="FAFAFA"/>
          </w:rPr>
          <w:t>12.651</w:t>
        </w:r>
      </w:hyperlink>
      <w:r w:rsidRPr="0089783D">
        <w:rPr>
          <w:rFonts w:ascii="Times New Roman" w:eastAsia="Arial" w:hAnsi="Times New Roman" w:cs="Times New Roman"/>
          <w:color w:val="1A1A1A" w:themeColor="background1" w:themeShade="1A"/>
          <w:sz w:val="20"/>
          <w:szCs w:val="20"/>
          <w:shd w:val="clear" w:color="auto" w:fill="FAFAFA"/>
        </w:rPr>
        <w:t xml:space="preserve">, de 25 de maio de 2012 (Código Florestal), </w:t>
      </w:r>
      <w:hyperlink r:id="rId47">
        <w:r w:rsidRPr="0089783D">
          <w:rPr>
            <w:rFonts w:ascii="Times New Roman" w:eastAsia="Arial" w:hAnsi="Times New Roman" w:cs="Times New Roman"/>
            <w:color w:val="1A1A1A" w:themeColor="background1" w:themeShade="1A"/>
            <w:sz w:val="20"/>
            <w:szCs w:val="20"/>
            <w:shd w:val="clear" w:color="auto" w:fill="FAFAFA"/>
          </w:rPr>
          <w:t>6.385</w:t>
        </w:r>
      </w:hyperlink>
      <w:r w:rsidRPr="0089783D">
        <w:rPr>
          <w:rFonts w:ascii="Times New Roman" w:eastAsia="Arial" w:hAnsi="Times New Roman" w:cs="Times New Roman"/>
          <w:color w:val="1A1A1A" w:themeColor="background1" w:themeShade="1A"/>
          <w:sz w:val="20"/>
          <w:szCs w:val="20"/>
          <w:shd w:val="clear" w:color="auto" w:fill="FAFAFA"/>
        </w:rPr>
        <w:t xml:space="preserve">, de 7 de dezembro de 1976 (Lei da Comissão de Valores Mobiliários), e </w:t>
      </w:r>
      <w:hyperlink r:id="rId48">
        <w:r w:rsidRPr="0089783D">
          <w:rPr>
            <w:rFonts w:ascii="Times New Roman" w:eastAsia="Arial" w:hAnsi="Times New Roman" w:cs="Times New Roman"/>
            <w:color w:val="1A1A1A" w:themeColor="background1" w:themeShade="1A"/>
            <w:sz w:val="20"/>
            <w:szCs w:val="20"/>
            <w:shd w:val="clear" w:color="auto" w:fill="FAFAFA"/>
          </w:rPr>
          <w:t>6.015</w:t>
        </w:r>
      </w:hyperlink>
      <w:r w:rsidRPr="0089783D">
        <w:rPr>
          <w:rFonts w:ascii="Times New Roman" w:eastAsia="Arial" w:hAnsi="Times New Roman" w:cs="Times New Roman"/>
          <w:color w:val="1A1A1A" w:themeColor="background1" w:themeShade="1A"/>
          <w:sz w:val="20"/>
          <w:szCs w:val="20"/>
          <w:shd w:val="clear" w:color="auto" w:fill="FAFAFA"/>
        </w:rPr>
        <w:t>, de 31 de dezembro de 1973 (Lei de Registros Públicos)</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b/>
          <w:bCs/>
          <w:color w:val="1A1A1A" w:themeColor="background1" w:themeShade="1A"/>
          <w:sz w:val="20"/>
          <w:szCs w:val="20"/>
        </w:rPr>
        <w:t>Diário Oficial da União</w:t>
      </w:r>
      <w:r w:rsidRPr="0089783D">
        <w:rPr>
          <w:rFonts w:ascii="Times New Roman" w:eastAsia="Arial" w:hAnsi="Times New Roman" w:cs="Times New Roman"/>
          <w:color w:val="1A1A1A" w:themeColor="background1" w:themeShade="1A"/>
          <w:sz w:val="20"/>
          <w:szCs w:val="20"/>
        </w:rPr>
        <w:t xml:space="preserve">: </w:t>
      </w:r>
      <w:r w:rsidRPr="0089783D">
        <w:rPr>
          <w:rFonts w:ascii="Times New Roman" w:eastAsia="Arial" w:hAnsi="Times New Roman" w:cs="Times New Roman"/>
          <w:color w:val="1A1A1A" w:themeColor="background1" w:themeShade="1A"/>
          <w:sz w:val="20"/>
          <w:szCs w:val="20"/>
          <w:shd w:val="clear" w:color="auto" w:fill="FAFAFA"/>
        </w:rPr>
        <w:t>pág. nº 4,</w:t>
      </w:r>
      <w:r w:rsidRPr="0089783D">
        <w:rPr>
          <w:rFonts w:ascii="Times New Roman" w:eastAsia="Arial" w:hAnsi="Times New Roman" w:cs="Times New Roman"/>
          <w:color w:val="1A1A1A" w:themeColor="background1" w:themeShade="1A"/>
          <w:sz w:val="20"/>
          <w:szCs w:val="20"/>
        </w:rPr>
        <w:t xml:space="preserve"> Brasília, DF, 12 dez. </w:t>
      </w:r>
      <w:r w:rsidRPr="006B1274">
        <w:rPr>
          <w:rFonts w:ascii="Times New Roman" w:eastAsia="Arial" w:hAnsi="Times New Roman" w:cs="Times New Roman"/>
          <w:color w:val="000000"/>
          <w:sz w:val="20"/>
          <w:szCs w:val="20"/>
        </w:rPr>
        <w:t xml:space="preserve">2024. Disponível em:: </w:t>
      </w:r>
      <w:hyperlink r:id="rId49" w:history="1">
        <w:r w:rsidR="00CC7AAE" w:rsidRPr="00CC7AAE">
          <w:rPr>
            <w:rStyle w:val="Hyperlink"/>
            <w:rFonts w:ascii="Times New Roman" w:eastAsia="Arial" w:hAnsi="Times New Roman" w:cs="Times New Roman"/>
            <w:color w:val="1A1A1A" w:themeColor="background1" w:themeShade="1A"/>
            <w:sz w:val="20"/>
            <w:szCs w:val="20"/>
            <w:u w:val="none"/>
          </w:rPr>
          <w:t>https://legislacao.presidencia.gov.br/atos/?tipo=LEI&amp;numero=15042&amp;ano=2024&amp;ato=997QTQE1UNZpWTb27</w:t>
        </w:r>
      </w:hyperlink>
    </w:p>
    <w:p w14:paraId="0E63E2E5" w14:textId="77777777" w:rsidR="00CC7AAE" w:rsidRPr="00CC7AAE" w:rsidRDefault="00CC7AAE" w:rsidP="00B36B27">
      <w:pPr>
        <w:spacing w:before="0" w:line="360" w:lineRule="auto"/>
        <w:jc w:val="both"/>
        <w:rPr>
          <w:rFonts w:ascii="Times New Roman" w:eastAsia="Arial" w:hAnsi="Times New Roman" w:cs="Times New Roman"/>
          <w:color w:val="1A1A1A" w:themeColor="background1" w:themeShade="1A"/>
          <w:sz w:val="20"/>
          <w:szCs w:val="20"/>
        </w:rPr>
      </w:pPr>
    </w:p>
    <w:p w14:paraId="1F4CE9F5" w14:textId="77777777" w:rsidR="00CC7AAE" w:rsidRDefault="00CC7AAE" w:rsidP="00B36B27">
      <w:pPr>
        <w:spacing w:before="0" w:line="360" w:lineRule="auto"/>
        <w:jc w:val="both"/>
        <w:rPr>
          <w:rFonts w:ascii="Times New Roman" w:eastAsia="Arial" w:hAnsi="Times New Roman" w:cs="Times New Roman"/>
          <w:color w:val="000000"/>
          <w:sz w:val="20"/>
          <w:szCs w:val="20"/>
        </w:rPr>
      </w:pPr>
    </w:p>
    <w:p w14:paraId="070DF2A4" w14:textId="77777777" w:rsidR="00CC7AAE" w:rsidRDefault="00CC7AAE" w:rsidP="00B36B27">
      <w:pPr>
        <w:spacing w:before="0" w:line="360" w:lineRule="auto"/>
        <w:jc w:val="both"/>
        <w:rPr>
          <w:rFonts w:ascii="Times New Roman" w:eastAsia="Arial" w:hAnsi="Times New Roman" w:cs="Times New Roman"/>
          <w:color w:val="000000"/>
          <w:sz w:val="20"/>
          <w:szCs w:val="20"/>
        </w:rPr>
      </w:pPr>
    </w:p>
    <w:p w14:paraId="62A9E44D" w14:textId="77777777" w:rsidR="00CC7AAE" w:rsidRDefault="00CC7AAE" w:rsidP="00B36B27">
      <w:pPr>
        <w:spacing w:before="0" w:line="360" w:lineRule="auto"/>
        <w:jc w:val="both"/>
        <w:rPr>
          <w:rFonts w:ascii="Times New Roman" w:eastAsia="Arial" w:hAnsi="Times New Roman" w:cs="Times New Roman"/>
          <w:color w:val="000000"/>
          <w:sz w:val="20"/>
          <w:szCs w:val="20"/>
        </w:rPr>
      </w:pPr>
    </w:p>
    <w:p w14:paraId="7C18554D" w14:textId="3D2229C9" w:rsidR="001C11E3" w:rsidRPr="006B1274" w:rsidRDefault="00576533" w:rsidP="00B36B27">
      <w:pPr>
        <w:spacing w:before="0" w:line="360" w:lineRule="auto"/>
        <w:jc w:val="both"/>
        <w:rPr>
          <w:rFonts w:ascii="Times New Roman" w:eastAsia="Arial" w:hAnsi="Times New Roman" w:cs="Times New Roman"/>
          <w:color w:val="000000"/>
          <w:sz w:val="20"/>
          <w:szCs w:val="20"/>
        </w:rPr>
      </w:pPr>
      <w:r w:rsidRPr="006B1274">
        <w:rPr>
          <w:rFonts w:ascii="Times New Roman" w:eastAsia="Arial" w:hAnsi="Times New Roman" w:cs="Times New Roman"/>
          <w:color w:val="000000"/>
          <w:sz w:val="20"/>
          <w:szCs w:val="20"/>
        </w:rPr>
        <w:t>.</w:t>
      </w:r>
    </w:p>
    <w:p w14:paraId="4C8D5FEF"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66A6427E" w14:textId="77777777" w:rsidR="001C11E3" w:rsidRPr="006B1274" w:rsidRDefault="001C11E3" w:rsidP="00B36B27">
      <w:pPr>
        <w:spacing w:before="240" w:after="240" w:line="360" w:lineRule="auto"/>
        <w:rPr>
          <w:rFonts w:ascii="Times New Roman" w:hAnsi="Times New Roman" w:cs="Times New Roman"/>
          <w:color w:val="000000"/>
          <w:sz w:val="20"/>
          <w:szCs w:val="20"/>
        </w:rPr>
      </w:pPr>
    </w:p>
    <w:p w14:paraId="1351C07B" w14:textId="77777777" w:rsidR="001C11E3" w:rsidRPr="006B1274" w:rsidRDefault="001C11E3">
      <w:pPr>
        <w:pBdr>
          <w:top w:val="nil"/>
          <w:left w:val="nil"/>
          <w:bottom w:val="nil"/>
          <w:right w:val="nil"/>
          <w:between w:val="nil"/>
        </w:pBdr>
        <w:spacing w:before="0"/>
        <w:rPr>
          <w:rFonts w:ascii="Times New Roman" w:hAnsi="Times New Roman" w:cs="Times New Roman"/>
          <w:color w:val="000000"/>
          <w:sz w:val="20"/>
          <w:szCs w:val="20"/>
        </w:rPr>
      </w:pPr>
    </w:p>
    <w:sectPr w:rsidR="001C11E3" w:rsidRPr="006B1274">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A6C2" w14:textId="77777777" w:rsidR="000B78C6" w:rsidRDefault="000B78C6">
      <w:pPr>
        <w:spacing w:before="0" w:line="240" w:lineRule="auto"/>
      </w:pPr>
      <w:r>
        <w:separator/>
      </w:r>
    </w:p>
  </w:endnote>
  <w:endnote w:type="continuationSeparator" w:id="0">
    <w:p w14:paraId="092518CD" w14:textId="77777777" w:rsidR="000B78C6" w:rsidRDefault="000B78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Code Pro">
    <w:panose1 w:val="020B0509030403020204"/>
    <w:charset w:val="00"/>
    <w:family w:val="modern"/>
    <w:pitch w:val="fixed"/>
    <w:sig w:usb0="200002F7" w:usb1="02003803" w:usb2="00000000" w:usb3="00000000" w:csb0="0000019F" w:csb1="00000000"/>
    <w:embedRegular r:id="rId8" w:fontKey="{00000000-0000-0000-0000-000000000000}"/>
    <w:embedBold r:id="rId9" w:fontKey="{00000000-0000-0000-0000-000000000000}"/>
    <w:embedItalic r:id="rId10" w:fontKey="{00000000-0000-0000-0000-000000000000}"/>
    <w:embedBoldItalic r:id="rId11" w:fontKey="{00000000-0000-0000-0000-000000000000}"/>
  </w:font>
  <w:font w:name="Oswald">
    <w:panose1 w:val="00000500000000000000"/>
    <w:charset w:val="4D"/>
    <w:family w:val="auto"/>
    <w:pitch w:val="variable"/>
    <w:sig w:usb0="2000020F" w:usb1="00000000" w:usb2="00000000" w:usb3="00000000" w:csb0="00000197" w:csb1="00000000"/>
    <w:embedRegular r:id="rId12" w:fontKey="{00000000-0000-0000-0000-000000000000}"/>
    <w:embedBold r:id="rId13" w:fontKey="{00000000-0000-0000-0000-000000000000}"/>
  </w:font>
  <w:font w:name="Trebuchet MS">
    <w:panose1 w:val="020B0603020202020204"/>
    <w:charset w:val="00"/>
    <w:family w:val="swiss"/>
    <w:pitch w:val="variable"/>
    <w:sig w:usb0="00000287" w:usb1="00000000" w:usb2="00000000" w:usb3="00000000" w:csb0="0000009F" w:csb1="00000000"/>
  </w:font>
  <w:font w:name="Covered By Your Grace">
    <w:altName w:val="Calibri"/>
    <w:charset w:val="00"/>
    <w:family w:val="auto"/>
    <w:pitch w:val="default"/>
    <w:embedRegular r:id="rId14" w:fontKey="{B5B91405-223A-0A4C-91D8-D503E6A865FB}"/>
  </w:font>
  <w:font w:name="HGPSoeiKakugothicUB">
    <w:panose1 w:val="020B0A00000000000000"/>
    <w:charset w:val="80"/>
    <w:family w:val="swiss"/>
    <w:pitch w:val="variable"/>
    <w:sig w:usb0="E00002FF" w:usb1="2AC7EDFE" w:usb2="00000012" w:usb3="00000000" w:csb0="0002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Droid Sans Mono">
    <w:altName w:val="Segoe UI"/>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Fira Mono">
    <w:panose1 w:val="020B0509050000020004"/>
    <w:charset w:val="00"/>
    <w:family w:val="modern"/>
    <w:pitch w:val="fixed"/>
    <w:sig w:usb0="40000287" w:usb1="02003801" w:usb2="00000000" w:usb3="00000000" w:csb0="0000009F" w:csb1="00000000"/>
    <w:embedRegular r:id="rId6" w:fontKey="{00000000-0000-0000-0000-000000000000}"/>
    <w:embedBold r:id="rId7" w:fontKey="{00000000-0000-0000-0000-000000000000}"/>
  </w:font>
  <w:font w:name="Arial Unicode MS">
    <w:panose1 w:val="020B0604020202020204"/>
    <w:charset w:val="00"/>
    <w:family w:val="auto"/>
    <w:pitch w:val="default"/>
  </w:font>
  <w:font w:name="Andika">
    <w:charset w:val="00"/>
    <w:family w:val="auto"/>
    <w:pitch w:val="default"/>
    <w:embedRegular r:id="rId15" w:fontKey="{C2006D32-CF29-A44E-AD5C-4B9906838DFB}"/>
    <w:embedBold r:id="rId16" w:fontKey="{72F28E43-F8C8-CA4C-95DB-88029BFFB699}"/>
    <w:embedItalic r:id="rId17" w:fontKey="{A44B71A8-30D7-C54C-A646-D7E53660D889}"/>
    <w:embedBoldItalic r:id="rId18" w:fontKey="{BF6A619D-C52C-D142-BC14-D9560F7D7E65}"/>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6880352"/>
      <w:docPartObj>
        <w:docPartGallery w:val="Page Numbers (Bottom of Page)"/>
        <w:docPartUnique/>
      </w:docPartObj>
    </w:sdtPr>
    <w:sdtEndPr>
      <w:rPr>
        <w:rStyle w:val="Nmerodepgina"/>
      </w:rPr>
    </w:sdtEndPr>
    <w:sdtContent>
      <w:p w14:paraId="58F533D2" w14:textId="7DDC321E" w:rsidR="003061BE" w:rsidRDefault="003061BE" w:rsidP="00A7507C">
        <w:pPr>
          <w:pStyle w:val="Rodap"/>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73FD774" w14:textId="77777777" w:rsidR="003061BE" w:rsidRDefault="003061BE" w:rsidP="003061B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21814901"/>
      <w:docPartObj>
        <w:docPartGallery w:val="Page Numbers (Bottom of Page)"/>
        <w:docPartUnique/>
      </w:docPartObj>
    </w:sdtPr>
    <w:sdtEndPr>
      <w:rPr>
        <w:rStyle w:val="Nmerodepgina"/>
      </w:rPr>
    </w:sdtEndPr>
    <w:sdtContent>
      <w:p w14:paraId="5EE06D78" w14:textId="0C3CF521" w:rsidR="003061BE" w:rsidRDefault="003061BE" w:rsidP="00A7507C">
        <w:pPr>
          <w:pStyle w:val="Rodap"/>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7869A445" w14:textId="77777777" w:rsidR="001C11E3" w:rsidRDefault="001C11E3" w:rsidP="003061BE">
    <w:pPr>
      <w:pBdr>
        <w:top w:val="nil"/>
        <w:left w:val="nil"/>
        <w:bottom w:val="nil"/>
        <w:right w:val="nil"/>
        <w:between w:val="nil"/>
      </w:pBdr>
      <w:ind w:right="360"/>
    </w:pPr>
  </w:p>
  <w:p w14:paraId="07CFED72" w14:textId="77777777" w:rsidR="001C11E3" w:rsidRDefault="001C11E3">
    <w:pPr>
      <w:pBdr>
        <w:top w:val="nil"/>
        <w:left w:val="nil"/>
        <w:bottom w:val="nil"/>
        <w:right w:val="nil"/>
        <w:between w:val="nil"/>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8ABA" w14:textId="77777777" w:rsidR="001C11E3" w:rsidRDefault="00576533">
    <w:pPr>
      <w:pBdr>
        <w:top w:val="nil"/>
        <w:left w:val="nil"/>
        <w:bottom w:val="nil"/>
        <w:right w:val="nil"/>
        <w:between w:val="nil"/>
      </w:pBdr>
      <w:spacing w:before="0" w:line="240" w:lineRule="auto"/>
      <w:ind w:left="-1440" w:right="-1440"/>
      <w:jc w:val="center"/>
    </w:pPr>
    <w:r>
      <w:rPr>
        <w:noProof/>
      </w:rPr>
      <w:drawing>
        <wp:inline distT="114300" distB="114300" distL="114300" distR="114300" wp14:anchorId="7A56F227" wp14:editId="7494C3A4">
          <wp:extent cx="7717729" cy="3853498"/>
          <wp:effectExtent l="0" t="0" r="0" b="0"/>
          <wp:docPr id="11" name="image14.jpg" descr="marcador de gráfico"/>
          <wp:cNvGraphicFramePr/>
          <a:graphic xmlns:a="http://schemas.openxmlformats.org/drawingml/2006/main">
            <a:graphicData uri="http://schemas.openxmlformats.org/drawingml/2006/picture">
              <pic:pic xmlns:pic="http://schemas.openxmlformats.org/drawingml/2006/picture">
                <pic:nvPicPr>
                  <pic:cNvPr id="0" name="image14.jpg" descr="marcador de gráfico"/>
                  <pic:cNvPicPr preferRelativeResize="0"/>
                </pic:nvPicPr>
                <pic:blipFill>
                  <a:blip r:embed="rId1"/>
                  <a:srcRect/>
                  <a:stretch>
                    <a:fillRect/>
                  </a:stretch>
                </pic:blipFill>
                <pic:spPr>
                  <a:xfrm>
                    <a:off x="0" y="0"/>
                    <a:ext cx="7717729" cy="3853498"/>
                  </a:xfrm>
                  <a:prstGeom prst="rect">
                    <a:avLst/>
                  </a:prstGeom>
                  <a:ln/>
                </pic:spPr>
              </pic:pic>
            </a:graphicData>
          </a:graphic>
        </wp:inline>
      </w:drawing>
    </w:r>
  </w:p>
  <w:p w14:paraId="6B1B042B" w14:textId="77777777" w:rsidR="001C11E3" w:rsidRDefault="001C11E3">
    <w:pPr>
      <w:pBdr>
        <w:top w:val="nil"/>
        <w:left w:val="nil"/>
        <w:bottom w:val="nil"/>
        <w:right w:val="nil"/>
        <w:between w:val="nil"/>
      </w:pBdr>
    </w:pPr>
  </w:p>
  <w:p w14:paraId="067BD68B" w14:textId="77777777" w:rsidR="001C11E3" w:rsidRDefault="001C11E3">
    <w:pPr>
      <w:pBdr>
        <w:top w:val="nil"/>
        <w:left w:val="nil"/>
        <w:bottom w:val="nil"/>
        <w:right w:val="nil"/>
        <w:between w:val="nil"/>
      </w:pBdr>
    </w:pPr>
  </w:p>
  <w:p w14:paraId="57E23BC8" w14:textId="77777777" w:rsidR="001C11E3" w:rsidRDefault="001C11E3">
    <w:pPr>
      <w:pBdr>
        <w:top w:val="nil"/>
        <w:left w:val="nil"/>
        <w:bottom w:val="nil"/>
        <w:right w:val="nil"/>
        <w:between w:val="nil"/>
      </w:pBdr>
    </w:pPr>
  </w:p>
  <w:p w14:paraId="1D1C44B8" w14:textId="77777777" w:rsidR="001C11E3" w:rsidRDefault="001C11E3">
    <w:pPr>
      <w:pBdr>
        <w:top w:val="nil"/>
        <w:left w:val="nil"/>
        <w:bottom w:val="nil"/>
        <w:right w:val="nil"/>
        <w:between w:val="nil"/>
      </w:pBdr>
    </w:pPr>
  </w:p>
  <w:p w14:paraId="6085113F" w14:textId="77777777" w:rsidR="001C11E3" w:rsidRDefault="001C11E3">
    <w:pPr>
      <w:pBdr>
        <w:top w:val="nil"/>
        <w:left w:val="nil"/>
        <w:bottom w:val="nil"/>
        <w:right w:val="nil"/>
        <w:between w:val="nil"/>
      </w:pBdr>
    </w:pPr>
  </w:p>
  <w:p w14:paraId="6BF385E3" w14:textId="77777777" w:rsidR="001C11E3" w:rsidRDefault="001C11E3">
    <w:pPr>
      <w:pBdr>
        <w:top w:val="nil"/>
        <w:left w:val="nil"/>
        <w:bottom w:val="nil"/>
        <w:right w:val="nil"/>
        <w:between w:val="nil"/>
      </w:pBdr>
    </w:pPr>
  </w:p>
  <w:p w14:paraId="786433CC" w14:textId="77777777" w:rsidR="001C11E3" w:rsidRDefault="001C11E3">
    <w:pPr>
      <w:pBdr>
        <w:top w:val="nil"/>
        <w:left w:val="nil"/>
        <w:bottom w:val="nil"/>
        <w:right w:val="nil"/>
        <w:between w:val="nil"/>
      </w:pBdr>
    </w:pPr>
  </w:p>
  <w:p w14:paraId="37240D53" w14:textId="77777777" w:rsidR="001C11E3" w:rsidRDefault="001C11E3">
    <w:pPr>
      <w:pBdr>
        <w:top w:val="nil"/>
        <w:left w:val="nil"/>
        <w:bottom w:val="nil"/>
        <w:right w:val="nil"/>
        <w:between w:val="nil"/>
      </w:pBdr>
    </w:pPr>
  </w:p>
  <w:p w14:paraId="7D1FF87F" w14:textId="77777777" w:rsidR="001C11E3" w:rsidRDefault="001C11E3">
    <w:pPr>
      <w:pBdr>
        <w:top w:val="nil"/>
        <w:left w:val="nil"/>
        <w:bottom w:val="nil"/>
        <w:right w:val="nil"/>
        <w:between w:val="nil"/>
      </w:pBdr>
    </w:pPr>
  </w:p>
  <w:p w14:paraId="4E8D2E0D" w14:textId="77777777" w:rsidR="001C11E3" w:rsidRDefault="001C11E3">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9E7B" w14:textId="77777777" w:rsidR="000B78C6" w:rsidRDefault="000B78C6">
      <w:pPr>
        <w:spacing w:before="0" w:line="240" w:lineRule="auto"/>
      </w:pPr>
      <w:r>
        <w:separator/>
      </w:r>
    </w:p>
  </w:footnote>
  <w:footnote w:type="continuationSeparator" w:id="0">
    <w:p w14:paraId="489B0DC1" w14:textId="77777777" w:rsidR="000B78C6" w:rsidRDefault="000B78C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CF7F" w14:textId="77777777" w:rsidR="00D32ECE" w:rsidRDefault="00D32EC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4712" w14:textId="77777777" w:rsidR="001C11E3" w:rsidRDefault="001C11E3">
    <w:pPr>
      <w:pBdr>
        <w:top w:val="nil"/>
        <w:left w:val="nil"/>
        <w:bottom w:val="nil"/>
        <w:right w:val="nil"/>
        <w:between w:val="nil"/>
      </w:pBdr>
      <w:spacing w:before="1000"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35E1" w14:textId="77777777" w:rsidR="001C11E3" w:rsidRDefault="001C11E3">
    <w:pPr>
      <w:pBdr>
        <w:top w:val="nil"/>
        <w:left w:val="nil"/>
        <w:bottom w:val="nil"/>
        <w:right w:val="nil"/>
        <w:between w:val="nil"/>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i1025" type="#_x0000_t75" style="width:19pt;height:19pt;visibility:visible;mso-wrap-style:square" o:bullet="t">
        <v:imagedata r:id="rId1" o:title=""/>
      </v:shape>
    </w:pict>
  </w:numPicBullet>
  <w:abstractNum w:abstractNumId="0" w15:restartNumberingAfterBreak="0">
    <w:nsid w:val="78547000"/>
    <w:multiLevelType w:val="hybridMultilevel"/>
    <w:tmpl w:val="FFFFFFFF"/>
    <w:lvl w:ilvl="0" w:tplc="E83031D8">
      <w:start w:val="1"/>
      <w:numFmt w:val="bullet"/>
      <w:lvlText w:val=""/>
      <w:lvlPicBulletId w:val="0"/>
      <w:lvlJc w:val="left"/>
      <w:pPr>
        <w:tabs>
          <w:tab w:val="num" w:pos="720"/>
        </w:tabs>
        <w:ind w:left="720" w:hanging="360"/>
      </w:pPr>
      <w:rPr>
        <w:rFonts w:ascii="Symbol" w:hAnsi="Symbol" w:hint="default"/>
      </w:rPr>
    </w:lvl>
    <w:lvl w:ilvl="1" w:tplc="B9B837D0" w:tentative="1">
      <w:start w:val="1"/>
      <w:numFmt w:val="bullet"/>
      <w:lvlText w:val=""/>
      <w:lvlJc w:val="left"/>
      <w:pPr>
        <w:tabs>
          <w:tab w:val="num" w:pos="1440"/>
        </w:tabs>
        <w:ind w:left="1440" w:hanging="360"/>
      </w:pPr>
      <w:rPr>
        <w:rFonts w:ascii="Symbol" w:hAnsi="Symbol" w:hint="default"/>
      </w:rPr>
    </w:lvl>
    <w:lvl w:ilvl="2" w:tplc="7BCEF132" w:tentative="1">
      <w:start w:val="1"/>
      <w:numFmt w:val="bullet"/>
      <w:lvlText w:val=""/>
      <w:lvlJc w:val="left"/>
      <w:pPr>
        <w:tabs>
          <w:tab w:val="num" w:pos="2160"/>
        </w:tabs>
        <w:ind w:left="2160" w:hanging="360"/>
      </w:pPr>
      <w:rPr>
        <w:rFonts w:ascii="Symbol" w:hAnsi="Symbol" w:hint="default"/>
      </w:rPr>
    </w:lvl>
    <w:lvl w:ilvl="3" w:tplc="9014D3EC" w:tentative="1">
      <w:start w:val="1"/>
      <w:numFmt w:val="bullet"/>
      <w:lvlText w:val=""/>
      <w:lvlJc w:val="left"/>
      <w:pPr>
        <w:tabs>
          <w:tab w:val="num" w:pos="2880"/>
        </w:tabs>
        <w:ind w:left="2880" w:hanging="360"/>
      </w:pPr>
      <w:rPr>
        <w:rFonts w:ascii="Symbol" w:hAnsi="Symbol" w:hint="default"/>
      </w:rPr>
    </w:lvl>
    <w:lvl w:ilvl="4" w:tplc="87F2F7B8" w:tentative="1">
      <w:start w:val="1"/>
      <w:numFmt w:val="bullet"/>
      <w:lvlText w:val=""/>
      <w:lvlJc w:val="left"/>
      <w:pPr>
        <w:tabs>
          <w:tab w:val="num" w:pos="3600"/>
        </w:tabs>
        <w:ind w:left="3600" w:hanging="360"/>
      </w:pPr>
      <w:rPr>
        <w:rFonts w:ascii="Symbol" w:hAnsi="Symbol" w:hint="default"/>
      </w:rPr>
    </w:lvl>
    <w:lvl w:ilvl="5" w:tplc="FD70399C" w:tentative="1">
      <w:start w:val="1"/>
      <w:numFmt w:val="bullet"/>
      <w:lvlText w:val=""/>
      <w:lvlJc w:val="left"/>
      <w:pPr>
        <w:tabs>
          <w:tab w:val="num" w:pos="4320"/>
        </w:tabs>
        <w:ind w:left="4320" w:hanging="360"/>
      </w:pPr>
      <w:rPr>
        <w:rFonts w:ascii="Symbol" w:hAnsi="Symbol" w:hint="default"/>
      </w:rPr>
    </w:lvl>
    <w:lvl w:ilvl="6" w:tplc="8104FE5C" w:tentative="1">
      <w:start w:val="1"/>
      <w:numFmt w:val="bullet"/>
      <w:lvlText w:val=""/>
      <w:lvlJc w:val="left"/>
      <w:pPr>
        <w:tabs>
          <w:tab w:val="num" w:pos="5040"/>
        </w:tabs>
        <w:ind w:left="5040" w:hanging="360"/>
      </w:pPr>
      <w:rPr>
        <w:rFonts w:ascii="Symbol" w:hAnsi="Symbol" w:hint="default"/>
      </w:rPr>
    </w:lvl>
    <w:lvl w:ilvl="7" w:tplc="C16006E4" w:tentative="1">
      <w:start w:val="1"/>
      <w:numFmt w:val="bullet"/>
      <w:lvlText w:val=""/>
      <w:lvlJc w:val="left"/>
      <w:pPr>
        <w:tabs>
          <w:tab w:val="num" w:pos="5760"/>
        </w:tabs>
        <w:ind w:left="5760" w:hanging="360"/>
      </w:pPr>
      <w:rPr>
        <w:rFonts w:ascii="Symbol" w:hAnsi="Symbol" w:hint="default"/>
      </w:rPr>
    </w:lvl>
    <w:lvl w:ilvl="8" w:tplc="CF4C555E" w:tentative="1">
      <w:start w:val="1"/>
      <w:numFmt w:val="bullet"/>
      <w:lvlText w:val=""/>
      <w:lvlJc w:val="left"/>
      <w:pPr>
        <w:tabs>
          <w:tab w:val="num" w:pos="6480"/>
        </w:tabs>
        <w:ind w:left="6480" w:hanging="360"/>
      </w:pPr>
      <w:rPr>
        <w:rFonts w:ascii="Symbol" w:hAnsi="Symbol" w:hint="default"/>
      </w:rPr>
    </w:lvl>
  </w:abstractNum>
  <w:num w:numId="1" w16cid:durableId="66159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embedTrueTypeFonts/>
  <w:hideGrammaticalErrors/>
  <w:proofState w:spelling="clean"/>
  <w:revisionView w:inkAnnotations="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E3"/>
    <w:rsid w:val="000040FA"/>
    <w:rsid w:val="00017273"/>
    <w:rsid w:val="00020AE7"/>
    <w:rsid w:val="000259E7"/>
    <w:rsid w:val="000338A2"/>
    <w:rsid w:val="00073C61"/>
    <w:rsid w:val="0007576B"/>
    <w:rsid w:val="000806D9"/>
    <w:rsid w:val="00090B55"/>
    <w:rsid w:val="00096534"/>
    <w:rsid w:val="000B78C6"/>
    <w:rsid w:val="000C5D07"/>
    <w:rsid w:val="000C788B"/>
    <w:rsid w:val="000D000E"/>
    <w:rsid w:val="000D11E4"/>
    <w:rsid w:val="000D313C"/>
    <w:rsid w:val="00102B37"/>
    <w:rsid w:val="00107193"/>
    <w:rsid w:val="00121B50"/>
    <w:rsid w:val="00137F62"/>
    <w:rsid w:val="0014382A"/>
    <w:rsid w:val="0016154F"/>
    <w:rsid w:val="001627AD"/>
    <w:rsid w:val="001960AB"/>
    <w:rsid w:val="001C11E3"/>
    <w:rsid w:val="001D355D"/>
    <w:rsid w:val="001E6CA2"/>
    <w:rsid w:val="001E6E07"/>
    <w:rsid w:val="0020062B"/>
    <w:rsid w:val="0020638F"/>
    <w:rsid w:val="00222383"/>
    <w:rsid w:val="00232408"/>
    <w:rsid w:val="00241703"/>
    <w:rsid w:val="00241C3A"/>
    <w:rsid w:val="002543B5"/>
    <w:rsid w:val="002572E6"/>
    <w:rsid w:val="00257D04"/>
    <w:rsid w:val="00261285"/>
    <w:rsid w:val="002765C3"/>
    <w:rsid w:val="002B2EDD"/>
    <w:rsid w:val="002B2F5D"/>
    <w:rsid w:val="002B407B"/>
    <w:rsid w:val="002B6CF9"/>
    <w:rsid w:val="002D72B3"/>
    <w:rsid w:val="002E5609"/>
    <w:rsid w:val="002F191B"/>
    <w:rsid w:val="0030597E"/>
    <w:rsid w:val="003061BE"/>
    <w:rsid w:val="00314D9B"/>
    <w:rsid w:val="00345AF2"/>
    <w:rsid w:val="0035017D"/>
    <w:rsid w:val="003608D2"/>
    <w:rsid w:val="003808E2"/>
    <w:rsid w:val="00380D36"/>
    <w:rsid w:val="00391CF7"/>
    <w:rsid w:val="00396352"/>
    <w:rsid w:val="003B1E56"/>
    <w:rsid w:val="003C7F2F"/>
    <w:rsid w:val="003D4088"/>
    <w:rsid w:val="003F439A"/>
    <w:rsid w:val="003F7229"/>
    <w:rsid w:val="00412A7D"/>
    <w:rsid w:val="00414AED"/>
    <w:rsid w:val="00437725"/>
    <w:rsid w:val="004404D8"/>
    <w:rsid w:val="004514C5"/>
    <w:rsid w:val="004527D4"/>
    <w:rsid w:val="00455DCB"/>
    <w:rsid w:val="0046649A"/>
    <w:rsid w:val="00496AC0"/>
    <w:rsid w:val="004A4544"/>
    <w:rsid w:val="004A69DC"/>
    <w:rsid w:val="004B03BA"/>
    <w:rsid w:val="004C6484"/>
    <w:rsid w:val="004D0126"/>
    <w:rsid w:val="004E471D"/>
    <w:rsid w:val="004E52AE"/>
    <w:rsid w:val="004F71EC"/>
    <w:rsid w:val="005004F0"/>
    <w:rsid w:val="005050D5"/>
    <w:rsid w:val="00531035"/>
    <w:rsid w:val="00535CC8"/>
    <w:rsid w:val="005441EF"/>
    <w:rsid w:val="00553227"/>
    <w:rsid w:val="00572BE6"/>
    <w:rsid w:val="00576533"/>
    <w:rsid w:val="005900F8"/>
    <w:rsid w:val="005A18D8"/>
    <w:rsid w:val="005D33FB"/>
    <w:rsid w:val="005D5810"/>
    <w:rsid w:val="005F45D8"/>
    <w:rsid w:val="005F4E7F"/>
    <w:rsid w:val="00606F45"/>
    <w:rsid w:val="00616BAC"/>
    <w:rsid w:val="0063270A"/>
    <w:rsid w:val="00634231"/>
    <w:rsid w:val="00635812"/>
    <w:rsid w:val="00636E6D"/>
    <w:rsid w:val="00641DF6"/>
    <w:rsid w:val="006451E0"/>
    <w:rsid w:val="0064684B"/>
    <w:rsid w:val="0066052C"/>
    <w:rsid w:val="00672A50"/>
    <w:rsid w:val="0067480E"/>
    <w:rsid w:val="00683C94"/>
    <w:rsid w:val="006914F8"/>
    <w:rsid w:val="00694463"/>
    <w:rsid w:val="0069546B"/>
    <w:rsid w:val="006B1274"/>
    <w:rsid w:val="006F4293"/>
    <w:rsid w:val="007004BB"/>
    <w:rsid w:val="0070339E"/>
    <w:rsid w:val="00715F09"/>
    <w:rsid w:val="007410F5"/>
    <w:rsid w:val="00765E64"/>
    <w:rsid w:val="007772AA"/>
    <w:rsid w:val="00785E0C"/>
    <w:rsid w:val="00785F39"/>
    <w:rsid w:val="0079332C"/>
    <w:rsid w:val="00793CB3"/>
    <w:rsid w:val="0079431A"/>
    <w:rsid w:val="00794714"/>
    <w:rsid w:val="007A4A7D"/>
    <w:rsid w:val="007B304A"/>
    <w:rsid w:val="007D7BE8"/>
    <w:rsid w:val="008054A7"/>
    <w:rsid w:val="00806B17"/>
    <w:rsid w:val="0081159D"/>
    <w:rsid w:val="00811D29"/>
    <w:rsid w:val="008148F2"/>
    <w:rsid w:val="00825D26"/>
    <w:rsid w:val="00834641"/>
    <w:rsid w:val="00855209"/>
    <w:rsid w:val="008567E9"/>
    <w:rsid w:val="008613C4"/>
    <w:rsid w:val="00862A20"/>
    <w:rsid w:val="00863503"/>
    <w:rsid w:val="008736DD"/>
    <w:rsid w:val="00874C3F"/>
    <w:rsid w:val="00891A4A"/>
    <w:rsid w:val="00895394"/>
    <w:rsid w:val="0089783D"/>
    <w:rsid w:val="008A40F2"/>
    <w:rsid w:val="008B3ACD"/>
    <w:rsid w:val="008B587D"/>
    <w:rsid w:val="008D3FC1"/>
    <w:rsid w:val="008E4597"/>
    <w:rsid w:val="008E6329"/>
    <w:rsid w:val="008F775B"/>
    <w:rsid w:val="00914652"/>
    <w:rsid w:val="00915FBE"/>
    <w:rsid w:val="00920A8D"/>
    <w:rsid w:val="00921651"/>
    <w:rsid w:val="0093017F"/>
    <w:rsid w:val="0093211D"/>
    <w:rsid w:val="00966546"/>
    <w:rsid w:val="00970CF9"/>
    <w:rsid w:val="00977322"/>
    <w:rsid w:val="00993447"/>
    <w:rsid w:val="0099354A"/>
    <w:rsid w:val="00996E95"/>
    <w:rsid w:val="009A1AD3"/>
    <w:rsid w:val="009A35D4"/>
    <w:rsid w:val="009A752C"/>
    <w:rsid w:val="009C2EE7"/>
    <w:rsid w:val="009C7A37"/>
    <w:rsid w:val="009D7A45"/>
    <w:rsid w:val="009E5AEE"/>
    <w:rsid w:val="009F5D04"/>
    <w:rsid w:val="009F5F09"/>
    <w:rsid w:val="00A00B8D"/>
    <w:rsid w:val="00A05D36"/>
    <w:rsid w:val="00A266D6"/>
    <w:rsid w:val="00A32965"/>
    <w:rsid w:val="00A601B9"/>
    <w:rsid w:val="00A77E2B"/>
    <w:rsid w:val="00AE63F6"/>
    <w:rsid w:val="00AF35C2"/>
    <w:rsid w:val="00AF7147"/>
    <w:rsid w:val="00B051F6"/>
    <w:rsid w:val="00B36B27"/>
    <w:rsid w:val="00B5189A"/>
    <w:rsid w:val="00B8396C"/>
    <w:rsid w:val="00B96326"/>
    <w:rsid w:val="00BA58A3"/>
    <w:rsid w:val="00BC241F"/>
    <w:rsid w:val="00BC2C3A"/>
    <w:rsid w:val="00BE1AD5"/>
    <w:rsid w:val="00BE4EF2"/>
    <w:rsid w:val="00C0227D"/>
    <w:rsid w:val="00C04177"/>
    <w:rsid w:val="00C06A66"/>
    <w:rsid w:val="00C12EF0"/>
    <w:rsid w:val="00C2251B"/>
    <w:rsid w:val="00C35559"/>
    <w:rsid w:val="00C53B50"/>
    <w:rsid w:val="00C82DB2"/>
    <w:rsid w:val="00C874B5"/>
    <w:rsid w:val="00CB0471"/>
    <w:rsid w:val="00CB20B6"/>
    <w:rsid w:val="00CC7AAE"/>
    <w:rsid w:val="00CC7D82"/>
    <w:rsid w:val="00CD23D4"/>
    <w:rsid w:val="00CE34B2"/>
    <w:rsid w:val="00CE54B0"/>
    <w:rsid w:val="00CE7888"/>
    <w:rsid w:val="00D32ECE"/>
    <w:rsid w:val="00D333A0"/>
    <w:rsid w:val="00D45DAE"/>
    <w:rsid w:val="00D51D4C"/>
    <w:rsid w:val="00D579E9"/>
    <w:rsid w:val="00D57F59"/>
    <w:rsid w:val="00D62E4F"/>
    <w:rsid w:val="00D63769"/>
    <w:rsid w:val="00D653B3"/>
    <w:rsid w:val="00D73A96"/>
    <w:rsid w:val="00D818FB"/>
    <w:rsid w:val="00D96B92"/>
    <w:rsid w:val="00D97A2F"/>
    <w:rsid w:val="00DC135F"/>
    <w:rsid w:val="00DE62C2"/>
    <w:rsid w:val="00DF3074"/>
    <w:rsid w:val="00E11ACF"/>
    <w:rsid w:val="00E243DA"/>
    <w:rsid w:val="00E30AAB"/>
    <w:rsid w:val="00E360A0"/>
    <w:rsid w:val="00E3637E"/>
    <w:rsid w:val="00E373A9"/>
    <w:rsid w:val="00E53D50"/>
    <w:rsid w:val="00E61D07"/>
    <w:rsid w:val="00E86223"/>
    <w:rsid w:val="00E905EA"/>
    <w:rsid w:val="00E95A33"/>
    <w:rsid w:val="00E962C5"/>
    <w:rsid w:val="00EA0D25"/>
    <w:rsid w:val="00EA3995"/>
    <w:rsid w:val="00EB05CC"/>
    <w:rsid w:val="00EE426A"/>
    <w:rsid w:val="00EE5E0E"/>
    <w:rsid w:val="00EF2D6E"/>
    <w:rsid w:val="00EF464E"/>
    <w:rsid w:val="00F0663F"/>
    <w:rsid w:val="00F150AD"/>
    <w:rsid w:val="00F32FC1"/>
    <w:rsid w:val="00F55CA4"/>
    <w:rsid w:val="00F63875"/>
    <w:rsid w:val="00F8236B"/>
    <w:rsid w:val="00F8696F"/>
    <w:rsid w:val="00FA703A"/>
    <w:rsid w:val="00FB0AEB"/>
    <w:rsid w:val="00FB77AE"/>
    <w:rsid w:val="00FC31FF"/>
    <w:rsid w:val="00FC3BA1"/>
    <w:rsid w:val="00FC545D"/>
    <w:rsid w:val="00FC57DB"/>
    <w:rsid w:val="00FC6C38"/>
    <w:rsid w:val="00FD103F"/>
    <w:rsid w:val="00FD1585"/>
    <w:rsid w:val="00FE2C3A"/>
    <w:rsid w:val="00FE68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4AF54AE"/>
  <w15:docId w15:val="{79AE3D61-B537-DB4C-9331-0104CD26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Code Pro" w:eastAsia="Source Code Pro" w:hAnsi="Source Code Pro" w:cs="Source Code Pro"/>
        <w:color w:val="424242"/>
        <w:sz w:val="22"/>
        <w:szCs w:val="22"/>
        <w:lang w:val="pt-BR" w:eastAsia="pt-BR"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spacing w:before="720" w:line="240" w:lineRule="auto"/>
      <w:outlineLvl w:val="0"/>
    </w:pPr>
    <w:rPr>
      <w:rFonts w:ascii="Oswald" w:eastAsia="Oswald" w:hAnsi="Oswald" w:cs="Oswald"/>
      <w:sz w:val="36"/>
      <w:szCs w:val="36"/>
    </w:rPr>
  </w:style>
  <w:style w:type="paragraph" w:styleId="Ttulo2">
    <w:name w:val="heading 2"/>
    <w:basedOn w:val="Normal"/>
    <w:next w:val="Normal"/>
    <w:uiPriority w:val="9"/>
    <w:semiHidden/>
    <w:unhideWhenUsed/>
    <w:qFormat/>
    <w:pPr>
      <w:spacing w:line="240" w:lineRule="auto"/>
      <w:jc w:val="center"/>
      <w:outlineLvl w:val="1"/>
    </w:pPr>
    <w:rPr>
      <w:rFonts w:ascii="Oswald" w:eastAsia="Oswald" w:hAnsi="Oswald" w:cs="Oswald"/>
      <w:color w:val="000000"/>
      <w:sz w:val="32"/>
      <w:szCs w:val="32"/>
    </w:rPr>
  </w:style>
  <w:style w:type="paragraph" w:styleId="Ttulo3">
    <w:name w:val="heading 3"/>
    <w:basedOn w:val="Normal"/>
    <w:next w:val="Normal"/>
    <w:uiPriority w:val="9"/>
    <w:semiHidden/>
    <w:unhideWhenUsed/>
    <w:qFormat/>
    <w:pPr>
      <w:spacing w:before="0"/>
      <w:outlineLvl w:val="2"/>
    </w:pPr>
    <w:rPr>
      <w:i/>
      <w:iCs/>
      <w:color w:val="E31C60"/>
      <w:sz w:val="20"/>
      <w:szCs w:val="20"/>
    </w:rPr>
  </w:style>
  <w:style w:type="paragraph" w:styleId="Ttulo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Ttulo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Ttulo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spacing w:line="240" w:lineRule="auto"/>
    </w:pPr>
    <w:rPr>
      <w:rFonts w:ascii="Oswald" w:eastAsia="Oswald" w:hAnsi="Oswald" w:cs="Oswald"/>
      <w:sz w:val="104"/>
      <w:szCs w:val="104"/>
    </w:rPr>
  </w:style>
  <w:style w:type="paragraph" w:styleId="Subttulo">
    <w:name w:val="Subtitle"/>
    <w:basedOn w:val="Normal"/>
    <w:next w:val="Normal"/>
    <w:link w:val="SubttuloChar"/>
    <w:uiPriority w:val="11"/>
    <w:qFormat/>
    <w:pPr>
      <w:spacing w:before="0"/>
      <w:jc w:val="center"/>
    </w:pPr>
    <w:rPr>
      <w:rFonts w:ascii="Covered By Your Grace" w:eastAsia="Covered By Your Grace" w:hAnsi="Covered By Your Grace" w:cs="Covered By Your Grace"/>
      <w:color w:val="666666"/>
      <w:sz w:val="48"/>
      <w:szCs w:val="48"/>
    </w:rPr>
  </w:style>
  <w:style w:type="paragraph" w:styleId="Cabealho">
    <w:name w:val="header"/>
    <w:basedOn w:val="Normal"/>
    <w:link w:val="CabealhoChar"/>
    <w:uiPriority w:val="99"/>
    <w:unhideWhenUsed/>
    <w:rsid w:val="00D32ECE"/>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D32ECE"/>
  </w:style>
  <w:style w:type="paragraph" w:styleId="Rodap">
    <w:name w:val="footer"/>
    <w:basedOn w:val="Normal"/>
    <w:link w:val="RodapChar"/>
    <w:uiPriority w:val="99"/>
    <w:unhideWhenUsed/>
    <w:rsid w:val="00D32ECE"/>
    <w:pPr>
      <w:tabs>
        <w:tab w:val="center" w:pos="4252"/>
        <w:tab w:val="right" w:pos="8504"/>
      </w:tabs>
      <w:spacing w:before="0" w:line="240" w:lineRule="auto"/>
    </w:pPr>
  </w:style>
  <w:style w:type="character" w:customStyle="1" w:styleId="RodapChar">
    <w:name w:val="Rodapé Char"/>
    <w:basedOn w:val="Fontepargpadro"/>
    <w:link w:val="Rodap"/>
    <w:uiPriority w:val="99"/>
    <w:rsid w:val="00D32ECE"/>
  </w:style>
  <w:style w:type="character" w:customStyle="1" w:styleId="TtuloChar">
    <w:name w:val="Título Char"/>
    <w:basedOn w:val="Fontepargpadro"/>
    <w:link w:val="Ttulo"/>
    <w:uiPriority w:val="10"/>
    <w:rsid w:val="00636E6D"/>
    <w:rPr>
      <w:rFonts w:ascii="Oswald" w:eastAsia="Oswald" w:hAnsi="Oswald" w:cs="Oswald"/>
      <w:sz w:val="104"/>
      <w:szCs w:val="104"/>
    </w:rPr>
  </w:style>
  <w:style w:type="character" w:customStyle="1" w:styleId="SubttuloChar">
    <w:name w:val="Subtítulo Char"/>
    <w:basedOn w:val="Fontepargpadro"/>
    <w:link w:val="Subttulo"/>
    <w:uiPriority w:val="11"/>
    <w:rsid w:val="00636E6D"/>
    <w:rPr>
      <w:rFonts w:ascii="Covered By Your Grace" w:eastAsia="Covered By Your Grace" w:hAnsi="Covered By Your Grace" w:cs="Covered By Your Grace"/>
      <w:color w:val="666666"/>
      <w:sz w:val="48"/>
      <w:szCs w:val="48"/>
    </w:rPr>
  </w:style>
  <w:style w:type="character" w:styleId="Nmerodepgina">
    <w:name w:val="page number"/>
    <w:basedOn w:val="Fontepargpadro"/>
    <w:uiPriority w:val="99"/>
    <w:semiHidden/>
    <w:unhideWhenUsed/>
    <w:rsid w:val="003061BE"/>
  </w:style>
  <w:style w:type="character" w:styleId="Hyperlink">
    <w:name w:val="Hyperlink"/>
    <w:basedOn w:val="Fontepargpadro"/>
    <w:uiPriority w:val="99"/>
    <w:unhideWhenUsed/>
    <w:rsid w:val="00CC7AAE"/>
    <w:rPr>
      <w:color w:val="0000FF" w:themeColor="hyperlink"/>
      <w:u w:val="single"/>
    </w:rPr>
  </w:style>
  <w:style w:type="character" w:styleId="MenoPendente">
    <w:name w:val="Unresolved Mention"/>
    <w:basedOn w:val="Fontepargpadro"/>
    <w:uiPriority w:val="99"/>
    <w:semiHidden/>
    <w:unhideWhenUsed/>
    <w:rsid w:val="00CC7AAE"/>
    <w:rPr>
      <w:color w:val="605E5C"/>
      <w:shd w:val="clear" w:color="auto" w:fill="E1DFDD"/>
    </w:rPr>
  </w:style>
  <w:style w:type="character" w:customStyle="1" w:styleId="Ttulo1Char">
    <w:name w:val="Título 1 Char"/>
    <w:basedOn w:val="Fontepargpadro"/>
    <w:link w:val="Ttulo1"/>
    <w:uiPriority w:val="9"/>
    <w:rsid w:val="009F5D04"/>
    <w:rPr>
      <w:rFonts w:ascii="Oswald" w:eastAsia="Oswald" w:hAnsi="Oswald" w:cs="Oswal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1.globo.com/rj/rio-de-janeiro/noticia/2020/03/01/rio-455-anos-obras-recriam-a-ocupacao-urbana-desde-a-fundacao-veja-o-antes-e-o-depois.ghtml" TargetMode="External"/><Relationship Id="rId18" Type="http://schemas.openxmlformats.org/officeDocument/2006/relationships/hyperlink" Target="https://www.bbc.com/portuguese/brasil-61651974.amp" TargetMode="External"/><Relationship Id="rId26" Type="http://schemas.openxmlformats.org/officeDocument/2006/relationships/image" Target="media/image10.jpg"/><Relationship Id="rId39" Type="http://schemas.openxmlformats.org/officeDocument/2006/relationships/hyperlink" Target="https://pt.m.wikipedia.org/wiki/Rio_de_Janeiro_(estado)" TargetMode="External"/><Relationship Id="rId21" Type="http://schemas.openxmlformats.org/officeDocument/2006/relationships/hyperlink" Target="https://www.gov.br/planalto/pt-br/acompanhe-o-planalto/noticias/2025/02/cupula-do-brics-sera-no-rio-de-janeiro-em-6-e-7-de-julho" TargetMode="External"/><Relationship Id="rId34" Type="http://schemas.openxmlformats.org/officeDocument/2006/relationships/hyperlink" Target="https://oglobo.globo.com/google/amp/brasil/cop-30-amazonia/noticia/2025/11/13/cop30-projeto-da-otca-preve-politicas-integradas-entre-paises-amazonicos-e-participacao-dos-povos-originarios.ghtml?fbclid=IwZnRzaAPJIotleHRuA2FlbQIxMQBzcnRjBmFwcF9pZAo2NjI4NTY4Mzc5AAEeIEEMyXcD5thEucf4qilriFDKMybjByukuh1bcZSBx28n7CI9xeY4iSPiZC0_aem_FkJjotr3AVRF4MRxK3F8Vg" TargetMode="External"/><Relationship Id="rId42" Type="http://schemas.openxmlformats.org/officeDocument/2006/relationships/hyperlink" Target="https://www.planalto.gov.br/ccivil_03/leis/l9433.htm" TargetMode="External"/><Relationship Id="rId47" Type="http://schemas.openxmlformats.org/officeDocument/2006/relationships/hyperlink" Target="https://legislacao.presidencia.gov.br/atos?tipo=LEI&amp;numero=6385&amp;ano=1976&amp;data=07/12/1976&amp;ato=a92cXTq50MnRVTa5b"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3.jpeg"/><Relationship Id="rId11" Type="http://schemas.openxmlformats.org/officeDocument/2006/relationships/image" Target="media/image6.jpg"/><Relationship Id="rId24" Type="http://schemas.openxmlformats.org/officeDocument/2006/relationships/image" Target="media/image9.png"/><Relationship Id="rId32" Type="http://schemas.openxmlformats.org/officeDocument/2006/relationships/image" Target="media/image16.jpg"/><Relationship Id="rId37" Type="http://schemas.openxmlformats.org/officeDocument/2006/relationships/image" Target="media/image19.jpg"/><Relationship Id="rId40" Type="http://schemas.openxmlformats.org/officeDocument/2006/relationships/hyperlink" Target="https://pt.m.wikipedia.org/wiki/Uni%C3%A3o_Internacional_de_Telecomunica%C3%A7%C3%B5es" TargetMode="External"/><Relationship Id="rId45" Type="http://schemas.openxmlformats.org/officeDocument/2006/relationships/hyperlink" Target="https://legislacao.presidencia.gov.br/atos?tipo=LEI&amp;numero=12187&amp;ano=2009&amp;data=29/12/2009&amp;ato=d5aQTWU1EeVpWT227"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cor.rio/historia/"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s://oglobo.globo.com/rio/rio-investe-14-bi-para-trocar-450-mil-lampadas-da-cidade-economizar-120-milhoes-por-ano-nas-contas-de-energia-25257578?fbclid=IwZXh0bgNhZW0CMTEAAR0Fmwp3S7Mf-U_rZrIHHOIcxdV8kkg5-sLAvksEeGq1m7aJaYUZ9c9rTJg_aem_kheGa0Zcn69HMdDDXCkZeg" TargetMode="External"/><Relationship Id="rId22" Type="http://schemas.openxmlformats.org/officeDocument/2006/relationships/hyperlink" Target="https://brics.br/pt-br/noticias/colaboracao-em-educacao-profissional-e-foco-de-reuniao-do-brics" TargetMode="Externa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7.jpg"/><Relationship Id="rId43" Type="http://schemas.openxmlformats.org/officeDocument/2006/relationships/hyperlink" Target="https://www.planalto.gov.br/ccivil_03/leis/l9605.htm" TargetMode="External"/><Relationship Id="rId48" Type="http://schemas.openxmlformats.org/officeDocument/2006/relationships/hyperlink" Target="https://legislacao.presidencia.gov.br/atos?tipo=LEI&amp;numero=6015&amp;ano=1973&amp;data=31/12/1973&amp;ato=5e5EzZq5EenRVT275" TargetMode="External"/><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agenciagov.ebc.com.br/noticias/202504/dia-mundial-da-educacao-fnde-reforca-seu-compromisso-com-a-transformacao-social" TargetMode="External"/><Relationship Id="rId25" Type="http://schemas.openxmlformats.org/officeDocument/2006/relationships/hyperlink" Target="https://g1.globo.com/jornal-nacional/noticia/2023/11/10/comportas-da-usina-de-itaipu-liberam-agua-acumulada-no-rio-parana-por-causa-dos-temporais.ghtml" TargetMode="External"/><Relationship Id="rId33" Type="http://schemas.openxmlformats.org/officeDocument/2006/relationships/hyperlink" Target="https://www.cnnbrasil.com.br/nacional/brasil/quais-sao-as-metas-apresentadas-pelo-brasil-para-a-cop30/" TargetMode="External"/><Relationship Id="rId38" Type="http://schemas.openxmlformats.org/officeDocument/2006/relationships/hyperlink" Target="https://pt.m.wikipedia.org/wiki/Rio_de_Janeiro_(estado)" TargetMode="External"/><Relationship Id="rId46" Type="http://schemas.openxmlformats.org/officeDocument/2006/relationships/hyperlink" Target="https://legislacao.presidencia.gov.br/atos?tipo=LEI&amp;numero=12651&amp;ano=2012&amp;data=25/05/2012&amp;ato=a48QTVU1kMVpWT59b" TargetMode="External"/><Relationship Id="rId20" Type="http://schemas.openxmlformats.org/officeDocument/2006/relationships/hyperlink" Target="https://brasil.un.org/pt-br/sdgs/10" TargetMode="External"/><Relationship Id="rId41" Type="http://schemas.openxmlformats.org/officeDocument/2006/relationships/hyperlink" Target="https://www.planalto.gov.br/ccivil_03/leis/l6938.htm"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globo.globo.com/google/amp/economia/noticia/2025/03/11/aneel-adia-reajuste-nas-contas-de-luz-da-light-por-divergencia-sobre-reducao-nas-tarifas.ghtml" TargetMode="External"/><Relationship Id="rId23" Type="http://schemas.openxmlformats.org/officeDocument/2006/relationships/hyperlink" Target="https://g1.globo.com/google/amp/rj/rio-de-janeiro/noticia/2025/07/05/colombia-e-uzbequistao-entram-para-o-banco-do-brics-anuncia-dilma-rousseff-no-rio.ghtml" TargetMode="External"/><Relationship Id="rId28" Type="http://schemas.openxmlformats.org/officeDocument/2006/relationships/image" Target="media/image12.jpg"/><Relationship Id="rId36" Type="http://schemas.openxmlformats.org/officeDocument/2006/relationships/image" Target="media/image18.jpg"/><Relationship Id="rId49" Type="http://schemas.openxmlformats.org/officeDocument/2006/relationships/hyperlink" Target="https://legislacao.presidencia.gov.br/atos/?tipo=LEI&amp;numero=15042&amp;ano=2024&amp;ato=997QTQE1UNZpWTb27" TargetMode="External"/><Relationship Id="rId57" Type="http://schemas.openxmlformats.org/officeDocument/2006/relationships/theme" Target="theme/theme1.xml"/><Relationship Id="rId10" Type="http://schemas.openxmlformats.org/officeDocument/2006/relationships/image" Target="media/image5.jpg"/><Relationship Id="rId31" Type="http://schemas.openxmlformats.org/officeDocument/2006/relationships/image" Target="media/image15.jpg"/><Relationship Id="rId44" Type="http://schemas.openxmlformats.org/officeDocument/2006/relationships/hyperlink" Target="https://www.planalto.gov.br/ccivil_03/_ato2011-2014/2012/lei/l12651.htm"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SourceCodePro-regular.ttf"/><Relationship Id="rId13" Type="http://schemas.openxmlformats.org/officeDocument/2006/relationships/font" Target="fonts/Oswald-bold.ttf"/><Relationship Id="rId18" Type="http://schemas.openxmlformats.org/officeDocument/2006/relationships/font" Target="fonts/font5.odttf"/><Relationship Id="rId12" Type="http://schemas.openxmlformats.org/officeDocument/2006/relationships/font" Target="fonts/Oswald-regular.ttf"/><Relationship Id="rId7" Type="http://schemas.openxmlformats.org/officeDocument/2006/relationships/font" Target="fonts/FiraMono-bold.ttf"/><Relationship Id="rId17" Type="http://schemas.openxmlformats.org/officeDocument/2006/relationships/font" Target="fonts/font4.odttf"/><Relationship Id="rId16" Type="http://schemas.openxmlformats.org/officeDocument/2006/relationships/font" Target="fonts/font3.odttf"/><Relationship Id="rId11" Type="http://schemas.openxmlformats.org/officeDocument/2006/relationships/font" Target="fonts/SourceCodePro-boldItalic.ttf"/><Relationship Id="rId6" Type="http://schemas.openxmlformats.org/officeDocument/2006/relationships/font" Target="fonts/FiraMono-regular.ttf"/><Relationship Id="rId15" Type="http://schemas.openxmlformats.org/officeDocument/2006/relationships/font" Target="fonts/font2.odttf"/><Relationship Id="rId10" Type="http://schemas.openxmlformats.org/officeDocument/2006/relationships/font" Target="fonts/SourceCodePro-italic.ttf"/><Relationship Id="rId9" Type="http://schemas.openxmlformats.org/officeDocument/2006/relationships/font" Target="fonts/SourceCodePro-bold.ttf"/><Relationship Id="rId14"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image" Target="media/image20.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77986</Words>
  <Characters>421125</Characters>
  <Application>Microsoft Office Word</Application>
  <DocSecurity>0</DocSecurity>
  <Lines>3509</Lines>
  <Paragraphs>996</Paragraphs>
  <ScaleCrop>false</ScaleCrop>
  <Company/>
  <LinksUpToDate>false</LinksUpToDate>
  <CharactersWithSpaces>498115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Thaís Gomes Pinto</cp:lastModifiedBy>
  <cp:revision>2</cp:revision>
  <dcterms:created xsi:type="dcterms:W3CDTF">2026-01-10T18:05:00Z</dcterms:created>
  <dcterms:modified xsi:type="dcterms:W3CDTF">2026-01-10T18:05:00Z</dcterms:modified>
</cp:coreProperties>
</file>