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6AEF" w14:textId="77777777" w:rsidR="0003312E"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289634D5" w14:textId="77777777" w:rsidR="0003312E" w:rsidRDefault="00000000">
      <w:pPr>
        <w:spacing w:after="0" w:line="360" w:lineRule="auto"/>
        <w:ind w:firstLineChars="125" w:firstLine="300"/>
        <w:jc w:val="both"/>
        <w:rPr>
          <w:rFonts w:ascii="Times New Roman" w:hAnsi="Times New Roman" w:cs="Times New Roman"/>
          <w:b/>
          <w:bCs/>
          <w:sz w:val="24"/>
          <w:szCs w:val="24"/>
          <w:lang w:val="en-US"/>
        </w:rPr>
      </w:pPr>
      <w:r>
        <w:rPr>
          <w:rFonts w:ascii="Times New Roman" w:hAnsi="Times New Roman" w:cs="Times New Roman"/>
          <w:noProof/>
          <w:sz w:val="24"/>
          <w:szCs w:val="24"/>
          <w14:ligatures w14:val="none"/>
        </w:rPr>
        <mc:AlternateContent>
          <mc:Choice Requires="wps">
            <w:drawing>
              <wp:anchor distT="0" distB="0" distL="114300" distR="114300" simplePos="0" relativeHeight="251661312" behindDoc="0" locked="0" layoutInCell="1" allowOverlap="1" wp14:anchorId="21593535" wp14:editId="765AEE58">
                <wp:simplePos x="0" y="0"/>
                <wp:positionH relativeFrom="column">
                  <wp:posOffset>1373505</wp:posOffset>
                </wp:positionH>
                <wp:positionV relativeFrom="paragraph">
                  <wp:posOffset>1721485</wp:posOffset>
                </wp:positionV>
                <wp:extent cx="2910840" cy="1402080"/>
                <wp:effectExtent l="0" t="0" r="0" b="0"/>
                <wp:wrapNone/>
                <wp:docPr id="314289708" name="Caixa de Texto 18"/>
                <wp:cNvGraphicFramePr/>
                <a:graphic xmlns:a="http://schemas.openxmlformats.org/drawingml/2006/main">
                  <a:graphicData uri="http://schemas.microsoft.com/office/word/2010/wordprocessingShape">
                    <wps:wsp>
                      <wps:cNvSpPr txBox="1"/>
                      <wps:spPr>
                        <a:xfrm>
                          <a:off x="0" y="0"/>
                          <a:ext cx="2910840" cy="1402080"/>
                        </a:xfrm>
                        <a:prstGeom prst="rect">
                          <a:avLst/>
                        </a:prstGeom>
                        <a:solidFill>
                          <a:schemeClr val="bg1"/>
                        </a:solidFill>
                        <a:ln w="6350">
                          <a:noFill/>
                        </a:ln>
                      </wps:spPr>
                      <wps:txbx>
                        <w:txbxContent>
                          <w:p w14:paraId="25AA578A" w14:textId="77777777" w:rsidR="0003312E" w:rsidRDefault="00000000">
                            <w:r>
                              <w:rPr>
                                <w:noProof/>
                              </w:rPr>
                              <w:drawing>
                                <wp:inline distT="0" distB="0" distL="0" distR="0" wp14:anchorId="56C3E5FD" wp14:editId="345AEC0F">
                                  <wp:extent cx="2969895" cy="1195705"/>
                                  <wp:effectExtent l="19050" t="19050" r="20955" b="23495"/>
                                  <wp:docPr id="1699028148"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28148" name="Imagem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87919" cy="1242970"/>
                                          </a:xfrm>
                                          <a:prstGeom prst="rect">
                                            <a:avLst/>
                                          </a:prstGeom>
                                          <a:solidFill>
                                            <a:schemeClr val="bg1"/>
                                          </a:solidFill>
                                          <a:ln>
                                            <a:solidFill>
                                              <a:schemeClr val="bg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1593535" id="_x0000_t202" coordsize="21600,21600" o:spt="202" path="m,l,21600r21600,l21600,xe">
                <v:stroke joinstyle="miter"/>
                <v:path gradientshapeok="t" o:connecttype="rect"/>
              </v:shapetype>
              <v:shape id="Caixa de Texto 18" o:spid="_x0000_s1026" type="#_x0000_t202" style="position:absolute;left:0;text-align:left;margin-left:108.15pt;margin-top:135.55pt;width:229.2pt;height:110.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" fillcolor="white [3212]" stroked="f" strokeweight=".5pt">
                <v:textbox>
                  <w:txbxContent>
                    <w:p w14:paraId="25AA578A" w14:textId="77777777" w:rsidR="0003312E" w:rsidRDefault="00000000">
                      <w:r>
                        <w:rPr>
                          <w:noProof/>
                        </w:rPr>
                        <w:drawing>
                          <wp:inline distT="0" distB="0" distL="0" distR="0" wp14:anchorId="56C3E5FD" wp14:editId="345AEC0F">
                            <wp:extent cx="2969895" cy="1195705"/>
                            <wp:effectExtent l="19050" t="19050" r="20955" b="23495"/>
                            <wp:docPr id="1699028148"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28148" name="Imagem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87919" cy="1242970"/>
                                    </a:xfrm>
                                    <a:prstGeom prst="rect">
                                      <a:avLst/>
                                    </a:prstGeom>
                                    <a:solidFill>
                                      <a:schemeClr val="bg1"/>
                                    </a:solidFill>
                                    <a:ln>
                                      <a:solidFill>
                                        <a:schemeClr val="bg1"/>
                                      </a:solidFill>
                                    </a:ln>
                                  </pic:spPr>
                                </pic:pic>
                              </a:graphicData>
                            </a:graphic>
                          </wp:inline>
                        </w:drawing>
                      </w:r>
                    </w:p>
                  </w:txbxContent>
                </v:textbox>
              </v:shape>
            </w:pict>
          </mc:Fallback>
        </mc:AlternateContent>
      </w:r>
      <w:r>
        <w:rPr>
          <w:rFonts w:ascii="Times New Roman" w:hAnsi="Times New Roman" w:cs="Times New Roman"/>
          <w:noProof/>
          <w:sz w:val="24"/>
          <w:szCs w:val="24"/>
        </w:rPr>
        <w:drawing>
          <wp:inline distT="0" distB="0" distL="0" distR="0" wp14:anchorId="197699BC" wp14:editId="75F48D32">
            <wp:extent cx="5565140" cy="5565140"/>
            <wp:effectExtent l="0" t="0" r="0" b="0"/>
            <wp:docPr id="45100317"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0317" name="Imagem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70826" cy="5570826"/>
                    </a:xfrm>
                    <a:prstGeom prst="rect">
                      <a:avLst/>
                    </a:prstGeom>
                    <a:noFill/>
                    <a:ln>
                      <a:noFill/>
                    </a:ln>
                  </pic:spPr>
                </pic:pic>
              </a:graphicData>
            </a:graphic>
          </wp:inline>
        </w:drawing>
      </w:r>
    </w:p>
    <w:p w14:paraId="25759956" w14:textId="77777777" w:rsidR="0003312E" w:rsidRDefault="0003312E">
      <w:pPr>
        <w:spacing w:after="0" w:line="360" w:lineRule="auto"/>
        <w:ind w:firstLineChars="125" w:firstLine="301"/>
        <w:jc w:val="both"/>
        <w:rPr>
          <w:rFonts w:ascii="Times New Roman" w:hAnsi="Times New Roman" w:cs="Times New Roman"/>
          <w:b/>
          <w:bCs/>
          <w:sz w:val="24"/>
          <w:szCs w:val="24"/>
        </w:rPr>
      </w:pPr>
    </w:p>
    <w:p w14:paraId="2B88366F" w14:textId="77777777" w:rsidR="0003312E" w:rsidRDefault="00000000">
      <w:pPr>
        <w:spacing w:after="0" w:line="360" w:lineRule="auto"/>
        <w:ind w:firstLineChars="125" w:firstLine="301"/>
        <w:jc w:val="right"/>
        <w:rPr>
          <w:rFonts w:ascii="Times New Roman" w:hAnsi="Times New Roman" w:cs="Times New Roman"/>
          <w:b/>
          <w:bCs/>
          <w:sz w:val="24"/>
          <w:szCs w:val="24"/>
        </w:rPr>
      </w:pPr>
      <w:r>
        <w:rPr>
          <w:rFonts w:ascii="Times New Roman" w:hAnsi="Times New Roman" w:cs="Times New Roman"/>
          <w:b/>
          <w:bCs/>
          <w:sz w:val="24"/>
          <w:szCs w:val="24"/>
        </w:rPr>
        <w:t>Marleide da Mota Gomes</w:t>
      </w:r>
      <w:r>
        <w:rPr>
          <w:rFonts w:ascii="Times New Roman" w:hAnsi="Times New Roman" w:cs="Times New Roman"/>
          <w:b/>
          <w:bCs/>
          <w:sz w:val="24"/>
          <w:szCs w:val="24"/>
        </w:rPr>
        <w:br w:type="page"/>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85"/>
        <w:gridCol w:w="486"/>
      </w:tblGrid>
      <w:tr w:rsidR="0003312E" w14:paraId="1246A331" w14:textId="77777777">
        <w:trPr>
          <w:tblHeader/>
        </w:trPr>
        <w:tc>
          <w:tcPr>
            <w:tcW w:w="0" w:type="auto"/>
            <w:tcBorders>
              <w:top w:val="nil"/>
            </w:tcBorders>
            <w:shd w:val="clear" w:color="auto" w:fill="FFFFFF"/>
            <w:tcMar>
              <w:top w:w="150" w:type="dxa"/>
              <w:left w:w="0" w:type="dxa"/>
              <w:bottom w:w="150" w:type="dxa"/>
              <w:right w:w="240" w:type="dxa"/>
            </w:tcMar>
          </w:tcPr>
          <w:p w14:paraId="239D1106"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b w:val="0"/>
                <w:bCs w:val="0"/>
                <w:color w:val="0F1115"/>
                <w:sz w:val="24"/>
                <w:szCs w:val="24"/>
              </w:rPr>
              <w:lastRenderedPageBreak/>
              <w:t>NEUROETIMOLOGIA: A JORNADA DE PALAVRAS QUE EMOLDURAM A MENTE</w:t>
            </w:r>
          </w:p>
        </w:tc>
        <w:tc>
          <w:tcPr>
            <w:tcW w:w="0" w:type="auto"/>
            <w:tcBorders>
              <w:top w:val="nil"/>
            </w:tcBorders>
            <w:shd w:val="clear" w:color="auto" w:fill="FFFFFF"/>
            <w:tcMar>
              <w:top w:w="150" w:type="dxa"/>
              <w:left w:w="240" w:type="dxa"/>
              <w:bottom w:w="150" w:type="dxa"/>
              <w:right w:w="240" w:type="dxa"/>
            </w:tcMar>
            <w:vAlign w:val="center"/>
          </w:tcPr>
          <w:p w14:paraId="5BA2DEB5" w14:textId="77777777" w:rsidR="0003312E" w:rsidRDefault="0003312E">
            <w:pPr>
              <w:spacing w:after="0" w:line="240" w:lineRule="auto"/>
              <w:rPr>
                <w:rFonts w:ascii="Times New Roman" w:hAnsi="Times New Roman" w:cs="Times New Roman"/>
                <w:sz w:val="24"/>
                <w:szCs w:val="24"/>
              </w:rPr>
            </w:pPr>
          </w:p>
        </w:tc>
      </w:tr>
      <w:tr w:rsidR="0003312E" w14:paraId="26D4234E" w14:textId="77777777">
        <w:tc>
          <w:tcPr>
            <w:tcW w:w="0" w:type="auto"/>
            <w:shd w:val="clear" w:color="auto" w:fill="FFFFFF"/>
            <w:tcMar>
              <w:top w:w="150" w:type="dxa"/>
              <w:left w:w="0" w:type="dxa"/>
              <w:bottom w:w="150" w:type="dxa"/>
              <w:right w:w="240" w:type="dxa"/>
            </w:tcMar>
          </w:tcPr>
          <w:p w14:paraId="3AEF55AF"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b w:val="0"/>
                <w:bCs w:val="0"/>
                <w:color w:val="0F1115"/>
                <w:sz w:val="24"/>
                <w:szCs w:val="24"/>
              </w:rPr>
              <w:t>SUMÁRIO</w:t>
            </w:r>
          </w:p>
        </w:tc>
        <w:tc>
          <w:tcPr>
            <w:tcW w:w="0" w:type="auto"/>
            <w:shd w:val="clear" w:color="auto" w:fill="FFFFFF"/>
            <w:tcMar>
              <w:top w:w="150" w:type="dxa"/>
              <w:left w:w="240" w:type="dxa"/>
              <w:bottom w:w="150" w:type="dxa"/>
              <w:right w:w="240" w:type="dxa"/>
            </w:tcMar>
            <w:vAlign w:val="center"/>
          </w:tcPr>
          <w:p w14:paraId="0AB6EDF9" w14:textId="77777777" w:rsidR="0003312E" w:rsidRDefault="0003312E">
            <w:pPr>
              <w:spacing w:after="0" w:line="240" w:lineRule="auto"/>
              <w:rPr>
                <w:rFonts w:ascii="Times New Roman" w:hAnsi="Times New Roman" w:cs="Times New Roman"/>
                <w:sz w:val="24"/>
                <w:szCs w:val="24"/>
              </w:rPr>
            </w:pPr>
          </w:p>
        </w:tc>
      </w:tr>
      <w:tr w:rsidR="0003312E" w14:paraId="74402580" w14:textId="77777777">
        <w:tc>
          <w:tcPr>
            <w:tcW w:w="0" w:type="auto"/>
            <w:shd w:val="clear" w:color="auto" w:fill="FFFFFF"/>
            <w:tcMar>
              <w:top w:w="150" w:type="dxa"/>
              <w:left w:w="0" w:type="dxa"/>
              <w:bottom w:w="150" w:type="dxa"/>
              <w:right w:w="240" w:type="dxa"/>
            </w:tcMar>
          </w:tcPr>
          <w:p w14:paraId="335B2381"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Apresentação</w:t>
            </w:r>
            <w:r>
              <w:rPr>
                <w:rFonts w:ascii="Times New Roman" w:hAnsi="Times New Roman" w:cs="Times New Roman"/>
                <w:color w:val="0F1115"/>
                <w:sz w:val="24"/>
                <w:szCs w:val="24"/>
              </w:rPr>
              <w:br/>
            </w:r>
          </w:p>
        </w:tc>
        <w:tc>
          <w:tcPr>
            <w:tcW w:w="0" w:type="auto"/>
            <w:shd w:val="clear" w:color="auto" w:fill="FFFFFF"/>
            <w:tcMar>
              <w:top w:w="150" w:type="dxa"/>
              <w:left w:w="240" w:type="dxa"/>
              <w:bottom w:w="150" w:type="dxa"/>
              <w:right w:w="240" w:type="dxa"/>
            </w:tcMar>
            <w:vAlign w:val="center"/>
          </w:tcPr>
          <w:p w14:paraId="4A6DE03B" w14:textId="77777777" w:rsidR="0003312E" w:rsidRDefault="0003312E">
            <w:pPr>
              <w:spacing w:after="0" w:line="240" w:lineRule="auto"/>
              <w:rPr>
                <w:rFonts w:ascii="Times New Roman" w:hAnsi="Times New Roman" w:cs="Times New Roman"/>
                <w:sz w:val="24"/>
                <w:szCs w:val="24"/>
              </w:rPr>
            </w:pPr>
          </w:p>
        </w:tc>
      </w:tr>
      <w:tr w:rsidR="0003312E" w14:paraId="281AD8B7" w14:textId="77777777">
        <w:tc>
          <w:tcPr>
            <w:tcW w:w="0" w:type="auto"/>
            <w:shd w:val="clear" w:color="auto" w:fill="FFFFFF"/>
            <w:tcMar>
              <w:top w:w="150" w:type="dxa"/>
              <w:left w:w="0" w:type="dxa"/>
              <w:bottom w:w="150" w:type="dxa"/>
              <w:right w:w="240" w:type="dxa"/>
            </w:tcMar>
          </w:tcPr>
          <w:p w14:paraId="5BEB992F"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Prefácio: A Palavra como Portal</w:t>
            </w:r>
          </w:p>
        </w:tc>
        <w:tc>
          <w:tcPr>
            <w:tcW w:w="0" w:type="auto"/>
            <w:shd w:val="clear" w:color="auto" w:fill="FFFFFF"/>
            <w:tcMar>
              <w:top w:w="150" w:type="dxa"/>
              <w:left w:w="240" w:type="dxa"/>
              <w:bottom w:w="150" w:type="dxa"/>
              <w:right w:w="240" w:type="dxa"/>
            </w:tcMar>
            <w:vAlign w:val="center"/>
          </w:tcPr>
          <w:p w14:paraId="78607950" w14:textId="77777777" w:rsidR="0003312E" w:rsidRDefault="0003312E">
            <w:pPr>
              <w:spacing w:after="0" w:line="240" w:lineRule="auto"/>
              <w:rPr>
                <w:rFonts w:ascii="Times New Roman" w:hAnsi="Times New Roman" w:cs="Times New Roman"/>
                <w:sz w:val="24"/>
                <w:szCs w:val="24"/>
              </w:rPr>
            </w:pPr>
          </w:p>
        </w:tc>
      </w:tr>
      <w:tr w:rsidR="0003312E" w14:paraId="01EB1592" w14:textId="77777777">
        <w:tc>
          <w:tcPr>
            <w:tcW w:w="0" w:type="auto"/>
            <w:shd w:val="clear" w:color="auto" w:fill="FFFFFF"/>
            <w:tcMar>
              <w:top w:w="150" w:type="dxa"/>
              <w:left w:w="0" w:type="dxa"/>
              <w:bottom w:w="150" w:type="dxa"/>
              <w:right w:w="240" w:type="dxa"/>
            </w:tcMar>
          </w:tcPr>
          <w:p w14:paraId="28F8B8A0"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b w:val="0"/>
                <w:bCs w:val="0"/>
                <w:color w:val="0F1115"/>
                <w:sz w:val="24"/>
                <w:szCs w:val="24"/>
              </w:rPr>
              <w:t>CAPÍTULOS</w:t>
            </w:r>
          </w:p>
        </w:tc>
        <w:tc>
          <w:tcPr>
            <w:tcW w:w="0" w:type="auto"/>
            <w:shd w:val="clear" w:color="auto" w:fill="FFFFFF"/>
            <w:tcMar>
              <w:top w:w="150" w:type="dxa"/>
              <w:left w:w="240" w:type="dxa"/>
              <w:bottom w:w="150" w:type="dxa"/>
              <w:right w:w="240" w:type="dxa"/>
            </w:tcMar>
            <w:vAlign w:val="center"/>
          </w:tcPr>
          <w:p w14:paraId="68CFAB4A" w14:textId="77777777" w:rsidR="0003312E" w:rsidRDefault="0003312E">
            <w:pPr>
              <w:spacing w:after="0" w:line="240" w:lineRule="auto"/>
              <w:rPr>
                <w:rFonts w:ascii="Times New Roman" w:hAnsi="Times New Roman" w:cs="Times New Roman"/>
                <w:sz w:val="24"/>
                <w:szCs w:val="24"/>
              </w:rPr>
            </w:pPr>
          </w:p>
        </w:tc>
      </w:tr>
      <w:tr w:rsidR="0003312E" w14:paraId="26C89909" w14:textId="77777777">
        <w:tc>
          <w:tcPr>
            <w:tcW w:w="0" w:type="auto"/>
            <w:shd w:val="clear" w:color="auto" w:fill="FFFFFF"/>
            <w:tcMar>
              <w:top w:w="150" w:type="dxa"/>
              <w:left w:w="0" w:type="dxa"/>
              <w:bottom w:w="150" w:type="dxa"/>
              <w:right w:w="240" w:type="dxa"/>
            </w:tcMar>
          </w:tcPr>
          <w:p w14:paraId="32A733CB"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 xml:space="preserve">       As Raízes da </w:t>
            </w:r>
            <w:proofErr w:type="spellStart"/>
            <w:r>
              <w:rPr>
                <w:rStyle w:val="Forte"/>
                <w:rFonts w:ascii="Times New Roman" w:hAnsi="Times New Roman" w:cs="Times New Roman"/>
                <w:color w:val="0F1115"/>
                <w:sz w:val="24"/>
                <w:szCs w:val="24"/>
              </w:rPr>
              <w:t>Neuroetimologia</w:t>
            </w:r>
            <w:proofErr w:type="spellEnd"/>
            <w:r>
              <w:rPr>
                <w:rStyle w:val="Forte"/>
                <w:rFonts w:ascii="Times New Roman" w:hAnsi="Times New Roman" w:cs="Times New Roman"/>
                <w:color w:val="0F1115"/>
                <w:sz w:val="24"/>
                <w:szCs w:val="24"/>
              </w:rPr>
              <w:t>: Diálogos entre Palavra e Cérebro</w:t>
            </w:r>
          </w:p>
        </w:tc>
        <w:tc>
          <w:tcPr>
            <w:tcW w:w="0" w:type="auto"/>
            <w:shd w:val="clear" w:color="auto" w:fill="FFFFFF"/>
            <w:tcMar>
              <w:top w:w="150" w:type="dxa"/>
              <w:left w:w="240" w:type="dxa"/>
              <w:bottom w:w="150" w:type="dxa"/>
              <w:right w:w="240" w:type="dxa"/>
            </w:tcMar>
            <w:vAlign w:val="center"/>
          </w:tcPr>
          <w:p w14:paraId="537ABD9A" w14:textId="77777777" w:rsidR="0003312E" w:rsidRDefault="0003312E">
            <w:pPr>
              <w:spacing w:after="0" w:line="240" w:lineRule="auto"/>
              <w:rPr>
                <w:rFonts w:ascii="Times New Roman" w:hAnsi="Times New Roman" w:cs="Times New Roman"/>
                <w:sz w:val="24"/>
                <w:szCs w:val="24"/>
              </w:rPr>
            </w:pPr>
          </w:p>
        </w:tc>
      </w:tr>
      <w:tr w:rsidR="0003312E" w14:paraId="64819BAF" w14:textId="77777777">
        <w:tc>
          <w:tcPr>
            <w:tcW w:w="0" w:type="auto"/>
            <w:shd w:val="clear" w:color="auto" w:fill="FFFFFF"/>
            <w:tcMar>
              <w:top w:w="150" w:type="dxa"/>
              <w:left w:w="0" w:type="dxa"/>
              <w:bottom w:w="150" w:type="dxa"/>
              <w:right w:w="240" w:type="dxa"/>
            </w:tcMar>
          </w:tcPr>
          <w:p w14:paraId="78A3AACF"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 xml:space="preserve">Hipnose: Do Deus </w:t>
            </w:r>
            <w:proofErr w:type="spellStart"/>
            <w:r>
              <w:rPr>
                <w:rStyle w:val="Forte"/>
                <w:rFonts w:ascii="Times New Roman" w:hAnsi="Times New Roman" w:cs="Times New Roman"/>
                <w:color w:val="0F1115"/>
                <w:sz w:val="24"/>
                <w:szCs w:val="24"/>
              </w:rPr>
              <w:t>Hypnos</w:t>
            </w:r>
            <w:proofErr w:type="spellEnd"/>
            <w:r>
              <w:rPr>
                <w:rStyle w:val="Forte"/>
                <w:rFonts w:ascii="Times New Roman" w:hAnsi="Times New Roman" w:cs="Times New Roman"/>
                <w:color w:val="0F1115"/>
                <w:sz w:val="24"/>
                <w:szCs w:val="24"/>
              </w:rPr>
              <w:t xml:space="preserve"> à Neurociência da Atenção</w:t>
            </w:r>
          </w:p>
        </w:tc>
        <w:tc>
          <w:tcPr>
            <w:tcW w:w="0" w:type="auto"/>
            <w:shd w:val="clear" w:color="auto" w:fill="FFFFFF"/>
            <w:tcMar>
              <w:top w:w="150" w:type="dxa"/>
              <w:left w:w="240" w:type="dxa"/>
              <w:bottom w:w="150" w:type="dxa"/>
              <w:right w:w="240" w:type="dxa"/>
            </w:tcMar>
            <w:vAlign w:val="center"/>
          </w:tcPr>
          <w:p w14:paraId="39DCBE69" w14:textId="77777777" w:rsidR="0003312E" w:rsidRDefault="0003312E">
            <w:pPr>
              <w:spacing w:after="0" w:line="240" w:lineRule="auto"/>
              <w:rPr>
                <w:rFonts w:ascii="Times New Roman" w:hAnsi="Times New Roman" w:cs="Times New Roman"/>
                <w:sz w:val="24"/>
                <w:szCs w:val="24"/>
              </w:rPr>
            </w:pPr>
          </w:p>
        </w:tc>
      </w:tr>
      <w:tr w:rsidR="0003312E" w14:paraId="6214E6B6" w14:textId="77777777">
        <w:tc>
          <w:tcPr>
            <w:tcW w:w="0" w:type="auto"/>
            <w:shd w:val="clear" w:color="auto" w:fill="FFFFFF"/>
            <w:tcMar>
              <w:top w:w="150" w:type="dxa"/>
              <w:left w:w="0" w:type="dxa"/>
              <w:bottom w:w="150" w:type="dxa"/>
              <w:right w:w="240" w:type="dxa"/>
            </w:tcMar>
          </w:tcPr>
          <w:p w14:paraId="5B3E64BC"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Coma: O Silêncio do Pensamento</w:t>
            </w:r>
          </w:p>
        </w:tc>
        <w:tc>
          <w:tcPr>
            <w:tcW w:w="0" w:type="auto"/>
            <w:shd w:val="clear" w:color="auto" w:fill="FFFFFF"/>
            <w:tcMar>
              <w:top w:w="150" w:type="dxa"/>
              <w:left w:w="240" w:type="dxa"/>
              <w:bottom w:w="150" w:type="dxa"/>
              <w:right w:w="240" w:type="dxa"/>
            </w:tcMar>
            <w:vAlign w:val="center"/>
          </w:tcPr>
          <w:p w14:paraId="03AB6A2D" w14:textId="77777777" w:rsidR="0003312E" w:rsidRDefault="0003312E">
            <w:pPr>
              <w:spacing w:after="0" w:line="240" w:lineRule="auto"/>
              <w:rPr>
                <w:rFonts w:ascii="Times New Roman" w:hAnsi="Times New Roman" w:cs="Times New Roman"/>
                <w:sz w:val="24"/>
                <w:szCs w:val="24"/>
              </w:rPr>
            </w:pPr>
          </w:p>
        </w:tc>
      </w:tr>
      <w:tr w:rsidR="0003312E" w14:paraId="38D1033D" w14:textId="77777777">
        <w:tc>
          <w:tcPr>
            <w:tcW w:w="0" w:type="auto"/>
            <w:shd w:val="clear" w:color="auto" w:fill="FFFFFF"/>
            <w:tcMar>
              <w:top w:w="150" w:type="dxa"/>
              <w:left w:w="0" w:type="dxa"/>
              <w:bottom w:w="150" w:type="dxa"/>
              <w:right w:w="240" w:type="dxa"/>
            </w:tcMar>
          </w:tcPr>
          <w:p w14:paraId="56E3ADF5"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Frenesi: O Fogo que Incendeia a Mente</w:t>
            </w:r>
          </w:p>
        </w:tc>
        <w:tc>
          <w:tcPr>
            <w:tcW w:w="0" w:type="auto"/>
            <w:shd w:val="clear" w:color="auto" w:fill="FFFFFF"/>
            <w:tcMar>
              <w:top w:w="150" w:type="dxa"/>
              <w:left w:w="240" w:type="dxa"/>
              <w:bottom w:w="150" w:type="dxa"/>
              <w:right w:w="240" w:type="dxa"/>
            </w:tcMar>
            <w:vAlign w:val="center"/>
          </w:tcPr>
          <w:p w14:paraId="779561AC" w14:textId="77777777" w:rsidR="0003312E" w:rsidRDefault="0003312E">
            <w:pPr>
              <w:spacing w:after="0" w:line="240" w:lineRule="auto"/>
              <w:rPr>
                <w:rFonts w:ascii="Times New Roman" w:hAnsi="Times New Roman" w:cs="Times New Roman"/>
                <w:sz w:val="24"/>
                <w:szCs w:val="24"/>
              </w:rPr>
            </w:pPr>
          </w:p>
        </w:tc>
      </w:tr>
      <w:tr w:rsidR="0003312E" w14:paraId="61B056B6" w14:textId="77777777">
        <w:tc>
          <w:tcPr>
            <w:tcW w:w="0" w:type="auto"/>
            <w:shd w:val="clear" w:color="auto" w:fill="FFFFFF"/>
            <w:tcMar>
              <w:top w:w="150" w:type="dxa"/>
              <w:left w:w="0" w:type="dxa"/>
              <w:bottom w:w="150" w:type="dxa"/>
              <w:right w:w="240" w:type="dxa"/>
            </w:tcMar>
          </w:tcPr>
          <w:p w14:paraId="45760976"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Melancolia: A Cidade Subterrânea</w:t>
            </w:r>
          </w:p>
        </w:tc>
        <w:tc>
          <w:tcPr>
            <w:tcW w:w="0" w:type="auto"/>
            <w:shd w:val="clear" w:color="auto" w:fill="FFFFFF"/>
            <w:tcMar>
              <w:top w:w="150" w:type="dxa"/>
              <w:left w:w="240" w:type="dxa"/>
              <w:bottom w:w="150" w:type="dxa"/>
              <w:right w:w="240" w:type="dxa"/>
            </w:tcMar>
            <w:vAlign w:val="center"/>
          </w:tcPr>
          <w:p w14:paraId="5C55C696" w14:textId="77777777" w:rsidR="0003312E" w:rsidRDefault="0003312E">
            <w:pPr>
              <w:spacing w:after="0" w:line="240" w:lineRule="auto"/>
              <w:rPr>
                <w:rFonts w:ascii="Times New Roman" w:hAnsi="Times New Roman" w:cs="Times New Roman"/>
                <w:sz w:val="24"/>
                <w:szCs w:val="24"/>
              </w:rPr>
            </w:pPr>
          </w:p>
        </w:tc>
      </w:tr>
      <w:tr w:rsidR="0003312E" w14:paraId="1B95266A" w14:textId="77777777">
        <w:tc>
          <w:tcPr>
            <w:tcW w:w="0" w:type="auto"/>
            <w:shd w:val="clear" w:color="auto" w:fill="FFFFFF"/>
            <w:tcMar>
              <w:top w:w="150" w:type="dxa"/>
              <w:left w:w="0" w:type="dxa"/>
              <w:bottom w:w="150" w:type="dxa"/>
              <w:right w:w="240" w:type="dxa"/>
            </w:tcMar>
          </w:tcPr>
          <w:p w14:paraId="44FB6560"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Êxtase: A Fusão do Eu com o Infinito</w:t>
            </w:r>
          </w:p>
        </w:tc>
        <w:tc>
          <w:tcPr>
            <w:tcW w:w="0" w:type="auto"/>
            <w:shd w:val="clear" w:color="auto" w:fill="FFFFFF"/>
            <w:tcMar>
              <w:top w:w="150" w:type="dxa"/>
              <w:left w:w="240" w:type="dxa"/>
              <w:bottom w:w="150" w:type="dxa"/>
              <w:right w:w="240" w:type="dxa"/>
            </w:tcMar>
            <w:vAlign w:val="center"/>
          </w:tcPr>
          <w:p w14:paraId="7B6CE4DF" w14:textId="77777777" w:rsidR="0003312E" w:rsidRDefault="0003312E">
            <w:pPr>
              <w:spacing w:after="0" w:line="240" w:lineRule="auto"/>
              <w:rPr>
                <w:rFonts w:ascii="Times New Roman" w:hAnsi="Times New Roman" w:cs="Times New Roman"/>
                <w:sz w:val="24"/>
                <w:szCs w:val="24"/>
              </w:rPr>
            </w:pPr>
          </w:p>
        </w:tc>
      </w:tr>
      <w:tr w:rsidR="0003312E" w14:paraId="6423BC8F" w14:textId="77777777">
        <w:tc>
          <w:tcPr>
            <w:tcW w:w="0" w:type="auto"/>
            <w:shd w:val="clear" w:color="auto" w:fill="FFFFFF"/>
            <w:tcMar>
              <w:top w:w="150" w:type="dxa"/>
              <w:left w:w="0" w:type="dxa"/>
              <w:bottom w:w="150" w:type="dxa"/>
              <w:right w:w="240" w:type="dxa"/>
            </w:tcMar>
          </w:tcPr>
          <w:p w14:paraId="43EF7D76"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eastAsia="Segoe UI" w:hAnsi="Times New Roman" w:cs="Times New Roman"/>
                <w:color w:val="0F1115"/>
                <w:sz w:val="24"/>
                <w:szCs w:val="24"/>
                <w:shd w:val="clear" w:color="auto" w:fill="FFFFFF"/>
              </w:rPr>
              <w:t>Delírio: Sair do Sulco do Pensamento</w:t>
            </w:r>
          </w:p>
        </w:tc>
        <w:tc>
          <w:tcPr>
            <w:tcW w:w="0" w:type="auto"/>
            <w:shd w:val="clear" w:color="auto" w:fill="FFFFFF"/>
            <w:tcMar>
              <w:top w:w="150" w:type="dxa"/>
              <w:left w:w="240" w:type="dxa"/>
              <w:bottom w:w="150" w:type="dxa"/>
              <w:right w:w="240" w:type="dxa"/>
            </w:tcMar>
            <w:vAlign w:val="center"/>
          </w:tcPr>
          <w:p w14:paraId="55ACE03F" w14:textId="77777777" w:rsidR="0003312E" w:rsidRDefault="0003312E">
            <w:pPr>
              <w:spacing w:after="0" w:line="240" w:lineRule="auto"/>
              <w:rPr>
                <w:rFonts w:ascii="Times New Roman" w:hAnsi="Times New Roman" w:cs="Times New Roman"/>
                <w:sz w:val="24"/>
                <w:szCs w:val="24"/>
              </w:rPr>
            </w:pPr>
          </w:p>
        </w:tc>
      </w:tr>
      <w:tr w:rsidR="0003312E" w14:paraId="2881717E" w14:textId="77777777">
        <w:tc>
          <w:tcPr>
            <w:tcW w:w="0" w:type="auto"/>
            <w:shd w:val="clear" w:color="auto" w:fill="FFFFFF"/>
            <w:tcMar>
              <w:top w:w="150" w:type="dxa"/>
              <w:left w:w="0" w:type="dxa"/>
              <w:bottom w:w="150" w:type="dxa"/>
              <w:right w:w="240" w:type="dxa"/>
            </w:tcMar>
          </w:tcPr>
          <w:p w14:paraId="4A059476"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Histeria: Quando o Corpo Fala o que a Mente Cala</w:t>
            </w:r>
          </w:p>
        </w:tc>
        <w:tc>
          <w:tcPr>
            <w:tcW w:w="0" w:type="auto"/>
            <w:shd w:val="clear" w:color="auto" w:fill="FFFFFF"/>
            <w:tcMar>
              <w:top w:w="150" w:type="dxa"/>
              <w:left w:w="240" w:type="dxa"/>
              <w:bottom w:w="150" w:type="dxa"/>
              <w:right w:w="240" w:type="dxa"/>
            </w:tcMar>
            <w:vAlign w:val="center"/>
          </w:tcPr>
          <w:p w14:paraId="531D5CE4" w14:textId="77777777" w:rsidR="0003312E" w:rsidRDefault="0003312E">
            <w:pPr>
              <w:spacing w:after="0" w:line="240" w:lineRule="auto"/>
              <w:rPr>
                <w:rFonts w:ascii="Times New Roman" w:hAnsi="Times New Roman" w:cs="Times New Roman"/>
                <w:sz w:val="24"/>
                <w:szCs w:val="24"/>
              </w:rPr>
            </w:pPr>
          </w:p>
        </w:tc>
      </w:tr>
      <w:tr w:rsidR="0003312E" w14:paraId="45F2792C" w14:textId="77777777">
        <w:tc>
          <w:tcPr>
            <w:tcW w:w="0" w:type="auto"/>
            <w:shd w:val="clear" w:color="auto" w:fill="FFFFFF"/>
            <w:tcMar>
              <w:top w:w="150" w:type="dxa"/>
              <w:left w:w="0" w:type="dxa"/>
              <w:bottom w:w="150" w:type="dxa"/>
              <w:right w:w="240" w:type="dxa"/>
            </w:tcMar>
          </w:tcPr>
          <w:p w14:paraId="08EBC060"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Neurastenia: O Cansaço de uma Era</w:t>
            </w:r>
          </w:p>
        </w:tc>
        <w:tc>
          <w:tcPr>
            <w:tcW w:w="0" w:type="auto"/>
            <w:shd w:val="clear" w:color="auto" w:fill="FFFFFF"/>
            <w:tcMar>
              <w:top w:w="150" w:type="dxa"/>
              <w:left w:w="240" w:type="dxa"/>
              <w:bottom w:w="150" w:type="dxa"/>
              <w:right w:w="240" w:type="dxa"/>
            </w:tcMar>
            <w:vAlign w:val="center"/>
          </w:tcPr>
          <w:p w14:paraId="573FCEEF" w14:textId="77777777" w:rsidR="0003312E" w:rsidRDefault="0003312E">
            <w:pPr>
              <w:spacing w:after="0" w:line="240" w:lineRule="auto"/>
              <w:rPr>
                <w:rFonts w:ascii="Times New Roman" w:hAnsi="Times New Roman" w:cs="Times New Roman"/>
                <w:sz w:val="24"/>
                <w:szCs w:val="24"/>
              </w:rPr>
            </w:pPr>
          </w:p>
        </w:tc>
      </w:tr>
      <w:tr w:rsidR="0003312E" w14:paraId="62BD3AA5" w14:textId="77777777">
        <w:tc>
          <w:tcPr>
            <w:tcW w:w="0" w:type="auto"/>
            <w:shd w:val="clear" w:color="auto" w:fill="FFFFFF"/>
            <w:tcMar>
              <w:top w:w="150" w:type="dxa"/>
              <w:left w:w="0" w:type="dxa"/>
              <w:bottom w:w="150" w:type="dxa"/>
              <w:right w:w="240" w:type="dxa"/>
            </w:tcMar>
          </w:tcPr>
          <w:p w14:paraId="021F585E"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Ansiedade: O Aperto que Molda a Existência</w:t>
            </w:r>
          </w:p>
        </w:tc>
        <w:tc>
          <w:tcPr>
            <w:tcW w:w="0" w:type="auto"/>
            <w:shd w:val="clear" w:color="auto" w:fill="FFFFFF"/>
            <w:tcMar>
              <w:top w:w="150" w:type="dxa"/>
              <w:left w:w="240" w:type="dxa"/>
              <w:bottom w:w="150" w:type="dxa"/>
              <w:right w:w="240" w:type="dxa"/>
            </w:tcMar>
            <w:vAlign w:val="center"/>
          </w:tcPr>
          <w:p w14:paraId="078DB74A" w14:textId="77777777" w:rsidR="0003312E" w:rsidRDefault="0003312E">
            <w:pPr>
              <w:spacing w:after="0" w:line="240" w:lineRule="auto"/>
              <w:rPr>
                <w:rFonts w:ascii="Times New Roman" w:hAnsi="Times New Roman" w:cs="Times New Roman"/>
                <w:sz w:val="24"/>
                <w:szCs w:val="24"/>
              </w:rPr>
            </w:pPr>
          </w:p>
        </w:tc>
      </w:tr>
      <w:tr w:rsidR="0003312E" w14:paraId="75E9C4A5" w14:textId="77777777">
        <w:tc>
          <w:tcPr>
            <w:tcW w:w="0" w:type="auto"/>
            <w:shd w:val="clear" w:color="auto" w:fill="FFFFFF"/>
            <w:tcMar>
              <w:top w:w="150" w:type="dxa"/>
              <w:left w:w="0" w:type="dxa"/>
              <w:bottom w:w="150" w:type="dxa"/>
              <w:right w:w="240" w:type="dxa"/>
            </w:tcMar>
          </w:tcPr>
          <w:p w14:paraId="107FB596" w14:textId="77777777" w:rsidR="0003312E" w:rsidRDefault="00000000">
            <w:pPr>
              <w:pStyle w:val="PargrafodaLista"/>
              <w:numPr>
                <w:ilvl w:val="0"/>
                <w:numId w:val="1"/>
              </w:num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Eutimia: Da Serenidade Grega ao Equilíbrio Clínico</w:t>
            </w:r>
          </w:p>
        </w:tc>
        <w:tc>
          <w:tcPr>
            <w:tcW w:w="0" w:type="auto"/>
            <w:shd w:val="clear" w:color="auto" w:fill="FFFFFF"/>
            <w:tcMar>
              <w:top w:w="150" w:type="dxa"/>
              <w:left w:w="240" w:type="dxa"/>
              <w:bottom w:w="150" w:type="dxa"/>
              <w:right w:w="240" w:type="dxa"/>
            </w:tcMar>
            <w:vAlign w:val="center"/>
          </w:tcPr>
          <w:p w14:paraId="0E65E408" w14:textId="77777777" w:rsidR="0003312E" w:rsidRDefault="0003312E">
            <w:pPr>
              <w:spacing w:after="0" w:line="240" w:lineRule="auto"/>
              <w:rPr>
                <w:rFonts w:ascii="Times New Roman" w:hAnsi="Times New Roman" w:cs="Times New Roman"/>
                <w:sz w:val="24"/>
                <w:szCs w:val="24"/>
              </w:rPr>
            </w:pPr>
          </w:p>
        </w:tc>
      </w:tr>
      <w:tr w:rsidR="0003312E" w14:paraId="37FA3B2A" w14:textId="77777777">
        <w:tc>
          <w:tcPr>
            <w:tcW w:w="0" w:type="auto"/>
            <w:shd w:val="clear" w:color="auto" w:fill="FFFFFF"/>
            <w:tcMar>
              <w:top w:w="150" w:type="dxa"/>
              <w:left w:w="0" w:type="dxa"/>
              <w:bottom w:w="150" w:type="dxa"/>
              <w:right w:w="240" w:type="dxa"/>
            </w:tcMar>
          </w:tcPr>
          <w:p w14:paraId="2429E18F"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 xml:space="preserve">      Epílogo: O Cérebro Etimológico: Palavras como Fósseis Vivos</w:t>
            </w:r>
            <w:r>
              <w:rPr>
                <w:rFonts w:ascii="Times New Roman" w:hAnsi="Times New Roman" w:cs="Times New Roman"/>
                <w:color w:val="0F1115"/>
                <w:sz w:val="24"/>
                <w:szCs w:val="24"/>
              </w:rPr>
              <w:br/>
            </w:r>
          </w:p>
        </w:tc>
        <w:tc>
          <w:tcPr>
            <w:tcW w:w="0" w:type="auto"/>
            <w:shd w:val="clear" w:color="auto" w:fill="FFFFFF"/>
            <w:tcMar>
              <w:top w:w="150" w:type="dxa"/>
              <w:left w:w="240" w:type="dxa"/>
              <w:bottom w:w="150" w:type="dxa"/>
              <w:right w:w="240" w:type="dxa"/>
            </w:tcMar>
            <w:vAlign w:val="center"/>
          </w:tcPr>
          <w:p w14:paraId="75BEE8E9" w14:textId="77777777" w:rsidR="0003312E" w:rsidRDefault="0003312E">
            <w:pPr>
              <w:spacing w:after="0" w:line="240" w:lineRule="auto"/>
              <w:rPr>
                <w:rFonts w:ascii="Times New Roman" w:hAnsi="Times New Roman" w:cs="Times New Roman"/>
                <w:sz w:val="24"/>
                <w:szCs w:val="24"/>
              </w:rPr>
            </w:pPr>
          </w:p>
        </w:tc>
      </w:tr>
      <w:tr w:rsidR="0003312E" w14:paraId="45485C20" w14:textId="77777777">
        <w:tc>
          <w:tcPr>
            <w:tcW w:w="0" w:type="auto"/>
            <w:shd w:val="clear" w:color="auto" w:fill="FFFFFF"/>
            <w:tcMar>
              <w:top w:w="150" w:type="dxa"/>
              <w:left w:w="0" w:type="dxa"/>
              <w:bottom w:w="150" w:type="dxa"/>
              <w:right w:w="240" w:type="dxa"/>
            </w:tcMar>
          </w:tcPr>
          <w:p w14:paraId="15BC924D" w14:textId="77777777" w:rsidR="0003312E" w:rsidRDefault="00000000">
            <w:pPr>
              <w:spacing w:after="0" w:line="240" w:lineRule="auto"/>
              <w:rPr>
                <w:rStyle w:val="Forte"/>
                <w:rFonts w:ascii="Times New Roman" w:hAnsi="Times New Roman" w:cs="Times New Roman"/>
                <w:color w:val="0F1115"/>
                <w:sz w:val="24"/>
                <w:szCs w:val="24"/>
              </w:rPr>
            </w:pPr>
            <w:r>
              <w:rPr>
                <w:rStyle w:val="Forte"/>
                <w:rFonts w:ascii="Times New Roman" w:hAnsi="Times New Roman" w:cs="Times New Roman"/>
                <w:color w:val="0F1115"/>
                <w:sz w:val="24"/>
                <w:szCs w:val="24"/>
              </w:rPr>
              <w:t>Referências</w:t>
            </w:r>
          </w:p>
        </w:tc>
        <w:tc>
          <w:tcPr>
            <w:tcW w:w="0" w:type="auto"/>
            <w:shd w:val="clear" w:color="auto" w:fill="FFFFFF"/>
            <w:tcMar>
              <w:top w:w="150" w:type="dxa"/>
              <w:left w:w="240" w:type="dxa"/>
              <w:bottom w:w="150" w:type="dxa"/>
              <w:right w:w="240" w:type="dxa"/>
            </w:tcMar>
            <w:vAlign w:val="center"/>
          </w:tcPr>
          <w:p w14:paraId="7E4557DB" w14:textId="77777777" w:rsidR="0003312E" w:rsidRDefault="0003312E">
            <w:pPr>
              <w:spacing w:after="0" w:line="240" w:lineRule="auto"/>
              <w:rPr>
                <w:rFonts w:ascii="Times New Roman" w:hAnsi="Times New Roman" w:cs="Times New Roman"/>
                <w:sz w:val="24"/>
                <w:szCs w:val="24"/>
              </w:rPr>
            </w:pPr>
          </w:p>
        </w:tc>
      </w:tr>
      <w:tr w:rsidR="0003312E" w14:paraId="2061904A" w14:textId="77777777">
        <w:tc>
          <w:tcPr>
            <w:tcW w:w="0" w:type="auto"/>
            <w:shd w:val="clear" w:color="auto" w:fill="FFFFFF"/>
            <w:tcMar>
              <w:top w:w="150" w:type="dxa"/>
              <w:left w:w="0" w:type="dxa"/>
              <w:bottom w:w="150" w:type="dxa"/>
              <w:right w:w="240" w:type="dxa"/>
            </w:tcMar>
          </w:tcPr>
          <w:p w14:paraId="0403234D" w14:textId="77777777" w:rsidR="0003312E" w:rsidRDefault="00000000">
            <w:pPr>
              <w:spacing w:after="0" w:line="240" w:lineRule="auto"/>
              <w:rPr>
                <w:rFonts w:ascii="Times New Roman" w:hAnsi="Times New Roman" w:cs="Times New Roman"/>
                <w:sz w:val="24"/>
                <w:szCs w:val="24"/>
              </w:rPr>
            </w:pPr>
            <w:r>
              <w:rPr>
                <w:rStyle w:val="Forte"/>
                <w:rFonts w:ascii="Times New Roman" w:hAnsi="Times New Roman" w:cs="Times New Roman"/>
                <w:color w:val="0F1115"/>
                <w:sz w:val="24"/>
                <w:szCs w:val="24"/>
              </w:rPr>
              <w:t>Glossário</w:t>
            </w:r>
          </w:p>
        </w:tc>
        <w:tc>
          <w:tcPr>
            <w:tcW w:w="0" w:type="auto"/>
            <w:shd w:val="clear" w:color="auto" w:fill="FFFFFF"/>
            <w:tcMar>
              <w:top w:w="150" w:type="dxa"/>
              <w:left w:w="240" w:type="dxa"/>
              <w:bottom w:w="150" w:type="dxa"/>
              <w:right w:w="240" w:type="dxa"/>
            </w:tcMar>
            <w:vAlign w:val="center"/>
          </w:tcPr>
          <w:p w14:paraId="076DF520" w14:textId="77777777" w:rsidR="0003312E" w:rsidRDefault="0003312E">
            <w:pPr>
              <w:spacing w:after="0" w:line="240" w:lineRule="auto"/>
              <w:rPr>
                <w:rFonts w:ascii="Times New Roman" w:hAnsi="Times New Roman" w:cs="Times New Roman"/>
                <w:sz w:val="24"/>
                <w:szCs w:val="24"/>
              </w:rPr>
            </w:pPr>
          </w:p>
        </w:tc>
      </w:tr>
    </w:tbl>
    <w:p w14:paraId="59E91B2E" w14:textId="77777777" w:rsidR="0003312E" w:rsidRDefault="0003312E">
      <w:pPr>
        <w:spacing w:after="0" w:line="240" w:lineRule="auto"/>
        <w:ind w:firstLine="709"/>
        <w:jc w:val="both"/>
        <w:rPr>
          <w:rFonts w:ascii="Times New Roman" w:eastAsiaTheme="majorEastAsia" w:hAnsi="Times New Roman" w:cs="Times New Roman"/>
          <w:b/>
          <w:bCs/>
        </w:rPr>
      </w:pPr>
    </w:p>
    <w:p w14:paraId="5EC4ABAB" w14:textId="77777777" w:rsidR="0003312E" w:rsidRDefault="00000000">
      <w:pPr>
        <w:spacing w:after="0" w:line="240" w:lineRule="auto"/>
        <w:rPr>
          <w:rFonts w:ascii="Times New Roman" w:eastAsiaTheme="majorEastAsia" w:hAnsi="Times New Roman" w:cs="Times New Roman"/>
          <w:b/>
          <w:bCs/>
        </w:rPr>
      </w:pPr>
      <w:r>
        <w:rPr>
          <w:rFonts w:ascii="Times New Roman" w:eastAsiaTheme="majorEastAsia" w:hAnsi="Times New Roman" w:cs="Times New Roman"/>
          <w:b/>
          <w:bCs/>
        </w:rPr>
        <w:br w:type="page"/>
      </w:r>
    </w:p>
    <w:p w14:paraId="39FAB7E8" w14:textId="77777777" w:rsidR="0003312E" w:rsidRDefault="00000000">
      <w:pPr>
        <w:spacing w:after="0" w:line="240" w:lineRule="auto"/>
        <w:ind w:firstLine="709"/>
        <w:jc w:val="both"/>
        <w:rPr>
          <w:rFonts w:ascii="Times New Roman" w:eastAsiaTheme="majorEastAsia" w:hAnsi="Times New Roman" w:cs="Times New Roman"/>
          <w:b/>
          <w:bCs/>
        </w:rPr>
      </w:pPr>
      <w:r>
        <w:rPr>
          <w:rFonts w:ascii="Times New Roman" w:eastAsiaTheme="majorEastAsia" w:hAnsi="Times New Roman" w:cs="Times New Roman"/>
          <w:b/>
          <w:bCs/>
        </w:rPr>
        <w:lastRenderedPageBreak/>
        <w:t>Apresentação</w:t>
      </w:r>
    </w:p>
    <w:p w14:paraId="626E11A0"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É com muita satisfação que apresento esta obra singular: "</w:t>
      </w:r>
      <w:proofErr w:type="spellStart"/>
      <w:r>
        <w:rPr>
          <w:rFonts w:ascii="Times New Roman" w:eastAsiaTheme="majorEastAsia" w:hAnsi="Times New Roman" w:cs="Times New Roman"/>
        </w:rPr>
        <w:t>Neuroetimologia</w:t>
      </w:r>
      <w:proofErr w:type="spellEnd"/>
      <w:r>
        <w:rPr>
          <w:rFonts w:ascii="Times New Roman" w:eastAsiaTheme="majorEastAsia" w:hAnsi="Times New Roman" w:cs="Times New Roman"/>
        </w:rPr>
        <w:t xml:space="preserve">: A Jornada de Palavras que Emolduraram a Mente". Trata-se de um trabalho corajoso e necessário, nascido da trajetória acadêmica </w:t>
      </w:r>
      <w:proofErr w:type="gramStart"/>
      <w:r>
        <w:rPr>
          <w:rFonts w:ascii="Times New Roman" w:eastAsiaTheme="majorEastAsia" w:hAnsi="Times New Roman" w:cs="Times New Roman"/>
        </w:rPr>
        <w:t>da  Professora</w:t>
      </w:r>
      <w:proofErr w:type="gramEnd"/>
      <w:r>
        <w:rPr>
          <w:rFonts w:ascii="Times New Roman" w:eastAsiaTheme="majorEastAsia" w:hAnsi="Times New Roman" w:cs="Times New Roman"/>
        </w:rPr>
        <w:t xml:space="preserve"> Marleide da Mota Gomes, que, sem abandonar o rigor científico que sempre marcou sua carreira, nos presenteia com uma incursão original e instigante pelas Humanidades Médicas. </w:t>
      </w:r>
    </w:p>
    <w:p w14:paraId="33A718DE"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 xml:space="preserve">Este não é um glossário ou um tratado de história da medicina. Consegue colocar entre dois universos que, por muito tempo, caminharam separados a neurologia de precisão e a riqueza interpretativa das humanidades. A força do projeto está em seu conceito central: a </w:t>
      </w:r>
      <w:proofErr w:type="spellStart"/>
      <w:r>
        <w:rPr>
          <w:rFonts w:ascii="Times New Roman" w:eastAsiaTheme="majorEastAsia" w:hAnsi="Times New Roman" w:cs="Times New Roman"/>
        </w:rPr>
        <w:t>neuroetimologia</w:t>
      </w:r>
      <w:proofErr w:type="spellEnd"/>
      <w:r>
        <w:rPr>
          <w:rFonts w:ascii="Times New Roman" w:eastAsiaTheme="majorEastAsia" w:hAnsi="Times New Roman" w:cs="Times New Roman"/>
        </w:rPr>
        <w:t>, que investiga como a história das palavras que nomeiam a mente e é moldada por - nosso entendimento científico e cultural. Cada termo é um "fóssil linguístico" que encapsula teorias ancestrais e intuições profundas sobre quem somos.</w:t>
      </w:r>
    </w:p>
    <w:p w14:paraId="2C71CC26"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Descobrir, por exemplo, que “delírio” vem do ato de “sair do sulco do arado” ou que “histeria” nasce da ideia de um “útero errante” não é um exercício de erudição vazia. É, antes, uma ferramenta clínica poderosa, capaz de desnaturalizar o jargão e resgatar a narrativa que está na origem do nosso próprio pensamento.</w:t>
      </w:r>
    </w:p>
    <w:p w14:paraId="24B19CEE"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A estrutura do livro é um convite ao deleite intelectual. Cada capítulo é uma viagem guiada por quatro dimensões: a etimológica, a histórico-clínica, a neurocientífica e a poético-filosófica, desvendando estados liminares da consciência, do silêncio do coma ao arrebatamento do êxtase. A autora não se limita a analisar termos; ela os encarna por meio de figuras arquetípicas, como Van Gogh no delírio ou Santa Teresa no êxtase, mostrando experiências que moldaram e foram moldadas pela cultura.</w:t>
      </w:r>
    </w:p>
    <w:p w14:paraId="4CDE291B"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Esta obra é um convite à humildade e ao enriquecimento da própria prática. Ela nos lembra que o cérebro que mapeamos com exames sofisticados como a ressonância magnética e eletroencefalograma é o mesmo que produziu a filosofia de Nietzsche e a pintura de Van Gogh. O rigor científico não é negado, mas sim contextualizado por uma tradição humanística que lhe confere significado mais profundo.</w:t>
      </w:r>
    </w:p>
    <w:p w14:paraId="01DBD810"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O leitor verificará com a leitura desta obra a viagem das palavras do cotidiano da linguagem médica. Em nosso meio é um trabalho pioneiro, explicando com minúcias a origem das palavras rotineiras usadas por nós da área da saúde e para aqueles que desejam incrementar sua bagagem cultural.</w:t>
      </w:r>
    </w:p>
    <w:p w14:paraId="69FC9CD3"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Portanto, este livro não é um desvio da neurologia, mas o seu aprofundamento máximo. É uma obra para neurologistas, psiquiatras, médicos estudantes, médicos residentes, mestrandos e doutorandos e para todos que se fascinam pelos mistérios da consciência. Um livro que nos faz mais sábios, mais reflexivos e, sem dúvida, melhores clínicos e humanistas. Boa leitura.</w:t>
      </w:r>
    </w:p>
    <w:p w14:paraId="1B1941A5" w14:textId="77777777" w:rsidR="0003312E" w:rsidRDefault="0003312E">
      <w:pPr>
        <w:spacing w:after="0" w:line="240" w:lineRule="auto"/>
        <w:ind w:firstLine="709"/>
        <w:jc w:val="both"/>
        <w:rPr>
          <w:rFonts w:ascii="Times New Roman" w:eastAsiaTheme="majorEastAsia" w:hAnsi="Times New Roman" w:cs="Times New Roman"/>
        </w:rPr>
      </w:pPr>
    </w:p>
    <w:p w14:paraId="32F80C24"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Professor Marcos Raimundo Gomes de Freitas, professor Emérito da Universidade Federal Fluminense</w:t>
      </w:r>
    </w:p>
    <w:p w14:paraId="70F69991" w14:textId="77777777" w:rsidR="0003312E" w:rsidRDefault="00000000">
      <w:pPr>
        <w:spacing w:after="0" w:line="240" w:lineRule="auto"/>
        <w:ind w:firstLine="709"/>
        <w:jc w:val="both"/>
        <w:rPr>
          <w:rFonts w:ascii="Times New Roman" w:eastAsiaTheme="majorEastAsia" w:hAnsi="Times New Roman" w:cs="Times New Roman"/>
        </w:rPr>
      </w:pPr>
      <w:r>
        <w:rPr>
          <w:rFonts w:ascii="Times New Roman" w:eastAsiaTheme="majorEastAsia" w:hAnsi="Times New Roman" w:cs="Times New Roman"/>
        </w:rPr>
        <w:t xml:space="preserve"> </w:t>
      </w:r>
    </w:p>
    <w:p w14:paraId="3F6E3D5F" w14:textId="77777777" w:rsidR="0003312E" w:rsidRDefault="0003312E">
      <w:pPr>
        <w:spacing w:after="0" w:line="240" w:lineRule="auto"/>
        <w:ind w:firstLine="709"/>
        <w:jc w:val="both"/>
        <w:rPr>
          <w:rFonts w:ascii="Times New Roman" w:eastAsiaTheme="majorEastAsia" w:hAnsi="Times New Roman" w:cs="Times New Roman"/>
        </w:rPr>
      </w:pPr>
    </w:p>
    <w:p w14:paraId="03353C5C" w14:textId="77777777" w:rsidR="0003312E" w:rsidRDefault="00000000">
      <w:pPr>
        <w:spacing w:after="0" w:line="240" w:lineRule="auto"/>
        <w:rPr>
          <w:rFonts w:ascii="Times New Roman" w:eastAsiaTheme="majorEastAsia" w:hAnsi="Times New Roman" w:cs="Times New Roman"/>
          <w:b/>
          <w:bCs/>
        </w:rPr>
      </w:pPr>
      <w:r>
        <w:rPr>
          <w:rFonts w:ascii="Times New Roman" w:eastAsiaTheme="majorEastAsia" w:hAnsi="Times New Roman" w:cs="Times New Roman"/>
          <w:b/>
          <w:bCs/>
        </w:rPr>
        <w:br w:type="page"/>
      </w:r>
    </w:p>
    <w:p w14:paraId="2C59368B" w14:textId="77777777" w:rsidR="0003312E" w:rsidRDefault="00000000">
      <w:pPr>
        <w:spacing w:after="0" w:line="240" w:lineRule="auto"/>
        <w:rPr>
          <w:rFonts w:ascii="Times New Roman" w:eastAsiaTheme="majorEastAsia" w:hAnsi="Times New Roman" w:cs="Times New Roman"/>
          <w:b/>
          <w:bCs/>
        </w:rPr>
      </w:pPr>
      <w:r>
        <w:rPr>
          <w:rFonts w:ascii="Times New Roman" w:eastAsiaTheme="majorEastAsia" w:hAnsi="Times New Roman" w:cs="Times New Roman"/>
          <w:b/>
          <w:bCs/>
        </w:rPr>
        <w:lastRenderedPageBreak/>
        <w:t>Prefácio: A Palavra como Portal</w:t>
      </w:r>
    </w:p>
    <w:p w14:paraId="758E30E9"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Na experiência do ensino médico, pode surgir um instante revelador: durante uma aula, ao mencionar que </w:t>
      </w:r>
      <w:r>
        <w:rPr>
          <w:rFonts w:ascii="Times New Roman" w:eastAsiaTheme="majorEastAsia" w:hAnsi="Times New Roman" w:cs="Times New Roman"/>
          <w:i/>
          <w:iCs/>
          <w:sz w:val="24"/>
          <w:szCs w:val="24"/>
        </w:rPr>
        <w:t>delírio</w:t>
      </w:r>
      <w:r>
        <w:rPr>
          <w:rFonts w:ascii="Times New Roman" w:eastAsiaTheme="majorEastAsia" w:hAnsi="Times New Roman" w:cs="Times New Roman"/>
          <w:sz w:val="24"/>
          <w:szCs w:val="24"/>
        </w:rPr>
        <w:t xml:space="preserve"> vem do latim </w:t>
      </w:r>
      <w:proofErr w:type="spellStart"/>
      <w:r>
        <w:rPr>
          <w:rFonts w:ascii="Times New Roman" w:eastAsiaTheme="majorEastAsia" w:hAnsi="Times New Roman" w:cs="Times New Roman"/>
          <w:i/>
          <w:iCs/>
          <w:sz w:val="24"/>
          <w:szCs w:val="24"/>
        </w:rPr>
        <w:t>de-lirare</w:t>
      </w:r>
      <w:proofErr w:type="spellEnd"/>
      <w:r>
        <w:rPr>
          <w:rFonts w:ascii="Times New Roman" w:eastAsiaTheme="majorEastAsia" w:hAnsi="Times New Roman" w:cs="Times New Roman"/>
          <w:sz w:val="24"/>
          <w:szCs w:val="24"/>
        </w:rPr>
        <w:t xml:space="preserve">, “sair do sulco do arado”, um estudante percebe de súbito a imagem escondida no termo e exclama: </w:t>
      </w:r>
      <w:r>
        <w:rPr>
          <w:rFonts w:ascii="Times New Roman" w:eastAsiaTheme="majorEastAsia" w:hAnsi="Times New Roman" w:cs="Times New Roman"/>
          <w:i/>
          <w:iCs/>
          <w:sz w:val="24"/>
          <w:szCs w:val="24"/>
        </w:rPr>
        <w:t>“Então delirar é como perder o caminho traçado!”</w:t>
      </w:r>
      <w:r>
        <w:rPr>
          <w:rFonts w:ascii="Times New Roman" w:eastAsiaTheme="majorEastAsia" w:hAnsi="Times New Roman" w:cs="Times New Roman"/>
          <w:sz w:val="24"/>
          <w:szCs w:val="24"/>
        </w:rPr>
        <w:t xml:space="preserve">. Nesse lampejo, a terminologia médica deixa de ser mero jargão técnico e transforma-se em arquivo vivo de metáforas, crenças e intuições que moldaram a história do pensamento clínico. É desse tipo de </w:t>
      </w:r>
      <w:proofErr w:type="gramStart"/>
      <w:r>
        <w:rPr>
          <w:rFonts w:ascii="Times New Roman" w:eastAsiaTheme="majorEastAsia" w:hAnsi="Times New Roman" w:cs="Times New Roman"/>
          <w:sz w:val="24"/>
          <w:szCs w:val="24"/>
        </w:rPr>
        <w:t>revelação  -</w:t>
      </w:r>
      <w:proofErr w:type="gramEnd"/>
      <w:r>
        <w:rPr>
          <w:rFonts w:ascii="Times New Roman" w:eastAsiaTheme="majorEastAsia" w:hAnsi="Times New Roman" w:cs="Times New Roman"/>
          <w:sz w:val="24"/>
          <w:szCs w:val="24"/>
        </w:rPr>
        <w:t xml:space="preserve">  em que a palavra se abre como portal de </w:t>
      </w:r>
      <w:proofErr w:type="gramStart"/>
      <w:r>
        <w:rPr>
          <w:rFonts w:ascii="Times New Roman" w:eastAsiaTheme="majorEastAsia" w:hAnsi="Times New Roman" w:cs="Times New Roman"/>
          <w:sz w:val="24"/>
          <w:szCs w:val="24"/>
        </w:rPr>
        <w:t>sentido  -</w:t>
      </w:r>
      <w:proofErr w:type="gramEnd"/>
      <w:r>
        <w:rPr>
          <w:rFonts w:ascii="Times New Roman" w:eastAsiaTheme="majorEastAsia" w:hAnsi="Times New Roman" w:cs="Times New Roman"/>
          <w:sz w:val="24"/>
          <w:szCs w:val="24"/>
        </w:rPr>
        <w:t xml:space="preserve">  que nasceu este projeto.</w:t>
      </w:r>
    </w:p>
    <w:p w14:paraId="6AF7573F"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Foi na intersecção entre o rigor da clínica e a poética das palavras que se enraíza </w:t>
      </w:r>
      <w:proofErr w:type="spellStart"/>
      <w:r>
        <w:rPr>
          <w:rFonts w:ascii="Times New Roman" w:eastAsiaTheme="majorEastAsia" w:hAnsi="Times New Roman" w:cs="Times New Roman"/>
          <w:i/>
          <w:iCs/>
          <w:sz w:val="24"/>
          <w:szCs w:val="24"/>
        </w:rPr>
        <w:t>Neuroetimologia</w:t>
      </w:r>
      <w:proofErr w:type="spellEnd"/>
      <w:r>
        <w:rPr>
          <w:rFonts w:ascii="Times New Roman" w:eastAsiaTheme="majorEastAsia" w:hAnsi="Times New Roman" w:cs="Times New Roman"/>
          <w:i/>
          <w:iCs/>
          <w:sz w:val="24"/>
          <w:szCs w:val="24"/>
        </w:rPr>
        <w:t>: A Jornada de Palavras que Emolduram a Mente</w:t>
      </w:r>
      <w:r>
        <w:rPr>
          <w:rFonts w:ascii="Times New Roman" w:eastAsiaTheme="majorEastAsia" w:hAnsi="Times New Roman" w:cs="Times New Roman"/>
          <w:sz w:val="24"/>
          <w:szCs w:val="24"/>
        </w:rPr>
        <w:t>. Esta obra parte da convicção de que compreender a origem dos termos que nomeiam a mente e o sistema nervoso é também compreender a própria neurologia. Termos como “delírio”, “êxtase”, “ansiedade” ou “demência” não são meros rótulos neutros: são vestígios linguísticos que guardam teorias antigas, metáforas esquecidas e intuições profundas sobre a natureza humana. Cada diagnóstico encerra uma teoria, cada sintoma carrega uma cosmovisão.</w:t>
      </w:r>
    </w:p>
    <w:p w14:paraId="2DDB0ECA"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Este livro propõe uma mudança de perspectiva. Convido o leitor a abandonar a visão de palavras como “neurônio” ou “hipocampo” como instrumentos inertes e a vê-las como pequenas narrativas. Que lições pode a neurociência extrair do fato de que </w:t>
      </w:r>
      <w:r>
        <w:rPr>
          <w:rFonts w:ascii="Times New Roman" w:eastAsiaTheme="majorEastAsia" w:hAnsi="Times New Roman" w:cs="Times New Roman"/>
          <w:i/>
          <w:iCs/>
          <w:sz w:val="24"/>
          <w:szCs w:val="24"/>
        </w:rPr>
        <w:t>neurônio</w:t>
      </w:r>
      <w:r>
        <w:rPr>
          <w:rFonts w:ascii="Times New Roman" w:eastAsiaTheme="majorEastAsia" w:hAnsi="Times New Roman" w:cs="Times New Roman"/>
          <w:sz w:val="24"/>
          <w:szCs w:val="24"/>
        </w:rPr>
        <w:t xml:space="preserve"> deriva do grego </w:t>
      </w:r>
      <w:proofErr w:type="spellStart"/>
      <w:r>
        <w:rPr>
          <w:rFonts w:ascii="Times New Roman" w:eastAsiaTheme="majorEastAsia" w:hAnsi="Times New Roman" w:cs="Times New Roman"/>
          <w:i/>
          <w:iCs/>
          <w:sz w:val="24"/>
          <w:szCs w:val="24"/>
        </w:rPr>
        <w:t>neûron</w:t>
      </w:r>
      <w:proofErr w:type="spellEnd"/>
      <w:r>
        <w:rPr>
          <w:rFonts w:ascii="Times New Roman" w:eastAsiaTheme="majorEastAsia" w:hAnsi="Times New Roman" w:cs="Times New Roman"/>
          <w:sz w:val="24"/>
          <w:szCs w:val="24"/>
        </w:rPr>
        <w:t xml:space="preserve">, “corda, tendão”? Que imagens evoca o “cavalo-marinho” do hipocampo sobre a memória? Como a metáfora da “corda” para o neurônio ressoa nas concepções modernas de redes neurais? Esta </w:t>
      </w:r>
      <w:proofErr w:type="gramStart"/>
      <w:r>
        <w:rPr>
          <w:rFonts w:ascii="Times New Roman" w:eastAsiaTheme="majorEastAsia" w:hAnsi="Times New Roman" w:cs="Times New Roman"/>
          <w:sz w:val="24"/>
          <w:szCs w:val="24"/>
        </w:rPr>
        <w:t>abordagem  -</w:t>
      </w:r>
      <w:proofErr w:type="gramEnd"/>
      <w:r>
        <w:rPr>
          <w:rFonts w:ascii="Times New Roman" w:eastAsiaTheme="majorEastAsia" w:hAnsi="Times New Roman" w:cs="Times New Roman"/>
          <w:sz w:val="24"/>
          <w:szCs w:val="24"/>
        </w:rPr>
        <w:t xml:space="preserve">  que chamo de </w:t>
      </w:r>
      <w:proofErr w:type="spellStart"/>
      <w:proofErr w:type="gramStart"/>
      <w:r>
        <w:rPr>
          <w:rFonts w:ascii="Times New Roman" w:eastAsiaTheme="majorEastAsia" w:hAnsi="Times New Roman" w:cs="Times New Roman"/>
          <w:sz w:val="24"/>
          <w:szCs w:val="24"/>
        </w:rPr>
        <w:t>Neuroetimologia</w:t>
      </w:r>
      <w:proofErr w:type="spellEnd"/>
      <w:r>
        <w:rPr>
          <w:rFonts w:ascii="Times New Roman" w:eastAsiaTheme="majorEastAsia" w:hAnsi="Times New Roman" w:cs="Times New Roman"/>
          <w:sz w:val="24"/>
          <w:szCs w:val="24"/>
        </w:rPr>
        <w:t xml:space="preserve">  -</w:t>
      </w:r>
      <w:proofErr w:type="gramEnd"/>
      <w:r>
        <w:rPr>
          <w:rFonts w:ascii="Times New Roman" w:eastAsiaTheme="majorEastAsia" w:hAnsi="Times New Roman" w:cs="Times New Roman"/>
          <w:sz w:val="24"/>
          <w:szCs w:val="24"/>
        </w:rPr>
        <w:t xml:space="preserve">  não é exercício de erudição ociosa. É uma ferramenta para desnaturalizar o jargão científico, transformar o aprendizado em narrativa e construir pontes entre aspectos </w:t>
      </w:r>
      <w:r>
        <w:rPr>
          <w:rFonts w:ascii="Times New Roman" w:eastAsia="Segoe UI" w:hAnsi="Times New Roman" w:cs="Times New Roman"/>
          <w:sz w:val="24"/>
          <w:szCs w:val="24"/>
          <w:shd w:val="clear" w:color="auto" w:fill="FFFFFF"/>
          <w:lang w:eastAsia="zh-CN"/>
        </w:rPr>
        <w:t>etimológicos, histórico-clínicos, neurocientíficos e poético-filosóficos</w:t>
      </w:r>
      <w:r>
        <w:rPr>
          <w:rFonts w:ascii="Times New Roman" w:eastAsiaTheme="majorEastAsia" w:hAnsi="Times New Roman" w:cs="Times New Roman"/>
          <w:sz w:val="24"/>
          <w:szCs w:val="24"/>
        </w:rPr>
        <w:t>.</w:t>
      </w:r>
    </w:p>
    <w:p w14:paraId="47D31B72"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A obra segue uma estrutura clara: após apresentar as raízes teóricas da </w:t>
      </w:r>
      <w:proofErr w:type="spellStart"/>
      <w:r>
        <w:rPr>
          <w:rFonts w:ascii="Times New Roman" w:eastAsiaTheme="majorEastAsia" w:hAnsi="Times New Roman" w:cs="Times New Roman"/>
          <w:sz w:val="24"/>
          <w:szCs w:val="24"/>
        </w:rPr>
        <w:t>neuroetimologia</w:t>
      </w:r>
      <w:proofErr w:type="spellEnd"/>
      <w:r>
        <w:rPr>
          <w:rFonts w:ascii="Times New Roman" w:eastAsiaTheme="majorEastAsia" w:hAnsi="Times New Roman" w:cs="Times New Roman"/>
          <w:sz w:val="24"/>
          <w:szCs w:val="24"/>
        </w:rPr>
        <w:t xml:space="preserve">, percorremos dez capítulos, cada um dedicado a um estado mental específico. Cada capítulo é guiado por uma figura </w:t>
      </w:r>
      <w:proofErr w:type="gramStart"/>
      <w:r>
        <w:rPr>
          <w:rFonts w:ascii="Times New Roman" w:eastAsiaTheme="majorEastAsia" w:hAnsi="Times New Roman" w:cs="Times New Roman"/>
          <w:sz w:val="24"/>
          <w:szCs w:val="24"/>
        </w:rPr>
        <w:t>emblemática  -</w:t>
      </w:r>
      <w:proofErr w:type="gramEnd"/>
      <w:r>
        <w:rPr>
          <w:rFonts w:ascii="Times New Roman" w:eastAsiaTheme="majorEastAsia" w:hAnsi="Times New Roman" w:cs="Times New Roman"/>
          <w:sz w:val="24"/>
          <w:szCs w:val="24"/>
        </w:rPr>
        <w:t xml:space="preserve">  Nietzsche, no frenesi, ou Van Gogh, no </w:t>
      </w:r>
      <w:proofErr w:type="gramStart"/>
      <w:r>
        <w:rPr>
          <w:rFonts w:ascii="Times New Roman" w:eastAsiaTheme="majorEastAsia" w:hAnsi="Times New Roman" w:cs="Times New Roman"/>
          <w:sz w:val="24"/>
          <w:szCs w:val="24"/>
        </w:rPr>
        <w:t>delírio  -</w:t>
      </w:r>
      <w:proofErr w:type="gramEnd"/>
      <w:r>
        <w:rPr>
          <w:rFonts w:ascii="Times New Roman" w:eastAsiaTheme="majorEastAsia" w:hAnsi="Times New Roman" w:cs="Times New Roman"/>
          <w:sz w:val="24"/>
          <w:szCs w:val="24"/>
        </w:rPr>
        <w:t xml:space="preserve">  que encarnou ou desvendou aquele estado da mente. Assim, exploramos não apenas como esses estados foram vividos, mas como foram pensados e transformados em conhecimento. Um segundo volume, independente, será inteiramente dedicado ao conceito fascinante da ilusão.</w:t>
      </w:r>
    </w:p>
    <w:p w14:paraId="08D0C9DF"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As figuras que acompanham o texto, geradas </w:t>
      </w:r>
      <w:proofErr w:type="gramStart"/>
      <w:r>
        <w:rPr>
          <w:rFonts w:ascii="Times New Roman" w:eastAsiaTheme="majorEastAsia" w:hAnsi="Times New Roman" w:cs="Times New Roman"/>
          <w:sz w:val="24"/>
          <w:szCs w:val="24"/>
        </w:rPr>
        <w:t>por  IA</w:t>
      </w:r>
      <w:proofErr w:type="gramEnd"/>
      <w:r>
        <w:rPr>
          <w:rFonts w:ascii="Times New Roman" w:eastAsiaTheme="majorEastAsia" w:hAnsi="Times New Roman" w:cs="Times New Roman"/>
          <w:sz w:val="24"/>
          <w:szCs w:val="24"/>
        </w:rPr>
        <w:t xml:space="preserve"> a partir dos </w:t>
      </w:r>
      <w:r>
        <w:rPr>
          <w:rFonts w:ascii="Times New Roman" w:eastAsiaTheme="majorEastAsia" w:hAnsi="Times New Roman" w:cs="Times New Roman"/>
          <w:i/>
          <w:iCs/>
          <w:sz w:val="24"/>
          <w:szCs w:val="24"/>
        </w:rPr>
        <w:t xml:space="preserve">prompts </w:t>
      </w:r>
      <w:r>
        <w:rPr>
          <w:rFonts w:ascii="Times New Roman" w:eastAsiaTheme="majorEastAsia" w:hAnsi="Times New Roman" w:cs="Times New Roman"/>
          <w:sz w:val="24"/>
          <w:szCs w:val="24"/>
        </w:rPr>
        <w:t>da autora deste livro, não são meras ilustrações. São tentativas de traduzir visualmente a carga simbólica contida em cada termo científico. Dialogam com o texto e reforçam a tese de que a medicina, em sua expressão mais nobre, é uma ciência humana, entrelaçada com narrativa, cultura e imaginação.</w:t>
      </w:r>
    </w:p>
    <w:p w14:paraId="4CDD213D"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Este livro dirige-se a todos os que se fascinam pelos mistérios da mente: médicos, terapeutas, estudantes, artistas e curiosos. Que ao fim desta viagem cada palavra da mente deixe de ser apenas termo técnico e se revele vestígio vivo de nossa história. Que sejam, ao mesmo tempo, grades que nos limitam e asas que nos permitem voar em direção a novos entendimentos.</w:t>
      </w:r>
    </w:p>
    <w:p w14:paraId="5A5107F6"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A viagem começa aqui. Boa leitura.</w:t>
      </w:r>
    </w:p>
    <w:p w14:paraId="71AB4A4C" w14:textId="77777777" w:rsidR="0003312E"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Marleide da Mota Gomes, MD, PhD</w:t>
      </w:r>
    </w:p>
    <w:p w14:paraId="534E2EF5" w14:textId="77777777" w:rsidR="0003312E" w:rsidRDefault="00000000">
      <w:pPr>
        <w:spacing w:after="0" w:line="240" w:lineRule="auto"/>
        <w:rPr>
          <w:rFonts w:ascii="Times New Roman" w:eastAsiaTheme="majorEastAsia" w:hAnsi="Times New Roman" w:cs="Times New Roman"/>
          <w:i/>
          <w:iCs/>
        </w:rPr>
      </w:pPr>
      <w:r>
        <w:rPr>
          <w:rFonts w:ascii="Times New Roman" w:eastAsiaTheme="majorEastAsia" w:hAnsi="Times New Roman" w:cs="Times New Roman"/>
          <w:i/>
          <w:iCs/>
        </w:rPr>
        <w:br w:type="page"/>
      </w:r>
    </w:p>
    <w:p w14:paraId="796C55D3" w14:textId="77777777" w:rsidR="0003312E" w:rsidRDefault="00000000">
      <w:pPr>
        <w:spacing w:after="0" w:line="240" w:lineRule="auto"/>
        <w:jc w:val="both"/>
        <w:rPr>
          <w:rFonts w:ascii="Times New Roman" w:eastAsiaTheme="majorEastAsia" w:hAnsi="Times New Roman" w:cs="Times New Roman"/>
          <w:b/>
          <w:bCs/>
          <w:i/>
          <w:iCs/>
        </w:rPr>
      </w:pPr>
      <w:r>
        <w:rPr>
          <w:rFonts w:ascii="Times New Roman" w:eastAsiaTheme="majorEastAsia" w:hAnsi="Times New Roman" w:cs="Times New Roman"/>
          <w:b/>
          <w:bCs/>
          <w:i/>
          <w:iCs/>
        </w:rPr>
        <w:lastRenderedPageBreak/>
        <w:t>LISTA IMAGENS</w:t>
      </w:r>
    </w:p>
    <w:p w14:paraId="4C258446"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 xml:space="preserve">As Raízes da </w:t>
      </w:r>
      <w:proofErr w:type="spellStart"/>
      <w:r>
        <w:rPr>
          <w:rFonts w:ascii="Times New Roman" w:eastAsiaTheme="majorEastAsia" w:hAnsi="Times New Roman" w:cs="Times New Roman"/>
          <w:b/>
          <w:bCs/>
        </w:rPr>
        <w:t>Neuroetimologia</w:t>
      </w:r>
      <w:proofErr w:type="spellEnd"/>
      <w:r>
        <w:rPr>
          <w:rFonts w:ascii="Times New Roman" w:eastAsiaTheme="majorEastAsia" w:hAnsi="Times New Roman" w:cs="Times New Roman"/>
          <w:b/>
          <w:bCs/>
        </w:rPr>
        <w:t>: Diálogos entre Palavra e Cérebro</w:t>
      </w:r>
      <w:r>
        <w:rPr>
          <w:rFonts w:ascii="Times New Roman" w:eastAsiaTheme="majorEastAsia" w:hAnsi="Times New Roman" w:cs="Times New Roman"/>
        </w:rPr>
        <w:br/>
      </w:r>
      <w:r>
        <w:rPr>
          <w:rFonts w:ascii="Times New Roman" w:eastAsiaTheme="majorEastAsia" w:hAnsi="Times New Roman" w:cs="Times New Roman"/>
          <w:i/>
          <w:iCs/>
        </w:rPr>
        <w:t>Figura 0.1: O Voo das Palavras na Trama do Corpo e do Tempo</w:t>
      </w:r>
      <w:r>
        <w:rPr>
          <w:rFonts w:ascii="Times New Roman" w:eastAsiaTheme="majorEastAsia" w:hAnsi="Times New Roman" w:cs="Times New Roman"/>
        </w:rPr>
        <w:br/>
      </w:r>
      <w:r>
        <w:rPr>
          <w:rFonts w:ascii="Times New Roman" w:eastAsiaTheme="majorEastAsia" w:hAnsi="Times New Roman" w:cs="Times New Roman"/>
          <w:i/>
          <w:iCs/>
        </w:rPr>
        <w:t>Figura 0.2: Isidoro de Sevilha: O Cartógrafo que Mapeou a Alma das Palavras</w:t>
      </w:r>
    </w:p>
    <w:p w14:paraId="56505EC0" w14:textId="77777777" w:rsidR="0003312E" w:rsidRDefault="00000000">
      <w:pPr>
        <w:spacing w:after="0" w:line="240" w:lineRule="auto"/>
        <w:jc w:val="both"/>
        <w:rPr>
          <w:rFonts w:ascii="Times New Roman" w:eastAsia="SimSun" w:hAnsi="Times New Roman" w:cs="Times New Roman"/>
          <w:sz w:val="20"/>
          <w:szCs w:val="20"/>
        </w:rPr>
      </w:pPr>
      <w:r>
        <w:rPr>
          <w:rFonts w:ascii="Times New Roman" w:eastAsia="SimSun" w:hAnsi="Times New Roman" w:cs="Times New Roman"/>
          <w:b/>
          <w:bCs/>
          <w:sz w:val="20"/>
          <w:szCs w:val="20"/>
        </w:rPr>
        <w:t xml:space="preserve">1. </w:t>
      </w:r>
      <w:r>
        <w:rPr>
          <w:rFonts w:ascii="Times New Roman" w:eastAsiaTheme="majorEastAsia" w:hAnsi="Times New Roman" w:cs="Times New Roman"/>
          <w:b/>
          <w:bCs/>
        </w:rPr>
        <w:t xml:space="preserve">Hipnose: Do Deus </w:t>
      </w:r>
      <w:proofErr w:type="spellStart"/>
      <w:r>
        <w:rPr>
          <w:rFonts w:ascii="Times New Roman" w:eastAsiaTheme="majorEastAsia" w:hAnsi="Times New Roman" w:cs="Times New Roman"/>
          <w:b/>
          <w:bCs/>
        </w:rPr>
        <w:t>Hypnos</w:t>
      </w:r>
      <w:proofErr w:type="spellEnd"/>
      <w:r>
        <w:rPr>
          <w:rFonts w:ascii="Times New Roman" w:eastAsiaTheme="majorEastAsia" w:hAnsi="Times New Roman" w:cs="Times New Roman"/>
          <w:b/>
          <w:bCs/>
        </w:rPr>
        <w:t xml:space="preserve"> à Neurociência da Atenção</w:t>
      </w:r>
    </w:p>
    <w:p w14:paraId="644FC61D" w14:textId="77777777" w:rsidR="0003312E" w:rsidRDefault="00000000">
      <w:pPr>
        <w:spacing w:after="0" w:line="240" w:lineRule="auto"/>
        <w:jc w:val="both"/>
        <w:rPr>
          <w:rFonts w:ascii="Times New Roman" w:eastAsiaTheme="majorEastAsia" w:hAnsi="Times New Roman" w:cs="Times New Roman"/>
          <w:i/>
          <w:iCs/>
        </w:rPr>
      </w:pPr>
      <w:r>
        <w:rPr>
          <w:rFonts w:ascii="Times New Roman" w:eastAsiaTheme="majorEastAsia" w:hAnsi="Times New Roman" w:cs="Times New Roman"/>
          <w:i/>
          <w:iCs/>
        </w:rPr>
        <w:t xml:space="preserve">Figura 1.1: </w:t>
      </w:r>
      <w:proofErr w:type="spellStart"/>
      <w:r>
        <w:rPr>
          <w:rFonts w:ascii="Times New Roman" w:eastAsiaTheme="majorEastAsia" w:hAnsi="Times New Roman" w:cs="Times New Roman"/>
          <w:i/>
          <w:iCs/>
        </w:rPr>
        <w:t>Hypnos</w:t>
      </w:r>
      <w:proofErr w:type="spellEnd"/>
      <w:r>
        <w:rPr>
          <w:rFonts w:ascii="Times New Roman" w:eastAsiaTheme="majorEastAsia" w:hAnsi="Times New Roman" w:cs="Times New Roman"/>
          <w:i/>
          <w:iCs/>
        </w:rPr>
        <w:t>: O Deus do Sono e o Portal para Outros Estados de Consciência</w:t>
      </w:r>
    </w:p>
    <w:p w14:paraId="6370229F" w14:textId="77777777" w:rsidR="0003312E" w:rsidRDefault="00000000">
      <w:pPr>
        <w:spacing w:after="0" w:line="240" w:lineRule="auto"/>
        <w:jc w:val="both"/>
        <w:rPr>
          <w:rFonts w:ascii="Times New Roman" w:eastAsiaTheme="majorEastAsia" w:hAnsi="Times New Roman" w:cs="Times New Roman"/>
          <w:i/>
          <w:iCs/>
        </w:rPr>
      </w:pPr>
      <w:r>
        <w:rPr>
          <w:rFonts w:ascii="Times New Roman" w:eastAsiaTheme="majorEastAsia" w:hAnsi="Times New Roman" w:cs="Times New Roman"/>
          <w:i/>
          <w:iCs/>
        </w:rPr>
        <w:t xml:space="preserve">Figura 1.2: </w:t>
      </w:r>
      <w:r>
        <w:rPr>
          <w:rStyle w:val="15"/>
          <w:b w:val="0"/>
          <w:bCs w:val="0"/>
          <w:i/>
          <w:iCs/>
          <w:sz w:val="20"/>
          <w:szCs w:val="20"/>
          <w:shd w:val="clear" w:color="auto" w:fill="FFFFFF"/>
        </w:rPr>
        <w:t xml:space="preserve">James </w:t>
      </w:r>
      <w:proofErr w:type="spellStart"/>
      <w:r>
        <w:rPr>
          <w:rStyle w:val="15"/>
          <w:b w:val="0"/>
          <w:bCs w:val="0"/>
          <w:i/>
          <w:iCs/>
          <w:sz w:val="20"/>
          <w:szCs w:val="20"/>
          <w:shd w:val="clear" w:color="auto" w:fill="FFFFFF"/>
        </w:rPr>
        <w:t>Braid</w:t>
      </w:r>
      <w:proofErr w:type="spellEnd"/>
      <w:r>
        <w:rPr>
          <w:rStyle w:val="15"/>
          <w:b w:val="0"/>
          <w:bCs w:val="0"/>
          <w:i/>
          <w:iCs/>
          <w:sz w:val="20"/>
          <w:szCs w:val="20"/>
          <w:shd w:val="clear" w:color="auto" w:fill="FFFFFF"/>
        </w:rPr>
        <w:t xml:space="preserve"> (1795 - 1860):</w:t>
      </w:r>
      <w:r>
        <w:rPr>
          <w:rFonts w:ascii="Times New Roman" w:hAnsi="Times New Roman" w:cs="Times New Roman"/>
          <w:i/>
          <w:iCs/>
          <w:sz w:val="20"/>
          <w:szCs w:val="20"/>
          <w:shd w:val="clear" w:color="auto" w:fill="FFFFFF"/>
        </w:rPr>
        <w:t> </w:t>
      </w:r>
      <w:r>
        <w:rPr>
          <w:rFonts w:ascii="Times New Roman" w:eastAsiaTheme="majorEastAsia" w:hAnsi="Times New Roman" w:cs="Times New Roman"/>
          <w:i/>
          <w:iCs/>
        </w:rPr>
        <w:t>O Cirurgião que Transformou Sono em Ciência</w:t>
      </w:r>
    </w:p>
    <w:p w14:paraId="5FED10AA"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2. Coma: O Silêncio do Pensamento</w:t>
      </w:r>
      <w:r>
        <w:rPr>
          <w:rFonts w:ascii="Times New Roman" w:eastAsiaTheme="majorEastAsia" w:hAnsi="Times New Roman" w:cs="Times New Roman"/>
        </w:rPr>
        <w:br/>
      </w:r>
      <w:r>
        <w:rPr>
          <w:rFonts w:ascii="Times New Roman" w:eastAsiaTheme="majorEastAsia" w:hAnsi="Times New Roman" w:cs="Times New Roman"/>
          <w:i/>
          <w:iCs/>
        </w:rPr>
        <w:t>Figura 2.1: O Carvalho Invernal: Metáfora do Silêncio Neural</w:t>
      </w:r>
      <w:r>
        <w:rPr>
          <w:rFonts w:ascii="Times New Roman" w:eastAsiaTheme="majorEastAsia" w:hAnsi="Times New Roman" w:cs="Times New Roman"/>
        </w:rPr>
        <w:br/>
      </w:r>
      <w:r>
        <w:rPr>
          <w:rFonts w:ascii="Times New Roman" w:eastAsiaTheme="majorEastAsia" w:hAnsi="Times New Roman" w:cs="Times New Roman"/>
          <w:i/>
          <w:iCs/>
        </w:rPr>
        <w:t>Figura 2.2: Harvey Cushing (1869-1939): O Decifrador do Silêncio Cerebral</w:t>
      </w:r>
    </w:p>
    <w:p w14:paraId="24A540F9"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3. Frenesi: O Fogo que Incendeia a Mente</w:t>
      </w:r>
      <w:r>
        <w:rPr>
          <w:rFonts w:ascii="Times New Roman" w:eastAsiaTheme="majorEastAsia" w:hAnsi="Times New Roman" w:cs="Times New Roman"/>
        </w:rPr>
        <w:br/>
      </w:r>
      <w:r>
        <w:rPr>
          <w:rFonts w:ascii="Times New Roman" w:eastAsiaTheme="majorEastAsia" w:hAnsi="Times New Roman" w:cs="Times New Roman"/>
          <w:i/>
          <w:iCs/>
        </w:rPr>
        <w:t>Figura 3.1: O Êxtase de Dionísio: Entre Inspiração e Perda de Controle</w:t>
      </w:r>
      <w:r>
        <w:rPr>
          <w:rFonts w:ascii="Times New Roman" w:eastAsiaTheme="majorEastAsia" w:hAnsi="Times New Roman" w:cs="Times New Roman"/>
        </w:rPr>
        <w:br/>
      </w:r>
      <w:r>
        <w:rPr>
          <w:rFonts w:ascii="Times New Roman" w:eastAsiaTheme="majorEastAsia" w:hAnsi="Times New Roman" w:cs="Times New Roman"/>
          <w:i/>
          <w:iCs/>
        </w:rPr>
        <w:t xml:space="preserve">Figura 3.2: Friedrich Nietzsche (1844-1900): O Filósofo </w:t>
      </w:r>
      <w:proofErr w:type="gramStart"/>
      <w:r>
        <w:rPr>
          <w:rFonts w:ascii="Times New Roman" w:eastAsiaTheme="majorEastAsia" w:hAnsi="Times New Roman" w:cs="Times New Roman"/>
          <w:i/>
          <w:iCs/>
        </w:rPr>
        <w:t>que Abraçou</w:t>
      </w:r>
      <w:proofErr w:type="gramEnd"/>
      <w:r>
        <w:rPr>
          <w:rFonts w:ascii="Times New Roman" w:eastAsiaTheme="majorEastAsia" w:hAnsi="Times New Roman" w:cs="Times New Roman"/>
          <w:i/>
          <w:iCs/>
        </w:rPr>
        <w:t xml:space="preserve"> o Fogo Mental</w:t>
      </w:r>
    </w:p>
    <w:p w14:paraId="72BA438E"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4. Melancolia: A Cidade Subterrânea</w:t>
      </w:r>
      <w:r>
        <w:rPr>
          <w:rFonts w:ascii="Times New Roman" w:eastAsiaTheme="majorEastAsia" w:hAnsi="Times New Roman" w:cs="Times New Roman"/>
        </w:rPr>
        <w:br/>
      </w:r>
      <w:r>
        <w:rPr>
          <w:rFonts w:ascii="Times New Roman" w:eastAsiaTheme="majorEastAsia" w:hAnsi="Times New Roman" w:cs="Times New Roman"/>
          <w:i/>
          <w:iCs/>
        </w:rPr>
        <w:t>Figura 4.1: O Labirinto das Sombras: A Geografia da Introspecção</w:t>
      </w:r>
      <w:r>
        <w:rPr>
          <w:rFonts w:ascii="Times New Roman" w:eastAsiaTheme="majorEastAsia" w:hAnsi="Times New Roman" w:cs="Times New Roman"/>
        </w:rPr>
        <w:br/>
      </w:r>
      <w:r>
        <w:rPr>
          <w:rFonts w:ascii="Times New Roman" w:eastAsiaTheme="majorEastAsia" w:hAnsi="Times New Roman" w:cs="Times New Roman"/>
          <w:i/>
          <w:iCs/>
        </w:rPr>
        <w:t>Figura 4.2: Robert Burton (1577-1640): O Cartógrafo das Profundezas da Alma</w:t>
      </w:r>
    </w:p>
    <w:p w14:paraId="6EBE9A24"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5. Êxtase: A Fusão do Eu com o Infinito</w:t>
      </w:r>
      <w:r>
        <w:rPr>
          <w:rFonts w:ascii="Times New Roman" w:eastAsiaTheme="majorEastAsia" w:hAnsi="Times New Roman" w:cs="Times New Roman"/>
        </w:rPr>
        <w:br/>
      </w:r>
      <w:r>
        <w:rPr>
          <w:rFonts w:ascii="Times New Roman" w:eastAsiaTheme="majorEastAsia" w:hAnsi="Times New Roman" w:cs="Times New Roman"/>
          <w:i/>
          <w:iCs/>
        </w:rPr>
        <w:t>Figura 5.1: A Flecha de Fogo: A Agonia e o Êxtase da Transcendência</w:t>
      </w:r>
      <w:r>
        <w:rPr>
          <w:rFonts w:ascii="Times New Roman" w:eastAsiaTheme="majorEastAsia" w:hAnsi="Times New Roman" w:cs="Times New Roman"/>
        </w:rPr>
        <w:br/>
      </w:r>
      <w:r>
        <w:rPr>
          <w:rFonts w:ascii="Times New Roman" w:eastAsiaTheme="majorEastAsia" w:hAnsi="Times New Roman" w:cs="Times New Roman"/>
          <w:i/>
          <w:iCs/>
        </w:rPr>
        <w:t xml:space="preserve">Figura 5.2: </w:t>
      </w:r>
      <w:r>
        <w:rPr>
          <w:rFonts w:ascii="Times New Roman" w:eastAsia="Segoe UI" w:hAnsi="Times New Roman" w:cs="Times New Roman"/>
          <w:shd w:val="clear" w:color="auto" w:fill="FFFFFF"/>
        </w:rPr>
        <w:t>Santa Teresa de Ávila (1515 - 1582)</w:t>
      </w:r>
      <w:r>
        <w:rPr>
          <w:rFonts w:ascii="Times New Roman" w:eastAsiaTheme="majorEastAsia" w:hAnsi="Times New Roman" w:cs="Times New Roman"/>
          <w:i/>
          <w:iCs/>
        </w:rPr>
        <w:t>: A Exploradora do Invisível</w:t>
      </w:r>
    </w:p>
    <w:p w14:paraId="212C4526" w14:textId="77777777" w:rsidR="0003312E" w:rsidRDefault="00000000">
      <w:pPr>
        <w:spacing w:after="0" w:line="240" w:lineRule="auto"/>
        <w:jc w:val="both"/>
        <w:rPr>
          <w:rStyle w:val="Forte"/>
          <w:rFonts w:ascii="Times New Roman" w:eastAsia="Segoe UI" w:hAnsi="Times New Roman" w:cs="Times New Roman"/>
          <w:color w:val="0F1115"/>
          <w:shd w:val="clear" w:color="auto" w:fill="FFFFFF"/>
        </w:rPr>
      </w:pPr>
      <w:r>
        <w:rPr>
          <w:rFonts w:ascii="Times New Roman" w:eastAsiaTheme="majorEastAsia" w:hAnsi="Times New Roman" w:cs="Times New Roman"/>
          <w:b/>
          <w:bCs/>
        </w:rPr>
        <w:t xml:space="preserve">6. </w:t>
      </w:r>
      <w:r>
        <w:rPr>
          <w:rStyle w:val="Forte"/>
          <w:rFonts w:ascii="Times New Roman" w:eastAsia="Segoe UI" w:hAnsi="Times New Roman" w:cs="Times New Roman"/>
          <w:color w:val="0F1115"/>
          <w:shd w:val="clear" w:color="auto" w:fill="FFFFFF"/>
        </w:rPr>
        <w:t>Delírio: Sair do Sulco do Pensamento</w:t>
      </w:r>
    </w:p>
    <w:p w14:paraId="3A659633" w14:textId="77777777" w:rsidR="0003312E" w:rsidRDefault="00000000">
      <w:pPr>
        <w:spacing w:after="0" w:line="240" w:lineRule="auto"/>
        <w:jc w:val="both"/>
        <w:rPr>
          <w:rStyle w:val="Forte"/>
          <w:rFonts w:ascii="Times New Roman" w:eastAsia="Segoe UI" w:hAnsi="Times New Roman" w:cs="Times New Roman"/>
          <w:b w:val="0"/>
          <w:bCs w:val="0"/>
          <w:i/>
          <w:iCs/>
          <w:shd w:val="clear" w:color="auto" w:fill="FFFFFF"/>
        </w:rPr>
      </w:pPr>
      <w:r>
        <w:rPr>
          <w:rFonts w:ascii="Times New Roman" w:eastAsiaTheme="majorEastAsia" w:hAnsi="Times New Roman" w:cs="Times New Roman"/>
          <w:i/>
          <w:iCs/>
        </w:rPr>
        <w:t>Figura 6.1: O Campo que se Desvia: Quando o Pensamento Perde o Sulco</w:t>
      </w:r>
      <w:r>
        <w:rPr>
          <w:rFonts w:ascii="Times New Roman" w:eastAsiaTheme="majorEastAsia" w:hAnsi="Times New Roman" w:cs="Times New Roman"/>
        </w:rPr>
        <w:br/>
      </w:r>
      <w:r>
        <w:rPr>
          <w:rFonts w:ascii="Times New Roman" w:eastAsiaTheme="majorEastAsia" w:hAnsi="Times New Roman" w:cs="Times New Roman"/>
          <w:i/>
          <w:iCs/>
        </w:rPr>
        <w:t xml:space="preserve">Figura 6.2: </w:t>
      </w:r>
      <w:r>
        <w:rPr>
          <w:rStyle w:val="Forte"/>
          <w:rFonts w:ascii="Times New Roman" w:eastAsia="Segoe UI" w:hAnsi="Times New Roman" w:cs="Times New Roman"/>
          <w:b w:val="0"/>
          <w:bCs w:val="0"/>
          <w:i/>
          <w:iCs/>
          <w:shd w:val="clear" w:color="auto" w:fill="FFFFFF"/>
        </w:rPr>
        <w:t xml:space="preserve">A Mente que Ara Fora do Sulco:  </w:t>
      </w:r>
      <w:r>
        <w:rPr>
          <w:rFonts w:ascii="Times New Roman" w:eastAsiaTheme="majorEastAsia" w:hAnsi="Times New Roman" w:cs="Times New Roman"/>
          <w:i/>
          <w:iCs/>
        </w:rPr>
        <w:t xml:space="preserve">Vincent van Gogh </w:t>
      </w:r>
      <w:r>
        <w:rPr>
          <w:rStyle w:val="Forte"/>
          <w:rFonts w:ascii="Times New Roman" w:eastAsia="Segoe UI" w:hAnsi="Times New Roman" w:cs="Times New Roman"/>
          <w:b w:val="0"/>
          <w:bCs w:val="0"/>
          <w:i/>
          <w:iCs/>
          <w:shd w:val="clear" w:color="auto" w:fill="FFFFFF"/>
        </w:rPr>
        <w:t>(1853 - 1890) e a Colheita do Invisível</w:t>
      </w:r>
    </w:p>
    <w:p w14:paraId="664002BC" w14:textId="77777777" w:rsidR="0003312E" w:rsidRDefault="00000000">
      <w:pPr>
        <w:spacing w:after="0" w:line="240" w:lineRule="auto"/>
        <w:jc w:val="both"/>
        <w:rPr>
          <w:rFonts w:ascii="Times New Roman" w:eastAsiaTheme="majorEastAsia" w:hAnsi="Times New Roman" w:cs="Times New Roman"/>
          <w:i/>
          <w:iCs/>
        </w:rPr>
      </w:pPr>
      <w:r>
        <w:rPr>
          <w:rFonts w:ascii="Times New Roman" w:eastAsiaTheme="majorEastAsia" w:hAnsi="Times New Roman" w:cs="Times New Roman"/>
          <w:b/>
          <w:bCs/>
        </w:rPr>
        <w:t>7. Histeria: Quando o Corpo Fala o que a Mente Cala</w:t>
      </w:r>
      <w:r>
        <w:rPr>
          <w:rFonts w:ascii="Times New Roman" w:eastAsiaTheme="majorEastAsia" w:hAnsi="Times New Roman" w:cs="Times New Roman"/>
        </w:rPr>
        <w:br/>
      </w:r>
      <w:r>
        <w:rPr>
          <w:rFonts w:ascii="Times New Roman" w:eastAsiaTheme="majorEastAsia" w:hAnsi="Times New Roman" w:cs="Times New Roman"/>
          <w:i/>
          <w:iCs/>
        </w:rPr>
        <w:t>Figura 7.1: O Útero como Labirinto: O Código Corporal do Inconsciente</w:t>
      </w:r>
      <w:r>
        <w:rPr>
          <w:rFonts w:ascii="Times New Roman" w:eastAsiaTheme="majorEastAsia" w:hAnsi="Times New Roman" w:cs="Times New Roman"/>
        </w:rPr>
        <w:br/>
      </w:r>
      <w:r>
        <w:rPr>
          <w:rFonts w:ascii="Times New Roman" w:eastAsiaTheme="majorEastAsia" w:hAnsi="Times New Roman" w:cs="Times New Roman"/>
          <w:i/>
          <w:iCs/>
        </w:rPr>
        <w:t xml:space="preserve">Figura 7.2: Jean-Martin </w:t>
      </w:r>
      <w:proofErr w:type="spellStart"/>
      <w:r>
        <w:rPr>
          <w:rFonts w:ascii="Times New Roman" w:eastAsiaTheme="majorEastAsia" w:hAnsi="Times New Roman" w:cs="Times New Roman"/>
          <w:i/>
          <w:iCs/>
        </w:rPr>
        <w:t>Charcot</w:t>
      </w:r>
      <w:proofErr w:type="spellEnd"/>
      <w:r>
        <w:rPr>
          <w:rFonts w:ascii="Times New Roman" w:eastAsiaTheme="majorEastAsia" w:hAnsi="Times New Roman" w:cs="Times New Roman"/>
          <w:i/>
          <w:iCs/>
        </w:rPr>
        <w:t xml:space="preserve"> (1825-1893): O Diretor do Teatro Clínico</w:t>
      </w:r>
    </w:p>
    <w:p w14:paraId="40B5C8D4"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8. Neurastenia: O Cansaço de uma Era</w:t>
      </w:r>
      <w:r>
        <w:rPr>
          <w:rFonts w:ascii="Times New Roman" w:eastAsiaTheme="majorEastAsia" w:hAnsi="Times New Roman" w:cs="Times New Roman"/>
        </w:rPr>
        <w:br/>
      </w:r>
      <w:r>
        <w:rPr>
          <w:rFonts w:ascii="Times New Roman" w:eastAsiaTheme="majorEastAsia" w:hAnsi="Times New Roman" w:cs="Times New Roman"/>
          <w:i/>
          <w:iCs/>
        </w:rPr>
        <w:t>Figura 8.1: O Cérebro Sobrecarregado: A Fadiga da Civilização</w:t>
      </w:r>
      <w:r>
        <w:rPr>
          <w:rFonts w:ascii="Times New Roman" w:eastAsiaTheme="majorEastAsia" w:hAnsi="Times New Roman" w:cs="Times New Roman"/>
        </w:rPr>
        <w:br/>
      </w:r>
      <w:r>
        <w:rPr>
          <w:rFonts w:ascii="Times New Roman" w:eastAsiaTheme="majorEastAsia" w:hAnsi="Times New Roman" w:cs="Times New Roman"/>
          <w:i/>
          <w:iCs/>
        </w:rPr>
        <w:t>Figura 8.2: George Miller Beard: O Médico que Diagnosticou o Espírito de Seu Tempo</w:t>
      </w:r>
    </w:p>
    <w:p w14:paraId="18E64163"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9. Ansiedade: O Aperto que Molda a Existência</w:t>
      </w:r>
      <w:r>
        <w:rPr>
          <w:rFonts w:ascii="Times New Roman" w:eastAsiaTheme="majorEastAsia" w:hAnsi="Times New Roman" w:cs="Times New Roman"/>
        </w:rPr>
        <w:br/>
      </w:r>
      <w:r>
        <w:rPr>
          <w:rFonts w:ascii="Times New Roman" w:eastAsiaTheme="majorEastAsia" w:hAnsi="Times New Roman" w:cs="Times New Roman"/>
          <w:i/>
          <w:iCs/>
        </w:rPr>
        <w:t>Figura 9.1: O Aperto Existencial: A Angústia diante da Liberdade</w:t>
      </w:r>
      <w:r>
        <w:rPr>
          <w:rFonts w:ascii="Times New Roman" w:eastAsiaTheme="majorEastAsia" w:hAnsi="Times New Roman" w:cs="Times New Roman"/>
        </w:rPr>
        <w:br/>
      </w:r>
      <w:r>
        <w:rPr>
          <w:rFonts w:ascii="Times New Roman" w:eastAsiaTheme="majorEastAsia" w:hAnsi="Times New Roman" w:cs="Times New Roman"/>
          <w:i/>
          <w:iCs/>
        </w:rPr>
        <w:t xml:space="preserve">Figura 9.2: </w:t>
      </w:r>
      <w:proofErr w:type="spellStart"/>
      <w:r>
        <w:rPr>
          <w:rFonts w:ascii="Times New Roman" w:eastAsiaTheme="majorEastAsia" w:hAnsi="Times New Roman" w:cs="Times New Roman"/>
          <w:i/>
          <w:iCs/>
        </w:rPr>
        <w:t>Søren</w:t>
      </w:r>
      <w:proofErr w:type="spellEnd"/>
      <w:r>
        <w:rPr>
          <w:rFonts w:ascii="Times New Roman" w:eastAsiaTheme="majorEastAsia" w:hAnsi="Times New Roman" w:cs="Times New Roman"/>
          <w:i/>
          <w:iCs/>
        </w:rPr>
        <w:t xml:space="preserve"> Kierkegaard: O Pensador da Vertigem do Possível</w:t>
      </w:r>
    </w:p>
    <w:p w14:paraId="54673AAC"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10. Eutimia: Da Serenidade Grega ao Equilíbrio Clínico</w:t>
      </w:r>
      <w:r>
        <w:rPr>
          <w:rFonts w:ascii="Times New Roman" w:eastAsiaTheme="majorEastAsia" w:hAnsi="Times New Roman" w:cs="Times New Roman"/>
        </w:rPr>
        <w:br/>
      </w:r>
      <w:r>
        <w:rPr>
          <w:rFonts w:ascii="Times New Roman" w:eastAsiaTheme="majorEastAsia" w:hAnsi="Times New Roman" w:cs="Times New Roman"/>
          <w:i/>
          <w:iCs/>
        </w:rPr>
        <w:t>Figura 10.1: A Árvore da Mente Equilibrada: Raízes Antigas, Flores Modernas</w:t>
      </w:r>
      <w:r>
        <w:rPr>
          <w:rFonts w:ascii="Times New Roman" w:eastAsiaTheme="majorEastAsia" w:hAnsi="Times New Roman" w:cs="Times New Roman"/>
        </w:rPr>
        <w:br/>
      </w:r>
      <w:r>
        <w:rPr>
          <w:rFonts w:ascii="Times New Roman" w:eastAsiaTheme="majorEastAsia" w:hAnsi="Times New Roman" w:cs="Times New Roman"/>
          <w:i/>
          <w:iCs/>
        </w:rPr>
        <w:t xml:space="preserve">Figura 10.2: Demócrito de </w:t>
      </w:r>
      <w:proofErr w:type="spellStart"/>
      <w:r>
        <w:rPr>
          <w:rFonts w:ascii="Times New Roman" w:eastAsiaTheme="majorEastAsia" w:hAnsi="Times New Roman" w:cs="Times New Roman"/>
          <w:i/>
          <w:iCs/>
        </w:rPr>
        <w:t>Abdera</w:t>
      </w:r>
      <w:proofErr w:type="spellEnd"/>
      <w:r>
        <w:rPr>
          <w:rFonts w:ascii="Times New Roman" w:eastAsiaTheme="majorEastAsia" w:hAnsi="Times New Roman" w:cs="Times New Roman"/>
          <w:i/>
          <w:iCs/>
        </w:rPr>
        <w:t>: O Filósofo do Bom Ânimo</w:t>
      </w:r>
    </w:p>
    <w:p w14:paraId="1742ABCF" w14:textId="77777777" w:rsidR="0003312E" w:rsidRDefault="00000000">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Epílogo: O Cérebro Etimológico: Palavras como Fósseis Vivos</w:t>
      </w:r>
      <w:r>
        <w:rPr>
          <w:rFonts w:ascii="Times New Roman" w:eastAsiaTheme="majorEastAsia" w:hAnsi="Times New Roman" w:cs="Times New Roman"/>
        </w:rPr>
        <w:br/>
      </w:r>
      <w:r>
        <w:rPr>
          <w:rFonts w:ascii="Times New Roman" w:eastAsiaTheme="majorEastAsia" w:hAnsi="Times New Roman" w:cs="Times New Roman"/>
          <w:i/>
          <w:iCs/>
        </w:rPr>
        <w:t>Figura E.1: O Cérebro como Arquivo Vivo de Significados</w:t>
      </w:r>
      <w:r>
        <w:rPr>
          <w:rFonts w:ascii="Times New Roman" w:eastAsiaTheme="majorEastAsia" w:hAnsi="Times New Roman" w:cs="Times New Roman"/>
        </w:rPr>
        <w:br/>
      </w:r>
      <w:r>
        <w:rPr>
          <w:rFonts w:ascii="Times New Roman" w:eastAsiaTheme="majorEastAsia" w:hAnsi="Times New Roman" w:cs="Times New Roman"/>
          <w:i/>
          <w:iCs/>
        </w:rPr>
        <w:t xml:space="preserve">Figura E.2: </w:t>
      </w:r>
      <w:proofErr w:type="spellStart"/>
      <w:r>
        <w:rPr>
          <w:rFonts w:ascii="Times New Roman" w:eastAsiaTheme="majorEastAsia" w:hAnsi="Times New Roman" w:cs="Times New Roman"/>
          <w:i/>
          <w:iCs/>
        </w:rPr>
        <w:t>Owsei</w:t>
      </w:r>
      <w:proofErr w:type="spellEnd"/>
      <w:r>
        <w:rPr>
          <w:rFonts w:ascii="Times New Roman" w:eastAsiaTheme="majorEastAsia" w:hAnsi="Times New Roman" w:cs="Times New Roman"/>
          <w:i/>
          <w:iCs/>
        </w:rPr>
        <w:t xml:space="preserve"> </w:t>
      </w:r>
      <w:proofErr w:type="spellStart"/>
      <w:r>
        <w:rPr>
          <w:rFonts w:ascii="Times New Roman" w:eastAsiaTheme="majorEastAsia" w:hAnsi="Times New Roman" w:cs="Times New Roman"/>
          <w:i/>
          <w:iCs/>
        </w:rPr>
        <w:t>Temkin</w:t>
      </w:r>
      <w:proofErr w:type="spellEnd"/>
      <w:r>
        <w:rPr>
          <w:rFonts w:ascii="Times New Roman" w:eastAsiaTheme="majorEastAsia" w:hAnsi="Times New Roman" w:cs="Times New Roman"/>
          <w:i/>
          <w:iCs/>
        </w:rPr>
        <w:t xml:space="preserve"> e Oliver Sacks: As Duas Faces da Medicina Narrativa</w:t>
      </w:r>
    </w:p>
    <w:p w14:paraId="73C5D713" w14:textId="77777777" w:rsidR="0003312E" w:rsidRDefault="00000000">
      <w:pPr>
        <w:spacing w:after="0" w:line="240" w:lineRule="auto"/>
        <w:rPr>
          <w:rFonts w:ascii="Times New Roman" w:eastAsia="SimSun" w:hAnsi="Times New Roman" w:cs="Times New Roman"/>
          <w:b/>
          <w:bCs/>
          <w:sz w:val="24"/>
          <w:szCs w:val="24"/>
          <w:lang w:eastAsia="zh-CN"/>
        </w:rPr>
      </w:pPr>
      <w:r>
        <w:rPr>
          <w:rFonts w:ascii="Times New Roman" w:hAnsi="Times New Roman" w:cs="Times New Roman"/>
          <w:b/>
          <w:bCs/>
          <w:sz w:val="24"/>
        </w:rPr>
        <w:br w:type="page"/>
      </w:r>
    </w:p>
    <w:tbl>
      <w:tblPr>
        <w:tblStyle w:val="Tabelacomgrade"/>
        <w:tblpPr w:leftFromText="141" w:rightFromText="141" w:vertAnchor="page" w:horzAnchor="margin" w:tblpY="1203"/>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25454DBB" w14:textId="77777777">
        <w:trPr>
          <w:trHeight w:val="470"/>
        </w:trPr>
        <w:tc>
          <w:tcPr>
            <w:tcW w:w="8505" w:type="dxa"/>
            <w:gridSpan w:val="2"/>
            <w:tcBorders>
              <w:top w:val="nil"/>
              <w:left w:val="nil"/>
              <w:bottom w:val="nil"/>
              <w:right w:val="nil"/>
            </w:tcBorders>
          </w:tcPr>
          <w:p w14:paraId="07D8DA8F"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sz w:val="20"/>
                <w:szCs w:val="20"/>
              </w:rPr>
            </w:pPr>
            <w:r>
              <w:rPr>
                <w:rStyle w:val="Forte"/>
                <w:rFonts w:ascii="Times New Roman" w:hAnsi="Times New Roman" w:cs="Times New Roman"/>
                <w:sz w:val="20"/>
                <w:szCs w:val="20"/>
              </w:rPr>
              <w:lastRenderedPageBreak/>
              <w:t xml:space="preserve">Capítulo </w:t>
            </w:r>
            <w:proofErr w:type="gramStart"/>
            <w:r>
              <w:rPr>
                <w:rStyle w:val="Forte"/>
                <w:rFonts w:ascii="Times New Roman" w:hAnsi="Times New Roman" w:cs="Times New Roman"/>
                <w:sz w:val="20"/>
                <w:szCs w:val="20"/>
              </w:rPr>
              <w:t>0  -</w:t>
            </w:r>
            <w:proofErr w:type="gramEnd"/>
            <w:r>
              <w:rPr>
                <w:rStyle w:val="Forte"/>
                <w:rFonts w:ascii="Times New Roman" w:hAnsi="Times New Roman" w:cs="Times New Roman"/>
                <w:sz w:val="20"/>
                <w:szCs w:val="20"/>
              </w:rPr>
              <w:t xml:space="preserve">  </w:t>
            </w:r>
            <w:r>
              <w:rPr>
                <w:rFonts w:ascii="Times New Roman" w:eastAsiaTheme="majorEastAsia" w:hAnsi="Times New Roman" w:cs="Times New Roman"/>
                <w:b/>
                <w:bCs/>
              </w:rPr>
              <w:t xml:space="preserve">As Raízes da </w:t>
            </w:r>
            <w:proofErr w:type="spellStart"/>
            <w:r>
              <w:rPr>
                <w:rFonts w:ascii="Times New Roman" w:eastAsiaTheme="majorEastAsia" w:hAnsi="Times New Roman" w:cs="Times New Roman"/>
                <w:b/>
                <w:bCs/>
              </w:rPr>
              <w:t>Neuroetimologia</w:t>
            </w:r>
            <w:proofErr w:type="spellEnd"/>
            <w:r>
              <w:rPr>
                <w:rFonts w:ascii="Times New Roman" w:eastAsiaTheme="majorEastAsia" w:hAnsi="Times New Roman" w:cs="Times New Roman"/>
                <w:b/>
                <w:bCs/>
              </w:rPr>
              <w:t>: Diálogos entre Palavra e Cérebro</w:t>
            </w:r>
          </w:p>
        </w:tc>
      </w:tr>
      <w:tr w:rsidR="0003312E" w14:paraId="6A4616C3" w14:textId="77777777">
        <w:trPr>
          <w:trHeight w:val="675"/>
        </w:trPr>
        <w:tc>
          <w:tcPr>
            <w:tcW w:w="8505" w:type="dxa"/>
            <w:gridSpan w:val="2"/>
            <w:tcBorders>
              <w:top w:val="nil"/>
              <w:left w:val="nil"/>
              <w:bottom w:val="nil"/>
              <w:right w:val="nil"/>
            </w:tcBorders>
          </w:tcPr>
          <w:p w14:paraId="6EC3D819" w14:textId="77777777" w:rsidR="0003312E" w:rsidRDefault="00000000">
            <w:pPr>
              <w:spacing w:after="0" w:line="240" w:lineRule="auto"/>
              <w:rPr>
                <w:rFonts w:ascii="Times New Roman" w:hAnsi="Times New Roman" w:cs="Times New Roman"/>
                <w:sz w:val="20"/>
                <w:szCs w:val="20"/>
              </w:rPr>
            </w:pPr>
            <w:r>
              <w:rPr>
                <w:rStyle w:val="Forte"/>
                <w:rFonts w:ascii="Times New Roman" w:eastAsia="Segoe UI" w:hAnsi="Times New Roman" w:cs="Times New Roman"/>
                <w:b w:val="0"/>
                <w:bCs w:val="0"/>
                <w:i/>
                <w:iCs/>
                <w:sz w:val="20"/>
                <w:szCs w:val="20"/>
                <w:shd w:val="clear" w:color="auto" w:fill="FFFFFF"/>
              </w:rPr>
              <w:t>"As palavras, por si sós, carregam uma carga de imagens e associações, metáforas embutidas, ressonâncias históricas; e isso é especialmente verdadeiro para as palavras que denotam cores. Elas são, como alguém já disse, 'fósseis de poesia'. Para o Sr. I., privado da experiência real da cor, essas ressonâncias e associações tornaram-se mais importantes do que nunca."</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r>
              <w:rPr>
                <w:rFonts w:ascii="Times New Roman" w:eastAsia="Segoe UI" w:hAnsi="Times New Roman" w:cs="Times New Roman"/>
                <w:sz w:val="20"/>
                <w:szCs w:val="20"/>
                <w:shd w:val="clear" w:color="auto" w:fill="FFFFFF"/>
              </w:rPr>
              <w:t>Oliver Sacks, em </w:t>
            </w:r>
            <w:r>
              <w:rPr>
                <w:rStyle w:val="Forte"/>
                <w:rFonts w:ascii="Times New Roman" w:eastAsia="Segoe UI" w:hAnsi="Times New Roman" w:cs="Times New Roman"/>
                <w:b w:val="0"/>
                <w:bCs w:val="0"/>
                <w:sz w:val="20"/>
                <w:szCs w:val="20"/>
                <w:shd w:val="clear" w:color="auto" w:fill="FFFFFF"/>
              </w:rPr>
              <w:t>"O Caso do Pintor Daltônico"</w:t>
            </w:r>
          </w:p>
        </w:tc>
      </w:tr>
      <w:tr w:rsidR="0003312E" w14:paraId="18CEC9EB" w14:textId="77777777">
        <w:tc>
          <w:tcPr>
            <w:tcW w:w="4353" w:type="dxa"/>
            <w:tcBorders>
              <w:top w:val="nil"/>
              <w:left w:val="nil"/>
              <w:bottom w:val="nil"/>
              <w:right w:val="nil"/>
            </w:tcBorders>
          </w:tcPr>
          <w:p w14:paraId="1DE43565" w14:textId="77777777" w:rsidR="0003312E" w:rsidRDefault="00000000">
            <w:pPr>
              <w:spacing w:after="0" w:line="240" w:lineRule="auto"/>
              <w:ind w:firstLine="709"/>
              <w:rPr>
                <w:rStyle w:val="Forte"/>
                <w:rFonts w:ascii="Times New Roman" w:eastAsia="Garamond" w:hAnsi="Times New Roman" w:cs="Times New Roman"/>
                <w:sz w:val="20"/>
                <w:szCs w:val="20"/>
              </w:rPr>
            </w:pPr>
            <w:r>
              <w:rPr>
                <w:rFonts w:ascii="Times New Roman" w:hAnsi="Times New Roman" w:cs="Times New Roman"/>
                <w:noProof/>
                <w:sz w:val="20"/>
                <w:szCs w:val="20"/>
              </w:rPr>
              <w:drawing>
                <wp:inline distT="0" distB="0" distL="0" distR="0" wp14:anchorId="41D9B771" wp14:editId="585F42B1">
                  <wp:extent cx="1425575" cy="1800225"/>
                  <wp:effectExtent l="0" t="0" r="3175" b="0"/>
                  <wp:docPr id="17305745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74525" name="Imagem 1"/>
                          <pic:cNvPicPr>
                            <a:picLocks noChangeAspect="1"/>
                          </pic:cNvPicPr>
                        </pic:nvPicPr>
                        <pic:blipFill>
                          <a:blip r:embed="rId10">
                            <a:clrChange>
                              <a:clrFrom>
                                <a:srgbClr val="FCFBFC"/>
                              </a:clrFrom>
                              <a:clrTo>
                                <a:srgbClr val="FCFBFC">
                                  <a:alpha val="0"/>
                                </a:srgbClr>
                              </a:clrTo>
                            </a:clrChange>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1434927" cy="1811301"/>
                          </a:xfrm>
                          <a:prstGeom prst="rect">
                            <a:avLst/>
                          </a:prstGeom>
                        </pic:spPr>
                      </pic:pic>
                    </a:graphicData>
                  </a:graphic>
                </wp:inline>
              </w:drawing>
            </w:r>
          </w:p>
        </w:tc>
        <w:tc>
          <w:tcPr>
            <w:tcW w:w="4152" w:type="dxa"/>
            <w:tcBorders>
              <w:top w:val="nil"/>
              <w:left w:val="nil"/>
              <w:bottom w:val="nil"/>
              <w:right w:val="nil"/>
            </w:tcBorders>
          </w:tcPr>
          <w:p w14:paraId="56E13583" w14:textId="77777777" w:rsidR="0003312E" w:rsidRDefault="00000000">
            <w:pPr>
              <w:spacing w:after="0" w:line="240" w:lineRule="auto"/>
              <w:ind w:firstLine="709"/>
              <w:rPr>
                <w:rStyle w:val="Forte"/>
                <w:rFonts w:ascii="Times New Roman" w:eastAsia="Garamond" w:hAnsi="Times New Roman" w:cs="Times New Roman"/>
                <w:sz w:val="20"/>
                <w:szCs w:val="20"/>
              </w:rPr>
            </w:pPr>
            <w:r>
              <w:rPr>
                <w:rFonts w:ascii="Times New Roman" w:eastAsia="SimSun" w:hAnsi="Times New Roman" w:cs="Times New Roman"/>
                <w:noProof/>
                <w:sz w:val="20"/>
                <w:szCs w:val="20"/>
              </w:rPr>
              <w:drawing>
                <wp:inline distT="0" distB="0" distL="114300" distR="114300" wp14:anchorId="598E5591" wp14:editId="447590A4">
                  <wp:extent cx="1370330" cy="1738630"/>
                  <wp:effectExtent l="0" t="0" r="1270" b="0"/>
                  <wp:docPr id="5" name="Imagem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3" descr="IMG_256"/>
                          <pic:cNvPicPr>
                            <a:picLocks noChangeAspect="1"/>
                          </pic:cNvPicPr>
                        </pic:nvPicPr>
                        <pic:blipFill>
                          <a:blip r:embed="rId12"/>
                          <a:stretch>
                            <a:fillRect/>
                          </a:stretch>
                        </pic:blipFill>
                        <pic:spPr>
                          <a:xfrm>
                            <a:off x="0" y="0"/>
                            <a:ext cx="1370330" cy="1738630"/>
                          </a:xfrm>
                          <a:prstGeom prst="rect">
                            <a:avLst/>
                          </a:prstGeom>
                          <a:noFill/>
                          <a:ln w="9525">
                            <a:noFill/>
                          </a:ln>
                        </pic:spPr>
                      </pic:pic>
                    </a:graphicData>
                  </a:graphic>
                </wp:inline>
              </w:drawing>
            </w:r>
          </w:p>
        </w:tc>
      </w:tr>
      <w:tr w:rsidR="0003312E" w14:paraId="1DBF3E40" w14:textId="77777777">
        <w:trPr>
          <w:trHeight w:val="476"/>
        </w:trPr>
        <w:tc>
          <w:tcPr>
            <w:tcW w:w="4353" w:type="dxa"/>
            <w:tcBorders>
              <w:top w:val="nil"/>
              <w:left w:val="nil"/>
              <w:bottom w:val="nil"/>
              <w:right w:val="nil"/>
            </w:tcBorders>
          </w:tcPr>
          <w:p w14:paraId="5025025A" w14:textId="77777777" w:rsidR="0003312E" w:rsidRDefault="00000000">
            <w:pPr>
              <w:pStyle w:val="NormalWeb"/>
              <w:spacing w:beforeAutospacing="0" w:after="0" w:afterAutospacing="0" w:line="240" w:lineRule="auto"/>
              <w:rPr>
                <w:rStyle w:val="Forte"/>
                <w:rFonts w:eastAsia="Garamond"/>
                <w:sz w:val="20"/>
                <w:szCs w:val="20"/>
                <w:lang w:val="pt-BR"/>
              </w:rPr>
            </w:pPr>
            <w:r>
              <w:rPr>
                <w:rFonts w:eastAsiaTheme="majorEastAsia"/>
                <w:i/>
                <w:iCs/>
                <w:lang w:val="pt-BR"/>
              </w:rPr>
              <w:t>Figura 0.1: O Voo das Palavras na Trama do Corpo e do Tempo</w:t>
            </w:r>
          </w:p>
        </w:tc>
        <w:tc>
          <w:tcPr>
            <w:tcW w:w="4152" w:type="dxa"/>
            <w:tcBorders>
              <w:top w:val="nil"/>
              <w:left w:val="nil"/>
              <w:bottom w:val="nil"/>
              <w:right w:val="nil"/>
            </w:tcBorders>
          </w:tcPr>
          <w:p w14:paraId="36D82990" w14:textId="77777777" w:rsidR="0003312E" w:rsidRDefault="00000000">
            <w:pPr>
              <w:spacing w:after="0" w:line="240" w:lineRule="auto"/>
              <w:jc w:val="both"/>
              <w:rPr>
                <w:rStyle w:val="Forte"/>
                <w:rFonts w:ascii="Times New Roman" w:eastAsia="Garamond" w:hAnsi="Times New Roman" w:cs="Times New Roman"/>
                <w:sz w:val="20"/>
                <w:szCs w:val="20"/>
              </w:rPr>
            </w:pPr>
            <w:r>
              <w:rPr>
                <w:rFonts w:ascii="Times New Roman" w:eastAsiaTheme="majorEastAsia" w:hAnsi="Times New Roman" w:cs="Times New Roman"/>
                <w:i/>
                <w:iCs/>
              </w:rPr>
              <w:t>Figura 0.2: Isidoro de Sevilha: O Cartógrafo que Mapeou a Alma das Palavras</w:t>
            </w:r>
          </w:p>
        </w:tc>
      </w:tr>
    </w:tbl>
    <w:p w14:paraId="4CC3D4EC" w14:textId="77777777" w:rsidR="0003312E" w:rsidRDefault="0003312E">
      <w:pPr>
        <w:pStyle w:val="NormalWeb"/>
        <w:spacing w:beforeAutospacing="0" w:after="0" w:afterAutospacing="0" w:line="360" w:lineRule="auto"/>
        <w:ind w:firstLine="709"/>
        <w:jc w:val="both"/>
        <w:rPr>
          <w:b/>
          <w:bCs/>
          <w:sz w:val="24"/>
          <w:lang w:val="pt-BR"/>
        </w:rPr>
      </w:pPr>
    </w:p>
    <w:p w14:paraId="0FCC3A01" w14:textId="77777777" w:rsidR="0003312E" w:rsidRDefault="00000000">
      <w:pPr>
        <w:pStyle w:val="NormalWeb"/>
        <w:spacing w:beforeAutospacing="0" w:after="0" w:afterAutospacing="0" w:line="360" w:lineRule="auto"/>
        <w:ind w:firstLine="709"/>
        <w:jc w:val="both"/>
        <w:rPr>
          <w:sz w:val="24"/>
          <w:lang w:val="pt-BR"/>
        </w:rPr>
      </w:pPr>
      <w:proofErr w:type="gramStart"/>
      <w:r>
        <w:rPr>
          <w:b/>
          <w:bCs/>
          <w:sz w:val="24"/>
          <w:lang w:val="pt-BR"/>
        </w:rPr>
        <w:t>As  figuras</w:t>
      </w:r>
      <w:proofErr w:type="gramEnd"/>
      <w:r>
        <w:rPr>
          <w:b/>
          <w:bCs/>
          <w:sz w:val="24"/>
          <w:lang w:val="pt-BR"/>
        </w:rPr>
        <w:t xml:space="preserve">  de Abertura: Quando a Linguagem Ganha Vida</w:t>
      </w:r>
    </w:p>
    <w:p w14:paraId="28D9EACB"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As palavras da medicina estão longe de ser entidades estáticas; elas migram, sofrem metamorfoses e renascem através dos séculos, como ilustram </w:t>
      </w:r>
      <w:proofErr w:type="gramStart"/>
      <w:r>
        <w:rPr>
          <w:sz w:val="24"/>
          <w:lang w:val="pt-BR"/>
        </w:rPr>
        <w:t>as  figuras</w:t>
      </w:r>
      <w:proofErr w:type="gramEnd"/>
      <w:r>
        <w:rPr>
          <w:sz w:val="24"/>
          <w:lang w:val="pt-BR"/>
        </w:rPr>
        <w:t xml:space="preserve">  que abrem este capítulo. Dois exemplos são particularmente reveladores dessa jornada. A palavra neurônio se origina do grego </w:t>
      </w:r>
      <w:proofErr w:type="spellStart"/>
      <w:r>
        <w:rPr>
          <w:i/>
          <w:iCs/>
          <w:sz w:val="24"/>
          <w:lang w:val="pt-BR"/>
        </w:rPr>
        <w:t>neûron</w:t>
      </w:r>
      <w:proofErr w:type="spellEnd"/>
      <w:r>
        <w:rPr>
          <w:sz w:val="24"/>
          <w:lang w:val="pt-BR"/>
        </w:rPr>
        <w:t>, um termo que inicialmente designava "tendão", evocando a imagem de algo que tensiona e conecta, tal como as cordas de um instrumento. Já histeria emerge da crença em um útero errante (</w:t>
      </w:r>
      <w:proofErr w:type="spellStart"/>
      <w:r>
        <w:rPr>
          <w:i/>
          <w:iCs/>
          <w:sz w:val="24"/>
          <w:lang w:val="pt-BR"/>
        </w:rPr>
        <w:t>hystéra</w:t>
      </w:r>
      <w:proofErr w:type="spellEnd"/>
      <w:r>
        <w:rPr>
          <w:sz w:val="24"/>
          <w:lang w:val="pt-BR"/>
        </w:rPr>
        <w:t xml:space="preserve">), que os antigos gregos imaginavam percorrer o corpo feminino como uma criatura inquieta, causando sintomas inexplicáveis. Esses termos transcendem a função de meros rótulos clínicos. São narrativas vivas que evoluíram em paralelo com nossa compreensão do corpo e da mente. Cada palavra médica é, em essência, uma biografia </w:t>
      </w:r>
      <w:proofErr w:type="gramStart"/>
      <w:r>
        <w:rPr>
          <w:sz w:val="24"/>
          <w:lang w:val="pt-BR"/>
        </w:rPr>
        <w:t>cultural  -</w:t>
      </w:r>
      <w:proofErr w:type="gramEnd"/>
      <w:r>
        <w:rPr>
          <w:sz w:val="24"/>
          <w:lang w:val="pt-BR"/>
        </w:rPr>
        <w:t xml:space="preserve">  uma tradição que se reinventa continuamente, mas nunca perde completamente seu rastro original.</w:t>
      </w:r>
    </w:p>
    <w:p w14:paraId="4B112A96" w14:textId="77777777" w:rsidR="0003312E" w:rsidRDefault="0003312E">
      <w:pPr>
        <w:pStyle w:val="NormalWeb"/>
        <w:spacing w:beforeAutospacing="0" w:after="0" w:afterAutospacing="0" w:line="360" w:lineRule="auto"/>
        <w:ind w:firstLine="709"/>
        <w:jc w:val="both"/>
        <w:rPr>
          <w:color w:val="00B050"/>
          <w:sz w:val="24"/>
          <w:lang w:val="pt-BR"/>
        </w:rPr>
      </w:pPr>
    </w:p>
    <w:p w14:paraId="6C9BA936" w14:textId="77777777" w:rsidR="0003312E" w:rsidRDefault="00000000">
      <w:pPr>
        <w:pStyle w:val="NormalWeb"/>
        <w:spacing w:beforeAutospacing="0" w:after="0" w:afterAutospacing="0" w:line="360" w:lineRule="auto"/>
        <w:ind w:firstLine="709"/>
        <w:jc w:val="both"/>
        <w:rPr>
          <w:b/>
          <w:bCs/>
          <w:sz w:val="24"/>
          <w:lang w:val="pt-BR"/>
        </w:rPr>
      </w:pPr>
      <w:r>
        <w:rPr>
          <w:b/>
          <w:bCs/>
          <w:sz w:val="24"/>
          <w:lang w:val="pt-BR"/>
        </w:rPr>
        <w:t>História da Etimologia</w:t>
      </w:r>
    </w:p>
    <w:p w14:paraId="2AB76BF6" w14:textId="77777777" w:rsidR="0003312E" w:rsidRDefault="00000000">
      <w:pPr>
        <w:pStyle w:val="NormalWeb"/>
        <w:spacing w:beforeAutospacing="0" w:after="0" w:afterAutospacing="0" w:line="360" w:lineRule="auto"/>
        <w:ind w:firstLine="709"/>
        <w:jc w:val="both"/>
        <w:rPr>
          <w:sz w:val="24"/>
          <w:lang w:val="pt-BR"/>
        </w:rPr>
      </w:pPr>
      <w:r>
        <w:rPr>
          <w:sz w:val="24"/>
          <w:lang w:val="pt-BR"/>
        </w:rPr>
        <w:t>A história da etimologia traça uma evolução fascinante: começando com as reflexões filosóficas de Heráclito e Platão na Grécia Antiga, passando pela compilação enciclopédica de Isidoro de Sevilha na Alta Idade Média, que via a etimologia como chave para compreender a essência das coisas. Mário Eduardo Viaro (2015) faz uma revisão panorâmica sobre esta história.</w:t>
      </w:r>
    </w:p>
    <w:p w14:paraId="59B59335" w14:textId="77777777" w:rsidR="0003312E" w:rsidRDefault="00000000">
      <w:pPr>
        <w:pStyle w:val="NormalWeb"/>
        <w:spacing w:beforeAutospacing="0" w:after="0" w:afterAutospacing="0" w:line="360" w:lineRule="auto"/>
        <w:ind w:firstLine="709"/>
        <w:jc w:val="both"/>
        <w:rPr>
          <w:sz w:val="24"/>
          <w:lang w:val="pt-BR"/>
        </w:rPr>
      </w:pPr>
      <w:r>
        <w:rPr>
          <w:sz w:val="24"/>
          <w:lang w:val="pt-BR"/>
        </w:rPr>
        <w:t>No século VII, enquanto a Europa se reorganizava após a queda de Roma, Isidoro de Sevilha criou uma obra que transcendeu sua época. Ele não estava apenas compilando um dicionário, mas construindo um atlas conceitual. Sua "</w:t>
      </w:r>
      <w:proofErr w:type="spellStart"/>
      <w:r>
        <w:rPr>
          <w:sz w:val="24"/>
          <w:lang w:val="pt-BR"/>
        </w:rPr>
        <w:t>Etymologiae</w:t>
      </w:r>
      <w:proofErr w:type="spellEnd"/>
      <w:r>
        <w:rPr>
          <w:sz w:val="24"/>
          <w:lang w:val="pt-BR"/>
        </w:rPr>
        <w:t xml:space="preserve">" ia além de um simples </w:t>
      </w:r>
      <w:r>
        <w:rPr>
          <w:sz w:val="24"/>
          <w:lang w:val="pt-BR"/>
        </w:rPr>
        <w:lastRenderedPageBreak/>
        <w:t>compêndio de termos: era uma verdadeira cartografia do pensamento, onde cada palavra revelava uma conexão profunda entre linguagem e realidade.</w:t>
      </w:r>
    </w:p>
    <w:p w14:paraId="25DD461A"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Para Isidoro, a etimologia era uma forma de compreender a essência do que era nomeado. Essa visão encontrou, mais de um milênio depois, um paralelo funcional numa descoberta central da neurociência moderna: a de que o cérebro processa palavras como redes de significado, não como unidades isoladas. Interessantemente, este santo e arcebispo, hoje também considerado o padroeiro da Internet, pode ser visto menos como um precursor direto e mais como uma figura cujo projeto intelectual – o de mapear as conexões entre palavras e realidade – encontra um eco distante e funcional no que hoje chamamos de </w:t>
      </w:r>
      <w:proofErr w:type="spellStart"/>
      <w:r>
        <w:rPr>
          <w:sz w:val="24"/>
          <w:lang w:val="pt-BR"/>
        </w:rPr>
        <w:t>neuroetimologia</w:t>
      </w:r>
      <w:proofErr w:type="spellEnd"/>
      <w:r>
        <w:rPr>
          <w:sz w:val="24"/>
          <w:lang w:val="pt-BR"/>
        </w:rPr>
        <w:t>. As "</w:t>
      </w:r>
      <w:proofErr w:type="spellStart"/>
      <w:r>
        <w:rPr>
          <w:i/>
          <w:iCs/>
          <w:sz w:val="24"/>
          <w:lang w:val="pt-BR"/>
        </w:rPr>
        <w:t>Etymologiae</w:t>
      </w:r>
      <w:proofErr w:type="spellEnd"/>
      <w:r>
        <w:rPr>
          <w:sz w:val="24"/>
          <w:lang w:val="pt-BR"/>
        </w:rPr>
        <w:t xml:space="preserve">" </w:t>
      </w:r>
      <w:proofErr w:type="spellStart"/>
      <w:r>
        <w:rPr>
          <w:sz w:val="24"/>
          <w:lang w:val="pt-BR"/>
        </w:rPr>
        <w:t>foram</w:t>
      </w:r>
      <w:proofErr w:type="spellEnd"/>
      <w:r>
        <w:rPr>
          <w:sz w:val="24"/>
          <w:lang w:val="pt-BR"/>
        </w:rPr>
        <w:t xml:space="preserve"> uma das primeiras enciclopédias medievais e o primeiro mapa sistemático das relações entre palavras e a realidade que representam - um trabalho que, séculos depois, encontraria eco nos circuitos neurais desvendados pela ciência moderna.</w:t>
      </w:r>
    </w:p>
    <w:p w14:paraId="34D711DD"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O Renascimento trouxe o ponto de virada metodológico com </w:t>
      </w:r>
      <w:proofErr w:type="spellStart"/>
      <w:r>
        <w:rPr>
          <w:sz w:val="24"/>
          <w:lang w:val="pt-BR"/>
        </w:rPr>
        <w:t>Nebrija</w:t>
      </w:r>
      <w:proofErr w:type="spellEnd"/>
      <w:r>
        <w:rPr>
          <w:sz w:val="24"/>
          <w:lang w:val="pt-BR"/>
        </w:rPr>
        <w:t xml:space="preserve">, que percebeu o castelhano como latim modificado e esboçou as primeiras "leis fonéticas", trabalho depois expandido por Nunes de Leão para o português. O século XVIII preparou o terreno com Leibniz e </w:t>
      </w:r>
      <w:proofErr w:type="spellStart"/>
      <w:r>
        <w:rPr>
          <w:sz w:val="24"/>
          <w:lang w:val="pt-BR"/>
        </w:rPr>
        <w:t>Gyarmathi</w:t>
      </w:r>
      <w:proofErr w:type="spellEnd"/>
      <w:r>
        <w:rPr>
          <w:sz w:val="24"/>
          <w:lang w:val="pt-BR"/>
        </w:rPr>
        <w:t xml:space="preserve">, mas a verdadeira revolução científica ocorreu no século XIX com </w:t>
      </w:r>
      <w:proofErr w:type="spellStart"/>
      <w:r>
        <w:rPr>
          <w:sz w:val="24"/>
          <w:lang w:val="pt-BR"/>
        </w:rPr>
        <w:t>Rask</w:t>
      </w:r>
      <w:proofErr w:type="spellEnd"/>
      <w:r>
        <w:rPr>
          <w:sz w:val="24"/>
          <w:lang w:val="pt-BR"/>
        </w:rPr>
        <w:t xml:space="preserve">, cujo trabalho visionário de 1818 estabeleceu os fundamentos da etimologia moderna - embora tenha sido injustamente ofuscado por autores alemães como Bopp, Grimm e </w:t>
      </w:r>
      <w:proofErr w:type="spellStart"/>
      <w:r>
        <w:rPr>
          <w:sz w:val="24"/>
          <w:lang w:val="pt-BR"/>
        </w:rPr>
        <w:t>Schleicher</w:t>
      </w:r>
      <w:proofErr w:type="spellEnd"/>
      <w:r>
        <w:rPr>
          <w:sz w:val="24"/>
          <w:lang w:val="pt-BR"/>
        </w:rPr>
        <w:t>.</w:t>
      </w:r>
    </w:p>
    <w:p w14:paraId="39D50A86"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No século XX o campo se tornou mais complexo: </w:t>
      </w:r>
      <w:proofErr w:type="spellStart"/>
      <w:r>
        <w:rPr>
          <w:sz w:val="24"/>
          <w:lang w:val="pt-BR"/>
        </w:rPr>
        <w:t>Schuchardt</w:t>
      </w:r>
      <w:proofErr w:type="spellEnd"/>
      <w:r>
        <w:rPr>
          <w:sz w:val="24"/>
          <w:lang w:val="pt-BR"/>
        </w:rPr>
        <w:t xml:space="preserve"> contestou o mecanicismo das leis fonéticas, Meyer-</w:t>
      </w:r>
      <w:proofErr w:type="spellStart"/>
      <w:r>
        <w:rPr>
          <w:sz w:val="24"/>
          <w:lang w:val="pt-BR"/>
        </w:rPr>
        <w:t>Lübke</w:t>
      </w:r>
      <w:proofErr w:type="spellEnd"/>
      <w:r>
        <w:rPr>
          <w:sz w:val="24"/>
          <w:lang w:val="pt-BR"/>
        </w:rPr>
        <w:t xml:space="preserve"> sintetizou décadas de pesquisa e o movimento "</w:t>
      </w:r>
      <w:proofErr w:type="spellStart"/>
      <w:r>
        <w:rPr>
          <w:i/>
          <w:iCs/>
          <w:sz w:val="24"/>
          <w:lang w:val="pt-BR"/>
        </w:rPr>
        <w:t>Wörter</w:t>
      </w:r>
      <w:proofErr w:type="spellEnd"/>
      <w:r>
        <w:rPr>
          <w:i/>
          <w:iCs/>
          <w:sz w:val="24"/>
          <w:lang w:val="pt-BR"/>
        </w:rPr>
        <w:t xml:space="preserve"> </w:t>
      </w:r>
      <w:proofErr w:type="spellStart"/>
      <w:r>
        <w:rPr>
          <w:i/>
          <w:iCs/>
          <w:sz w:val="24"/>
          <w:lang w:val="pt-BR"/>
        </w:rPr>
        <w:t>und</w:t>
      </w:r>
      <w:proofErr w:type="spellEnd"/>
      <w:r>
        <w:rPr>
          <w:i/>
          <w:iCs/>
          <w:sz w:val="24"/>
          <w:lang w:val="pt-BR"/>
        </w:rPr>
        <w:t xml:space="preserve"> </w:t>
      </w:r>
      <w:proofErr w:type="spellStart"/>
      <w:r>
        <w:rPr>
          <w:i/>
          <w:iCs/>
          <w:sz w:val="24"/>
          <w:lang w:val="pt-BR"/>
        </w:rPr>
        <w:t>Sachen</w:t>
      </w:r>
      <w:proofErr w:type="spellEnd"/>
      <w:r>
        <w:rPr>
          <w:sz w:val="24"/>
          <w:lang w:val="pt-BR"/>
        </w:rPr>
        <w:t>" integrou a etimologia com a cultura material, reconhecendo que para entender uma palavra é preciso compreender também o objeto que ela designa.</w:t>
      </w:r>
    </w:p>
    <w:p w14:paraId="3D019C35" w14:textId="77777777" w:rsidR="0003312E" w:rsidRDefault="0003312E">
      <w:pPr>
        <w:pStyle w:val="NormalWeb"/>
        <w:spacing w:beforeAutospacing="0" w:after="0" w:afterAutospacing="0" w:line="360" w:lineRule="auto"/>
        <w:ind w:firstLine="709"/>
        <w:jc w:val="both"/>
        <w:rPr>
          <w:sz w:val="24"/>
          <w:lang w:val="pt-BR"/>
        </w:rPr>
      </w:pPr>
    </w:p>
    <w:p w14:paraId="01D27BD1"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Etimologia como Paleontologia da Mente: Palavras como Fósseis Vivos</w:t>
      </w:r>
    </w:p>
    <w:p w14:paraId="02E4BD3F" w14:textId="77777777" w:rsidR="0003312E" w:rsidRDefault="00000000">
      <w:pPr>
        <w:pStyle w:val="NormalWeb"/>
        <w:spacing w:beforeAutospacing="0" w:after="0" w:afterAutospacing="0" w:line="360" w:lineRule="auto"/>
        <w:ind w:firstLine="709"/>
        <w:jc w:val="both"/>
        <w:rPr>
          <w:sz w:val="24"/>
          <w:lang w:val="pt-BR"/>
        </w:rPr>
      </w:pPr>
      <w:r>
        <w:rPr>
          <w:sz w:val="24"/>
          <w:lang w:val="pt-BR"/>
        </w:rPr>
        <w:t>Quando pronunciamos termos como êxtase (do grego </w:t>
      </w:r>
      <w:proofErr w:type="spellStart"/>
      <w:r>
        <w:rPr>
          <w:i/>
          <w:iCs/>
          <w:sz w:val="24"/>
          <w:lang w:val="pt-BR"/>
        </w:rPr>
        <w:t>ékstasis</w:t>
      </w:r>
      <w:proofErr w:type="spellEnd"/>
      <w:r>
        <w:rPr>
          <w:sz w:val="24"/>
          <w:lang w:val="pt-BR"/>
        </w:rPr>
        <w:t>, "sair de si") ou lucidez (do latim </w:t>
      </w:r>
      <w:r>
        <w:rPr>
          <w:i/>
          <w:iCs/>
          <w:sz w:val="24"/>
          <w:lang w:val="pt-BR"/>
        </w:rPr>
        <w:t>lux</w:t>
      </w:r>
      <w:r>
        <w:rPr>
          <w:sz w:val="24"/>
          <w:lang w:val="pt-BR"/>
        </w:rPr>
        <w:t xml:space="preserve">, "luz"), não estamos apenas utilizando vocábulos clínicos. Estamos, na verdade, evocando experiências humanas profundas que transcendem o tempo. Como argumenta Philip </w:t>
      </w:r>
      <w:proofErr w:type="spellStart"/>
      <w:r>
        <w:rPr>
          <w:sz w:val="24"/>
          <w:lang w:val="pt-BR"/>
        </w:rPr>
        <w:t>Durkin</w:t>
      </w:r>
      <w:proofErr w:type="spellEnd"/>
      <w:r>
        <w:rPr>
          <w:sz w:val="24"/>
          <w:lang w:val="pt-BR"/>
        </w:rPr>
        <w:t xml:space="preserve"> (2009) em </w:t>
      </w:r>
      <w:r>
        <w:rPr>
          <w:i/>
          <w:iCs/>
          <w:sz w:val="24"/>
          <w:lang w:val="pt-BR"/>
        </w:rPr>
        <w:t xml:space="preserve">The Oxford </w:t>
      </w:r>
      <w:proofErr w:type="spellStart"/>
      <w:r>
        <w:rPr>
          <w:i/>
          <w:iCs/>
          <w:sz w:val="24"/>
          <w:lang w:val="pt-BR"/>
        </w:rPr>
        <w:t>Guide</w:t>
      </w:r>
      <w:proofErr w:type="spellEnd"/>
      <w:r>
        <w:rPr>
          <w:i/>
          <w:iCs/>
          <w:sz w:val="24"/>
          <w:lang w:val="pt-BR"/>
        </w:rPr>
        <w:t xml:space="preserve"> </w:t>
      </w:r>
      <w:proofErr w:type="spellStart"/>
      <w:r>
        <w:rPr>
          <w:i/>
          <w:iCs/>
          <w:sz w:val="24"/>
          <w:lang w:val="pt-BR"/>
        </w:rPr>
        <w:t>to</w:t>
      </w:r>
      <w:proofErr w:type="spellEnd"/>
      <w:r>
        <w:rPr>
          <w:i/>
          <w:iCs/>
          <w:sz w:val="24"/>
          <w:lang w:val="pt-BR"/>
        </w:rPr>
        <w:t xml:space="preserve"> </w:t>
      </w:r>
      <w:proofErr w:type="spellStart"/>
      <w:r>
        <w:rPr>
          <w:i/>
          <w:iCs/>
          <w:sz w:val="24"/>
          <w:lang w:val="pt-BR"/>
        </w:rPr>
        <w:t>Etymology</w:t>
      </w:r>
      <w:proofErr w:type="spellEnd"/>
      <w:r>
        <w:rPr>
          <w:sz w:val="24"/>
          <w:lang w:val="pt-BR"/>
        </w:rPr>
        <w:t>, a etimologia não se resume a uma busca antiquária por origens. Ela é uma disciplina dinâmica que revela como as palavras mudam de forma, significado e uso, carregando consigo camadas intrincadas de história, cultura e poesia.</w:t>
      </w:r>
    </w:p>
    <w:p w14:paraId="1C3CD5D6"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É neste contexto que a </w:t>
      </w:r>
      <w:proofErr w:type="spellStart"/>
      <w:r>
        <w:rPr>
          <w:sz w:val="24"/>
          <w:lang w:val="pt-BR"/>
        </w:rPr>
        <w:t>neuroetimologia</w:t>
      </w:r>
      <w:proofErr w:type="spellEnd"/>
      <w:r>
        <w:rPr>
          <w:sz w:val="24"/>
          <w:lang w:val="pt-BR"/>
        </w:rPr>
        <w:t xml:space="preserve"> emerge como um campo singular. Mais do que uma disciplina rígida, a </w:t>
      </w:r>
      <w:proofErr w:type="spellStart"/>
      <w:r>
        <w:rPr>
          <w:sz w:val="24"/>
          <w:lang w:val="pt-BR"/>
        </w:rPr>
        <w:t>neuroetimologia</w:t>
      </w:r>
      <w:proofErr w:type="spellEnd"/>
      <w:r>
        <w:rPr>
          <w:sz w:val="24"/>
          <w:lang w:val="pt-BR"/>
        </w:rPr>
        <w:t xml:space="preserve"> se apresenta como um método de investigação e ensino que explora não apenas a origem das palavras relacionadas à mente e ao cérebro, mas </w:t>
      </w:r>
      <w:r>
        <w:rPr>
          <w:sz w:val="24"/>
          <w:lang w:val="pt-BR"/>
        </w:rPr>
        <w:lastRenderedPageBreak/>
        <w:t xml:space="preserve">investiga como a sua história molda - e é simultaneamente moldada por - nosso entendimento científico e cultural. Ao analisar termos como "êxtase" ou "lucidez", a </w:t>
      </w:r>
      <w:proofErr w:type="spellStart"/>
      <w:r>
        <w:rPr>
          <w:sz w:val="24"/>
          <w:lang w:val="pt-BR"/>
        </w:rPr>
        <w:t>neuroetimologia</w:t>
      </w:r>
      <w:proofErr w:type="spellEnd"/>
      <w:r>
        <w:rPr>
          <w:sz w:val="24"/>
          <w:lang w:val="pt-BR"/>
        </w:rPr>
        <w:t xml:space="preserve"> ultrapassa os limites da erudição. Ela se transforma em uma ferramenta poderosa para ressignificar experiências estéticas, filosóficas e clínicas, demonstrando que a forma e o significado são indissociáveis.</w:t>
      </w:r>
    </w:p>
    <w:p w14:paraId="64E422D7"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Essa abordagem encontra suporte direto na neurociência cognitiva, particularmente nos trabalhos de Friedemann </w:t>
      </w:r>
      <w:proofErr w:type="spellStart"/>
      <w:r>
        <w:rPr>
          <w:sz w:val="24"/>
          <w:lang w:val="pt-BR"/>
        </w:rPr>
        <w:t>Pulvermüller</w:t>
      </w:r>
      <w:proofErr w:type="spellEnd"/>
      <w:r>
        <w:rPr>
          <w:sz w:val="24"/>
          <w:lang w:val="pt-BR"/>
        </w:rPr>
        <w:t xml:space="preserve"> (1999), que demonstram como as palavras ativam redes neurais específicas associadas aos seus significados. Segundo a teoria da </w:t>
      </w:r>
      <w:proofErr w:type="spellStart"/>
      <w:r>
        <w:rPr>
          <w:i/>
          <w:iCs/>
          <w:sz w:val="24"/>
          <w:lang w:val="pt-BR"/>
        </w:rPr>
        <w:t>embodied</w:t>
      </w:r>
      <w:proofErr w:type="spellEnd"/>
      <w:r>
        <w:rPr>
          <w:i/>
          <w:iCs/>
          <w:sz w:val="24"/>
          <w:lang w:val="pt-BR"/>
        </w:rPr>
        <w:t xml:space="preserve"> </w:t>
      </w:r>
      <w:proofErr w:type="spellStart"/>
      <w:r>
        <w:rPr>
          <w:i/>
          <w:iCs/>
          <w:sz w:val="24"/>
          <w:lang w:val="pt-BR"/>
        </w:rPr>
        <w:t>cognition</w:t>
      </w:r>
      <w:proofErr w:type="spellEnd"/>
      <w:r>
        <w:rPr>
          <w:sz w:val="24"/>
          <w:lang w:val="pt-BR"/>
        </w:rPr>
        <w:t> (cognição incorporada) que ele ajuda a fundamentar, palavras que denotam ações ou sensações podem ativar, respectivamente, sistemas motores e sensoriais do cérebro. A etimologia, sob esta luz, deixa de ser uma mera escavação histórica para se tornar uma verdadeira cartografia cerebral. Se as palavras são fósseis, como propõe a metáfora, então a etimologia torna-se uma espécie de paleontologia da mente - uma disciplina que revela o entrelaçamento inextricável entre linguagem, cognição e cultura, mostrando que o significado não reside apenas na forma lexical, mas na memória viva que ela carrega.</w:t>
      </w:r>
    </w:p>
    <w:p w14:paraId="1F197BD5" w14:textId="77777777" w:rsidR="0003312E" w:rsidRDefault="0003312E">
      <w:pPr>
        <w:pStyle w:val="NormalWeb"/>
        <w:spacing w:beforeAutospacing="0" w:after="0" w:afterAutospacing="0" w:line="360" w:lineRule="auto"/>
        <w:ind w:firstLine="709"/>
        <w:jc w:val="both"/>
        <w:rPr>
          <w:b/>
          <w:bCs/>
          <w:sz w:val="24"/>
          <w:lang w:val="pt-BR"/>
        </w:rPr>
      </w:pPr>
    </w:p>
    <w:p w14:paraId="2FB0592C"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 xml:space="preserve">Os Três Pilares da </w:t>
      </w:r>
      <w:proofErr w:type="spellStart"/>
      <w:r>
        <w:rPr>
          <w:b/>
          <w:bCs/>
          <w:sz w:val="24"/>
          <w:lang w:val="pt-BR"/>
        </w:rPr>
        <w:t>Neuroetimologia</w:t>
      </w:r>
      <w:proofErr w:type="spellEnd"/>
    </w:p>
    <w:p w14:paraId="1B59A8B4"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A </w:t>
      </w:r>
      <w:proofErr w:type="spellStart"/>
      <w:r>
        <w:rPr>
          <w:sz w:val="24"/>
          <w:lang w:val="pt-BR"/>
        </w:rPr>
        <w:t>neuroetimologia</w:t>
      </w:r>
      <w:proofErr w:type="spellEnd"/>
      <w:r>
        <w:rPr>
          <w:sz w:val="24"/>
          <w:lang w:val="pt-BR"/>
        </w:rPr>
        <w:t xml:space="preserve"> sustenta-se sobre três pilares fundamentais que, ao se entrelaçarem, oferecem uma compreensão profunda e multidimensional da linguagem médica.</w:t>
      </w:r>
    </w:p>
    <w:p w14:paraId="59A9D250" w14:textId="77777777" w:rsidR="0003312E" w:rsidRDefault="0003312E">
      <w:pPr>
        <w:pStyle w:val="NormalWeb"/>
        <w:spacing w:beforeAutospacing="0" w:after="0" w:afterAutospacing="0" w:line="360" w:lineRule="auto"/>
        <w:ind w:firstLine="709"/>
        <w:jc w:val="both"/>
        <w:rPr>
          <w:b/>
          <w:bCs/>
          <w:sz w:val="24"/>
          <w:lang w:val="pt-BR"/>
        </w:rPr>
      </w:pPr>
    </w:p>
    <w:p w14:paraId="62F6277E" w14:textId="77777777" w:rsidR="0003312E" w:rsidRDefault="00000000">
      <w:pPr>
        <w:pStyle w:val="NormalWeb"/>
        <w:spacing w:beforeAutospacing="0" w:after="0" w:afterAutospacing="0" w:line="360" w:lineRule="auto"/>
        <w:ind w:firstLine="709"/>
        <w:jc w:val="both"/>
        <w:rPr>
          <w:sz w:val="24"/>
        </w:rPr>
      </w:pPr>
      <w:r>
        <w:rPr>
          <w:b/>
          <w:bCs/>
          <w:sz w:val="24"/>
          <w:lang w:val="pt-BR"/>
        </w:rPr>
        <w:t xml:space="preserve">Quadro 0.1. Os Três Pilares da </w:t>
      </w:r>
      <w:proofErr w:type="spellStart"/>
      <w:r>
        <w:rPr>
          <w:b/>
          <w:bCs/>
          <w:sz w:val="24"/>
          <w:lang w:val="pt-BR"/>
        </w:rPr>
        <w:t>Neuroetimologia</w:t>
      </w:r>
      <w:proofErr w:type="spellEnd"/>
      <w:r>
        <w:rPr>
          <w:b/>
          <w:bCs/>
          <w:sz w:val="24"/>
          <w:lang w:val="pt-BR"/>
        </w:rPr>
        <w:t xml:space="preserve"> - </w:t>
      </w:r>
      <w:proofErr w:type="spellStart"/>
      <w:r>
        <w:rPr>
          <w:b/>
          <w:bCs/>
          <w:sz w:val="24"/>
          <w:lang w:val="pt-BR"/>
        </w:rPr>
        <w:t>Hallock</w:t>
      </w:r>
      <w:proofErr w:type="spellEnd"/>
      <w:r>
        <w:rPr>
          <w:b/>
          <w:bCs/>
          <w:sz w:val="24"/>
          <w:lang w:val="pt-BR"/>
        </w:rPr>
        <w:t xml:space="preserve"> et al. </w:t>
      </w:r>
      <w:r>
        <w:rPr>
          <w:b/>
          <w:bCs/>
          <w:sz w:val="24"/>
        </w:rPr>
        <w:t xml:space="preserve">(2016); Mosenthal (2001); </w:t>
      </w:r>
      <w:proofErr w:type="spellStart"/>
      <w:r>
        <w:rPr>
          <w:b/>
          <w:bCs/>
          <w:sz w:val="24"/>
        </w:rPr>
        <w:t>Bujalková</w:t>
      </w:r>
      <w:proofErr w:type="spellEnd"/>
      <w:r>
        <w:rPr>
          <w:b/>
          <w:bCs/>
          <w:sz w:val="24"/>
        </w:rPr>
        <w:t xml:space="preserve">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12"/>
        <w:gridCol w:w="3381"/>
        <w:gridCol w:w="3468"/>
      </w:tblGrid>
      <w:tr w:rsidR="0003312E" w14:paraId="722C24C2" w14:textId="77777777">
        <w:trPr>
          <w:tblHeader/>
        </w:trPr>
        <w:tc>
          <w:tcPr>
            <w:tcW w:w="0" w:type="auto"/>
            <w:tcMar>
              <w:top w:w="150" w:type="dxa"/>
              <w:left w:w="0" w:type="dxa"/>
              <w:bottom w:w="150" w:type="dxa"/>
              <w:right w:w="240" w:type="dxa"/>
            </w:tcMar>
            <w:vAlign w:val="center"/>
          </w:tcPr>
          <w:p w14:paraId="18560436" w14:textId="77777777" w:rsidR="0003312E" w:rsidRDefault="00000000">
            <w:pPr>
              <w:pStyle w:val="NormalWeb"/>
              <w:shd w:val="clear" w:color="auto" w:fill="FFFFFF"/>
              <w:spacing w:beforeAutospacing="0" w:after="0" w:afterAutospacing="0" w:line="240" w:lineRule="auto"/>
              <w:rPr>
                <w:b/>
                <w:bCs/>
                <w:sz w:val="20"/>
                <w:szCs w:val="20"/>
              </w:rPr>
            </w:pPr>
            <w:r>
              <w:rPr>
                <w:b/>
                <w:bCs/>
                <w:sz w:val="20"/>
                <w:szCs w:val="20"/>
              </w:rPr>
              <w:t>Pilar</w:t>
            </w:r>
          </w:p>
        </w:tc>
        <w:tc>
          <w:tcPr>
            <w:tcW w:w="0" w:type="auto"/>
            <w:tcMar>
              <w:top w:w="150" w:type="dxa"/>
              <w:left w:w="240" w:type="dxa"/>
              <w:bottom w:w="150" w:type="dxa"/>
              <w:right w:w="240" w:type="dxa"/>
            </w:tcMar>
            <w:vAlign w:val="center"/>
          </w:tcPr>
          <w:p w14:paraId="36EC53A0" w14:textId="77777777" w:rsidR="0003312E" w:rsidRDefault="00000000">
            <w:pPr>
              <w:pStyle w:val="NormalWeb"/>
              <w:shd w:val="clear" w:color="auto" w:fill="FFFFFF"/>
              <w:spacing w:beforeAutospacing="0" w:after="0" w:afterAutospacing="0" w:line="240" w:lineRule="auto"/>
              <w:rPr>
                <w:b/>
                <w:bCs/>
                <w:sz w:val="20"/>
                <w:szCs w:val="20"/>
              </w:rPr>
            </w:pPr>
            <w:proofErr w:type="spellStart"/>
            <w:r>
              <w:rPr>
                <w:b/>
                <w:bCs/>
                <w:sz w:val="20"/>
                <w:szCs w:val="20"/>
              </w:rPr>
              <w:t>Descrição</w:t>
            </w:r>
            <w:proofErr w:type="spellEnd"/>
          </w:p>
        </w:tc>
        <w:tc>
          <w:tcPr>
            <w:tcW w:w="0" w:type="auto"/>
            <w:tcMar>
              <w:top w:w="150" w:type="dxa"/>
              <w:left w:w="240" w:type="dxa"/>
              <w:bottom w:w="150" w:type="dxa"/>
              <w:right w:w="240" w:type="dxa"/>
            </w:tcMar>
            <w:vAlign w:val="center"/>
          </w:tcPr>
          <w:p w14:paraId="2350E9F5" w14:textId="77777777" w:rsidR="0003312E" w:rsidRDefault="00000000">
            <w:pPr>
              <w:pStyle w:val="NormalWeb"/>
              <w:shd w:val="clear" w:color="auto" w:fill="FFFFFF"/>
              <w:spacing w:beforeAutospacing="0" w:after="0" w:afterAutospacing="0" w:line="240" w:lineRule="auto"/>
              <w:rPr>
                <w:b/>
                <w:bCs/>
                <w:sz w:val="20"/>
                <w:szCs w:val="20"/>
              </w:rPr>
            </w:pPr>
            <w:proofErr w:type="spellStart"/>
            <w:r>
              <w:rPr>
                <w:b/>
                <w:bCs/>
                <w:sz w:val="20"/>
                <w:szCs w:val="20"/>
              </w:rPr>
              <w:t>Exemplo</w:t>
            </w:r>
            <w:proofErr w:type="spellEnd"/>
            <w:r>
              <w:rPr>
                <w:b/>
                <w:bCs/>
                <w:sz w:val="20"/>
                <w:szCs w:val="20"/>
              </w:rPr>
              <w:t xml:space="preserve"> </w:t>
            </w:r>
            <w:proofErr w:type="spellStart"/>
            <w:r>
              <w:rPr>
                <w:b/>
                <w:bCs/>
                <w:sz w:val="20"/>
                <w:szCs w:val="20"/>
              </w:rPr>
              <w:t>Prático</w:t>
            </w:r>
            <w:proofErr w:type="spellEnd"/>
          </w:p>
        </w:tc>
      </w:tr>
      <w:tr w:rsidR="0003312E" w14:paraId="7C632FB0" w14:textId="77777777">
        <w:tc>
          <w:tcPr>
            <w:tcW w:w="0" w:type="auto"/>
            <w:tcMar>
              <w:top w:w="150" w:type="dxa"/>
              <w:left w:w="0" w:type="dxa"/>
              <w:bottom w:w="150" w:type="dxa"/>
              <w:right w:w="240" w:type="dxa"/>
            </w:tcMar>
            <w:vAlign w:val="center"/>
          </w:tcPr>
          <w:p w14:paraId="228B0EA1"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Desnaturalizar</w:t>
            </w:r>
            <w:proofErr w:type="spellEnd"/>
            <w:r>
              <w:rPr>
                <w:b/>
                <w:bCs/>
                <w:sz w:val="20"/>
                <w:szCs w:val="20"/>
              </w:rPr>
              <w:t xml:space="preserve"> o </w:t>
            </w:r>
            <w:proofErr w:type="spellStart"/>
            <w:r>
              <w:rPr>
                <w:b/>
                <w:bCs/>
                <w:sz w:val="20"/>
                <w:szCs w:val="20"/>
              </w:rPr>
              <w:t>jargão</w:t>
            </w:r>
            <w:proofErr w:type="spellEnd"/>
          </w:p>
        </w:tc>
        <w:tc>
          <w:tcPr>
            <w:tcW w:w="0" w:type="auto"/>
            <w:tcMar>
              <w:top w:w="150" w:type="dxa"/>
              <w:left w:w="240" w:type="dxa"/>
              <w:bottom w:w="150" w:type="dxa"/>
              <w:right w:w="240" w:type="dxa"/>
            </w:tcMar>
            <w:vAlign w:val="center"/>
          </w:tcPr>
          <w:p w14:paraId="4BBCFC8C"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Reconhece que termos técnicos não são neutros; carregam metáforas antigas, pressupostos filosóficos e, crucialmente, vieses culturais que, quando ignorados, podem distorcer nossa compreensão científica</w:t>
            </w:r>
          </w:p>
        </w:tc>
        <w:tc>
          <w:tcPr>
            <w:tcW w:w="0" w:type="auto"/>
            <w:tcMar>
              <w:top w:w="150" w:type="dxa"/>
              <w:left w:w="240" w:type="dxa"/>
              <w:bottom w:w="150" w:type="dxa"/>
              <w:right w:w="240" w:type="dxa"/>
            </w:tcMar>
            <w:vAlign w:val="center"/>
          </w:tcPr>
          <w:p w14:paraId="2C315A55"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A ideia de que o cérebro é um "sistema de cordas tensionadas" (do grego </w:t>
            </w:r>
            <w:proofErr w:type="spellStart"/>
            <w:r>
              <w:rPr>
                <w:i/>
                <w:iCs/>
                <w:sz w:val="20"/>
                <w:szCs w:val="20"/>
                <w:lang w:val="pt-BR"/>
              </w:rPr>
              <w:t>neûron</w:t>
            </w:r>
            <w:proofErr w:type="spellEnd"/>
            <w:r>
              <w:rPr>
                <w:sz w:val="20"/>
                <w:szCs w:val="20"/>
                <w:lang w:val="pt-BR"/>
              </w:rPr>
              <w:t>, "tendão") ainda influencia implicitamente como estudamos a conectividade neural.</w:t>
            </w:r>
          </w:p>
        </w:tc>
      </w:tr>
      <w:tr w:rsidR="0003312E" w14:paraId="2CCBB7AC" w14:textId="77777777">
        <w:tc>
          <w:tcPr>
            <w:tcW w:w="0" w:type="auto"/>
            <w:tcMar>
              <w:top w:w="150" w:type="dxa"/>
              <w:left w:w="0" w:type="dxa"/>
              <w:bottom w:w="150" w:type="dxa"/>
              <w:right w:w="240" w:type="dxa"/>
            </w:tcMar>
            <w:vAlign w:val="center"/>
          </w:tcPr>
          <w:p w14:paraId="042977B7"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Transformar</w:t>
            </w:r>
            <w:proofErr w:type="spellEnd"/>
            <w:r>
              <w:rPr>
                <w:b/>
                <w:bCs/>
                <w:sz w:val="20"/>
                <w:szCs w:val="20"/>
              </w:rPr>
              <w:t xml:space="preserve"> </w:t>
            </w:r>
            <w:proofErr w:type="spellStart"/>
            <w:r>
              <w:rPr>
                <w:b/>
                <w:bCs/>
                <w:sz w:val="20"/>
                <w:szCs w:val="20"/>
              </w:rPr>
              <w:t>aprendizado</w:t>
            </w:r>
            <w:proofErr w:type="spellEnd"/>
            <w:r>
              <w:rPr>
                <w:b/>
                <w:bCs/>
                <w:sz w:val="20"/>
                <w:szCs w:val="20"/>
              </w:rPr>
              <w:t xml:space="preserve"> </w:t>
            </w:r>
            <w:proofErr w:type="spellStart"/>
            <w:r>
              <w:rPr>
                <w:b/>
                <w:bCs/>
                <w:sz w:val="20"/>
                <w:szCs w:val="20"/>
              </w:rPr>
              <w:t>em</w:t>
            </w:r>
            <w:proofErr w:type="spellEnd"/>
            <w:r>
              <w:rPr>
                <w:b/>
                <w:bCs/>
                <w:sz w:val="20"/>
                <w:szCs w:val="20"/>
              </w:rPr>
              <w:t xml:space="preserve"> </w:t>
            </w:r>
            <w:proofErr w:type="spellStart"/>
            <w:r>
              <w:rPr>
                <w:b/>
                <w:bCs/>
                <w:sz w:val="20"/>
                <w:szCs w:val="20"/>
              </w:rPr>
              <w:t>narrativa</w:t>
            </w:r>
            <w:proofErr w:type="spellEnd"/>
          </w:p>
        </w:tc>
        <w:tc>
          <w:tcPr>
            <w:tcW w:w="0" w:type="auto"/>
            <w:tcMar>
              <w:top w:w="150" w:type="dxa"/>
              <w:left w:w="240" w:type="dxa"/>
              <w:bottom w:w="150" w:type="dxa"/>
              <w:right w:w="240" w:type="dxa"/>
            </w:tcMar>
            <w:vAlign w:val="center"/>
          </w:tcPr>
          <w:p w14:paraId="45E255DC"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Utiliza a etimologia como ferramenta mnemônica poderosa, convertendo termos técnicos abstratos em histórias vívidas que facilitam a memorização e a compreensão profunda.</w:t>
            </w:r>
          </w:p>
        </w:tc>
        <w:tc>
          <w:tcPr>
            <w:tcW w:w="0" w:type="auto"/>
            <w:tcMar>
              <w:top w:w="150" w:type="dxa"/>
              <w:left w:w="240" w:type="dxa"/>
              <w:bottom w:w="150" w:type="dxa"/>
              <w:right w:w="240" w:type="dxa"/>
            </w:tcMar>
            <w:vAlign w:val="center"/>
          </w:tcPr>
          <w:p w14:paraId="1704C379"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Saber que "delírio" vem do latim </w:t>
            </w:r>
            <w:proofErr w:type="spellStart"/>
            <w:r>
              <w:rPr>
                <w:i/>
                <w:iCs/>
                <w:sz w:val="20"/>
                <w:szCs w:val="20"/>
                <w:lang w:val="pt-BR"/>
              </w:rPr>
              <w:t>delirare</w:t>
            </w:r>
            <w:proofErr w:type="spellEnd"/>
            <w:r>
              <w:rPr>
                <w:sz w:val="20"/>
                <w:szCs w:val="20"/>
                <w:lang w:val="pt-BR"/>
              </w:rPr>
              <w:t> ("sair do sulco do arado") cria uma imagem mental forte que torna o conceito clínico mais tangível e memorável.</w:t>
            </w:r>
          </w:p>
        </w:tc>
      </w:tr>
      <w:tr w:rsidR="0003312E" w14:paraId="349AEFAB" w14:textId="77777777">
        <w:tc>
          <w:tcPr>
            <w:tcW w:w="0" w:type="auto"/>
            <w:tcMar>
              <w:top w:w="150" w:type="dxa"/>
              <w:left w:w="0" w:type="dxa"/>
              <w:bottom w:w="150" w:type="dxa"/>
              <w:right w:w="240" w:type="dxa"/>
            </w:tcMar>
            <w:vAlign w:val="center"/>
          </w:tcPr>
          <w:p w14:paraId="1E521C99"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Fomentar</w:t>
            </w:r>
            <w:proofErr w:type="spellEnd"/>
            <w:r>
              <w:rPr>
                <w:b/>
                <w:bCs/>
                <w:sz w:val="20"/>
                <w:szCs w:val="20"/>
              </w:rPr>
              <w:t xml:space="preserve"> a </w:t>
            </w:r>
            <w:proofErr w:type="spellStart"/>
            <w:r>
              <w:rPr>
                <w:b/>
                <w:bCs/>
                <w:sz w:val="20"/>
                <w:szCs w:val="20"/>
              </w:rPr>
              <w:t>interdisciplinaridade</w:t>
            </w:r>
            <w:proofErr w:type="spellEnd"/>
          </w:p>
        </w:tc>
        <w:tc>
          <w:tcPr>
            <w:tcW w:w="0" w:type="auto"/>
            <w:tcMar>
              <w:top w:w="150" w:type="dxa"/>
              <w:left w:w="240" w:type="dxa"/>
              <w:bottom w:w="150" w:type="dxa"/>
              <w:right w:w="240" w:type="dxa"/>
            </w:tcMar>
            <w:vAlign w:val="center"/>
          </w:tcPr>
          <w:p w14:paraId="4F1FEEA0"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 xml:space="preserve">Atua como ponte integradora entre disciplinas aparentemente distantes </w:t>
            </w:r>
            <w:r>
              <w:rPr>
                <w:sz w:val="20"/>
                <w:szCs w:val="20"/>
                <w:lang w:val="pt-BR"/>
              </w:rPr>
              <w:lastRenderedPageBreak/>
              <w:t>como filologia, história da medicina e neurociência, revelando conexões ricas entre linguagem, cultura e ciência.</w:t>
            </w:r>
          </w:p>
        </w:tc>
        <w:tc>
          <w:tcPr>
            <w:tcW w:w="0" w:type="auto"/>
            <w:tcMar>
              <w:top w:w="150" w:type="dxa"/>
              <w:left w:w="240" w:type="dxa"/>
              <w:bottom w:w="150" w:type="dxa"/>
              <w:right w:w="240" w:type="dxa"/>
            </w:tcMar>
            <w:vAlign w:val="center"/>
          </w:tcPr>
          <w:p w14:paraId="17125030"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lastRenderedPageBreak/>
              <w:t>A palavra "histeria" (do grego </w:t>
            </w:r>
            <w:proofErr w:type="spellStart"/>
            <w:r>
              <w:rPr>
                <w:i/>
                <w:iCs/>
                <w:sz w:val="20"/>
                <w:szCs w:val="20"/>
                <w:lang w:val="pt-BR"/>
              </w:rPr>
              <w:t>hystéra</w:t>
            </w:r>
            <w:proofErr w:type="spellEnd"/>
            <w:r>
              <w:rPr>
                <w:sz w:val="20"/>
                <w:szCs w:val="20"/>
                <w:lang w:val="pt-BR"/>
              </w:rPr>
              <w:t xml:space="preserve">, "útero") une </w:t>
            </w:r>
            <w:r>
              <w:rPr>
                <w:sz w:val="20"/>
                <w:szCs w:val="20"/>
                <w:lang w:val="pt-BR"/>
              </w:rPr>
              <w:lastRenderedPageBreak/>
              <w:t>anatomia, questões de gênero e história cultural, mostrando como um termo médico carrega séculos de significado social.</w:t>
            </w:r>
          </w:p>
        </w:tc>
      </w:tr>
    </w:tbl>
    <w:p w14:paraId="36E94FBC" w14:textId="77777777" w:rsidR="0003312E" w:rsidRDefault="0003312E">
      <w:pPr>
        <w:pStyle w:val="NormalWeb"/>
        <w:spacing w:beforeAutospacing="0" w:after="0" w:afterAutospacing="0" w:line="360" w:lineRule="auto"/>
        <w:ind w:firstLine="709"/>
        <w:jc w:val="both"/>
        <w:rPr>
          <w:b/>
          <w:bCs/>
          <w:sz w:val="24"/>
          <w:lang w:val="pt-BR"/>
        </w:rPr>
      </w:pPr>
    </w:p>
    <w:p w14:paraId="2FA4A641" w14:textId="77777777" w:rsidR="0003312E" w:rsidRDefault="00000000">
      <w:pPr>
        <w:pStyle w:val="NormalWeb"/>
        <w:spacing w:beforeAutospacing="0" w:after="0" w:afterAutospacing="0" w:line="360" w:lineRule="auto"/>
        <w:ind w:firstLine="709"/>
        <w:jc w:val="both"/>
        <w:rPr>
          <w:b/>
          <w:bCs/>
          <w:sz w:val="24"/>
          <w:lang w:val="pt-BR"/>
        </w:rPr>
      </w:pPr>
      <w:r>
        <w:rPr>
          <w:b/>
          <w:bCs/>
          <w:sz w:val="24"/>
          <w:lang w:val="pt-BR"/>
        </w:rPr>
        <w:t>A Arte de Ensinar Medicina Através das Histórias das Palavras</w:t>
      </w:r>
    </w:p>
    <w:p w14:paraId="5A8AE5FA"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No coração de cada termo médico pulsa uma história à espera de ser revelada. O ensino da terminologia médica transcende a mera memorização de definições: trata-se de compreender a lógica, a história e o contexto cultural por trás das palavras, transformando-as em narrativas vivas que enriquecem a aprendizagem. Mária </w:t>
      </w:r>
      <w:proofErr w:type="spellStart"/>
      <w:r>
        <w:rPr>
          <w:sz w:val="24"/>
          <w:lang w:val="pt-BR"/>
        </w:rPr>
        <w:t>Bujalková</w:t>
      </w:r>
      <w:proofErr w:type="spellEnd"/>
      <w:r>
        <w:rPr>
          <w:sz w:val="24"/>
          <w:lang w:val="pt-BR"/>
        </w:rPr>
        <w:t xml:space="preserve"> (2013) demonstrou de forma convincente como a etimologia pode revolucionar o ensino, convertendo um exercício mecânico em uma verdadeira jornada de descoberta intelectual e cultural.</w:t>
      </w:r>
    </w:p>
    <w:p w14:paraId="1DA583E9"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Quando um estudante aprende que </w:t>
      </w:r>
      <w:r>
        <w:rPr>
          <w:i/>
          <w:iCs/>
          <w:sz w:val="24"/>
          <w:lang w:val="pt-BR"/>
        </w:rPr>
        <w:t>anemia</w:t>
      </w:r>
      <w:r>
        <w:rPr>
          <w:sz w:val="24"/>
          <w:lang w:val="pt-BR"/>
        </w:rPr>
        <w:t xml:space="preserve"> deriva do grego </w:t>
      </w:r>
      <w:proofErr w:type="spellStart"/>
      <w:r>
        <w:rPr>
          <w:i/>
          <w:iCs/>
          <w:sz w:val="24"/>
          <w:lang w:val="pt-BR"/>
        </w:rPr>
        <w:t>an</w:t>
      </w:r>
      <w:proofErr w:type="spellEnd"/>
      <w:r>
        <w:rPr>
          <w:i/>
          <w:iCs/>
          <w:sz w:val="24"/>
          <w:lang w:val="pt-BR"/>
        </w:rPr>
        <w:t>-</w:t>
      </w:r>
      <w:r>
        <w:rPr>
          <w:sz w:val="24"/>
          <w:lang w:val="pt-BR"/>
        </w:rPr>
        <w:t xml:space="preserve"> (“sem”) + </w:t>
      </w:r>
      <w:proofErr w:type="spellStart"/>
      <w:r>
        <w:rPr>
          <w:i/>
          <w:iCs/>
          <w:sz w:val="24"/>
          <w:lang w:val="pt-BR"/>
        </w:rPr>
        <w:t>haima</w:t>
      </w:r>
      <w:proofErr w:type="spellEnd"/>
      <w:r>
        <w:rPr>
          <w:sz w:val="24"/>
          <w:lang w:val="pt-BR"/>
        </w:rPr>
        <w:t xml:space="preserve"> (“sangue”), não está apenas assimilando uma definição clínica. Ele compreende a lógica interna do termo, o modo como os antigos gregos observavam o corpo e nomeavam suas condições, e como a história da medicina influencia a terminologia moderna (</w:t>
      </w:r>
      <w:proofErr w:type="spellStart"/>
      <w:r>
        <w:rPr>
          <w:sz w:val="24"/>
          <w:lang w:val="pt-BR"/>
        </w:rPr>
        <w:t>Mosenthal</w:t>
      </w:r>
      <w:proofErr w:type="spellEnd"/>
      <w:r>
        <w:rPr>
          <w:sz w:val="24"/>
          <w:lang w:val="pt-BR"/>
        </w:rPr>
        <w:t>, 2001). Essa compreensão profunda facilita a fixação do conhecimento não apenas na memória de curto prazo, mas também na imaginação duradoura.</w:t>
      </w:r>
    </w:p>
    <w:p w14:paraId="71C23E2F"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Wulff (2004) e </w:t>
      </w:r>
      <w:proofErr w:type="spellStart"/>
      <w:r>
        <w:rPr>
          <w:sz w:val="24"/>
          <w:lang w:val="pt-BR"/>
        </w:rPr>
        <w:t>Durkin</w:t>
      </w:r>
      <w:proofErr w:type="spellEnd"/>
      <w:r>
        <w:rPr>
          <w:sz w:val="24"/>
          <w:lang w:val="pt-BR"/>
        </w:rPr>
        <w:t xml:space="preserve"> (2015) defendem que o ensino da terminologia médica deve incorporar a história e a etimologia das palavras, pois isso confere significado e contexto autênticos aos termos. Essa complexidade da linguagem média representa um desafio fascinante tanto para historiadores quanto para linguistas. Na mesma linha, Mehta et al. (2020) afirmam que entender a origem de termos como </w:t>
      </w:r>
      <w:proofErr w:type="spellStart"/>
      <w:r>
        <w:rPr>
          <w:i/>
          <w:iCs/>
          <w:sz w:val="24"/>
          <w:lang w:val="pt-BR"/>
        </w:rPr>
        <w:t>neuron</w:t>
      </w:r>
      <w:proofErr w:type="spellEnd"/>
      <w:r>
        <w:rPr>
          <w:sz w:val="24"/>
          <w:lang w:val="pt-BR"/>
        </w:rPr>
        <w:t> ou </w:t>
      </w:r>
      <w:proofErr w:type="spellStart"/>
      <w:r>
        <w:rPr>
          <w:i/>
          <w:iCs/>
          <w:sz w:val="24"/>
          <w:lang w:val="pt-BR"/>
        </w:rPr>
        <w:t>neurone</w:t>
      </w:r>
      <w:proofErr w:type="spellEnd"/>
      <w:r>
        <w:rPr>
          <w:sz w:val="24"/>
          <w:lang w:val="pt-BR"/>
        </w:rPr>
        <w:t xml:space="preserve"> revela não apenas diferenças linguísticas, mas também a trajetória histórica da medicina, da Grécia Antiga aos padrões científicos modernos. Complementando esse raciocínio, </w:t>
      </w:r>
      <w:proofErr w:type="spellStart"/>
      <w:r>
        <w:rPr>
          <w:sz w:val="24"/>
          <w:lang w:val="pt-BR"/>
        </w:rPr>
        <w:t>Hallock</w:t>
      </w:r>
      <w:proofErr w:type="spellEnd"/>
      <w:r>
        <w:rPr>
          <w:sz w:val="24"/>
          <w:lang w:val="pt-BR"/>
        </w:rPr>
        <w:t xml:space="preserve"> et al. (2016) demonstram, em um estudo com 300 termos de neurociência, que o uso da etimologia facilita a aprendizagem, a retenção e a aplicação prática do conhecimento, comprovando o valor pedagógico de contextualizar o vocabulário técnico.</w:t>
      </w:r>
    </w:p>
    <w:p w14:paraId="43D88849"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A prática pedagógica da </w:t>
      </w:r>
      <w:proofErr w:type="spellStart"/>
      <w:r>
        <w:rPr>
          <w:sz w:val="24"/>
          <w:lang w:val="pt-BR"/>
        </w:rPr>
        <w:t>neuroetimologia</w:t>
      </w:r>
      <w:proofErr w:type="spellEnd"/>
      <w:r>
        <w:rPr>
          <w:sz w:val="24"/>
          <w:lang w:val="pt-BR"/>
        </w:rPr>
        <w:t xml:space="preserve"> pode ser estruturada segundo pilares claros, como apresentado por </w:t>
      </w:r>
      <w:proofErr w:type="spellStart"/>
      <w:r>
        <w:rPr>
          <w:sz w:val="24"/>
          <w:lang w:val="pt-BR"/>
        </w:rPr>
        <w:t>Bujalková</w:t>
      </w:r>
      <w:proofErr w:type="spellEnd"/>
      <w:r>
        <w:rPr>
          <w:sz w:val="24"/>
          <w:lang w:val="pt-BR"/>
        </w:rPr>
        <w:t xml:space="preserve"> (2013):</w:t>
      </w:r>
    </w:p>
    <w:p w14:paraId="64F1320F" w14:textId="77777777" w:rsidR="0003312E" w:rsidRDefault="0003312E">
      <w:pPr>
        <w:pStyle w:val="NormalWeb"/>
        <w:spacing w:beforeAutospacing="0" w:after="0" w:afterAutospacing="0" w:line="360" w:lineRule="auto"/>
        <w:ind w:firstLine="709"/>
        <w:jc w:val="both"/>
        <w:rPr>
          <w:b/>
          <w:bCs/>
          <w:sz w:val="24"/>
          <w:lang w:val="pt-BR"/>
        </w:rPr>
      </w:pPr>
    </w:p>
    <w:p w14:paraId="141A459D" w14:textId="77777777" w:rsidR="0003312E" w:rsidRDefault="0003312E">
      <w:pPr>
        <w:pStyle w:val="NormalWeb"/>
        <w:spacing w:beforeAutospacing="0" w:after="0" w:afterAutospacing="0" w:line="360" w:lineRule="auto"/>
        <w:ind w:firstLine="709"/>
        <w:jc w:val="both"/>
        <w:rPr>
          <w:b/>
          <w:bCs/>
          <w:sz w:val="24"/>
          <w:lang w:val="pt-BR"/>
        </w:rPr>
      </w:pPr>
    </w:p>
    <w:p w14:paraId="4EED5B8C" w14:textId="77777777" w:rsidR="0003312E" w:rsidRDefault="0003312E">
      <w:pPr>
        <w:pStyle w:val="NormalWeb"/>
        <w:spacing w:beforeAutospacing="0" w:after="0" w:afterAutospacing="0" w:line="360" w:lineRule="auto"/>
        <w:ind w:firstLine="709"/>
        <w:jc w:val="both"/>
        <w:rPr>
          <w:b/>
          <w:bCs/>
          <w:sz w:val="24"/>
          <w:lang w:val="pt-BR"/>
        </w:rPr>
      </w:pPr>
    </w:p>
    <w:p w14:paraId="02DDD697"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lastRenderedPageBreak/>
        <w:t xml:space="preserve">Quadro </w:t>
      </w:r>
      <w:proofErr w:type="gramStart"/>
      <w:r>
        <w:rPr>
          <w:b/>
          <w:bCs/>
          <w:sz w:val="24"/>
          <w:lang w:val="pt-BR"/>
        </w:rPr>
        <w:t>0.2  -</w:t>
      </w:r>
      <w:proofErr w:type="gramEnd"/>
      <w:r>
        <w:rPr>
          <w:b/>
          <w:bCs/>
          <w:sz w:val="24"/>
          <w:lang w:val="pt-BR"/>
        </w:rPr>
        <w:t xml:space="preserve">  Pilares Pedagógicos da </w:t>
      </w:r>
      <w:proofErr w:type="spellStart"/>
      <w:r>
        <w:rPr>
          <w:b/>
          <w:bCs/>
          <w:sz w:val="24"/>
          <w:lang w:val="pt-BR"/>
        </w:rPr>
        <w:t>Neuroetimologia</w:t>
      </w:r>
      <w:proofErr w:type="spellEnd"/>
      <w:r>
        <w:rPr>
          <w:b/>
          <w:bCs/>
          <w:sz w:val="24"/>
          <w:lang w:val="pt-BR"/>
        </w:rPr>
        <w:t xml:space="preserve"> (</w:t>
      </w:r>
      <w:proofErr w:type="spellStart"/>
      <w:r>
        <w:rPr>
          <w:b/>
          <w:bCs/>
          <w:sz w:val="24"/>
          <w:lang w:val="pt-BR"/>
        </w:rPr>
        <w:t>Bujalková</w:t>
      </w:r>
      <w:proofErr w:type="spellEnd"/>
      <w:r>
        <w:rPr>
          <w:b/>
          <w:bCs/>
          <w:sz w:val="24"/>
          <w:lang w:val="pt-BR"/>
        </w:rPr>
        <w:t>, 2013)</w:t>
      </w:r>
    </w:p>
    <w:tbl>
      <w:tblPr>
        <w:tblStyle w:val="TabeladeGrade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3782"/>
        <w:gridCol w:w="3180"/>
      </w:tblGrid>
      <w:tr w:rsidR="0003312E" w14:paraId="5177778E" w14:textId="77777777">
        <w:tc>
          <w:tcPr>
            <w:tcW w:w="0" w:type="auto"/>
          </w:tcPr>
          <w:p w14:paraId="137E1256" w14:textId="77777777" w:rsidR="0003312E" w:rsidRDefault="00000000">
            <w:pPr>
              <w:pStyle w:val="NormalWeb"/>
              <w:spacing w:beforeAutospacing="0" w:after="0" w:afterAutospacing="0" w:line="240" w:lineRule="auto"/>
              <w:rPr>
                <w:b/>
                <w:bCs/>
                <w:sz w:val="20"/>
                <w:szCs w:val="20"/>
              </w:rPr>
            </w:pPr>
            <w:r>
              <w:rPr>
                <w:b/>
                <w:bCs/>
                <w:sz w:val="20"/>
                <w:szCs w:val="20"/>
              </w:rPr>
              <w:t xml:space="preserve">Pilar </w:t>
            </w:r>
            <w:proofErr w:type="spellStart"/>
            <w:r>
              <w:rPr>
                <w:b/>
                <w:bCs/>
                <w:sz w:val="20"/>
                <w:szCs w:val="20"/>
              </w:rPr>
              <w:t>Pedagógico</w:t>
            </w:r>
            <w:proofErr w:type="spellEnd"/>
          </w:p>
        </w:tc>
        <w:tc>
          <w:tcPr>
            <w:tcW w:w="0" w:type="auto"/>
          </w:tcPr>
          <w:p w14:paraId="6692188D"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Descrição</w:t>
            </w:r>
            <w:proofErr w:type="spellEnd"/>
          </w:p>
        </w:tc>
        <w:tc>
          <w:tcPr>
            <w:tcW w:w="0" w:type="auto"/>
          </w:tcPr>
          <w:p w14:paraId="0DC4C99E" w14:textId="77777777" w:rsidR="0003312E" w:rsidRDefault="00000000">
            <w:pPr>
              <w:pStyle w:val="NormalWeb"/>
              <w:spacing w:beforeAutospacing="0" w:after="0" w:afterAutospacing="0" w:line="240" w:lineRule="auto"/>
              <w:rPr>
                <w:b/>
                <w:bCs/>
                <w:sz w:val="20"/>
                <w:szCs w:val="20"/>
              </w:rPr>
            </w:pPr>
            <w:r>
              <w:rPr>
                <w:b/>
                <w:bCs/>
                <w:sz w:val="20"/>
                <w:szCs w:val="20"/>
              </w:rPr>
              <w:t xml:space="preserve">Impacto no </w:t>
            </w:r>
            <w:proofErr w:type="spellStart"/>
            <w:r>
              <w:rPr>
                <w:b/>
                <w:bCs/>
                <w:sz w:val="20"/>
                <w:szCs w:val="20"/>
              </w:rPr>
              <w:t>Aprendizado</w:t>
            </w:r>
            <w:proofErr w:type="spellEnd"/>
          </w:p>
        </w:tc>
      </w:tr>
      <w:tr w:rsidR="0003312E" w14:paraId="75150599" w14:textId="77777777">
        <w:tc>
          <w:tcPr>
            <w:tcW w:w="0" w:type="auto"/>
          </w:tcPr>
          <w:p w14:paraId="6F327586"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Competência</w:t>
            </w:r>
            <w:proofErr w:type="spellEnd"/>
            <w:r>
              <w:rPr>
                <w:b/>
                <w:bCs/>
                <w:sz w:val="20"/>
                <w:szCs w:val="20"/>
              </w:rPr>
              <w:t xml:space="preserve"> </w:t>
            </w:r>
            <w:proofErr w:type="spellStart"/>
            <w:r>
              <w:rPr>
                <w:b/>
                <w:bCs/>
                <w:sz w:val="20"/>
                <w:szCs w:val="20"/>
              </w:rPr>
              <w:t>terminológica</w:t>
            </w:r>
            <w:proofErr w:type="spellEnd"/>
          </w:p>
        </w:tc>
        <w:tc>
          <w:tcPr>
            <w:tcW w:w="0" w:type="auto"/>
          </w:tcPr>
          <w:p w14:paraId="7DD387F1" w14:textId="77777777" w:rsidR="0003312E" w:rsidRDefault="00000000">
            <w:pPr>
              <w:pStyle w:val="NormalWeb"/>
              <w:spacing w:beforeAutospacing="0" w:after="0" w:afterAutospacing="0" w:line="240" w:lineRule="auto"/>
              <w:rPr>
                <w:sz w:val="20"/>
                <w:szCs w:val="20"/>
                <w:lang w:val="pt-BR"/>
              </w:rPr>
            </w:pPr>
            <w:r>
              <w:rPr>
                <w:sz w:val="20"/>
                <w:szCs w:val="20"/>
                <w:lang w:val="pt-BR"/>
              </w:rPr>
              <w:t>Reconhece o domínio preciso da terminologia como habilidade fundamental, utilizando a etimologia para compreensão mais profunda.</w:t>
            </w:r>
          </w:p>
        </w:tc>
        <w:tc>
          <w:tcPr>
            <w:tcW w:w="0" w:type="auto"/>
          </w:tcPr>
          <w:p w14:paraId="371328E7" w14:textId="77777777" w:rsidR="0003312E" w:rsidRDefault="00000000">
            <w:pPr>
              <w:pStyle w:val="NormalWeb"/>
              <w:spacing w:beforeAutospacing="0" w:after="0" w:afterAutospacing="0" w:line="240" w:lineRule="auto"/>
              <w:rPr>
                <w:sz w:val="20"/>
                <w:szCs w:val="20"/>
                <w:lang w:val="pt-BR"/>
              </w:rPr>
            </w:pPr>
            <w:r>
              <w:rPr>
                <w:sz w:val="20"/>
                <w:szCs w:val="20"/>
                <w:lang w:val="pt-BR"/>
              </w:rPr>
              <w:t>Permite aos estudantes dominar termos com precisão conceitual e confiança clínica.</w:t>
            </w:r>
          </w:p>
        </w:tc>
      </w:tr>
      <w:tr w:rsidR="0003312E" w14:paraId="37A1C903" w14:textId="77777777">
        <w:tc>
          <w:tcPr>
            <w:tcW w:w="0" w:type="auto"/>
          </w:tcPr>
          <w:p w14:paraId="4284BD10"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Contextualização</w:t>
            </w:r>
            <w:proofErr w:type="spellEnd"/>
            <w:r>
              <w:rPr>
                <w:b/>
                <w:bCs/>
                <w:sz w:val="20"/>
                <w:szCs w:val="20"/>
              </w:rPr>
              <w:t xml:space="preserve"> </w:t>
            </w:r>
            <w:proofErr w:type="spellStart"/>
            <w:r>
              <w:rPr>
                <w:b/>
                <w:bCs/>
                <w:sz w:val="20"/>
                <w:szCs w:val="20"/>
              </w:rPr>
              <w:t>histórica</w:t>
            </w:r>
            <w:proofErr w:type="spellEnd"/>
            <w:r>
              <w:rPr>
                <w:b/>
                <w:bCs/>
                <w:sz w:val="20"/>
                <w:szCs w:val="20"/>
              </w:rPr>
              <w:t xml:space="preserve"> e cultural</w:t>
            </w:r>
          </w:p>
        </w:tc>
        <w:tc>
          <w:tcPr>
            <w:tcW w:w="0" w:type="auto"/>
          </w:tcPr>
          <w:p w14:paraId="7955D9AA" w14:textId="77777777" w:rsidR="0003312E" w:rsidRDefault="00000000">
            <w:pPr>
              <w:pStyle w:val="NormalWeb"/>
              <w:spacing w:beforeAutospacing="0" w:after="0" w:afterAutospacing="0" w:line="240" w:lineRule="auto"/>
              <w:rPr>
                <w:sz w:val="20"/>
                <w:szCs w:val="20"/>
                <w:lang w:val="pt-BR"/>
              </w:rPr>
            </w:pPr>
            <w:r>
              <w:rPr>
                <w:sz w:val="20"/>
                <w:szCs w:val="20"/>
                <w:lang w:val="pt-BR"/>
              </w:rPr>
              <w:t>Considera os termos médicos como testemunhas de uma tradição que remonta à Antiguidade.</w:t>
            </w:r>
          </w:p>
        </w:tc>
        <w:tc>
          <w:tcPr>
            <w:tcW w:w="0" w:type="auto"/>
          </w:tcPr>
          <w:p w14:paraId="6D8C3A34" w14:textId="77777777" w:rsidR="0003312E" w:rsidRDefault="00000000">
            <w:pPr>
              <w:pStyle w:val="NormalWeb"/>
              <w:spacing w:beforeAutospacing="0" w:after="0" w:afterAutospacing="0" w:line="240" w:lineRule="auto"/>
              <w:rPr>
                <w:sz w:val="20"/>
                <w:szCs w:val="20"/>
                <w:lang w:val="pt-BR"/>
              </w:rPr>
            </w:pPr>
            <w:r>
              <w:rPr>
                <w:sz w:val="20"/>
                <w:szCs w:val="20"/>
                <w:lang w:val="pt-BR"/>
              </w:rPr>
              <w:t>Transforma listas áridas em experiências ricas e significativas, conectando estudantes à história da medicina.</w:t>
            </w:r>
          </w:p>
        </w:tc>
      </w:tr>
      <w:tr w:rsidR="0003312E" w14:paraId="2D5950AE" w14:textId="77777777">
        <w:tc>
          <w:tcPr>
            <w:tcW w:w="0" w:type="auto"/>
          </w:tcPr>
          <w:p w14:paraId="54A95620"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Resposta</w:t>
            </w:r>
            <w:proofErr w:type="spellEnd"/>
            <w:r>
              <w:rPr>
                <w:b/>
                <w:bCs/>
                <w:sz w:val="20"/>
                <w:szCs w:val="20"/>
              </w:rPr>
              <w:t xml:space="preserve"> </w:t>
            </w:r>
            <w:proofErr w:type="spellStart"/>
            <w:r>
              <w:rPr>
                <w:b/>
                <w:bCs/>
                <w:sz w:val="20"/>
                <w:szCs w:val="20"/>
              </w:rPr>
              <w:t>às</w:t>
            </w:r>
            <w:proofErr w:type="spellEnd"/>
            <w:r>
              <w:rPr>
                <w:b/>
                <w:bCs/>
                <w:sz w:val="20"/>
                <w:szCs w:val="20"/>
              </w:rPr>
              <w:t xml:space="preserve"> </w:t>
            </w:r>
            <w:proofErr w:type="spellStart"/>
            <w:r>
              <w:rPr>
                <w:b/>
                <w:bCs/>
                <w:sz w:val="20"/>
                <w:szCs w:val="20"/>
              </w:rPr>
              <w:t>críticas</w:t>
            </w:r>
            <w:proofErr w:type="spellEnd"/>
          </w:p>
        </w:tc>
        <w:tc>
          <w:tcPr>
            <w:tcW w:w="0" w:type="auto"/>
          </w:tcPr>
          <w:p w14:paraId="7F59E1E3" w14:textId="77777777" w:rsidR="0003312E" w:rsidRDefault="00000000">
            <w:pPr>
              <w:pStyle w:val="NormalWeb"/>
              <w:spacing w:beforeAutospacing="0" w:after="0" w:afterAutospacing="0" w:line="240" w:lineRule="auto"/>
              <w:rPr>
                <w:sz w:val="20"/>
                <w:szCs w:val="20"/>
                <w:lang w:val="pt-BR"/>
              </w:rPr>
            </w:pPr>
            <w:r>
              <w:rPr>
                <w:sz w:val="20"/>
                <w:szCs w:val="20"/>
                <w:lang w:val="pt-BR"/>
              </w:rPr>
              <w:t>Demonstra cientificamente que a etimologia oferece benefícios educacionais reais.</w:t>
            </w:r>
          </w:p>
        </w:tc>
        <w:tc>
          <w:tcPr>
            <w:tcW w:w="0" w:type="auto"/>
          </w:tcPr>
          <w:p w14:paraId="363BC09E" w14:textId="77777777" w:rsidR="0003312E" w:rsidRDefault="00000000">
            <w:pPr>
              <w:pStyle w:val="NormalWeb"/>
              <w:spacing w:beforeAutospacing="0" w:after="0" w:afterAutospacing="0" w:line="240" w:lineRule="auto"/>
              <w:rPr>
                <w:sz w:val="20"/>
                <w:szCs w:val="20"/>
                <w:lang w:val="pt-BR"/>
              </w:rPr>
            </w:pPr>
            <w:r>
              <w:rPr>
                <w:sz w:val="20"/>
                <w:szCs w:val="20"/>
                <w:lang w:val="pt-BR"/>
              </w:rPr>
              <w:t>Eleva a etimologia de acessório cultural a componente central do currículo médico.</w:t>
            </w:r>
          </w:p>
        </w:tc>
      </w:tr>
    </w:tbl>
    <w:p w14:paraId="5678F089" w14:textId="77777777" w:rsidR="0003312E" w:rsidRDefault="0003312E">
      <w:pPr>
        <w:pStyle w:val="NormalWeb"/>
        <w:spacing w:beforeAutospacing="0" w:after="0" w:afterAutospacing="0" w:line="360" w:lineRule="auto"/>
        <w:ind w:firstLine="709"/>
        <w:jc w:val="both"/>
        <w:rPr>
          <w:sz w:val="24"/>
          <w:lang w:val="pt-BR"/>
        </w:rPr>
      </w:pPr>
    </w:p>
    <w:p w14:paraId="78B0A2FD" w14:textId="77777777" w:rsidR="0003312E" w:rsidRDefault="00000000">
      <w:pPr>
        <w:pStyle w:val="NormalWeb"/>
        <w:spacing w:beforeAutospacing="0" w:after="0" w:afterAutospacing="0" w:line="360" w:lineRule="auto"/>
        <w:ind w:firstLine="709"/>
        <w:jc w:val="both"/>
        <w:rPr>
          <w:b/>
          <w:bCs/>
          <w:sz w:val="24"/>
          <w:lang w:val="pt-BR"/>
        </w:rPr>
      </w:pPr>
      <w:r>
        <w:rPr>
          <w:b/>
          <w:bCs/>
          <w:sz w:val="24"/>
          <w:lang w:val="pt-BR"/>
        </w:rPr>
        <w:t>Valor Educacional: Quando a História das Palavras se Torna Ferramenta de Aprendizado</w:t>
      </w:r>
    </w:p>
    <w:p w14:paraId="2B69C157" w14:textId="77777777" w:rsidR="0003312E" w:rsidRDefault="00000000">
      <w:pPr>
        <w:pStyle w:val="NormalWeb"/>
        <w:spacing w:beforeAutospacing="0" w:after="0" w:afterAutospacing="0" w:line="360" w:lineRule="auto"/>
        <w:ind w:firstLine="709"/>
        <w:jc w:val="both"/>
        <w:rPr>
          <w:sz w:val="24"/>
          <w:lang w:val="pt-BR"/>
        </w:rPr>
      </w:pPr>
      <w:r>
        <w:rPr>
          <w:sz w:val="24"/>
          <w:lang w:val="pt-BR"/>
        </w:rPr>
        <w:t>Transformar listas secas de termos médicos em mapas de histórias e significados é o grande mérito da etimologia na educação médica. Ao explorar conexões entre palavras, seus significados e origens, os estudantes passam a compreender não apenas o termo em si, mas também a lógica, a história e o contexto cultural que o moldaram. Para o professor, esta abordagem funciona como uma bússola, abrindo novas possibilidades de ensino e tornando o aprendizado mais envolvente.</w:t>
      </w:r>
    </w:p>
    <w:p w14:paraId="132B0325"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Estudos empíricos confirmam esses benefícios. </w:t>
      </w:r>
      <w:proofErr w:type="spellStart"/>
      <w:r>
        <w:rPr>
          <w:sz w:val="24"/>
          <w:lang w:val="pt-BR"/>
        </w:rPr>
        <w:t>Ebenezer</w:t>
      </w:r>
      <w:proofErr w:type="spellEnd"/>
      <w:r>
        <w:rPr>
          <w:sz w:val="24"/>
          <w:lang w:val="pt-BR"/>
        </w:rPr>
        <w:t xml:space="preserve"> e </w:t>
      </w:r>
      <w:proofErr w:type="spellStart"/>
      <w:r>
        <w:rPr>
          <w:sz w:val="24"/>
          <w:lang w:val="pt-BR"/>
        </w:rPr>
        <w:t>Mohanraj</w:t>
      </w:r>
      <w:proofErr w:type="spellEnd"/>
      <w:r>
        <w:rPr>
          <w:sz w:val="24"/>
          <w:lang w:val="pt-BR"/>
        </w:rPr>
        <w:t xml:space="preserve"> (2020) avaliaram 214 estudantes de medicina, divididos em grupos que receberam instrução com e sem explicações etimológicas sobre osteologia craniana. O grupo exposto à etimologia apresentou melhor desempenho, maior retenção de termos e maior envolvimento com o aprendizado. De forma semelhante, levantamentos com 103 estudantes indicaram que 70% reconheciam a relevância da etimologia, enquanto apenas 6% a consideravam irrelevante, evidenciando seu impacto pedagógico significativo (</w:t>
      </w:r>
      <w:proofErr w:type="spellStart"/>
      <w:r>
        <w:rPr>
          <w:sz w:val="24"/>
          <w:lang w:val="pt-BR"/>
        </w:rPr>
        <w:t>Bujalková</w:t>
      </w:r>
      <w:proofErr w:type="spellEnd"/>
      <w:r>
        <w:rPr>
          <w:sz w:val="24"/>
          <w:lang w:val="pt-BR"/>
        </w:rPr>
        <w:t>, 2013).</w:t>
      </w:r>
    </w:p>
    <w:p w14:paraId="7424626D"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Além disso, a classificação dos termos médicos proposta por </w:t>
      </w:r>
      <w:proofErr w:type="spellStart"/>
      <w:r>
        <w:rPr>
          <w:sz w:val="24"/>
          <w:lang w:val="pt-BR"/>
        </w:rPr>
        <w:t>Bujalková</w:t>
      </w:r>
      <w:proofErr w:type="spellEnd"/>
      <w:r>
        <w:rPr>
          <w:sz w:val="24"/>
          <w:lang w:val="pt-BR"/>
        </w:rPr>
        <w:t xml:space="preserve"> (2013) permite aplicar estratégias didáticas diferenciadas, favorecendo a compreensão:</w:t>
      </w:r>
    </w:p>
    <w:p w14:paraId="32E0F472" w14:textId="77777777" w:rsidR="0003312E" w:rsidRDefault="0003312E">
      <w:pPr>
        <w:pStyle w:val="NormalWeb"/>
        <w:spacing w:beforeAutospacing="0" w:after="0" w:afterAutospacing="0" w:line="360" w:lineRule="auto"/>
        <w:ind w:firstLine="709"/>
        <w:jc w:val="both"/>
        <w:rPr>
          <w:sz w:val="24"/>
          <w:lang w:val="pt-BR"/>
        </w:rPr>
      </w:pPr>
    </w:p>
    <w:p w14:paraId="7B0E9533" w14:textId="77777777" w:rsidR="0003312E" w:rsidRDefault="00000000">
      <w:pPr>
        <w:pStyle w:val="NormalWeb"/>
        <w:spacing w:beforeAutospacing="0" w:after="0" w:afterAutospacing="0" w:line="360" w:lineRule="auto"/>
        <w:jc w:val="both"/>
        <w:rPr>
          <w:sz w:val="24"/>
          <w:lang w:val="pt-BR"/>
        </w:rPr>
      </w:pPr>
      <w:r>
        <w:rPr>
          <w:b/>
          <w:bCs/>
          <w:sz w:val="24"/>
          <w:lang w:val="pt-BR"/>
        </w:rPr>
        <w:t xml:space="preserve">Quadro </w:t>
      </w:r>
      <w:proofErr w:type="gramStart"/>
      <w:r>
        <w:rPr>
          <w:b/>
          <w:bCs/>
          <w:sz w:val="24"/>
          <w:lang w:val="pt-BR"/>
        </w:rPr>
        <w:t>0.3  -</w:t>
      </w:r>
      <w:proofErr w:type="gramEnd"/>
      <w:r>
        <w:rPr>
          <w:b/>
          <w:bCs/>
          <w:sz w:val="24"/>
          <w:lang w:val="pt-BR"/>
        </w:rPr>
        <w:t xml:space="preserve">  Classificação dos Termos Médicos (</w:t>
      </w:r>
      <w:proofErr w:type="spellStart"/>
      <w:r>
        <w:rPr>
          <w:b/>
          <w:bCs/>
          <w:sz w:val="24"/>
          <w:lang w:val="pt-BR"/>
        </w:rPr>
        <w:t>Bujalková</w:t>
      </w:r>
      <w:proofErr w:type="spellEnd"/>
      <w:r>
        <w:rPr>
          <w:b/>
          <w:bCs/>
          <w:sz w:val="24"/>
          <w:lang w:val="pt-BR"/>
        </w:rPr>
        <w:t>, 2013)</w:t>
      </w:r>
    </w:p>
    <w:tbl>
      <w:tblPr>
        <w:tblStyle w:val="TabeladeGrade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2139"/>
        <w:gridCol w:w="4225"/>
      </w:tblGrid>
      <w:tr w:rsidR="0003312E" w14:paraId="41726D3B" w14:textId="77777777">
        <w:tc>
          <w:tcPr>
            <w:tcW w:w="0" w:type="auto"/>
          </w:tcPr>
          <w:p w14:paraId="797EB2EB"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Categoria</w:t>
            </w:r>
            <w:proofErr w:type="spellEnd"/>
          </w:p>
        </w:tc>
        <w:tc>
          <w:tcPr>
            <w:tcW w:w="0" w:type="auto"/>
          </w:tcPr>
          <w:p w14:paraId="0CA2E912"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Exemplo</w:t>
            </w:r>
            <w:proofErr w:type="spellEnd"/>
          </w:p>
        </w:tc>
        <w:tc>
          <w:tcPr>
            <w:tcW w:w="0" w:type="auto"/>
          </w:tcPr>
          <w:p w14:paraId="60D40937"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Implicação</w:t>
            </w:r>
            <w:proofErr w:type="spellEnd"/>
            <w:r>
              <w:rPr>
                <w:b/>
                <w:bCs/>
                <w:sz w:val="20"/>
                <w:szCs w:val="20"/>
              </w:rPr>
              <w:t xml:space="preserve"> </w:t>
            </w:r>
            <w:proofErr w:type="spellStart"/>
            <w:r>
              <w:rPr>
                <w:b/>
                <w:bCs/>
                <w:sz w:val="20"/>
                <w:szCs w:val="20"/>
              </w:rPr>
              <w:t>Pedagógica</w:t>
            </w:r>
            <w:proofErr w:type="spellEnd"/>
          </w:p>
        </w:tc>
      </w:tr>
      <w:tr w:rsidR="0003312E" w14:paraId="70E2D1F3" w14:textId="77777777">
        <w:tc>
          <w:tcPr>
            <w:tcW w:w="0" w:type="auto"/>
          </w:tcPr>
          <w:p w14:paraId="5DD539A3"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Etimologia</w:t>
            </w:r>
            <w:proofErr w:type="spellEnd"/>
            <w:r>
              <w:rPr>
                <w:b/>
                <w:bCs/>
                <w:sz w:val="20"/>
                <w:szCs w:val="20"/>
              </w:rPr>
              <w:t xml:space="preserve"> e </w:t>
            </w:r>
            <w:proofErr w:type="spellStart"/>
            <w:r>
              <w:rPr>
                <w:b/>
                <w:bCs/>
                <w:sz w:val="20"/>
                <w:szCs w:val="20"/>
              </w:rPr>
              <w:t>definição</w:t>
            </w:r>
            <w:proofErr w:type="spellEnd"/>
            <w:r>
              <w:rPr>
                <w:b/>
                <w:bCs/>
                <w:sz w:val="20"/>
                <w:szCs w:val="20"/>
              </w:rPr>
              <w:t xml:space="preserve"> </w:t>
            </w:r>
            <w:proofErr w:type="spellStart"/>
            <w:r>
              <w:rPr>
                <w:b/>
                <w:bCs/>
                <w:sz w:val="20"/>
                <w:szCs w:val="20"/>
              </w:rPr>
              <w:t>coincidem</w:t>
            </w:r>
            <w:proofErr w:type="spellEnd"/>
          </w:p>
        </w:tc>
        <w:tc>
          <w:tcPr>
            <w:tcW w:w="0" w:type="auto"/>
          </w:tcPr>
          <w:p w14:paraId="58110DD0" w14:textId="77777777" w:rsidR="0003312E" w:rsidRDefault="00000000">
            <w:pPr>
              <w:pStyle w:val="NormalWeb"/>
              <w:spacing w:beforeAutospacing="0" w:after="0" w:afterAutospacing="0" w:line="240" w:lineRule="auto"/>
              <w:rPr>
                <w:sz w:val="20"/>
                <w:szCs w:val="20"/>
              </w:rPr>
            </w:pPr>
            <w:proofErr w:type="spellStart"/>
            <w:r>
              <w:rPr>
                <w:i/>
                <w:iCs/>
                <w:sz w:val="20"/>
                <w:szCs w:val="20"/>
              </w:rPr>
              <w:t>cor</w:t>
            </w:r>
            <w:proofErr w:type="spellEnd"/>
            <w:r>
              <w:rPr>
                <w:sz w:val="20"/>
                <w:szCs w:val="20"/>
              </w:rPr>
              <w:t xml:space="preserve"> (“</w:t>
            </w:r>
            <w:proofErr w:type="spellStart"/>
            <w:r>
              <w:rPr>
                <w:sz w:val="20"/>
                <w:szCs w:val="20"/>
              </w:rPr>
              <w:t>coração</w:t>
            </w:r>
            <w:proofErr w:type="spellEnd"/>
            <w:r>
              <w:rPr>
                <w:sz w:val="20"/>
                <w:szCs w:val="20"/>
              </w:rPr>
              <w:t xml:space="preserve">”); </w:t>
            </w:r>
            <w:r>
              <w:rPr>
                <w:i/>
                <w:iCs/>
                <w:sz w:val="20"/>
                <w:szCs w:val="20"/>
              </w:rPr>
              <w:t>oculus</w:t>
            </w:r>
            <w:r>
              <w:rPr>
                <w:sz w:val="20"/>
                <w:szCs w:val="20"/>
              </w:rPr>
              <w:t xml:space="preserve"> (“</w:t>
            </w:r>
            <w:proofErr w:type="spellStart"/>
            <w:r>
              <w:rPr>
                <w:sz w:val="20"/>
                <w:szCs w:val="20"/>
              </w:rPr>
              <w:t>olho</w:t>
            </w:r>
            <w:proofErr w:type="spellEnd"/>
            <w:r>
              <w:rPr>
                <w:sz w:val="20"/>
                <w:szCs w:val="20"/>
              </w:rPr>
              <w:t>”)</w:t>
            </w:r>
          </w:p>
        </w:tc>
        <w:tc>
          <w:tcPr>
            <w:tcW w:w="0" w:type="auto"/>
          </w:tcPr>
          <w:p w14:paraId="214BB81C" w14:textId="77777777" w:rsidR="0003312E" w:rsidRDefault="00000000">
            <w:pPr>
              <w:pStyle w:val="NormalWeb"/>
              <w:spacing w:beforeAutospacing="0" w:after="0" w:afterAutospacing="0" w:line="240" w:lineRule="auto"/>
              <w:rPr>
                <w:sz w:val="20"/>
                <w:szCs w:val="20"/>
                <w:lang w:val="pt-BR"/>
              </w:rPr>
            </w:pPr>
            <w:r>
              <w:rPr>
                <w:sz w:val="20"/>
                <w:szCs w:val="20"/>
                <w:lang w:val="pt-BR"/>
              </w:rPr>
              <w:t>Funcionam como âncoras cognitivas estáveis.</w:t>
            </w:r>
          </w:p>
        </w:tc>
      </w:tr>
      <w:tr w:rsidR="0003312E" w14:paraId="0E09541D" w14:textId="77777777">
        <w:tc>
          <w:tcPr>
            <w:tcW w:w="0" w:type="auto"/>
          </w:tcPr>
          <w:p w14:paraId="489D57EE" w14:textId="77777777" w:rsidR="0003312E" w:rsidRDefault="00000000">
            <w:pPr>
              <w:pStyle w:val="NormalWeb"/>
              <w:spacing w:beforeAutospacing="0" w:after="0" w:afterAutospacing="0" w:line="240" w:lineRule="auto"/>
              <w:rPr>
                <w:b/>
                <w:bCs/>
                <w:sz w:val="20"/>
                <w:szCs w:val="20"/>
              </w:rPr>
            </w:pPr>
            <w:proofErr w:type="spellStart"/>
            <w:r>
              <w:rPr>
                <w:b/>
                <w:bCs/>
                <w:sz w:val="20"/>
                <w:szCs w:val="20"/>
              </w:rPr>
              <w:t>Etimologia</w:t>
            </w:r>
            <w:proofErr w:type="spellEnd"/>
            <w:r>
              <w:rPr>
                <w:b/>
                <w:bCs/>
                <w:sz w:val="20"/>
                <w:szCs w:val="20"/>
              </w:rPr>
              <w:t xml:space="preserve"> </w:t>
            </w:r>
            <w:proofErr w:type="spellStart"/>
            <w:r>
              <w:rPr>
                <w:b/>
                <w:bCs/>
                <w:sz w:val="20"/>
                <w:szCs w:val="20"/>
              </w:rPr>
              <w:t>fornece</w:t>
            </w:r>
            <w:proofErr w:type="spellEnd"/>
            <w:r>
              <w:rPr>
                <w:b/>
                <w:bCs/>
                <w:sz w:val="20"/>
                <w:szCs w:val="20"/>
              </w:rPr>
              <w:t xml:space="preserve"> </w:t>
            </w:r>
            <w:proofErr w:type="spellStart"/>
            <w:r>
              <w:rPr>
                <w:b/>
                <w:bCs/>
                <w:sz w:val="20"/>
                <w:szCs w:val="20"/>
              </w:rPr>
              <w:t>pista</w:t>
            </w:r>
            <w:proofErr w:type="spellEnd"/>
            <w:r>
              <w:rPr>
                <w:b/>
                <w:bCs/>
                <w:sz w:val="20"/>
                <w:szCs w:val="20"/>
              </w:rPr>
              <w:t xml:space="preserve"> </w:t>
            </w:r>
            <w:proofErr w:type="spellStart"/>
            <w:r>
              <w:rPr>
                <w:b/>
                <w:bCs/>
                <w:sz w:val="20"/>
                <w:szCs w:val="20"/>
              </w:rPr>
              <w:t>útil</w:t>
            </w:r>
            <w:proofErr w:type="spellEnd"/>
          </w:p>
        </w:tc>
        <w:tc>
          <w:tcPr>
            <w:tcW w:w="0" w:type="auto"/>
          </w:tcPr>
          <w:p w14:paraId="57431AA7" w14:textId="77777777" w:rsidR="0003312E" w:rsidRDefault="00000000">
            <w:pPr>
              <w:pStyle w:val="NormalWeb"/>
              <w:spacing w:beforeAutospacing="0" w:after="0" w:afterAutospacing="0" w:line="240" w:lineRule="auto"/>
              <w:rPr>
                <w:sz w:val="20"/>
                <w:szCs w:val="20"/>
              </w:rPr>
            </w:pPr>
            <w:r>
              <w:rPr>
                <w:i/>
                <w:iCs/>
                <w:sz w:val="20"/>
                <w:szCs w:val="20"/>
              </w:rPr>
              <w:t>anemia</w:t>
            </w:r>
            <w:r>
              <w:rPr>
                <w:sz w:val="20"/>
                <w:szCs w:val="20"/>
              </w:rPr>
              <w:t xml:space="preserve">; </w:t>
            </w:r>
            <w:proofErr w:type="spellStart"/>
            <w:r>
              <w:rPr>
                <w:i/>
                <w:iCs/>
                <w:sz w:val="20"/>
                <w:szCs w:val="20"/>
              </w:rPr>
              <w:t>promontorium</w:t>
            </w:r>
            <w:proofErr w:type="spellEnd"/>
          </w:p>
        </w:tc>
        <w:tc>
          <w:tcPr>
            <w:tcW w:w="0" w:type="auto"/>
          </w:tcPr>
          <w:p w14:paraId="446266AA" w14:textId="77777777" w:rsidR="0003312E" w:rsidRDefault="00000000">
            <w:pPr>
              <w:pStyle w:val="NormalWeb"/>
              <w:spacing w:beforeAutospacing="0" w:after="0" w:afterAutospacing="0" w:line="240" w:lineRule="auto"/>
              <w:rPr>
                <w:sz w:val="20"/>
                <w:szCs w:val="20"/>
                <w:lang w:val="pt-BR"/>
              </w:rPr>
            </w:pPr>
            <w:r>
              <w:rPr>
                <w:sz w:val="20"/>
                <w:szCs w:val="20"/>
                <w:lang w:val="pt-BR"/>
              </w:rPr>
              <w:t>A origem etimológica oferece metáforas visuais ou conceituais.</w:t>
            </w:r>
          </w:p>
        </w:tc>
      </w:tr>
      <w:tr w:rsidR="0003312E" w14:paraId="0ACA1D31" w14:textId="77777777">
        <w:tc>
          <w:tcPr>
            <w:tcW w:w="0" w:type="auto"/>
          </w:tcPr>
          <w:p w14:paraId="16EC9389" w14:textId="77777777" w:rsidR="0003312E" w:rsidRDefault="00000000">
            <w:pPr>
              <w:pStyle w:val="NormalWeb"/>
              <w:spacing w:beforeAutospacing="0" w:after="0" w:afterAutospacing="0" w:line="240" w:lineRule="auto"/>
              <w:rPr>
                <w:b/>
                <w:bCs/>
                <w:sz w:val="20"/>
                <w:szCs w:val="20"/>
                <w:lang w:val="pt-BR"/>
              </w:rPr>
            </w:pPr>
            <w:r>
              <w:rPr>
                <w:b/>
                <w:bCs/>
                <w:sz w:val="20"/>
                <w:szCs w:val="20"/>
                <w:lang w:val="pt-BR"/>
              </w:rPr>
              <w:t>Significado moderno diverge da origem</w:t>
            </w:r>
          </w:p>
        </w:tc>
        <w:tc>
          <w:tcPr>
            <w:tcW w:w="0" w:type="auto"/>
          </w:tcPr>
          <w:p w14:paraId="0CE4AEB0" w14:textId="77777777" w:rsidR="0003312E" w:rsidRDefault="00000000">
            <w:pPr>
              <w:pStyle w:val="NormalWeb"/>
              <w:spacing w:beforeAutospacing="0" w:after="0" w:afterAutospacing="0" w:line="240" w:lineRule="auto"/>
              <w:rPr>
                <w:sz w:val="20"/>
                <w:szCs w:val="20"/>
              </w:rPr>
            </w:pPr>
            <w:proofErr w:type="spellStart"/>
            <w:r>
              <w:rPr>
                <w:i/>
                <w:iCs/>
                <w:sz w:val="20"/>
                <w:szCs w:val="20"/>
              </w:rPr>
              <w:t>artéria</w:t>
            </w:r>
            <w:proofErr w:type="spellEnd"/>
            <w:r>
              <w:rPr>
                <w:sz w:val="20"/>
                <w:szCs w:val="20"/>
              </w:rPr>
              <w:t xml:space="preserve">; </w:t>
            </w:r>
            <w:proofErr w:type="spellStart"/>
            <w:r>
              <w:rPr>
                <w:i/>
                <w:iCs/>
                <w:sz w:val="20"/>
                <w:szCs w:val="20"/>
              </w:rPr>
              <w:t>histeria</w:t>
            </w:r>
            <w:proofErr w:type="spellEnd"/>
          </w:p>
        </w:tc>
        <w:tc>
          <w:tcPr>
            <w:tcW w:w="0" w:type="auto"/>
          </w:tcPr>
          <w:p w14:paraId="3C0E4717" w14:textId="77777777" w:rsidR="0003312E" w:rsidRDefault="00000000">
            <w:pPr>
              <w:pStyle w:val="NormalWeb"/>
              <w:spacing w:beforeAutospacing="0" w:after="0" w:afterAutospacing="0" w:line="240" w:lineRule="auto"/>
              <w:rPr>
                <w:sz w:val="20"/>
                <w:szCs w:val="20"/>
                <w:lang w:val="pt-BR"/>
              </w:rPr>
            </w:pPr>
            <w:r>
              <w:rPr>
                <w:sz w:val="20"/>
                <w:szCs w:val="20"/>
                <w:lang w:val="pt-BR"/>
              </w:rPr>
              <w:t>Demonstra a evolução do conhecimento médico.</w:t>
            </w:r>
          </w:p>
        </w:tc>
      </w:tr>
      <w:tr w:rsidR="0003312E" w14:paraId="0029AA0B" w14:textId="77777777">
        <w:tc>
          <w:tcPr>
            <w:tcW w:w="0" w:type="auto"/>
          </w:tcPr>
          <w:p w14:paraId="06CEA07E" w14:textId="77777777" w:rsidR="0003312E" w:rsidRDefault="00000000">
            <w:pPr>
              <w:pStyle w:val="NormalWeb"/>
              <w:spacing w:beforeAutospacing="0" w:after="0" w:afterAutospacing="0" w:line="240" w:lineRule="auto"/>
              <w:rPr>
                <w:b/>
                <w:bCs/>
                <w:sz w:val="20"/>
                <w:szCs w:val="20"/>
                <w:lang w:val="pt-BR"/>
              </w:rPr>
            </w:pPr>
            <w:r>
              <w:rPr>
                <w:b/>
                <w:bCs/>
                <w:sz w:val="20"/>
                <w:szCs w:val="20"/>
                <w:lang w:val="pt-BR"/>
              </w:rPr>
              <w:t>Relação obscura entre etimologia e definição</w:t>
            </w:r>
          </w:p>
        </w:tc>
        <w:tc>
          <w:tcPr>
            <w:tcW w:w="0" w:type="auto"/>
          </w:tcPr>
          <w:p w14:paraId="3FEFC463" w14:textId="77777777" w:rsidR="0003312E" w:rsidRDefault="00000000">
            <w:pPr>
              <w:pStyle w:val="NormalWeb"/>
              <w:spacing w:beforeAutospacing="0" w:after="0" w:afterAutospacing="0" w:line="240" w:lineRule="auto"/>
              <w:rPr>
                <w:sz w:val="20"/>
                <w:szCs w:val="20"/>
              </w:rPr>
            </w:pPr>
            <w:proofErr w:type="spellStart"/>
            <w:r>
              <w:rPr>
                <w:i/>
                <w:iCs/>
                <w:sz w:val="20"/>
                <w:szCs w:val="20"/>
              </w:rPr>
              <w:t>chronaxia</w:t>
            </w:r>
            <w:proofErr w:type="spellEnd"/>
          </w:p>
        </w:tc>
        <w:tc>
          <w:tcPr>
            <w:tcW w:w="0" w:type="auto"/>
          </w:tcPr>
          <w:p w14:paraId="6C4DCFCC" w14:textId="77777777" w:rsidR="0003312E" w:rsidRDefault="00000000">
            <w:pPr>
              <w:pStyle w:val="NormalWeb"/>
              <w:spacing w:beforeAutospacing="0" w:after="0" w:afterAutospacing="0" w:line="240" w:lineRule="auto"/>
              <w:rPr>
                <w:sz w:val="20"/>
                <w:szCs w:val="20"/>
                <w:lang w:val="pt-BR"/>
              </w:rPr>
            </w:pPr>
            <w:r>
              <w:rPr>
                <w:sz w:val="20"/>
                <w:szCs w:val="20"/>
                <w:lang w:val="pt-BR"/>
              </w:rPr>
              <w:t>Requer abordagem contextualizada, enfatizando conceitos técnicos específicos.</w:t>
            </w:r>
          </w:p>
        </w:tc>
      </w:tr>
    </w:tbl>
    <w:p w14:paraId="596D0EE2" w14:textId="77777777" w:rsidR="0003312E" w:rsidRDefault="0003312E">
      <w:pPr>
        <w:pStyle w:val="NormalWeb"/>
        <w:spacing w:beforeAutospacing="0" w:after="0" w:afterAutospacing="0" w:line="360" w:lineRule="auto"/>
        <w:ind w:firstLine="709"/>
        <w:jc w:val="both"/>
        <w:rPr>
          <w:sz w:val="24"/>
          <w:lang w:val="pt-BR"/>
        </w:rPr>
      </w:pPr>
    </w:p>
    <w:p w14:paraId="47E0D85B" w14:textId="77777777" w:rsidR="0003312E" w:rsidRDefault="00000000">
      <w:pPr>
        <w:pStyle w:val="NormalWeb"/>
        <w:spacing w:beforeAutospacing="0" w:after="0" w:afterAutospacing="0" w:line="360" w:lineRule="auto"/>
        <w:ind w:firstLine="709"/>
        <w:jc w:val="both"/>
        <w:rPr>
          <w:sz w:val="24"/>
          <w:lang w:val="pt-BR"/>
        </w:rPr>
      </w:pPr>
      <w:r>
        <w:rPr>
          <w:sz w:val="24"/>
        </w:rPr>
        <w:lastRenderedPageBreak/>
        <w:t xml:space="preserve">Como </w:t>
      </w:r>
      <w:proofErr w:type="spellStart"/>
      <w:r>
        <w:rPr>
          <w:sz w:val="24"/>
        </w:rPr>
        <w:t>demonstram</w:t>
      </w:r>
      <w:proofErr w:type="spellEnd"/>
      <w:r>
        <w:rPr>
          <w:sz w:val="24"/>
        </w:rPr>
        <w:t xml:space="preserve"> Wulff (2004), Durkin (2015), Mehta et al. (2020), Hallock et al. </w:t>
      </w:r>
      <w:r>
        <w:rPr>
          <w:sz w:val="24"/>
          <w:lang w:val="pt-BR"/>
        </w:rPr>
        <w:t xml:space="preserve">(2016) e </w:t>
      </w:r>
      <w:proofErr w:type="spellStart"/>
      <w:r>
        <w:rPr>
          <w:sz w:val="24"/>
          <w:lang w:val="pt-BR"/>
        </w:rPr>
        <w:t>Mosenthal</w:t>
      </w:r>
      <w:proofErr w:type="spellEnd"/>
      <w:r>
        <w:rPr>
          <w:sz w:val="24"/>
          <w:lang w:val="pt-BR"/>
        </w:rPr>
        <w:t xml:space="preserve"> (2001), </w:t>
      </w:r>
      <w:proofErr w:type="gramStart"/>
      <w:r>
        <w:rPr>
          <w:sz w:val="24"/>
          <w:lang w:val="pt-BR"/>
        </w:rPr>
        <w:t>a</w:t>
      </w:r>
      <w:proofErr w:type="gramEnd"/>
      <w:r>
        <w:rPr>
          <w:sz w:val="24"/>
          <w:lang w:val="pt-BR"/>
        </w:rPr>
        <w:t xml:space="preserve"> etimologia não é apenas um ornamento cultural. É uma ferramenta pedagógica poderosa que fixa conceitos na memória, aprofunda a compreensão e conecta os estudantes à própria história da medicina. A aprendizagem torna-se mais significativa, envolvente e humanizada, resgatando a dimensão narrativa das palavras que estruturam o conhecimento médico.</w:t>
      </w:r>
    </w:p>
    <w:p w14:paraId="17D904A3" w14:textId="77777777" w:rsidR="0003312E" w:rsidRDefault="0003312E">
      <w:pPr>
        <w:pStyle w:val="NormalWeb"/>
        <w:spacing w:beforeAutospacing="0" w:after="0" w:afterAutospacing="0" w:line="360" w:lineRule="auto"/>
        <w:ind w:firstLine="709"/>
        <w:jc w:val="both"/>
        <w:rPr>
          <w:b/>
          <w:bCs/>
          <w:sz w:val="24"/>
          <w:lang w:val="pt-BR"/>
        </w:rPr>
      </w:pPr>
    </w:p>
    <w:p w14:paraId="7B939211"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A Odisseia das Palavras Médicas: Uma Viagem de 2.500 Anos</w:t>
      </w:r>
    </w:p>
    <w:p w14:paraId="6757807F" w14:textId="77777777" w:rsidR="0003312E" w:rsidRDefault="00000000">
      <w:pPr>
        <w:pStyle w:val="NormalWeb"/>
        <w:spacing w:beforeAutospacing="0" w:after="0" w:afterAutospacing="0" w:line="360" w:lineRule="auto"/>
        <w:ind w:firstLine="709"/>
        <w:jc w:val="both"/>
        <w:rPr>
          <w:sz w:val="24"/>
          <w:lang w:val="pt-BR"/>
        </w:rPr>
      </w:pPr>
      <w:r>
        <w:rPr>
          <w:sz w:val="24"/>
          <w:lang w:val="pt-BR"/>
        </w:rPr>
        <w:t>A história da medicina pode ser contada não apenas pelos seus avanços científicos, mas também pelas palavras que resistiram ao tempo. Tudo começou em uma pequena ilha do Egeu, sob o sol do século V a.C. Em Cós, terra natal de Hipócrates, médicos registravam pela primeira vez em pergaminhos termos como </w:t>
      </w:r>
      <w:proofErr w:type="spellStart"/>
      <w:r>
        <w:rPr>
          <w:i/>
          <w:iCs/>
          <w:sz w:val="24"/>
          <w:lang w:val="pt-BR"/>
        </w:rPr>
        <w:t>catarrho</w:t>
      </w:r>
      <w:proofErr w:type="spellEnd"/>
      <w:r>
        <w:rPr>
          <w:sz w:val="24"/>
          <w:lang w:val="pt-BR"/>
        </w:rPr>
        <w:t>, </w:t>
      </w:r>
      <w:r>
        <w:rPr>
          <w:i/>
          <w:iCs/>
          <w:sz w:val="24"/>
          <w:lang w:val="pt-BR"/>
        </w:rPr>
        <w:t>diarreia</w:t>
      </w:r>
      <w:r>
        <w:rPr>
          <w:sz w:val="24"/>
          <w:lang w:val="pt-BR"/>
        </w:rPr>
        <w:t> e </w:t>
      </w:r>
      <w:r>
        <w:rPr>
          <w:i/>
          <w:iCs/>
          <w:sz w:val="24"/>
          <w:lang w:val="pt-BR"/>
        </w:rPr>
        <w:t>melancolia</w:t>
      </w:r>
      <w:r>
        <w:rPr>
          <w:sz w:val="24"/>
          <w:lang w:val="pt-BR"/>
        </w:rPr>
        <w:t>. Dois mil e quinhentos anos depois, essas mesmas palavras ainda ecoam em hospitais de Tóquio a São Paulo. Como lembra Henrik R. Wulff (2004), cada termo é mais que um rótulo: é uma testemunha de uma tradição ininterrupta que atravessou impérios, guerras e revoluções científicas.</w:t>
      </w:r>
    </w:p>
    <w:p w14:paraId="22E97EC0"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Um dos primeiros e mais fundamentais desafios linguísticos surgiu no século I, quando </w:t>
      </w:r>
      <w:proofErr w:type="spellStart"/>
      <w:r>
        <w:rPr>
          <w:sz w:val="24"/>
          <w:lang w:val="pt-BR"/>
        </w:rPr>
        <w:t>Aulus</w:t>
      </w:r>
      <w:proofErr w:type="spellEnd"/>
      <w:r>
        <w:rPr>
          <w:sz w:val="24"/>
          <w:lang w:val="pt-BR"/>
        </w:rPr>
        <w:t xml:space="preserve"> Cornelius </w:t>
      </w:r>
      <w:proofErr w:type="spellStart"/>
      <w:r>
        <w:rPr>
          <w:sz w:val="24"/>
          <w:lang w:val="pt-BR"/>
        </w:rPr>
        <w:t>Celsus</w:t>
      </w:r>
      <w:proofErr w:type="spellEnd"/>
      <w:r>
        <w:rPr>
          <w:sz w:val="24"/>
          <w:lang w:val="pt-BR"/>
        </w:rPr>
        <w:t xml:space="preserve"> se viu diante de uma questão crucial: como traduzir para o latim conceitos gregos sem equivalente direto? Sua solução foi engenhosa, combinando pragmatismo e criatividade. Preservou alguns termos gregos intactos - </w:t>
      </w:r>
      <w:proofErr w:type="spellStart"/>
      <w:r>
        <w:rPr>
          <w:i/>
          <w:iCs/>
          <w:sz w:val="24"/>
          <w:lang w:val="pt-BR"/>
        </w:rPr>
        <w:t>pyloros</w:t>
      </w:r>
      <w:proofErr w:type="spellEnd"/>
      <w:r>
        <w:rPr>
          <w:sz w:val="24"/>
          <w:lang w:val="pt-BR"/>
        </w:rPr>
        <w:t> tornou-se </w:t>
      </w:r>
      <w:r>
        <w:rPr>
          <w:i/>
          <w:iCs/>
          <w:sz w:val="24"/>
          <w:lang w:val="pt-BR"/>
        </w:rPr>
        <w:t>piloro</w:t>
      </w:r>
      <w:r>
        <w:rPr>
          <w:sz w:val="24"/>
          <w:lang w:val="pt-BR"/>
        </w:rPr>
        <w:t> -, adaptou outros ao latim - </w:t>
      </w:r>
      <w:proofErr w:type="spellStart"/>
      <w:r>
        <w:rPr>
          <w:i/>
          <w:iCs/>
          <w:sz w:val="24"/>
          <w:lang w:val="pt-BR"/>
        </w:rPr>
        <w:t>stomachus</w:t>
      </w:r>
      <w:proofErr w:type="spellEnd"/>
      <w:r>
        <w:rPr>
          <w:sz w:val="24"/>
          <w:lang w:val="pt-BR"/>
        </w:rPr>
        <w:t> virou </w:t>
      </w:r>
      <w:r>
        <w:rPr>
          <w:i/>
          <w:iCs/>
          <w:sz w:val="24"/>
          <w:lang w:val="pt-BR"/>
        </w:rPr>
        <w:t>estômago</w:t>
      </w:r>
      <w:r>
        <w:rPr>
          <w:sz w:val="24"/>
          <w:lang w:val="pt-BR"/>
        </w:rPr>
        <w:t> - e até criou imagens poéticas, como ao transformar </w:t>
      </w:r>
      <w:proofErr w:type="spellStart"/>
      <w:r>
        <w:rPr>
          <w:i/>
          <w:iCs/>
          <w:sz w:val="24"/>
          <w:lang w:val="pt-BR"/>
        </w:rPr>
        <w:t>kynodontes</w:t>
      </w:r>
      <w:proofErr w:type="spellEnd"/>
      <w:r>
        <w:rPr>
          <w:sz w:val="24"/>
          <w:lang w:val="pt-BR"/>
        </w:rPr>
        <w:t> (“dentes de cão”) em </w:t>
      </w:r>
      <w:r>
        <w:rPr>
          <w:i/>
          <w:iCs/>
          <w:sz w:val="24"/>
          <w:lang w:val="pt-BR"/>
        </w:rPr>
        <w:t>dentes caninos</w:t>
      </w:r>
      <w:r>
        <w:rPr>
          <w:sz w:val="24"/>
          <w:lang w:val="pt-BR"/>
        </w:rPr>
        <w:t>. Essas escolhas não foram meras convenções técnicas; foram formas de olhar o corpo humano e de aproximar a medicina da vida cotidiana.</w:t>
      </w:r>
    </w:p>
    <w:p w14:paraId="72B053D4" w14:textId="77777777" w:rsidR="0003312E" w:rsidRDefault="0003312E">
      <w:pPr>
        <w:pStyle w:val="NormalWeb"/>
        <w:spacing w:beforeAutospacing="0" w:after="0" w:afterAutospacing="0" w:line="360" w:lineRule="auto"/>
        <w:ind w:firstLine="709"/>
        <w:jc w:val="both"/>
        <w:rPr>
          <w:b/>
          <w:bCs/>
          <w:sz w:val="24"/>
          <w:lang w:val="pt-BR"/>
        </w:rPr>
      </w:pPr>
    </w:p>
    <w:p w14:paraId="718CE22D" w14:textId="77777777" w:rsidR="0003312E" w:rsidRDefault="00000000">
      <w:pPr>
        <w:pStyle w:val="NormalWeb"/>
        <w:spacing w:beforeAutospacing="0" w:after="0" w:afterAutospacing="0" w:line="360" w:lineRule="auto"/>
        <w:ind w:firstLine="709"/>
        <w:jc w:val="both"/>
        <w:rPr>
          <w:b/>
          <w:bCs/>
          <w:sz w:val="24"/>
          <w:lang w:val="pt-BR"/>
        </w:rPr>
      </w:pPr>
      <w:r>
        <w:rPr>
          <w:b/>
          <w:bCs/>
          <w:sz w:val="24"/>
          <w:lang w:val="pt-BR"/>
        </w:rPr>
        <w:t>A Herança Latina e Grega na Medicina</w:t>
      </w:r>
    </w:p>
    <w:p w14:paraId="44CDC36C"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Durante o Renascimento, o latim se consolidou como a língua universal da medicina europeia, conectando pensadores como </w:t>
      </w:r>
      <w:proofErr w:type="spellStart"/>
      <w:r>
        <w:rPr>
          <w:sz w:val="24"/>
          <w:lang w:val="pt-BR"/>
        </w:rPr>
        <w:t>Vesálio</w:t>
      </w:r>
      <w:proofErr w:type="spellEnd"/>
      <w:r>
        <w:rPr>
          <w:sz w:val="24"/>
          <w:lang w:val="pt-BR"/>
        </w:rPr>
        <w:t xml:space="preserve"> e Harvey em um mesmo idioma científico. Essa hegemonia se manteve até o século XIX, com registros médicos em latim ainda sendo feitos na Dinamarca até 1853. Com o avanço das línguas vernáculas, especialmente a partir do século XVI, o latim perdeu espaço como língua de ensino, mas permaneceu como base da terminologia médica.</w:t>
      </w:r>
    </w:p>
    <w:p w14:paraId="24CECF71"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Mesmo após sua retirada das salas de aula, o latim seguiu nomeando estruturas anatômicas, doenças e medicamentos. Sua permanência se deve a várias vantagens: é neutro, não evolui, tem tradição milenar e oferece um repertório único para novos termos. Além disso, </w:t>
      </w:r>
      <w:r>
        <w:rPr>
          <w:sz w:val="24"/>
          <w:lang w:val="pt-BR"/>
        </w:rPr>
        <w:lastRenderedPageBreak/>
        <w:t xml:space="preserve">sua incompreensibilidade pode até reforçar a autoridade </w:t>
      </w:r>
      <w:proofErr w:type="gramStart"/>
      <w:r>
        <w:rPr>
          <w:sz w:val="24"/>
          <w:lang w:val="pt-BR"/>
        </w:rPr>
        <w:t>médica  -</w:t>
      </w:r>
      <w:proofErr w:type="gramEnd"/>
      <w:r>
        <w:rPr>
          <w:sz w:val="24"/>
          <w:lang w:val="pt-BR"/>
        </w:rPr>
        <w:t xml:space="preserve">  um fenômeno observado desde a Antiguidade.</w:t>
      </w:r>
    </w:p>
    <w:p w14:paraId="2CF8E749" w14:textId="77777777" w:rsidR="0003312E" w:rsidRDefault="00000000">
      <w:pPr>
        <w:pStyle w:val="NormalWeb"/>
        <w:spacing w:beforeAutospacing="0" w:after="0" w:afterAutospacing="0" w:line="360" w:lineRule="auto"/>
        <w:ind w:firstLine="709"/>
        <w:jc w:val="both"/>
        <w:rPr>
          <w:sz w:val="24"/>
          <w:lang w:val="pt-BR"/>
        </w:rPr>
      </w:pPr>
      <w:r>
        <w:rPr>
          <w:sz w:val="24"/>
          <w:lang w:val="pt-BR"/>
        </w:rPr>
        <w:t>No século XX, o inglês consolidou-se como a nova língua dominante na medicina, mas, longe de substituir o latim, assimilou-o. Termos como </w:t>
      </w:r>
      <w:proofErr w:type="spellStart"/>
      <w:r>
        <w:rPr>
          <w:i/>
          <w:iCs/>
          <w:sz w:val="24"/>
          <w:lang w:val="pt-BR"/>
        </w:rPr>
        <w:t>gastric</w:t>
      </w:r>
      <w:proofErr w:type="spellEnd"/>
      <w:r>
        <w:rPr>
          <w:i/>
          <w:iCs/>
          <w:sz w:val="24"/>
          <w:lang w:val="pt-BR"/>
        </w:rPr>
        <w:t xml:space="preserve"> </w:t>
      </w:r>
      <w:proofErr w:type="spellStart"/>
      <w:r>
        <w:rPr>
          <w:i/>
          <w:iCs/>
          <w:sz w:val="24"/>
          <w:lang w:val="pt-BR"/>
        </w:rPr>
        <w:t>ulcer</w:t>
      </w:r>
      <w:proofErr w:type="spellEnd"/>
      <w:r>
        <w:rPr>
          <w:sz w:val="24"/>
          <w:lang w:val="pt-BR"/>
        </w:rPr>
        <w:t> ou </w:t>
      </w:r>
      <w:proofErr w:type="spellStart"/>
      <w:r>
        <w:rPr>
          <w:i/>
          <w:iCs/>
          <w:sz w:val="24"/>
          <w:lang w:val="pt-BR"/>
        </w:rPr>
        <w:t>nephrectomy</w:t>
      </w:r>
      <w:proofErr w:type="spellEnd"/>
      <w:r>
        <w:rPr>
          <w:sz w:val="24"/>
          <w:lang w:val="pt-BR"/>
        </w:rPr>
        <w:t> são herdeiros diretos da tradição greco-</w:t>
      </w:r>
      <w:proofErr w:type="gramStart"/>
      <w:r>
        <w:rPr>
          <w:sz w:val="24"/>
          <w:lang w:val="pt-BR"/>
        </w:rPr>
        <w:t>latina  -</w:t>
      </w:r>
      <w:proofErr w:type="gramEnd"/>
      <w:r>
        <w:rPr>
          <w:sz w:val="24"/>
          <w:lang w:val="pt-BR"/>
        </w:rPr>
        <w:t xml:space="preserve">  por isso, dominar o inglês médico exige, paradoxalmente, familiaridade com o latim. Essa terminologia se estrutura em três pilares fundamentais:</w:t>
      </w:r>
    </w:p>
    <w:p w14:paraId="63CDAF10"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Nomenclatura Anatômica</w:t>
      </w:r>
      <w:r>
        <w:rPr>
          <w:sz w:val="24"/>
          <w:lang w:val="pt-BR"/>
        </w:rPr>
        <w:t>: O latim reina absoluto. Todas as nomenclaturas internacionais (como a Terminologia Anatômica de 1998) mantêm o latim como padrão por sua precisão e neutralidade.</w:t>
      </w:r>
    </w:p>
    <w:p w14:paraId="64C1E6F5"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Terminologia Clínica</w:t>
      </w:r>
      <w:r>
        <w:rPr>
          <w:sz w:val="24"/>
          <w:lang w:val="pt-BR"/>
        </w:rPr>
        <w:t xml:space="preserve">: Mais híbrida e instável, mistura termos latinos com formas vernaculizadas. Projetos como SNOMED tentam padronizar essa área, mas muitas vezes ignoram o latim. </w:t>
      </w:r>
    </w:p>
    <w:p w14:paraId="7DC61F4A"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Prescrições Médicas</w:t>
      </w:r>
      <w:r>
        <w:rPr>
          <w:sz w:val="24"/>
          <w:lang w:val="pt-BR"/>
        </w:rPr>
        <w:t>: A estrutura das receitas permanece essencialmente latina, mesmo com a adoção de nomenclaturas internacionais como os INN (</w:t>
      </w:r>
      <w:proofErr w:type="spellStart"/>
      <w:r>
        <w:rPr>
          <w:sz w:val="24"/>
          <w:lang w:val="pt-BR"/>
        </w:rPr>
        <w:t>International</w:t>
      </w:r>
      <w:proofErr w:type="spellEnd"/>
      <w:r>
        <w:rPr>
          <w:sz w:val="24"/>
          <w:lang w:val="pt-BR"/>
        </w:rPr>
        <w:t xml:space="preserve"> </w:t>
      </w:r>
      <w:proofErr w:type="spellStart"/>
      <w:r>
        <w:rPr>
          <w:sz w:val="24"/>
          <w:lang w:val="pt-BR"/>
        </w:rPr>
        <w:t>Nonproprietary</w:t>
      </w:r>
      <w:proofErr w:type="spellEnd"/>
      <w:r>
        <w:rPr>
          <w:sz w:val="24"/>
          <w:lang w:val="pt-BR"/>
        </w:rPr>
        <w:t xml:space="preserve"> </w:t>
      </w:r>
      <w:proofErr w:type="spellStart"/>
      <w:r>
        <w:rPr>
          <w:sz w:val="24"/>
          <w:lang w:val="pt-BR"/>
        </w:rPr>
        <w:t>Name</w:t>
      </w:r>
      <w:proofErr w:type="spellEnd"/>
      <w:r>
        <w:rPr>
          <w:sz w:val="24"/>
          <w:lang w:val="pt-BR"/>
        </w:rPr>
        <w:t xml:space="preserve"> ou DCI - Denominação Comum Internacional). Expressões clássicas como </w:t>
      </w:r>
      <w:proofErr w:type="spellStart"/>
      <w:r>
        <w:rPr>
          <w:i/>
          <w:iCs/>
          <w:sz w:val="24"/>
          <w:lang w:val="pt-BR"/>
        </w:rPr>
        <w:t>facies</w:t>
      </w:r>
      <w:proofErr w:type="spellEnd"/>
      <w:r>
        <w:rPr>
          <w:i/>
          <w:iCs/>
          <w:sz w:val="24"/>
          <w:lang w:val="pt-BR"/>
        </w:rPr>
        <w:t xml:space="preserve"> </w:t>
      </w:r>
      <w:proofErr w:type="spellStart"/>
      <w:r>
        <w:rPr>
          <w:i/>
          <w:iCs/>
          <w:sz w:val="24"/>
          <w:lang w:val="pt-BR"/>
        </w:rPr>
        <w:t>Hippocratica</w:t>
      </w:r>
      <w:proofErr w:type="spellEnd"/>
      <w:r>
        <w:rPr>
          <w:sz w:val="24"/>
          <w:lang w:val="pt-BR"/>
        </w:rPr>
        <w:t xml:space="preserve"> e </w:t>
      </w:r>
      <w:proofErr w:type="spellStart"/>
      <w:r>
        <w:rPr>
          <w:i/>
          <w:iCs/>
          <w:sz w:val="24"/>
          <w:lang w:val="pt-BR"/>
        </w:rPr>
        <w:t>experimentum</w:t>
      </w:r>
      <w:proofErr w:type="spellEnd"/>
      <w:r>
        <w:rPr>
          <w:i/>
          <w:iCs/>
          <w:sz w:val="24"/>
          <w:lang w:val="pt-BR"/>
        </w:rPr>
        <w:t xml:space="preserve"> </w:t>
      </w:r>
      <w:proofErr w:type="spellStart"/>
      <w:r>
        <w:rPr>
          <w:i/>
          <w:iCs/>
          <w:sz w:val="24"/>
          <w:lang w:val="pt-BR"/>
        </w:rPr>
        <w:t>crucis</w:t>
      </w:r>
      <w:proofErr w:type="spellEnd"/>
      <w:r>
        <w:rPr>
          <w:sz w:val="24"/>
          <w:lang w:val="pt-BR"/>
        </w:rPr>
        <w:t xml:space="preserve"> seguem vivas na prática médica.</w:t>
      </w:r>
    </w:p>
    <w:p w14:paraId="34AB555E"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O latim reina soberano na nomenclatura anatômica oficial, enquanto o grego predomina como base para os </w:t>
      </w:r>
      <w:proofErr w:type="gramStart"/>
      <w:r>
        <w:rPr>
          <w:sz w:val="24"/>
          <w:lang w:val="pt-BR"/>
        </w:rPr>
        <w:t>neologismos  -</w:t>
      </w:r>
      <w:proofErr w:type="gramEnd"/>
      <w:r>
        <w:rPr>
          <w:sz w:val="24"/>
          <w:lang w:val="pt-BR"/>
        </w:rPr>
        <w:t xml:space="preserve">  especialmente para novos procedimentos ou doenças (Papoulas e </w:t>
      </w:r>
      <w:proofErr w:type="spellStart"/>
      <w:r>
        <w:rPr>
          <w:sz w:val="24"/>
          <w:lang w:val="pt-BR"/>
        </w:rPr>
        <w:t>Douvetzemis</w:t>
      </w:r>
      <w:proofErr w:type="spellEnd"/>
      <w:r>
        <w:rPr>
          <w:sz w:val="24"/>
          <w:lang w:val="pt-BR"/>
        </w:rPr>
        <w:t>, 2015).</w:t>
      </w:r>
    </w:p>
    <w:p w14:paraId="2BF6B7D0" w14:textId="77777777" w:rsidR="0003312E" w:rsidRDefault="00000000">
      <w:pPr>
        <w:pStyle w:val="NormalWeb"/>
        <w:spacing w:beforeAutospacing="0" w:after="0" w:afterAutospacing="0" w:line="360" w:lineRule="auto"/>
        <w:ind w:firstLine="709"/>
        <w:jc w:val="both"/>
        <w:rPr>
          <w:sz w:val="24"/>
          <w:lang w:val="pt-BR"/>
        </w:rPr>
      </w:pPr>
      <w:r>
        <w:rPr>
          <w:sz w:val="24"/>
          <w:lang w:val="pt-BR"/>
        </w:rPr>
        <w:t>A convivência entre latim e inglês gerou fenômenos como o “</w:t>
      </w:r>
      <w:proofErr w:type="spellStart"/>
      <w:r>
        <w:rPr>
          <w:sz w:val="24"/>
          <w:lang w:val="pt-BR"/>
        </w:rPr>
        <w:t>Englatin</w:t>
      </w:r>
      <w:proofErr w:type="spellEnd"/>
      <w:r>
        <w:rPr>
          <w:sz w:val="24"/>
          <w:lang w:val="pt-BR"/>
        </w:rPr>
        <w:t xml:space="preserve">”, um híbrido linguístico que reflete a tensão entre tradição e modernidade. Como observam Papoulas e </w:t>
      </w:r>
      <w:proofErr w:type="spellStart"/>
      <w:r>
        <w:rPr>
          <w:sz w:val="24"/>
          <w:lang w:val="pt-BR"/>
        </w:rPr>
        <w:t>Douvetzemis</w:t>
      </w:r>
      <w:proofErr w:type="spellEnd"/>
      <w:r>
        <w:rPr>
          <w:sz w:val="24"/>
          <w:lang w:val="pt-BR"/>
        </w:rPr>
        <w:t xml:space="preserve"> (2015), o inglês não apenas adicionou uma nova camada à terminologia médica, mas também está reescrevendo-</w:t>
      </w:r>
      <w:proofErr w:type="gramStart"/>
      <w:r>
        <w:rPr>
          <w:sz w:val="24"/>
          <w:lang w:val="pt-BR"/>
        </w:rPr>
        <w:t>a  -</w:t>
      </w:r>
      <w:proofErr w:type="gramEnd"/>
      <w:r>
        <w:rPr>
          <w:sz w:val="24"/>
          <w:lang w:val="pt-BR"/>
        </w:rPr>
        <w:t xml:space="preserve">  em diálogo constante com o legado greco-latino.</w:t>
      </w:r>
    </w:p>
    <w:p w14:paraId="32F67709"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A influência da mitologia grega também é profunda: deuses e heróis antigos inspiraram termos como </w:t>
      </w:r>
      <w:r>
        <w:rPr>
          <w:i/>
          <w:iCs/>
          <w:sz w:val="24"/>
          <w:lang w:val="pt-BR"/>
        </w:rPr>
        <w:t>psiquiatria</w:t>
      </w:r>
      <w:r>
        <w:rPr>
          <w:sz w:val="24"/>
          <w:lang w:val="pt-BR"/>
        </w:rPr>
        <w:t xml:space="preserve"> (</w:t>
      </w:r>
      <w:proofErr w:type="spellStart"/>
      <w:r>
        <w:rPr>
          <w:sz w:val="24"/>
          <w:lang w:val="pt-BR"/>
        </w:rPr>
        <w:t>Psyche</w:t>
      </w:r>
      <w:proofErr w:type="spellEnd"/>
      <w:r>
        <w:rPr>
          <w:sz w:val="24"/>
          <w:lang w:val="pt-BR"/>
        </w:rPr>
        <w:t xml:space="preserve">), </w:t>
      </w:r>
      <w:r>
        <w:rPr>
          <w:i/>
          <w:iCs/>
          <w:sz w:val="24"/>
          <w:lang w:val="pt-BR"/>
        </w:rPr>
        <w:t>fobia</w:t>
      </w:r>
      <w:r>
        <w:rPr>
          <w:sz w:val="24"/>
          <w:lang w:val="pt-BR"/>
        </w:rPr>
        <w:t xml:space="preserve"> (Phobos), </w:t>
      </w:r>
      <w:r>
        <w:rPr>
          <w:i/>
          <w:iCs/>
          <w:sz w:val="24"/>
          <w:lang w:val="pt-BR"/>
        </w:rPr>
        <w:t>narcisismo</w:t>
      </w:r>
      <w:r>
        <w:rPr>
          <w:sz w:val="24"/>
          <w:lang w:val="pt-BR"/>
        </w:rPr>
        <w:t xml:space="preserve"> (Narciso), </w:t>
      </w:r>
      <w:r>
        <w:rPr>
          <w:i/>
          <w:iCs/>
          <w:sz w:val="24"/>
          <w:lang w:val="pt-BR"/>
        </w:rPr>
        <w:t>amnésia</w:t>
      </w:r>
      <w:r>
        <w:rPr>
          <w:sz w:val="24"/>
          <w:lang w:val="pt-BR"/>
        </w:rPr>
        <w:t xml:space="preserve"> (</w:t>
      </w:r>
      <w:proofErr w:type="spellStart"/>
      <w:r>
        <w:rPr>
          <w:sz w:val="24"/>
          <w:lang w:val="pt-BR"/>
        </w:rPr>
        <w:t>Mnemosyne</w:t>
      </w:r>
      <w:proofErr w:type="spellEnd"/>
      <w:r>
        <w:rPr>
          <w:sz w:val="24"/>
          <w:lang w:val="pt-BR"/>
        </w:rPr>
        <w:t xml:space="preserve">) e </w:t>
      </w:r>
      <w:r>
        <w:rPr>
          <w:i/>
          <w:iCs/>
          <w:sz w:val="24"/>
          <w:lang w:val="pt-BR"/>
        </w:rPr>
        <w:t>letargia</w:t>
      </w:r>
      <w:r>
        <w:rPr>
          <w:sz w:val="24"/>
          <w:lang w:val="pt-BR"/>
        </w:rPr>
        <w:t xml:space="preserve"> (</w:t>
      </w:r>
      <w:proofErr w:type="spellStart"/>
      <w:r>
        <w:rPr>
          <w:sz w:val="24"/>
          <w:lang w:val="pt-BR"/>
        </w:rPr>
        <w:t>Lethe</w:t>
      </w:r>
      <w:proofErr w:type="spellEnd"/>
      <w:r>
        <w:rPr>
          <w:sz w:val="24"/>
          <w:lang w:val="pt-BR"/>
        </w:rPr>
        <w:t xml:space="preserve">). Esses nomes não são apenas curiosidades </w:t>
      </w:r>
      <w:proofErr w:type="gramStart"/>
      <w:r>
        <w:rPr>
          <w:sz w:val="24"/>
          <w:lang w:val="pt-BR"/>
        </w:rPr>
        <w:t>etimológicas  -</w:t>
      </w:r>
      <w:proofErr w:type="gramEnd"/>
      <w:r>
        <w:rPr>
          <w:sz w:val="24"/>
          <w:lang w:val="pt-BR"/>
        </w:rPr>
        <w:t xml:space="preserve">  são pontes entre ciência e cultura, entre anatomia e poesia.</w:t>
      </w:r>
    </w:p>
    <w:p w14:paraId="34417142" w14:textId="77777777" w:rsidR="0003312E" w:rsidRDefault="0003312E">
      <w:pPr>
        <w:pStyle w:val="NormalWeb"/>
        <w:spacing w:beforeAutospacing="0" w:after="0" w:afterAutospacing="0" w:line="360" w:lineRule="auto"/>
        <w:ind w:firstLine="709"/>
        <w:jc w:val="both"/>
        <w:rPr>
          <w:b/>
          <w:bCs/>
          <w:sz w:val="24"/>
          <w:lang w:val="pt-BR"/>
        </w:rPr>
      </w:pPr>
    </w:p>
    <w:p w14:paraId="4DA2B469"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 xml:space="preserve">O Método </w:t>
      </w:r>
      <w:proofErr w:type="spellStart"/>
      <w:r>
        <w:rPr>
          <w:b/>
          <w:bCs/>
          <w:sz w:val="24"/>
          <w:lang w:val="pt-BR"/>
        </w:rPr>
        <w:t>Neuroetimológico</w:t>
      </w:r>
      <w:proofErr w:type="spellEnd"/>
      <w:r>
        <w:rPr>
          <w:b/>
          <w:bCs/>
          <w:sz w:val="24"/>
          <w:lang w:val="pt-BR"/>
        </w:rPr>
        <w:t>: Quatro Dimensões de Análise</w:t>
      </w:r>
    </w:p>
    <w:p w14:paraId="75F00C43" w14:textId="77777777" w:rsidR="0003312E" w:rsidRDefault="00000000">
      <w:pPr>
        <w:pStyle w:val="NormalWeb"/>
        <w:spacing w:beforeAutospacing="0" w:after="0" w:afterAutospacing="0" w:line="360" w:lineRule="auto"/>
        <w:ind w:firstLine="709"/>
        <w:jc w:val="both"/>
        <w:rPr>
          <w:sz w:val="24"/>
          <w:lang w:val="pt-BR"/>
        </w:rPr>
      </w:pPr>
      <w:r>
        <w:rPr>
          <w:sz w:val="24"/>
          <w:lang w:val="pt-BR"/>
        </w:rPr>
        <w:t>Cada capítulo deste livro explorará uma palavra ou conceito a partir de quatro perspectivas interconectadas, que se complementam para revelar suas camadas mais profundas:</w:t>
      </w:r>
    </w:p>
    <w:p w14:paraId="15136AAB" w14:textId="77777777" w:rsidR="0003312E" w:rsidRDefault="00000000">
      <w:pPr>
        <w:pStyle w:val="NormalWeb"/>
        <w:numPr>
          <w:ilvl w:val="0"/>
          <w:numId w:val="2"/>
        </w:numPr>
        <w:spacing w:beforeAutospacing="0" w:after="0" w:afterAutospacing="0" w:line="360" w:lineRule="auto"/>
        <w:ind w:left="0" w:firstLine="709"/>
        <w:jc w:val="both"/>
        <w:rPr>
          <w:sz w:val="24"/>
          <w:lang w:val="pt-BR"/>
        </w:rPr>
      </w:pPr>
      <w:r>
        <w:rPr>
          <w:b/>
          <w:bCs/>
          <w:sz w:val="24"/>
          <w:lang w:val="pt-BR"/>
        </w:rPr>
        <w:lastRenderedPageBreak/>
        <w:t>Gênese e Jornada Histórica:</w:t>
      </w:r>
      <w:r>
        <w:rPr>
          <w:sz w:val="24"/>
          <w:lang w:val="pt-BR"/>
        </w:rPr>
        <w:t xml:space="preserve"> Investigação das raízes linguísticas, significados originais, deslocamentos conceptuais e metáforas arquetípicas. Fontes principais: Cunha (2010); </w:t>
      </w:r>
      <w:r>
        <w:rPr>
          <w:rFonts w:eastAsia="Segoe UI"/>
          <w:sz w:val="20"/>
          <w:szCs w:val="20"/>
          <w:shd w:val="clear" w:color="auto" w:fill="FFFFFF"/>
          <w:lang w:val="pt-BR"/>
        </w:rPr>
        <w:t xml:space="preserve">DECEL; </w:t>
      </w:r>
      <w:r>
        <w:rPr>
          <w:sz w:val="24"/>
          <w:lang w:val="pt-BR"/>
        </w:rPr>
        <w:t xml:space="preserve">Harper (2001 - 2024); </w:t>
      </w:r>
      <w:r>
        <w:rPr>
          <w:rStyle w:val="Forte"/>
          <w:rFonts w:eastAsia="Segoe UI"/>
          <w:b w:val="0"/>
          <w:bCs w:val="0"/>
          <w:sz w:val="24"/>
          <w:shd w:val="clear" w:color="auto" w:fill="FFFFFF"/>
          <w:lang w:val="pt-BR"/>
        </w:rPr>
        <w:t>Lewis e; Short (</w:t>
      </w:r>
      <w:r>
        <w:rPr>
          <w:rFonts w:eastAsia="Segoe UI"/>
          <w:sz w:val="24"/>
          <w:shd w:val="clear" w:color="auto" w:fill="FFFFFF"/>
          <w:lang w:val="pt-BR"/>
        </w:rPr>
        <w:t>1879</w:t>
      </w:r>
      <w:r>
        <w:rPr>
          <w:rStyle w:val="Forte"/>
          <w:rFonts w:eastAsia="Segoe UI"/>
          <w:b w:val="0"/>
          <w:bCs w:val="0"/>
          <w:sz w:val="24"/>
          <w:shd w:val="clear" w:color="auto" w:fill="FFFFFF"/>
          <w:lang w:val="pt-BR"/>
        </w:rPr>
        <w:t>)</w:t>
      </w:r>
      <w:proofErr w:type="gramStart"/>
      <w:r>
        <w:rPr>
          <w:rStyle w:val="Forte"/>
          <w:rFonts w:eastAsia="Segoe UI"/>
          <w:b w:val="0"/>
          <w:bCs w:val="0"/>
          <w:sz w:val="24"/>
          <w:shd w:val="clear" w:color="auto" w:fill="FFFFFF"/>
          <w:lang w:val="pt-BR"/>
        </w:rPr>
        <w:t>; .</w:t>
      </w:r>
      <w:r>
        <w:rPr>
          <w:sz w:val="24"/>
          <w:lang w:val="pt-BR"/>
        </w:rPr>
        <w:t>RAE</w:t>
      </w:r>
      <w:proofErr w:type="gramEnd"/>
      <w:r>
        <w:rPr>
          <w:sz w:val="24"/>
          <w:lang w:val="pt-BR"/>
        </w:rPr>
        <w:t xml:space="preserve"> (2014); CNRTL (2012).</w:t>
      </w:r>
    </w:p>
    <w:p w14:paraId="24EFCD35" w14:textId="77777777" w:rsidR="0003312E" w:rsidRDefault="00000000">
      <w:pPr>
        <w:pStyle w:val="NormalWeb"/>
        <w:numPr>
          <w:ilvl w:val="0"/>
          <w:numId w:val="2"/>
        </w:numPr>
        <w:spacing w:beforeAutospacing="0" w:after="0" w:afterAutospacing="0" w:line="360" w:lineRule="auto"/>
        <w:ind w:left="0" w:firstLine="709"/>
        <w:jc w:val="both"/>
        <w:rPr>
          <w:sz w:val="24"/>
          <w:lang w:val="pt-BR"/>
        </w:rPr>
      </w:pPr>
      <w:r>
        <w:rPr>
          <w:b/>
          <w:bCs/>
          <w:sz w:val="24"/>
          <w:lang w:val="pt-BR"/>
        </w:rPr>
        <w:t>Dimensão Histórico-Clínica:</w:t>
      </w:r>
      <w:r>
        <w:rPr>
          <w:sz w:val="24"/>
          <w:lang w:val="pt-BR"/>
        </w:rPr>
        <w:t xml:space="preserve"> Análise de como o termo foi empregado na medicina e na psiquiatria, desde suas primeiras aparições até seu uso </w:t>
      </w:r>
      <w:proofErr w:type="gramStart"/>
      <w:r>
        <w:rPr>
          <w:sz w:val="24"/>
          <w:lang w:val="pt-BR"/>
        </w:rPr>
        <w:t>contemporâneo  -</w:t>
      </w:r>
      <w:proofErr w:type="gramEnd"/>
      <w:r>
        <w:rPr>
          <w:sz w:val="24"/>
          <w:lang w:val="pt-BR"/>
        </w:rPr>
        <w:t xml:space="preserve">  incluindo controvérsias, equívocos e redefinições.</w:t>
      </w:r>
    </w:p>
    <w:p w14:paraId="1EA02EBE" w14:textId="77777777" w:rsidR="0003312E" w:rsidRDefault="00000000">
      <w:pPr>
        <w:pStyle w:val="NormalWeb"/>
        <w:numPr>
          <w:ilvl w:val="0"/>
          <w:numId w:val="2"/>
        </w:numPr>
        <w:spacing w:beforeAutospacing="0" w:after="0" w:afterAutospacing="0" w:line="360" w:lineRule="auto"/>
        <w:ind w:left="0" w:firstLine="709"/>
        <w:jc w:val="both"/>
        <w:rPr>
          <w:sz w:val="24"/>
          <w:lang w:val="pt-BR"/>
        </w:rPr>
      </w:pPr>
      <w:r>
        <w:rPr>
          <w:b/>
          <w:bCs/>
          <w:sz w:val="24"/>
          <w:lang w:val="pt-BR"/>
        </w:rPr>
        <w:t>Dimensão Neurocientífica:</w:t>
      </w:r>
      <w:r>
        <w:rPr>
          <w:sz w:val="24"/>
          <w:lang w:val="pt-BR"/>
        </w:rPr>
        <w:t> Exame das redes neurais, mecanismos cerebrais e funções cognitivas associados ao fenômeno que a palavra nomeia.</w:t>
      </w:r>
    </w:p>
    <w:p w14:paraId="022DE341" w14:textId="77777777" w:rsidR="0003312E" w:rsidRDefault="00000000">
      <w:pPr>
        <w:pStyle w:val="NormalWeb"/>
        <w:numPr>
          <w:ilvl w:val="0"/>
          <w:numId w:val="2"/>
        </w:numPr>
        <w:spacing w:beforeAutospacing="0" w:after="0" w:afterAutospacing="0" w:line="360" w:lineRule="auto"/>
        <w:ind w:left="0" w:firstLine="709"/>
        <w:jc w:val="both"/>
        <w:rPr>
          <w:sz w:val="24"/>
          <w:lang w:val="pt-BR"/>
        </w:rPr>
      </w:pPr>
      <w:r>
        <w:rPr>
          <w:b/>
          <w:bCs/>
          <w:sz w:val="24"/>
          <w:lang w:val="pt-BR"/>
        </w:rPr>
        <w:t>Dimensão Poético-Filosófica:</w:t>
      </w:r>
      <w:r>
        <w:rPr>
          <w:sz w:val="24"/>
          <w:lang w:val="pt-BR"/>
        </w:rPr>
        <w:t> Exploração dos sentidos sensíveis, simbólicos e culturais que a palavra evoca: suas ressonâncias literárias, mitológicas e existenciais.</w:t>
      </w:r>
    </w:p>
    <w:p w14:paraId="3573D8E1" w14:textId="77777777" w:rsidR="0003312E" w:rsidRDefault="00000000">
      <w:pPr>
        <w:pStyle w:val="NormalWeb"/>
        <w:spacing w:beforeAutospacing="0" w:after="0" w:afterAutospacing="0" w:line="360" w:lineRule="auto"/>
        <w:ind w:firstLine="709"/>
        <w:jc w:val="both"/>
        <w:rPr>
          <w:sz w:val="24"/>
          <w:lang w:val="pt-BR"/>
        </w:rPr>
      </w:pPr>
      <w:r>
        <w:rPr>
          <w:sz w:val="24"/>
          <w:lang w:val="pt-BR"/>
        </w:rPr>
        <w:t>Em essência, estas quatro dimensões entrelaçam ciência, história e arte. O objetivo final é iluminar não apenas o significado de uma palavra, mas revelar como ela ativamente molda e é moldada pela nossa compreensão da mente, do corpo e da complexa experiência de estar no mundo.</w:t>
      </w:r>
    </w:p>
    <w:p w14:paraId="38540649" w14:textId="77777777" w:rsidR="0003312E" w:rsidRDefault="0003312E">
      <w:pPr>
        <w:pStyle w:val="NormalWeb"/>
        <w:spacing w:beforeAutospacing="0" w:after="0" w:afterAutospacing="0" w:line="360" w:lineRule="auto"/>
        <w:ind w:firstLine="709"/>
        <w:jc w:val="both"/>
        <w:rPr>
          <w:b/>
          <w:bCs/>
          <w:sz w:val="24"/>
          <w:lang w:val="pt-BR"/>
        </w:rPr>
      </w:pPr>
    </w:p>
    <w:p w14:paraId="0A81E122"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Uma Jornada Ilustrativa: O Caso da Histeria</w:t>
      </w:r>
    </w:p>
    <w:p w14:paraId="33A69B30" w14:textId="77777777" w:rsidR="0003312E" w:rsidRDefault="00000000">
      <w:pPr>
        <w:pStyle w:val="NormalWeb"/>
        <w:spacing w:beforeAutospacing="0" w:after="0" w:afterAutospacing="0" w:line="360" w:lineRule="auto"/>
        <w:ind w:firstLine="709"/>
        <w:jc w:val="both"/>
        <w:rPr>
          <w:sz w:val="24"/>
          <w:lang w:val="pt-BR"/>
        </w:rPr>
      </w:pPr>
      <w:r>
        <w:rPr>
          <w:sz w:val="24"/>
          <w:lang w:val="pt-BR"/>
        </w:rPr>
        <w:t>Para ilustrar essa abordagem multidimensional, que integra a jornada histórica às suas dimensões clínica e cultural, acompanhemos a trajetória da palavra histeria. Do grego </w:t>
      </w:r>
      <w:proofErr w:type="spellStart"/>
      <w:r>
        <w:rPr>
          <w:i/>
          <w:iCs/>
          <w:sz w:val="24"/>
          <w:lang w:val="pt-BR"/>
        </w:rPr>
        <w:t>hystéra</w:t>
      </w:r>
      <w:proofErr w:type="spellEnd"/>
      <w:r>
        <w:rPr>
          <w:sz w:val="24"/>
          <w:lang w:val="pt-BR"/>
        </w:rPr>
        <w:t> ("útero"), o termo nasceu da crença hipocrática de que um "útero errante" percorreria o corpo feminino, causando sintomas de ansiedade e desconforto. Esta concepção anatômica equivocada - porém poeticamente poderosa - moldou por séculos o diagnóstico e tratamento de condições psiquiátricas, culminando até no termo cirúrgico </w:t>
      </w:r>
      <w:r>
        <w:rPr>
          <w:i/>
          <w:iCs/>
          <w:sz w:val="24"/>
          <w:lang w:val="pt-BR"/>
        </w:rPr>
        <w:t>histerectomia</w:t>
      </w:r>
      <w:r>
        <w:rPr>
          <w:sz w:val="24"/>
          <w:lang w:val="pt-BR"/>
        </w:rPr>
        <w:t xml:space="preserve">. A representação visual do útero como uma entidade migratória não é apenas uma curiosidade histórica. É um testemunho eloquente de como metáforas anatômicas podem cristalizar-se em práticas médicas concretas. A </w:t>
      </w:r>
      <w:proofErr w:type="spellStart"/>
      <w:r>
        <w:rPr>
          <w:sz w:val="24"/>
          <w:lang w:val="pt-BR"/>
        </w:rPr>
        <w:t>neuroetimologia</w:t>
      </w:r>
      <w:proofErr w:type="spellEnd"/>
      <w:r>
        <w:rPr>
          <w:sz w:val="24"/>
          <w:lang w:val="pt-BR"/>
        </w:rPr>
        <w:t xml:space="preserve"> desvenda como essa palavra carrega em si não apenas um conceito médico, mas toda uma visão de mundo sobre gênero, corpo e mente.</w:t>
      </w:r>
    </w:p>
    <w:p w14:paraId="199C3F01" w14:textId="77777777" w:rsidR="0003312E" w:rsidRDefault="0003312E">
      <w:pPr>
        <w:pStyle w:val="NormalWeb"/>
        <w:spacing w:beforeAutospacing="0" w:after="0" w:afterAutospacing="0" w:line="360" w:lineRule="auto"/>
        <w:ind w:firstLine="709"/>
        <w:jc w:val="both"/>
        <w:rPr>
          <w:b/>
          <w:bCs/>
          <w:sz w:val="24"/>
          <w:lang w:val="pt-BR"/>
        </w:rPr>
      </w:pPr>
    </w:p>
    <w:p w14:paraId="1A29D68B"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t>Corpus da Obra: Dez Palavras, Dez Limiares</w:t>
      </w:r>
    </w:p>
    <w:p w14:paraId="5218496B" w14:textId="77777777" w:rsidR="0003312E" w:rsidRDefault="00000000">
      <w:pPr>
        <w:pStyle w:val="NormalWeb"/>
        <w:spacing w:beforeAutospacing="0" w:after="0" w:afterAutospacing="0" w:line="360" w:lineRule="auto"/>
        <w:ind w:firstLine="709"/>
        <w:jc w:val="both"/>
        <w:rPr>
          <w:sz w:val="24"/>
          <w:lang w:val="pt-BR"/>
        </w:rPr>
      </w:pPr>
      <w:r>
        <w:rPr>
          <w:sz w:val="24"/>
          <w:lang w:val="pt-BR"/>
        </w:rPr>
        <w:t xml:space="preserve">Este livro não pretende ser um tratado de psicologia. É antes uma cartografia de abismos, delineada por dez palavras que funcionam como </w:t>
      </w:r>
      <w:proofErr w:type="gramStart"/>
      <w:r>
        <w:rPr>
          <w:sz w:val="24"/>
          <w:lang w:val="pt-BR"/>
        </w:rPr>
        <w:t>portais  -</w:t>
      </w:r>
      <w:proofErr w:type="gramEnd"/>
      <w:r>
        <w:rPr>
          <w:sz w:val="24"/>
          <w:lang w:val="pt-BR"/>
        </w:rPr>
        <w:t xml:space="preserve">  não categorias clínicas rígidas, mas narrativas culturais pulsantes que atravessam séculos de pensamento, ciência e arte.</w:t>
      </w:r>
    </w:p>
    <w:p w14:paraId="08C56D2F" w14:textId="77777777" w:rsidR="0003312E" w:rsidRDefault="0003312E">
      <w:pPr>
        <w:pStyle w:val="NormalWeb"/>
        <w:spacing w:beforeAutospacing="0" w:after="0" w:afterAutospacing="0" w:line="360" w:lineRule="auto"/>
        <w:ind w:firstLine="709"/>
        <w:jc w:val="both"/>
        <w:rPr>
          <w:b/>
          <w:bCs/>
          <w:sz w:val="24"/>
          <w:lang w:val="pt-BR"/>
        </w:rPr>
      </w:pPr>
    </w:p>
    <w:p w14:paraId="18FA595A" w14:textId="77777777" w:rsidR="0003312E" w:rsidRDefault="0003312E">
      <w:pPr>
        <w:pStyle w:val="NormalWeb"/>
        <w:spacing w:beforeAutospacing="0" w:after="0" w:afterAutospacing="0" w:line="360" w:lineRule="auto"/>
        <w:ind w:firstLine="709"/>
        <w:jc w:val="both"/>
        <w:rPr>
          <w:b/>
          <w:bCs/>
          <w:sz w:val="24"/>
          <w:lang w:val="pt-BR"/>
        </w:rPr>
      </w:pPr>
    </w:p>
    <w:p w14:paraId="57428ACA" w14:textId="77777777" w:rsidR="0003312E" w:rsidRDefault="0003312E">
      <w:pPr>
        <w:pStyle w:val="NormalWeb"/>
        <w:spacing w:beforeAutospacing="0" w:after="0" w:afterAutospacing="0" w:line="360" w:lineRule="auto"/>
        <w:ind w:firstLine="709"/>
        <w:jc w:val="both"/>
        <w:rPr>
          <w:b/>
          <w:bCs/>
          <w:sz w:val="24"/>
          <w:lang w:val="pt-BR"/>
        </w:rPr>
      </w:pPr>
    </w:p>
    <w:p w14:paraId="2ED350F5" w14:textId="77777777" w:rsidR="0003312E" w:rsidRDefault="00000000">
      <w:pPr>
        <w:pStyle w:val="NormalWeb"/>
        <w:spacing w:beforeAutospacing="0" w:after="0" w:afterAutospacing="0" w:line="360" w:lineRule="auto"/>
        <w:ind w:firstLine="709"/>
        <w:jc w:val="both"/>
        <w:rPr>
          <w:sz w:val="24"/>
          <w:lang w:val="pt-BR"/>
        </w:rPr>
      </w:pPr>
      <w:r>
        <w:rPr>
          <w:b/>
          <w:bCs/>
          <w:sz w:val="24"/>
          <w:lang w:val="pt-BR"/>
        </w:rPr>
        <w:lastRenderedPageBreak/>
        <w:t>Quadro 0.4. Mapa dos Limiares: Arqueologia de Conceitos</w:t>
      </w:r>
    </w:p>
    <w:tbl>
      <w:tblPr>
        <w:tblStyle w:val="TabeladeGrade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680"/>
        <w:gridCol w:w="2339"/>
        <w:gridCol w:w="3597"/>
      </w:tblGrid>
      <w:tr w:rsidR="0003312E" w14:paraId="7ABC7F2A" w14:textId="77777777">
        <w:tc>
          <w:tcPr>
            <w:tcW w:w="0" w:type="auto"/>
          </w:tcPr>
          <w:p w14:paraId="7BD59E38" w14:textId="77777777" w:rsidR="0003312E" w:rsidRDefault="00000000">
            <w:pPr>
              <w:pStyle w:val="NormalWeb"/>
              <w:shd w:val="clear" w:color="auto" w:fill="FFFFFF"/>
              <w:spacing w:beforeAutospacing="0" w:after="0" w:afterAutospacing="0" w:line="240" w:lineRule="auto"/>
              <w:rPr>
                <w:b/>
                <w:bCs/>
                <w:sz w:val="20"/>
                <w:szCs w:val="20"/>
              </w:rPr>
            </w:pPr>
            <w:r>
              <w:rPr>
                <w:b/>
                <w:bCs/>
                <w:sz w:val="20"/>
                <w:szCs w:val="20"/>
              </w:rPr>
              <w:t xml:space="preserve">Estado </w:t>
            </w:r>
            <w:proofErr w:type="spellStart"/>
            <w:r>
              <w:rPr>
                <w:b/>
                <w:bCs/>
                <w:sz w:val="20"/>
                <w:szCs w:val="20"/>
              </w:rPr>
              <w:t>Liminar</w:t>
            </w:r>
            <w:proofErr w:type="spellEnd"/>
          </w:p>
        </w:tc>
        <w:tc>
          <w:tcPr>
            <w:tcW w:w="0" w:type="auto"/>
          </w:tcPr>
          <w:p w14:paraId="4D23B4AB" w14:textId="77777777" w:rsidR="0003312E" w:rsidRDefault="00000000">
            <w:pPr>
              <w:pStyle w:val="NormalWeb"/>
              <w:shd w:val="clear" w:color="auto" w:fill="FFFFFF"/>
              <w:spacing w:beforeAutospacing="0" w:after="0" w:afterAutospacing="0" w:line="240" w:lineRule="auto"/>
              <w:rPr>
                <w:b/>
                <w:bCs/>
                <w:sz w:val="20"/>
                <w:szCs w:val="20"/>
              </w:rPr>
            </w:pPr>
            <w:proofErr w:type="spellStart"/>
            <w:r>
              <w:rPr>
                <w:b/>
                <w:bCs/>
                <w:sz w:val="20"/>
                <w:szCs w:val="20"/>
              </w:rPr>
              <w:t>Figura</w:t>
            </w:r>
            <w:proofErr w:type="spellEnd"/>
            <w:r>
              <w:rPr>
                <w:b/>
                <w:bCs/>
                <w:sz w:val="20"/>
                <w:szCs w:val="20"/>
              </w:rPr>
              <w:t xml:space="preserve"> </w:t>
            </w:r>
            <w:proofErr w:type="spellStart"/>
            <w:r>
              <w:rPr>
                <w:b/>
                <w:bCs/>
                <w:sz w:val="20"/>
                <w:szCs w:val="20"/>
              </w:rPr>
              <w:t>Arquetípica</w:t>
            </w:r>
            <w:proofErr w:type="spellEnd"/>
          </w:p>
        </w:tc>
        <w:tc>
          <w:tcPr>
            <w:tcW w:w="0" w:type="auto"/>
          </w:tcPr>
          <w:p w14:paraId="6DD6D45E" w14:textId="77777777" w:rsidR="0003312E" w:rsidRDefault="00000000">
            <w:pPr>
              <w:pStyle w:val="NormalWeb"/>
              <w:shd w:val="clear" w:color="auto" w:fill="FFFFFF"/>
              <w:spacing w:beforeAutospacing="0" w:after="0" w:afterAutospacing="0" w:line="240" w:lineRule="auto"/>
              <w:rPr>
                <w:b/>
                <w:bCs/>
                <w:sz w:val="20"/>
                <w:szCs w:val="20"/>
              </w:rPr>
            </w:pPr>
            <w:proofErr w:type="spellStart"/>
            <w:r>
              <w:rPr>
                <w:b/>
                <w:bCs/>
                <w:sz w:val="20"/>
                <w:szCs w:val="20"/>
              </w:rPr>
              <w:t>Núcleo</w:t>
            </w:r>
            <w:proofErr w:type="spellEnd"/>
            <w:r>
              <w:rPr>
                <w:b/>
                <w:bCs/>
                <w:sz w:val="20"/>
                <w:szCs w:val="20"/>
              </w:rPr>
              <w:t xml:space="preserve"> </w:t>
            </w:r>
            <w:proofErr w:type="spellStart"/>
            <w:r>
              <w:rPr>
                <w:b/>
                <w:bCs/>
                <w:sz w:val="20"/>
                <w:szCs w:val="20"/>
              </w:rPr>
              <w:t>Temático</w:t>
            </w:r>
            <w:proofErr w:type="spellEnd"/>
          </w:p>
        </w:tc>
        <w:tc>
          <w:tcPr>
            <w:tcW w:w="0" w:type="auto"/>
          </w:tcPr>
          <w:p w14:paraId="659E0897" w14:textId="77777777" w:rsidR="0003312E" w:rsidRDefault="00000000">
            <w:pPr>
              <w:pStyle w:val="NormalWeb"/>
              <w:shd w:val="clear" w:color="auto" w:fill="FFFFFF"/>
              <w:spacing w:beforeAutospacing="0" w:after="0" w:afterAutospacing="0" w:line="240" w:lineRule="auto"/>
              <w:rPr>
                <w:b/>
                <w:bCs/>
                <w:sz w:val="20"/>
                <w:szCs w:val="20"/>
              </w:rPr>
            </w:pPr>
            <w:r>
              <w:rPr>
                <w:b/>
                <w:bCs/>
                <w:sz w:val="20"/>
                <w:szCs w:val="20"/>
              </w:rPr>
              <w:t xml:space="preserve">Raiz </w:t>
            </w:r>
            <w:proofErr w:type="spellStart"/>
            <w:r>
              <w:rPr>
                <w:b/>
                <w:bCs/>
                <w:sz w:val="20"/>
                <w:szCs w:val="20"/>
              </w:rPr>
              <w:t>Etimológica</w:t>
            </w:r>
            <w:proofErr w:type="spellEnd"/>
          </w:p>
        </w:tc>
      </w:tr>
      <w:tr w:rsidR="0003312E" w14:paraId="1B9DFCB9" w14:textId="77777777">
        <w:tc>
          <w:tcPr>
            <w:tcW w:w="0" w:type="auto"/>
          </w:tcPr>
          <w:p w14:paraId="2C676732"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Hipnose</w:t>
            </w:r>
            <w:proofErr w:type="spellEnd"/>
          </w:p>
        </w:tc>
        <w:tc>
          <w:tcPr>
            <w:tcW w:w="0" w:type="auto"/>
          </w:tcPr>
          <w:p w14:paraId="15EEA33D" w14:textId="77777777" w:rsidR="0003312E" w:rsidRDefault="00000000">
            <w:pPr>
              <w:pStyle w:val="NormalWeb"/>
              <w:shd w:val="clear" w:color="auto" w:fill="FFFFFF"/>
              <w:spacing w:beforeAutospacing="0" w:after="0" w:afterAutospacing="0" w:line="240" w:lineRule="auto"/>
              <w:rPr>
                <w:sz w:val="20"/>
                <w:szCs w:val="20"/>
              </w:rPr>
            </w:pPr>
            <w:r>
              <w:rPr>
                <w:sz w:val="20"/>
                <w:szCs w:val="20"/>
              </w:rPr>
              <w:t>James Braid</w:t>
            </w:r>
          </w:p>
        </w:tc>
        <w:tc>
          <w:tcPr>
            <w:tcW w:w="0" w:type="auto"/>
          </w:tcPr>
          <w:p w14:paraId="7EF905DE"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O </w:t>
            </w:r>
            <w:proofErr w:type="spellStart"/>
            <w:r>
              <w:rPr>
                <w:sz w:val="20"/>
                <w:szCs w:val="20"/>
              </w:rPr>
              <w:t>Portão</w:t>
            </w:r>
            <w:proofErr w:type="spellEnd"/>
            <w:r>
              <w:rPr>
                <w:sz w:val="20"/>
                <w:szCs w:val="20"/>
              </w:rPr>
              <w:t xml:space="preserve"> do Sono</w:t>
            </w:r>
          </w:p>
        </w:tc>
        <w:tc>
          <w:tcPr>
            <w:tcW w:w="0" w:type="auto"/>
          </w:tcPr>
          <w:p w14:paraId="32630405" w14:textId="77777777" w:rsidR="0003312E" w:rsidRDefault="00000000">
            <w:pPr>
              <w:pStyle w:val="NormalWeb"/>
              <w:shd w:val="clear" w:color="auto" w:fill="FFFFFF"/>
              <w:spacing w:beforeAutospacing="0" w:after="0" w:afterAutospacing="0" w:line="240" w:lineRule="auto"/>
              <w:rPr>
                <w:sz w:val="20"/>
                <w:szCs w:val="20"/>
              </w:rPr>
            </w:pPr>
            <w:r>
              <w:rPr>
                <w:sz w:val="20"/>
                <w:szCs w:val="20"/>
              </w:rPr>
              <w:t>Grego </w:t>
            </w:r>
            <w:proofErr w:type="spellStart"/>
            <w:r>
              <w:rPr>
                <w:i/>
                <w:iCs/>
                <w:sz w:val="20"/>
                <w:szCs w:val="20"/>
              </w:rPr>
              <w:t>hýpnos</w:t>
            </w:r>
            <w:proofErr w:type="spellEnd"/>
            <w:r>
              <w:rPr>
                <w:sz w:val="20"/>
                <w:szCs w:val="20"/>
              </w:rPr>
              <w:t> (</w:t>
            </w:r>
            <w:proofErr w:type="spellStart"/>
            <w:r>
              <w:rPr>
                <w:sz w:val="20"/>
                <w:szCs w:val="20"/>
              </w:rPr>
              <w:t>sono</w:t>
            </w:r>
            <w:proofErr w:type="spellEnd"/>
            <w:r>
              <w:rPr>
                <w:sz w:val="20"/>
                <w:szCs w:val="20"/>
              </w:rPr>
              <w:t>)</w:t>
            </w:r>
          </w:p>
        </w:tc>
      </w:tr>
      <w:tr w:rsidR="0003312E" w14:paraId="069EE8AF" w14:textId="77777777">
        <w:tc>
          <w:tcPr>
            <w:tcW w:w="0" w:type="auto"/>
          </w:tcPr>
          <w:p w14:paraId="16F514EF" w14:textId="77777777" w:rsidR="0003312E" w:rsidRDefault="00000000">
            <w:pPr>
              <w:pStyle w:val="NormalWeb"/>
              <w:shd w:val="clear" w:color="auto" w:fill="FFFFFF"/>
              <w:spacing w:beforeAutospacing="0" w:after="0" w:afterAutospacing="0" w:line="240" w:lineRule="auto"/>
              <w:rPr>
                <w:sz w:val="20"/>
                <w:szCs w:val="20"/>
              </w:rPr>
            </w:pPr>
            <w:r>
              <w:rPr>
                <w:b/>
                <w:bCs/>
                <w:sz w:val="20"/>
                <w:szCs w:val="20"/>
              </w:rPr>
              <w:t>Coma</w:t>
            </w:r>
          </w:p>
        </w:tc>
        <w:tc>
          <w:tcPr>
            <w:tcW w:w="0" w:type="auto"/>
          </w:tcPr>
          <w:p w14:paraId="5330D27D" w14:textId="77777777" w:rsidR="0003312E" w:rsidRDefault="00000000">
            <w:pPr>
              <w:pStyle w:val="NormalWeb"/>
              <w:shd w:val="clear" w:color="auto" w:fill="FFFFFF"/>
              <w:spacing w:beforeAutospacing="0" w:after="0" w:afterAutospacing="0" w:line="240" w:lineRule="auto"/>
              <w:rPr>
                <w:sz w:val="20"/>
                <w:szCs w:val="20"/>
              </w:rPr>
            </w:pPr>
            <w:r>
              <w:rPr>
                <w:sz w:val="20"/>
                <w:szCs w:val="20"/>
              </w:rPr>
              <w:t>Harvey Cushing</w:t>
            </w:r>
          </w:p>
        </w:tc>
        <w:tc>
          <w:tcPr>
            <w:tcW w:w="0" w:type="auto"/>
          </w:tcPr>
          <w:p w14:paraId="1307F20F"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O </w:t>
            </w:r>
            <w:proofErr w:type="spellStart"/>
            <w:r>
              <w:rPr>
                <w:sz w:val="20"/>
                <w:szCs w:val="20"/>
              </w:rPr>
              <w:t>Silêncio</w:t>
            </w:r>
            <w:proofErr w:type="spellEnd"/>
            <w:r>
              <w:rPr>
                <w:sz w:val="20"/>
                <w:szCs w:val="20"/>
              </w:rPr>
              <w:t xml:space="preserve"> do </w:t>
            </w:r>
            <w:proofErr w:type="spellStart"/>
            <w:r>
              <w:rPr>
                <w:sz w:val="20"/>
                <w:szCs w:val="20"/>
              </w:rPr>
              <w:t>Pensamento</w:t>
            </w:r>
            <w:proofErr w:type="spellEnd"/>
          </w:p>
        </w:tc>
        <w:tc>
          <w:tcPr>
            <w:tcW w:w="0" w:type="auto"/>
          </w:tcPr>
          <w:p w14:paraId="32DDEB76" w14:textId="77777777" w:rsidR="0003312E" w:rsidRDefault="00000000">
            <w:pPr>
              <w:pStyle w:val="NormalWeb"/>
              <w:shd w:val="clear" w:color="auto" w:fill="FFFFFF"/>
              <w:spacing w:beforeAutospacing="0" w:after="0" w:afterAutospacing="0" w:line="240" w:lineRule="auto"/>
              <w:rPr>
                <w:sz w:val="20"/>
                <w:szCs w:val="20"/>
              </w:rPr>
            </w:pPr>
            <w:r>
              <w:rPr>
                <w:sz w:val="20"/>
                <w:szCs w:val="20"/>
              </w:rPr>
              <w:t>Grego </w:t>
            </w:r>
            <w:proofErr w:type="spellStart"/>
            <w:r>
              <w:rPr>
                <w:i/>
                <w:iCs/>
                <w:sz w:val="20"/>
                <w:szCs w:val="20"/>
              </w:rPr>
              <w:t>kôma</w:t>
            </w:r>
            <w:proofErr w:type="spellEnd"/>
            <w:r>
              <w:rPr>
                <w:sz w:val="20"/>
                <w:szCs w:val="20"/>
              </w:rPr>
              <w:t> (</w:t>
            </w:r>
            <w:proofErr w:type="spellStart"/>
            <w:r>
              <w:rPr>
                <w:sz w:val="20"/>
                <w:szCs w:val="20"/>
              </w:rPr>
              <w:t>sono</w:t>
            </w:r>
            <w:proofErr w:type="spellEnd"/>
            <w:r>
              <w:rPr>
                <w:sz w:val="20"/>
                <w:szCs w:val="20"/>
              </w:rPr>
              <w:t xml:space="preserve"> profundo)</w:t>
            </w:r>
          </w:p>
        </w:tc>
      </w:tr>
      <w:tr w:rsidR="0003312E" w14:paraId="4FD8C95B" w14:textId="77777777">
        <w:tc>
          <w:tcPr>
            <w:tcW w:w="0" w:type="auto"/>
          </w:tcPr>
          <w:p w14:paraId="19513ABF" w14:textId="77777777" w:rsidR="0003312E" w:rsidRDefault="00000000">
            <w:pPr>
              <w:pStyle w:val="NormalWeb"/>
              <w:shd w:val="clear" w:color="auto" w:fill="FFFFFF"/>
              <w:spacing w:beforeAutospacing="0" w:after="0" w:afterAutospacing="0" w:line="240" w:lineRule="auto"/>
              <w:rPr>
                <w:sz w:val="20"/>
                <w:szCs w:val="20"/>
              </w:rPr>
            </w:pPr>
            <w:r>
              <w:rPr>
                <w:b/>
                <w:bCs/>
                <w:sz w:val="20"/>
                <w:szCs w:val="20"/>
              </w:rPr>
              <w:t>Frenesi</w:t>
            </w:r>
          </w:p>
        </w:tc>
        <w:tc>
          <w:tcPr>
            <w:tcW w:w="0" w:type="auto"/>
          </w:tcPr>
          <w:p w14:paraId="5C477B90" w14:textId="77777777" w:rsidR="0003312E" w:rsidRDefault="00000000">
            <w:pPr>
              <w:pStyle w:val="NormalWeb"/>
              <w:shd w:val="clear" w:color="auto" w:fill="FFFFFF"/>
              <w:spacing w:beforeAutospacing="0" w:after="0" w:afterAutospacing="0" w:line="240" w:lineRule="auto"/>
              <w:rPr>
                <w:sz w:val="20"/>
                <w:szCs w:val="20"/>
              </w:rPr>
            </w:pPr>
            <w:r>
              <w:rPr>
                <w:sz w:val="20"/>
                <w:szCs w:val="20"/>
              </w:rPr>
              <w:t>Friedrich Nietzsche</w:t>
            </w:r>
          </w:p>
        </w:tc>
        <w:tc>
          <w:tcPr>
            <w:tcW w:w="0" w:type="auto"/>
          </w:tcPr>
          <w:p w14:paraId="3D5C3CC6" w14:textId="77777777" w:rsidR="0003312E" w:rsidRDefault="00000000">
            <w:pPr>
              <w:pStyle w:val="NormalWeb"/>
              <w:shd w:val="clear" w:color="auto" w:fill="FFFFFF"/>
              <w:spacing w:beforeAutospacing="0" w:after="0" w:afterAutospacing="0" w:line="240" w:lineRule="auto"/>
              <w:rPr>
                <w:sz w:val="20"/>
                <w:szCs w:val="20"/>
              </w:rPr>
            </w:pPr>
            <w:proofErr w:type="gramStart"/>
            <w:r>
              <w:rPr>
                <w:sz w:val="20"/>
                <w:szCs w:val="20"/>
              </w:rPr>
              <w:t>A</w:t>
            </w:r>
            <w:proofErr w:type="gramEnd"/>
            <w:r>
              <w:rPr>
                <w:sz w:val="20"/>
                <w:szCs w:val="20"/>
              </w:rPr>
              <w:t xml:space="preserve"> Ira da Mente</w:t>
            </w:r>
          </w:p>
        </w:tc>
        <w:tc>
          <w:tcPr>
            <w:tcW w:w="0" w:type="auto"/>
          </w:tcPr>
          <w:p w14:paraId="16943C44"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Grego </w:t>
            </w:r>
            <w:proofErr w:type="spellStart"/>
            <w:r>
              <w:rPr>
                <w:i/>
                <w:iCs/>
                <w:sz w:val="20"/>
                <w:szCs w:val="20"/>
                <w:lang w:val="pt-BR"/>
              </w:rPr>
              <w:t>phrenítis</w:t>
            </w:r>
            <w:proofErr w:type="spellEnd"/>
            <w:r>
              <w:rPr>
                <w:sz w:val="20"/>
                <w:szCs w:val="20"/>
                <w:lang w:val="pt-BR"/>
              </w:rPr>
              <w:t> (inflamação da mente)</w:t>
            </w:r>
          </w:p>
        </w:tc>
      </w:tr>
      <w:tr w:rsidR="0003312E" w14:paraId="5DD4A827" w14:textId="77777777">
        <w:tc>
          <w:tcPr>
            <w:tcW w:w="0" w:type="auto"/>
          </w:tcPr>
          <w:p w14:paraId="4AB17AEE"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Melancolia</w:t>
            </w:r>
            <w:proofErr w:type="spellEnd"/>
          </w:p>
        </w:tc>
        <w:tc>
          <w:tcPr>
            <w:tcW w:w="0" w:type="auto"/>
          </w:tcPr>
          <w:p w14:paraId="15C5D242" w14:textId="77777777" w:rsidR="0003312E" w:rsidRDefault="00000000">
            <w:pPr>
              <w:pStyle w:val="NormalWeb"/>
              <w:shd w:val="clear" w:color="auto" w:fill="FFFFFF"/>
              <w:spacing w:beforeAutospacing="0" w:after="0" w:afterAutospacing="0" w:line="240" w:lineRule="auto"/>
              <w:rPr>
                <w:sz w:val="20"/>
                <w:szCs w:val="20"/>
              </w:rPr>
            </w:pPr>
            <w:r>
              <w:rPr>
                <w:sz w:val="20"/>
                <w:szCs w:val="20"/>
              </w:rPr>
              <w:t>Robert Burton</w:t>
            </w:r>
          </w:p>
        </w:tc>
        <w:tc>
          <w:tcPr>
            <w:tcW w:w="0" w:type="auto"/>
          </w:tcPr>
          <w:p w14:paraId="611FE0A0"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A </w:t>
            </w:r>
            <w:proofErr w:type="spellStart"/>
            <w:r>
              <w:rPr>
                <w:sz w:val="20"/>
                <w:szCs w:val="20"/>
              </w:rPr>
              <w:t>Cidade</w:t>
            </w:r>
            <w:proofErr w:type="spellEnd"/>
            <w:r>
              <w:rPr>
                <w:sz w:val="20"/>
                <w:szCs w:val="20"/>
              </w:rPr>
              <w:t xml:space="preserve"> </w:t>
            </w:r>
            <w:proofErr w:type="spellStart"/>
            <w:r>
              <w:rPr>
                <w:sz w:val="20"/>
                <w:szCs w:val="20"/>
              </w:rPr>
              <w:t>Subterrânea</w:t>
            </w:r>
            <w:proofErr w:type="spellEnd"/>
          </w:p>
        </w:tc>
        <w:tc>
          <w:tcPr>
            <w:tcW w:w="0" w:type="auto"/>
          </w:tcPr>
          <w:p w14:paraId="1EF9523D"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Grego </w:t>
            </w:r>
            <w:proofErr w:type="spellStart"/>
            <w:r>
              <w:rPr>
                <w:i/>
                <w:iCs/>
                <w:sz w:val="20"/>
                <w:szCs w:val="20"/>
                <w:lang w:val="pt-BR"/>
              </w:rPr>
              <w:t>mélas</w:t>
            </w:r>
            <w:proofErr w:type="spellEnd"/>
            <w:r>
              <w:rPr>
                <w:sz w:val="20"/>
                <w:szCs w:val="20"/>
                <w:lang w:val="pt-BR"/>
              </w:rPr>
              <w:t> (negro) + </w:t>
            </w:r>
            <w:proofErr w:type="spellStart"/>
            <w:r>
              <w:rPr>
                <w:i/>
                <w:iCs/>
                <w:sz w:val="20"/>
                <w:szCs w:val="20"/>
                <w:lang w:val="pt-BR"/>
              </w:rPr>
              <w:t>kholḗ</w:t>
            </w:r>
            <w:proofErr w:type="spellEnd"/>
            <w:r>
              <w:rPr>
                <w:sz w:val="20"/>
                <w:szCs w:val="20"/>
                <w:lang w:val="pt-BR"/>
              </w:rPr>
              <w:t> (bile)</w:t>
            </w:r>
          </w:p>
        </w:tc>
      </w:tr>
      <w:tr w:rsidR="0003312E" w14:paraId="3C7409C5" w14:textId="77777777">
        <w:tc>
          <w:tcPr>
            <w:tcW w:w="0" w:type="auto"/>
          </w:tcPr>
          <w:p w14:paraId="4243D0A3"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Êxtase</w:t>
            </w:r>
            <w:proofErr w:type="spellEnd"/>
          </w:p>
        </w:tc>
        <w:tc>
          <w:tcPr>
            <w:tcW w:w="0" w:type="auto"/>
          </w:tcPr>
          <w:p w14:paraId="3EA7C958" w14:textId="77777777" w:rsidR="0003312E" w:rsidRDefault="00000000">
            <w:pPr>
              <w:pStyle w:val="NormalWeb"/>
              <w:shd w:val="clear" w:color="auto" w:fill="FFFFFF"/>
              <w:spacing w:beforeAutospacing="0" w:after="0" w:afterAutospacing="0" w:line="240" w:lineRule="auto"/>
              <w:rPr>
                <w:sz w:val="20"/>
                <w:szCs w:val="20"/>
              </w:rPr>
            </w:pPr>
            <w:r>
              <w:rPr>
                <w:sz w:val="20"/>
                <w:szCs w:val="20"/>
              </w:rPr>
              <w:t>Santa Teresa de Ávila</w:t>
            </w:r>
          </w:p>
        </w:tc>
        <w:tc>
          <w:tcPr>
            <w:tcW w:w="0" w:type="auto"/>
          </w:tcPr>
          <w:p w14:paraId="45E3FD6D"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A </w:t>
            </w:r>
            <w:proofErr w:type="spellStart"/>
            <w:r>
              <w:rPr>
                <w:sz w:val="20"/>
                <w:szCs w:val="20"/>
              </w:rPr>
              <w:t>Transcendência</w:t>
            </w:r>
            <w:proofErr w:type="spellEnd"/>
          </w:p>
        </w:tc>
        <w:tc>
          <w:tcPr>
            <w:tcW w:w="0" w:type="auto"/>
          </w:tcPr>
          <w:p w14:paraId="567E0AE0"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Grego </w:t>
            </w:r>
            <w:proofErr w:type="spellStart"/>
            <w:r>
              <w:rPr>
                <w:i/>
                <w:iCs/>
                <w:sz w:val="20"/>
                <w:szCs w:val="20"/>
                <w:lang w:val="pt-BR"/>
              </w:rPr>
              <w:t>ékstasis</w:t>
            </w:r>
            <w:proofErr w:type="spellEnd"/>
            <w:r>
              <w:rPr>
                <w:sz w:val="20"/>
                <w:szCs w:val="20"/>
                <w:lang w:val="pt-BR"/>
              </w:rPr>
              <w:t> (estar fora de si)</w:t>
            </w:r>
          </w:p>
        </w:tc>
      </w:tr>
      <w:tr w:rsidR="0003312E" w14:paraId="7E828F39" w14:textId="77777777">
        <w:tc>
          <w:tcPr>
            <w:tcW w:w="0" w:type="auto"/>
          </w:tcPr>
          <w:p w14:paraId="4AA78E9A"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Delírio</w:t>
            </w:r>
            <w:proofErr w:type="spellEnd"/>
          </w:p>
        </w:tc>
        <w:tc>
          <w:tcPr>
            <w:tcW w:w="0" w:type="auto"/>
          </w:tcPr>
          <w:p w14:paraId="19168117" w14:textId="77777777" w:rsidR="0003312E" w:rsidRDefault="00000000">
            <w:pPr>
              <w:pStyle w:val="NormalWeb"/>
              <w:shd w:val="clear" w:color="auto" w:fill="FFFFFF"/>
              <w:spacing w:beforeAutospacing="0" w:after="0" w:afterAutospacing="0" w:line="240" w:lineRule="auto"/>
              <w:rPr>
                <w:sz w:val="20"/>
                <w:szCs w:val="20"/>
              </w:rPr>
            </w:pPr>
            <w:r>
              <w:rPr>
                <w:sz w:val="20"/>
                <w:szCs w:val="20"/>
              </w:rPr>
              <w:t>Vincent van Gogh</w:t>
            </w:r>
          </w:p>
        </w:tc>
        <w:tc>
          <w:tcPr>
            <w:tcW w:w="0" w:type="auto"/>
          </w:tcPr>
          <w:p w14:paraId="0F630C5A"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O </w:t>
            </w:r>
            <w:proofErr w:type="spellStart"/>
            <w:r>
              <w:rPr>
                <w:sz w:val="20"/>
                <w:szCs w:val="20"/>
              </w:rPr>
              <w:t>Labirinto</w:t>
            </w:r>
            <w:proofErr w:type="spellEnd"/>
            <w:r>
              <w:rPr>
                <w:sz w:val="20"/>
                <w:szCs w:val="20"/>
              </w:rPr>
              <w:t xml:space="preserve"> </w:t>
            </w:r>
            <w:proofErr w:type="spellStart"/>
            <w:r>
              <w:rPr>
                <w:sz w:val="20"/>
                <w:szCs w:val="20"/>
              </w:rPr>
              <w:t>Invertido</w:t>
            </w:r>
            <w:proofErr w:type="spellEnd"/>
          </w:p>
        </w:tc>
        <w:tc>
          <w:tcPr>
            <w:tcW w:w="0" w:type="auto"/>
          </w:tcPr>
          <w:p w14:paraId="65DD86A0"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Latim </w:t>
            </w:r>
            <w:proofErr w:type="spellStart"/>
            <w:r>
              <w:rPr>
                <w:i/>
                <w:iCs/>
                <w:sz w:val="20"/>
                <w:szCs w:val="20"/>
                <w:lang w:val="pt-BR"/>
              </w:rPr>
              <w:t>delirare</w:t>
            </w:r>
            <w:proofErr w:type="spellEnd"/>
            <w:r>
              <w:rPr>
                <w:sz w:val="20"/>
                <w:szCs w:val="20"/>
                <w:lang w:val="pt-BR"/>
              </w:rPr>
              <w:t> (sair do sulco)</w:t>
            </w:r>
          </w:p>
        </w:tc>
      </w:tr>
      <w:tr w:rsidR="0003312E" w14:paraId="60C8A734" w14:textId="77777777">
        <w:tc>
          <w:tcPr>
            <w:tcW w:w="0" w:type="auto"/>
          </w:tcPr>
          <w:p w14:paraId="71BD7B82" w14:textId="77777777" w:rsidR="0003312E" w:rsidRDefault="00000000">
            <w:pPr>
              <w:pStyle w:val="NormalWeb"/>
              <w:shd w:val="clear" w:color="auto" w:fill="FFFFFF"/>
              <w:spacing w:beforeAutospacing="0" w:after="0" w:afterAutospacing="0" w:line="240" w:lineRule="auto"/>
              <w:rPr>
                <w:sz w:val="20"/>
                <w:szCs w:val="20"/>
              </w:rPr>
            </w:pPr>
            <w:r>
              <w:rPr>
                <w:b/>
                <w:bCs/>
                <w:sz w:val="20"/>
                <w:szCs w:val="20"/>
              </w:rPr>
              <w:t>Histeria</w:t>
            </w:r>
          </w:p>
        </w:tc>
        <w:tc>
          <w:tcPr>
            <w:tcW w:w="0" w:type="auto"/>
          </w:tcPr>
          <w:p w14:paraId="0D382988" w14:textId="77777777" w:rsidR="0003312E" w:rsidRDefault="00000000">
            <w:pPr>
              <w:pStyle w:val="NormalWeb"/>
              <w:shd w:val="clear" w:color="auto" w:fill="FFFFFF"/>
              <w:spacing w:beforeAutospacing="0" w:after="0" w:afterAutospacing="0" w:line="240" w:lineRule="auto"/>
              <w:rPr>
                <w:sz w:val="20"/>
                <w:szCs w:val="20"/>
              </w:rPr>
            </w:pPr>
            <w:r>
              <w:rPr>
                <w:sz w:val="20"/>
                <w:szCs w:val="20"/>
              </w:rPr>
              <w:t>Jean-Martin Charcot</w:t>
            </w:r>
          </w:p>
        </w:tc>
        <w:tc>
          <w:tcPr>
            <w:tcW w:w="0" w:type="auto"/>
          </w:tcPr>
          <w:p w14:paraId="3E9E1143"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O Código da </w:t>
            </w:r>
            <w:proofErr w:type="spellStart"/>
            <w:r>
              <w:rPr>
                <w:sz w:val="20"/>
                <w:szCs w:val="20"/>
              </w:rPr>
              <w:t>Memória</w:t>
            </w:r>
            <w:proofErr w:type="spellEnd"/>
          </w:p>
        </w:tc>
        <w:tc>
          <w:tcPr>
            <w:tcW w:w="0" w:type="auto"/>
          </w:tcPr>
          <w:p w14:paraId="5108FC6C" w14:textId="77777777" w:rsidR="0003312E" w:rsidRDefault="00000000">
            <w:pPr>
              <w:pStyle w:val="NormalWeb"/>
              <w:shd w:val="clear" w:color="auto" w:fill="FFFFFF"/>
              <w:spacing w:beforeAutospacing="0" w:after="0" w:afterAutospacing="0" w:line="240" w:lineRule="auto"/>
              <w:rPr>
                <w:sz w:val="20"/>
                <w:szCs w:val="20"/>
              </w:rPr>
            </w:pPr>
            <w:r>
              <w:rPr>
                <w:sz w:val="20"/>
                <w:szCs w:val="20"/>
              </w:rPr>
              <w:t>Grego </w:t>
            </w:r>
            <w:proofErr w:type="spellStart"/>
            <w:r>
              <w:rPr>
                <w:i/>
                <w:iCs/>
                <w:sz w:val="20"/>
                <w:szCs w:val="20"/>
              </w:rPr>
              <w:t>hystéra</w:t>
            </w:r>
            <w:proofErr w:type="spellEnd"/>
            <w:r>
              <w:rPr>
                <w:sz w:val="20"/>
                <w:szCs w:val="20"/>
              </w:rPr>
              <w:t> (</w:t>
            </w:r>
            <w:proofErr w:type="spellStart"/>
            <w:r>
              <w:rPr>
                <w:sz w:val="20"/>
                <w:szCs w:val="20"/>
              </w:rPr>
              <w:t>útero</w:t>
            </w:r>
            <w:proofErr w:type="spellEnd"/>
            <w:r>
              <w:rPr>
                <w:sz w:val="20"/>
                <w:szCs w:val="20"/>
              </w:rPr>
              <w:t>)</w:t>
            </w:r>
          </w:p>
        </w:tc>
      </w:tr>
      <w:tr w:rsidR="0003312E" w14:paraId="5B1D2AF4" w14:textId="77777777">
        <w:tc>
          <w:tcPr>
            <w:tcW w:w="0" w:type="auto"/>
          </w:tcPr>
          <w:p w14:paraId="0CC36C48"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Neurastenia</w:t>
            </w:r>
            <w:proofErr w:type="spellEnd"/>
          </w:p>
        </w:tc>
        <w:tc>
          <w:tcPr>
            <w:tcW w:w="0" w:type="auto"/>
          </w:tcPr>
          <w:p w14:paraId="401DB955" w14:textId="77777777" w:rsidR="0003312E" w:rsidRDefault="00000000">
            <w:pPr>
              <w:pStyle w:val="NormalWeb"/>
              <w:shd w:val="clear" w:color="auto" w:fill="FFFFFF"/>
              <w:spacing w:beforeAutospacing="0" w:after="0" w:afterAutospacing="0" w:line="240" w:lineRule="auto"/>
              <w:rPr>
                <w:sz w:val="20"/>
                <w:szCs w:val="20"/>
              </w:rPr>
            </w:pPr>
            <w:r>
              <w:rPr>
                <w:sz w:val="20"/>
                <w:szCs w:val="20"/>
              </w:rPr>
              <w:t>George Miller Beard</w:t>
            </w:r>
          </w:p>
        </w:tc>
        <w:tc>
          <w:tcPr>
            <w:tcW w:w="0" w:type="auto"/>
          </w:tcPr>
          <w:p w14:paraId="4F5BCE0A" w14:textId="77777777" w:rsidR="0003312E" w:rsidRDefault="00000000">
            <w:pPr>
              <w:pStyle w:val="NormalWeb"/>
              <w:shd w:val="clear" w:color="auto" w:fill="FFFFFF"/>
              <w:spacing w:beforeAutospacing="0" w:after="0" w:afterAutospacing="0" w:line="240" w:lineRule="auto"/>
              <w:rPr>
                <w:sz w:val="20"/>
                <w:szCs w:val="20"/>
              </w:rPr>
            </w:pPr>
            <w:proofErr w:type="gramStart"/>
            <w:r>
              <w:rPr>
                <w:sz w:val="20"/>
                <w:szCs w:val="20"/>
              </w:rPr>
              <w:t>A</w:t>
            </w:r>
            <w:proofErr w:type="gramEnd"/>
            <w:r>
              <w:rPr>
                <w:sz w:val="20"/>
                <w:szCs w:val="20"/>
              </w:rPr>
              <w:t xml:space="preserve"> Era do </w:t>
            </w:r>
            <w:proofErr w:type="spellStart"/>
            <w:r>
              <w:rPr>
                <w:sz w:val="20"/>
                <w:szCs w:val="20"/>
              </w:rPr>
              <w:t>Excesso</w:t>
            </w:r>
            <w:proofErr w:type="spellEnd"/>
          </w:p>
        </w:tc>
        <w:tc>
          <w:tcPr>
            <w:tcW w:w="0" w:type="auto"/>
          </w:tcPr>
          <w:p w14:paraId="0FFC3F82"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Grego </w:t>
            </w:r>
            <w:proofErr w:type="spellStart"/>
            <w:r>
              <w:rPr>
                <w:i/>
                <w:iCs/>
                <w:sz w:val="20"/>
                <w:szCs w:val="20"/>
                <w:lang w:val="pt-BR"/>
              </w:rPr>
              <w:t>neûron</w:t>
            </w:r>
            <w:proofErr w:type="spellEnd"/>
            <w:r>
              <w:rPr>
                <w:sz w:val="20"/>
                <w:szCs w:val="20"/>
                <w:lang w:val="pt-BR"/>
              </w:rPr>
              <w:t> (nervo) + </w:t>
            </w:r>
            <w:proofErr w:type="spellStart"/>
            <w:r>
              <w:rPr>
                <w:i/>
                <w:iCs/>
                <w:sz w:val="20"/>
                <w:szCs w:val="20"/>
                <w:lang w:val="pt-BR"/>
              </w:rPr>
              <w:t>asthéneia</w:t>
            </w:r>
            <w:proofErr w:type="spellEnd"/>
            <w:r>
              <w:rPr>
                <w:sz w:val="20"/>
                <w:szCs w:val="20"/>
                <w:lang w:val="pt-BR"/>
              </w:rPr>
              <w:t> (fraqueza)</w:t>
            </w:r>
          </w:p>
        </w:tc>
      </w:tr>
      <w:tr w:rsidR="0003312E" w14:paraId="1B3B9C1E" w14:textId="77777777">
        <w:tc>
          <w:tcPr>
            <w:tcW w:w="0" w:type="auto"/>
          </w:tcPr>
          <w:p w14:paraId="0905AC7C" w14:textId="77777777" w:rsidR="0003312E" w:rsidRDefault="00000000">
            <w:pPr>
              <w:pStyle w:val="NormalWeb"/>
              <w:shd w:val="clear" w:color="auto" w:fill="FFFFFF"/>
              <w:spacing w:beforeAutospacing="0" w:after="0" w:afterAutospacing="0" w:line="240" w:lineRule="auto"/>
              <w:rPr>
                <w:sz w:val="20"/>
                <w:szCs w:val="20"/>
              </w:rPr>
            </w:pPr>
            <w:proofErr w:type="spellStart"/>
            <w:r>
              <w:rPr>
                <w:b/>
                <w:bCs/>
                <w:sz w:val="20"/>
                <w:szCs w:val="20"/>
              </w:rPr>
              <w:t>Ansiedade</w:t>
            </w:r>
            <w:proofErr w:type="spellEnd"/>
          </w:p>
        </w:tc>
        <w:tc>
          <w:tcPr>
            <w:tcW w:w="0" w:type="auto"/>
          </w:tcPr>
          <w:p w14:paraId="39B6BC5B" w14:textId="77777777" w:rsidR="0003312E" w:rsidRDefault="00000000">
            <w:pPr>
              <w:pStyle w:val="NormalWeb"/>
              <w:shd w:val="clear" w:color="auto" w:fill="FFFFFF"/>
              <w:spacing w:beforeAutospacing="0" w:after="0" w:afterAutospacing="0" w:line="240" w:lineRule="auto"/>
              <w:rPr>
                <w:sz w:val="20"/>
                <w:szCs w:val="20"/>
              </w:rPr>
            </w:pPr>
            <w:r>
              <w:rPr>
                <w:sz w:val="20"/>
                <w:szCs w:val="20"/>
              </w:rPr>
              <w:t>Søren Kierkegaard</w:t>
            </w:r>
          </w:p>
        </w:tc>
        <w:tc>
          <w:tcPr>
            <w:tcW w:w="0" w:type="auto"/>
          </w:tcPr>
          <w:p w14:paraId="3264C873"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O Aperto que Molda a Existência</w:t>
            </w:r>
          </w:p>
        </w:tc>
        <w:tc>
          <w:tcPr>
            <w:tcW w:w="0" w:type="auto"/>
          </w:tcPr>
          <w:p w14:paraId="5F6AB200" w14:textId="77777777" w:rsidR="0003312E" w:rsidRDefault="00000000">
            <w:pPr>
              <w:pStyle w:val="NormalWeb"/>
              <w:shd w:val="clear" w:color="auto" w:fill="FFFFFF"/>
              <w:spacing w:beforeAutospacing="0" w:after="0" w:afterAutospacing="0" w:line="240" w:lineRule="auto"/>
              <w:rPr>
                <w:sz w:val="20"/>
                <w:szCs w:val="20"/>
              </w:rPr>
            </w:pPr>
            <w:r>
              <w:rPr>
                <w:sz w:val="20"/>
                <w:szCs w:val="20"/>
              </w:rPr>
              <w:t>Latim </w:t>
            </w:r>
            <w:proofErr w:type="spellStart"/>
            <w:r>
              <w:rPr>
                <w:i/>
                <w:iCs/>
                <w:sz w:val="20"/>
                <w:szCs w:val="20"/>
              </w:rPr>
              <w:t>anxietas</w:t>
            </w:r>
            <w:proofErr w:type="spellEnd"/>
            <w:r>
              <w:rPr>
                <w:sz w:val="20"/>
                <w:szCs w:val="20"/>
              </w:rPr>
              <w:t> (</w:t>
            </w:r>
            <w:proofErr w:type="spellStart"/>
            <w:r>
              <w:rPr>
                <w:sz w:val="20"/>
                <w:szCs w:val="20"/>
              </w:rPr>
              <w:t>apertar</w:t>
            </w:r>
            <w:proofErr w:type="spellEnd"/>
            <w:r>
              <w:rPr>
                <w:sz w:val="20"/>
                <w:szCs w:val="20"/>
              </w:rPr>
              <w:t>)</w:t>
            </w:r>
          </w:p>
        </w:tc>
      </w:tr>
      <w:tr w:rsidR="0003312E" w14:paraId="1CD594BD" w14:textId="77777777">
        <w:tc>
          <w:tcPr>
            <w:tcW w:w="0" w:type="auto"/>
          </w:tcPr>
          <w:p w14:paraId="58E0F6E0" w14:textId="77777777" w:rsidR="0003312E" w:rsidRDefault="00000000">
            <w:pPr>
              <w:pStyle w:val="NormalWeb"/>
              <w:shd w:val="clear" w:color="auto" w:fill="FFFFFF"/>
              <w:spacing w:beforeAutospacing="0" w:after="0" w:afterAutospacing="0" w:line="240" w:lineRule="auto"/>
              <w:rPr>
                <w:sz w:val="20"/>
                <w:szCs w:val="20"/>
              </w:rPr>
            </w:pPr>
            <w:r>
              <w:rPr>
                <w:b/>
                <w:bCs/>
                <w:sz w:val="20"/>
                <w:szCs w:val="20"/>
              </w:rPr>
              <w:t>Eutimia</w:t>
            </w:r>
          </w:p>
        </w:tc>
        <w:tc>
          <w:tcPr>
            <w:tcW w:w="0" w:type="auto"/>
          </w:tcPr>
          <w:p w14:paraId="496BD042" w14:textId="77777777" w:rsidR="0003312E" w:rsidRDefault="00000000">
            <w:pPr>
              <w:pStyle w:val="NormalWeb"/>
              <w:shd w:val="clear" w:color="auto" w:fill="FFFFFF"/>
              <w:spacing w:beforeAutospacing="0" w:after="0" w:afterAutospacing="0" w:line="240" w:lineRule="auto"/>
              <w:rPr>
                <w:sz w:val="20"/>
                <w:szCs w:val="20"/>
              </w:rPr>
            </w:pPr>
            <w:proofErr w:type="spellStart"/>
            <w:r>
              <w:rPr>
                <w:sz w:val="20"/>
                <w:szCs w:val="20"/>
              </w:rPr>
              <w:t>Demócrito</w:t>
            </w:r>
            <w:proofErr w:type="spellEnd"/>
          </w:p>
        </w:tc>
        <w:tc>
          <w:tcPr>
            <w:tcW w:w="0" w:type="auto"/>
          </w:tcPr>
          <w:p w14:paraId="4821487F" w14:textId="77777777" w:rsidR="0003312E" w:rsidRDefault="00000000">
            <w:pPr>
              <w:pStyle w:val="NormalWeb"/>
              <w:shd w:val="clear" w:color="auto" w:fill="FFFFFF"/>
              <w:spacing w:beforeAutospacing="0" w:after="0" w:afterAutospacing="0" w:line="240" w:lineRule="auto"/>
              <w:rPr>
                <w:sz w:val="20"/>
                <w:szCs w:val="20"/>
              </w:rPr>
            </w:pPr>
            <w:r>
              <w:rPr>
                <w:sz w:val="20"/>
                <w:szCs w:val="20"/>
              </w:rPr>
              <w:t xml:space="preserve">O Horizonte da </w:t>
            </w:r>
            <w:proofErr w:type="spellStart"/>
            <w:r>
              <w:rPr>
                <w:sz w:val="20"/>
                <w:szCs w:val="20"/>
              </w:rPr>
              <w:t>Serenidade</w:t>
            </w:r>
            <w:proofErr w:type="spellEnd"/>
          </w:p>
        </w:tc>
        <w:tc>
          <w:tcPr>
            <w:tcW w:w="0" w:type="auto"/>
          </w:tcPr>
          <w:p w14:paraId="3FE705C8" w14:textId="77777777" w:rsidR="0003312E" w:rsidRDefault="00000000">
            <w:pPr>
              <w:pStyle w:val="NormalWeb"/>
              <w:shd w:val="clear" w:color="auto" w:fill="FFFFFF"/>
              <w:spacing w:beforeAutospacing="0" w:after="0" w:afterAutospacing="0" w:line="240" w:lineRule="auto"/>
              <w:rPr>
                <w:sz w:val="20"/>
                <w:szCs w:val="20"/>
                <w:lang w:val="pt-BR"/>
              </w:rPr>
            </w:pPr>
            <w:r>
              <w:rPr>
                <w:sz w:val="20"/>
                <w:szCs w:val="20"/>
                <w:lang w:val="pt-BR"/>
              </w:rPr>
              <w:t>Grego </w:t>
            </w:r>
            <w:r>
              <w:rPr>
                <w:i/>
                <w:iCs/>
                <w:sz w:val="20"/>
                <w:szCs w:val="20"/>
                <w:lang w:val="pt-BR"/>
              </w:rPr>
              <w:t>eu</w:t>
            </w:r>
            <w:r>
              <w:rPr>
                <w:sz w:val="20"/>
                <w:szCs w:val="20"/>
                <w:lang w:val="pt-BR"/>
              </w:rPr>
              <w:t> (bom, harmonia) + </w:t>
            </w:r>
            <w:proofErr w:type="spellStart"/>
            <w:r>
              <w:rPr>
                <w:i/>
                <w:iCs/>
                <w:sz w:val="20"/>
                <w:szCs w:val="20"/>
                <w:lang w:val="pt-BR"/>
              </w:rPr>
              <w:t>thymós</w:t>
            </w:r>
            <w:proofErr w:type="spellEnd"/>
            <w:r>
              <w:rPr>
                <w:sz w:val="20"/>
                <w:szCs w:val="20"/>
                <w:lang w:val="pt-BR"/>
              </w:rPr>
              <w:t> (ânimo, alma)</w:t>
            </w:r>
          </w:p>
        </w:tc>
      </w:tr>
    </w:tbl>
    <w:p w14:paraId="48B7CA49" w14:textId="77777777" w:rsidR="0003312E" w:rsidRDefault="0003312E">
      <w:pPr>
        <w:pStyle w:val="NormalWeb"/>
        <w:spacing w:beforeAutospacing="0" w:after="0" w:afterAutospacing="0" w:line="360" w:lineRule="auto"/>
        <w:ind w:firstLine="709"/>
        <w:jc w:val="both"/>
        <w:rPr>
          <w:sz w:val="24"/>
          <w:lang w:val="pt-BR"/>
        </w:rPr>
      </w:pPr>
    </w:p>
    <w:p w14:paraId="4DD83221" w14:textId="77777777" w:rsidR="0003312E" w:rsidRDefault="00000000">
      <w:pPr>
        <w:pStyle w:val="NormalWeb"/>
        <w:spacing w:beforeAutospacing="0" w:after="0" w:afterAutospacing="0" w:line="360" w:lineRule="auto"/>
        <w:ind w:firstLine="709"/>
        <w:jc w:val="both"/>
        <w:rPr>
          <w:sz w:val="24"/>
          <w:lang w:val="pt-BR"/>
        </w:rPr>
      </w:pPr>
      <w:r>
        <w:rPr>
          <w:sz w:val="24"/>
          <w:lang w:val="pt-BR"/>
        </w:rPr>
        <w:t>Estes termos foram escolhidos por representarem estados liminares, experiências que ultrapassam o campo clínico para se tornarem arquétipos culturais. Habitam as fronteiras entre normalidade e patologia, entre razão e desrazão, entre corpo e metáfora. Cada um é um espelho do humano, e juntos compõem uma arqueologia dos modos de habitar a consciência.</w:t>
      </w:r>
    </w:p>
    <w:p w14:paraId="7A07ED22" w14:textId="77777777" w:rsidR="0003312E" w:rsidRDefault="00000000">
      <w:pPr>
        <w:pStyle w:val="NormalWeb"/>
        <w:spacing w:beforeAutospacing="0" w:after="0" w:afterAutospacing="0" w:line="360" w:lineRule="auto"/>
        <w:ind w:firstLine="709"/>
        <w:jc w:val="both"/>
        <w:rPr>
          <w:sz w:val="24"/>
          <w:lang w:val="pt-BR"/>
        </w:rPr>
      </w:pPr>
      <w:r>
        <w:rPr>
          <w:sz w:val="24"/>
          <w:lang w:val="pt-BR"/>
        </w:rPr>
        <w:t>Eles foram reunidos porque transcendem diagnósticos atuais, não cabendo nos códigos da CID ou do DSM; são constelações de sentido que atravessam tradições. Encarnam fronteiras ontológicas, como o coma entre vida e morte ou a hipnose entre vigília e sono. Expõem conflitos históricos, como a histeria como palco de poder médico sobre o corpo feminino. E persistem como metáforas ativas, imagens que não cessam de moldar o imaginário, como o delírio de Van Gogh ou a melancolia subterrânea de Burton.</w:t>
      </w:r>
    </w:p>
    <w:p w14:paraId="1D2126B1" w14:textId="77777777" w:rsidR="0003312E" w:rsidRDefault="00000000">
      <w:pPr>
        <w:pStyle w:val="NormalWeb"/>
        <w:spacing w:beforeAutospacing="0" w:after="0" w:afterAutospacing="0" w:line="360" w:lineRule="auto"/>
        <w:ind w:firstLine="709"/>
        <w:jc w:val="both"/>
        <w:rPr>
          <w:sz w:val="24"/>
          <w:lang w:val="pt-BR"/>
        </w:rPr>
      </w:pPr>
      <w:r>
        <w:rPr>
          <w:sz w:val="24"/>
          <w:lang w:val="pt-BR"/>
        </w:rPr>
        <w:t>Mas há ainda um termo ausente na tabela, mas que constitui um outro volume, e que, paradoxalmente, está em todas as suas páginas: Ilusão. Não constitui um capítulo próprio, mas é o livro invisível dentro do livro, o chão comum de onde todos os outros brotam. A ilusão é o tear da percepção, o mecanismo primordial que costura o que ousamos chamar de “realidade”. Neste contexto, 'ilusão' não se refere apenas a uma distorção perceptual pontual, mas à própria natureza construída e interpretativa da nossa experiência do real. Este livro em tela propõe, portanto, um exercício intelectual radical: e se a mente não fosse um órgão a ser decifrado, mas um ecossistema de ilusões necessárias, fiadas pela cultura, pela neurobiologia e pelo tempo? A melancolia como ilusão do tempo. O frenesi como ilusão de poder. A ansiedade como ilusão de controle. A eutimia como ilusão de equilíbrio, sempre precário, mas vital.</w:t>
      </w:r>
    </w:p>
    <w:p w14:paraId="1BD6192A" w14:textId="77777777" w:rsidR="0003312E" w:rsidRDefault="00000000">
      <w:pPr>
        <w:pStyle w:val="NormalWeb"/>
        <w:spacing w:beforeAutospacing="0" w:after="0" w:afterAutospacing="0" w:line="360" w:lineRule="auto"/>
        <w:ind w:firstLine="709"/>
        <w:jc w:val="both"/>
        <w:rPr>
          <w:sz w:val="24"/>
          <w:lang w:val="pt-BR"/>
        </w:rPr>
      </w:pPr>
      <w:r>
        <w:rPr>
          <w:sz w:val="24"/>
          <w:lang w:val="pt-BR"/>
        </w:rPr>
        <w:lastRenderedPageBreak/>
        <w:t>O que sobra de sólido? Talvez apenas esta possibilidade: abrir os olhos dentro da própria ilusão. Não para dela escapar - tarefa impossível -, mas para habitá-la com plena consciência. Pois a lucidez não é ausência de ilusões, mas a única ilusão sofisticada o bastante para iluminar todas as outras.</w:t>
      </w:r>
    </w:p>
    <w:p w14:paraId="7F9010F5" w14:textId="77777777" w:rsidR="0003312E" w:rsidRDefault="0003312E">
      <w:pPr>
        <w:pStyle w:val="NormalWeb"/>
        <w:spacing w:beforeAutospacing="0" w:after="0" w:afterAutospacing="0" w:line="360" w:lineRule="auto"/>
        <w:ind w:firstLine="709"/>
        <w:jc w:val="both"/>
        <w:rPr>
          <w:b/>
          <w:bCs/>
          <w:sz w:val="24"/>
          <w:lang w:val="pt-BR"/>
        </w:rPr>
      </w:pPr>
    </w:p>
    <w:p w14:paraId="54E789C1" w14:textId="77777777" w:rsidR="0003312E" w:rsidRDefault="00000000">
      <w:pPr>
        <w:pStyle w:val="NormalWeb"/>
        <w:shd w:val="clear" w:color="auto" w:fill="FFFFFF"/>
        <w:spacing w:beforeAutospacing="0" w:after="0" w:afterAutospacing="0" w:line="360" w:lineRule="auto"/>
        <w:ind w:firstLine="709"/>
        <w:jc w:val="both"/>
        <w:rPr>
          <w:sz w:val="24"/>
          <w:lang w:val="pt-BR"/>
        </w:rPr>
      </w:pPr>
      <w:r>
        <w:rPr>
          <w:b/>
          <w:bCs/>
          <w:sz w:val="24"/>
          <w:lang w:val="pt-BR"/>
        </w:rPr>
        <w:t>Transição para o Próximo Capítulo: Da Vigília aos Estados de Consciência</w:t>
      </w:r>
    </w:p>
    <w:p w14:paraId="519C899A" w14:textId="77777777" w:rsidR="0003312E" w:rsidRDefault="00000000">
      <w:pPr>
        <w:pStyle w:val="NormalWeb"/>
        <w:shd w:val="clear" w:color="auto" w:fill="FFFFFF"/>
        <w:spacing w:beforeAutospacing="0" w:after="0" w:afterAutospacing="0" w:line="360" w:lineRule="auto"/>
        <w:ind w:firstLine="709"/>
        <w:jc w:val="both"/>
        <w:rPr>
          <w:sz w:val="24"/>
          <w:lang w:val="pt-BR"/>
        </w:rPr>
      </w:pPr>
      <w:r>
        <w:rPr>
          <w:sz w:val="24"/>
          <w:lang w:val="pt-BR"/>
        </w:rPr>
        <w:t xml:space="preserve">Este capítulo fundacional revelou como a </w:t>
      </w:r>
      <w:proofErr w:type="spellStart"/>
      <w:r>
        <w:rPr>
          <w:sz w:val="24"/>
          <w:lang w:val="pt-BR"/>
        </w:rPr>
        <w:t>neuroetimologia</w:t>
      </w:r>
      <w:proofErr w:type="spellEnd"/>
      <w:r>
        <w:rPr>
          <w:sz w:val="24"/>
          <w:lang w:val="pt-BR"/>
        </w:rPr>
        <w:t xml:space="preserve"> funciona como uma bússola conceitual, capaz de mapear não apenas o passado das palavras, mas os caminhos pelos quais elas moldam nossa cognição. As figuras que ilustram esta obra - das redes neuronais entrelaçadas às representações de Isidoro de Sevilha - não são meras ilustrações. São portais visuais que traduzem a densidade simbólica da linguagem, lembrando-nos de que a medicina, além de ciência, é também tecido narrativo, memória cultural e exercício de imaginação.</w:t>
      </w:r>
    </w:p>
    <w:p w14:paraId="7D57C6A3" w14:textId="77777777" w:rsidR="0003312E" w:rsidRDefault="00000000">
      <w:pPr>
        <w:pStyle w:val="NormalWeb"/>
        <w:shd w:val="clear" w:color="auto" w:fill="FFFFFF"/>
        <w:spacing w:beforeAutospacing="0" w:after="0" w:afterAutospacing="0" w:line="360" w:lineRule="auto"/>
        <w:ind w:firstLine="709"/>
        <w:jc w:val="both"/>
        <w:rPr>
          <w:sz w:val="24"/>
          <w:lang w:val="pt-BR"/>
        </w:rPr>
      </w:pPr>
      <w:r>
        <w:rPr>
          <w:sz w:val="24"/>
          <w:lang w:val="pt-BR"/>
        </w:rPr>
        <w:t xml:space="preserve">Agora, equipados com as ferramentas para decifrar a arquitetura oculta das palavras, avançamos para um território onde a consciência se desdobra em estados além da vigília. Não é o sono que nos aguarda no próximo capítulo, mas a hipnose - um fenômeno que desafia as fronteiras entre percepção, sugestão e realidade. Em "Hipnose: O Espelho da Consciência", acompanharemos James </w:t>
      </w:r>
      <w:proofErr w:type="spellStart"/>
      <w:r>
        <w:rPr>
          <w:sz w:val="24"/>
          <w:lang w:val="pt-BR"/>
        </w:rPr>
        <w:t>Braid</w:t>
      </w:r>
      <w:proofErr w:type="spellEnd"/>
      <w:r>
        <w:rPr>
          <w:sz w:val="24"/>
          <w:lang w:val="pt-BR"/>
        </w:rPr>
        <w:t xml:space="preserve"> em sua redescoberta do </w:t>
      </w:r>
      <w:proofErr w:type="spellStart"/>
      <w:r>
        <w:rPr>
          <w:i/>
          <w:iCs/>
          <w:sz w:val="24"/>
          <w:lang w:val="pt-BR"/>
        </w:rPr>
        <w:t>hypnos</w:t>
      </w:r>
      <w:proofErr w:type="spellEnd"/>
      <w:r>
        <w:rPr>
          <w:sz w:val="24"/>
          <w:lang w:val="pt-BR"/>
        </w:rPr>
        <w:t> (ὕπ</w:t>
      </w:r>
      <w:proofErr w:type="spellStart"/>
      <w:r>
        <w:rPr>
          <w:sz w:val="24"/>
          <w:lang w:val="pt-BR"/>
        </w:rPr>
        <w:t>νος</w:t>
      </w:r>
      <w:proofErr w:type="spellEnd"/>
      <w:r>
        <w:rPr>
          <w:sz w:val="24"/>
          <w:lang w:val="pt-BR"/>
        </w:rPr>
        <w:t>) grego, não como mero sono, mas como um estado liminar onde a mente revela suas camadas mais plásticas. Preparemo-nos, portanto, para adentrar este primeiro portal. Decifrar a hipnose é decifrar como a linguagem - e aqueles que a modulam - podem reconfigurar temporariamente os circuitos da percepção. Se as palavras são fósseis de poesia, a hipnose é o momento em que esses fósseis ganham vida, dançando no limiar entre ciência e encanto. A viagem continua - não pelo país dos sonhos, mas pelo território onde a mente se deixa guiar por vozes, símbolos e sugestões.</w:t>
      </w:r>
    </w:p>
    <w:p w14:paraId="2B6C586C" w14:textId="77777777" w:rsidR="0003312E" w:rsidRDefault="00000000">
      <w:pPr>
        <w:rPr>
          <w:sz w:val="24"/>
        </w:rPr>
      </w:pPr>
      <w:r>
        <w:rPr>
          <w:sz w:val="24"/>
        </w:rPr>
        <w:br w:type="page"/>
      </w:r>
    </w:p>
    <w:p w14:paraId="7688EECA" w14:textId="77777777" w:rsidR="0003312E" w:rsidRDefault="00000000">
      <w:pPr>
        <w:pStyle w:val="Style43"/>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窗体底端</w:t>
      </w:r>
    </w:p>
    <w:tbl>
      <w:tblPr>
        <w:tblStyle w:val="Tabelacomgrade"/>
        <w:tblW w:w="9214" w:type="dxa"/>
        <w:tblInd w:w="0" w:type="dxa"/>
        <w:tblLayout w:type="fixed"/>
        <w:tblCellMar>
          <w:top w:w="15" w:type="dxa"/>
          <w:left w:w="15" w:type="dxa"/>
          <w:bottom w:w="15" w:type="dxa"/>
          <w:right w:w="15" w:type="dxa"/>
        </w:tblCellMar>
        <w:tblLook w:val="04A0" w:firstRow="1" w:lastRow="0" w:firstColumn="1" w:lastColumn="0" w:noHBand="0" w:noVBand="1"/>
      </w:tblPr>
      <w:tblGrid>
        <w:gridCol w:w="4711"/>
        <w:gridCol w:w="4503"/>
      </w:tblGrid>
      <w:tr w:rsidR="0003312E" w14:paraId="1E417E9F" w14:textId="77777777">
        <w:trPr>
          <w:trHeight w:val="465"/>
        </w:trPr>
        <w:tc>
          <w:tcPr>
            <w:tcW w:w="9214" w:type="dxa"/>
            <w:gridSpan w:val="2"/>
            <w:tcBorders>
              <w:top w:val="nil"/>
              <w:left w:val="single" w:sz="4" w:space="0" w:color="auto"/>
              <w:bottom w:val="single" w:sz="4" w:space="0" w:color="auto"/>
              <w:right w:val="nil"/>
            </w:tcBorders>
          </w:tcPr>
          <w:p w14:paraId="7E3DA720" w14:textId="77777777" w:rsidR="0003312E" w:rsidRDefault="00000000">
            <w:pPr>
              <w:spacing w:after="0"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Capítulo 1. </w:t>
            </w:r>
            <w:r>
              <w:rPr>
                <w:rFonts w:ascii="Times New Roman" w:eastAsiaTheme="majorEastAsia" w:hAnsi="Times New Roman" w:cs="Times New Roman"/>
                <w:b/>
                <w:bCs/>
                <w:sz w:val="24"/>
                <w:szCs w:val="24"/>
              </w:rPr>
              <w:t xml:space="preserve">Hipnose: Do Deus </w:t>
            </w:r>
            <w:proofErr w:type="spellStart"/>
            <w:r>
              <w:rPr>
                <w:rFonts w:ascii="Times New Roman" w:eastAsiaTheme="majorEastAsia" w:hAnsi="Times New Roman" w:cs="Times New Roman"/>
                <w:b/>
                <w:bCs/>
                <w:sz w:val="24"/>
                <w:szCs w:val="24"/>
              </w:rPr>
              <w:t>Hypnos</w:t>
            </w:r>
            <w:proofErr w:type="spellEnd"/>
            <w:r>
              <w:rPr>
                <w:rFonts w:ascii="Times New Roman" w:eastAsiaTheme="majorEastAsia" w:hAnsi="Times New Roman" w:cs="Times New Roman"/>
                <w:b/>
                <w:bCs/>
                <w:sz w:val="24"/>
                <w:szCs w:val="24"/>
              </w:rPr>
              <w:t xml:space="preserve"> à Neurociência da Atenção</w:t>
            </w:r>
          </w:p>
        </w:tc>
      </w:tr>
      <w:tr w:rsidR="0003312E" w14:paraId="384D2CB8" w14:textId="77777777">
        <w:trPr>
          <w:trHeight w:val="2499"/>
        </w:trPr>
        <w:tc>
          <w:tcPr>
            <w:tcW w:w="4711" w:type="dxa"/>
            <w:tcBorders>
              <w:top w:val="single" w:sz="4" w:space="0" w:color="auto"/>
              <w:left w:val="nil"/>
              <w:bottom w:val="nil"/>
              <w:right w:val="nil"/>
            </w:tcBorders>
          </w:tcPr>
          <w:p w14:paraId="51A36750" w14:textId="77777777" w:rsidR="0003312E" w:rsidRDefault="00000000">
            <w:pPr>
              <w:spacing w:after="0" w:line="240" w:lineRule="auto"/>
              <w:jc w:val="center"/>
              <w:rPr>
                <w:rStyle w:val="15"/>
                <w:rFonts w:eastAsia="Garamond"/>
                <w:b w:val="0"/>
                <w:bCs w:val="0"/>
                <w:sz w:val="24"/>
                <w:szCs w:val="24"/>
              </w:rPr>
            </w:pPr>
            <w:r>
              <w:rPr>
                <w:rFonts w:ascii="Times New Roman" w:hAnsi="Times New Roman" w:cs="Times New Roman"/>
                <w:noProof/>
                <w:sz w:val="24"/>
                <w:szCs w:val="24"/>
              </w:rPr>
              <w:drawing>
                <wp:inline distT="0" distB="0" distL="0" distR="0" wp14:anchorId="6D3AABCE" wp14:editId="7EDE01EE">
                  <wp:extent cx="1638300" cy="1470660"/>
                  <wp:effectExtent l="0" t="0" r="0" b="0"/>
                  <wp:docPr id="58005979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59794" name="Imagem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8300" cy="1470660"/>
                          </a:xfrm>
                          <a:prstGeom prst="rect">
                            <a:avLst/>
                          </a:prstGeom>
                          <a:noFill/>
                          <a:ln>
                            <a:noFill/>
                          </a:ln>
                        </pic:spPr>
                      </pic:pic>
                    </a:graphicData>
                  </a:graphic>
                </wp:inline>
              </w:drawing>
            </w:r>
          </w:p>
        </w:tc>
        <w:tc>
          <w:tcPr>
            <w:tcW w:w="4503" w:type="dxa"/>
            <w:tcBorders>
              <w:top w:val="single" w:sz="4" w:space="0" w:color="auto"/>
              <w:left w:val="nil"/>
              <w:bottom w:val="nil"/>
              <w:right w:val="nil"/>
            </w:tcBorders>
          </w:tcPr>
          <w:p w14:paraId="04BF41D5" w14:textId="77777777" w:rsidR="0003312E" w:rsidRDefault="00000000">
            <w:pPr>
              <w:spacing w:after="0" w:line="240" w:lineRule="auto"/>
              <w:jc w:val="center"/>
              <w:rPr>
                <w:rStyle w:val="15"/>
                <w:rFonts w:eastAsia="Garamond"/>
                <w:b w:val="0"/>
                <w:bCs w:val="0"/>
                <w:sz w:val="24"/>
                <w:szCs w:val="24"/>
              </w:rPr>
            </w:pPr>
            <w:r>
              <w:rPr>
                <w:rFonts w:ascii="Times New Roman" w:eastAsia="SimSun" w:hAnsi="Times New Roman" w:cs="Times New Roman"/>
                <w:noProof/>
                <w:sz w:val="24"/>
                <w:szCs w:val="24"/>
              </w:rPr>
              <w:drawing>
                <wp:inline distT="0" distB="0" distL="0" distR="0" wp14:anchorId="25FD10A8" wp14:editId="7874C6FB">
                  <wp:extent cx="1341120" cy="1478280"/>
                  <wp:effectExtent l="0" t="0" r="0" b="7620"/>
                  <wp:docPr id="109305140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51403" name="Imagem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341120" cy="1478280"/>
                          </a:xfrm>
                          <a:prstGeom prst="rect">
                            <a:avLst/>
                          </a:prstGeom>
                          <a:noFill/>
                          <a:ln>
                            <a:noFill/>
                          </a:ln>
                        </pic:spPr>
                      </pic:pic>
                    </a:graphicData>
                  </a:graphic>
                </wp:inline>
              </w:drawing>
            </w:r>
          </w:p>
        </w:tc>
      </w:tr>
      <w:tr w:rsidR="0003312E" w14:paraId="45BC35EB" w14:textId="77777777">
        <w:trPr>
          <w:trHeight w:val="613"/>
        </w:trPr>
        <w:tc>
          <w:tcPr>
            <w:tcW w:w="4711" w:type="dxa"/>
            <w:tcBorders>
              <w:top w:val="nil"/>
              <w:left w:val="nil"/>
              <w:bottom w:val="nil"/>
              <w:right w:val="nil"/>
            </w:tcBorders>
          </w:tcPr>
          <w:p w14:paraId="03B96C5C" w14:textId="77777777" w:rsidR="0003312E" w:rsidRDefault="00000000">
            <w:pPr>
              <w:spacing w:after="0" w:line="240" w:lineRule="auto"/>
              <w:jc w:val="both"/>
              <w:rPr>
                <w:rStyle w:val="15"/>
                <w:rFonts w:eastAsia="Garamond"/>
                <w:b w:val="0"/>
                <w:bCs w:val="0"/>
                <w:sz w:val="24"/>
                <w:szCs w:val="24"/>
              </w:rPr>
            </w:pPr>
            <w:r>
              <w:rPr>
                <w:rFonts w:ascii="Times New Roman" w:eastAsiaTheme="majorEastAsia" w:hAnsi="Times New Roman" w:cs="Times New Roman"/>
                <w:i/>
                <w:iCs/>
                <w:sz w:val="24"/>
                <w:szCs w:val="24"/>
              </w:rPr>
              <w:t xml:space="preserve">Figura 1.1: </w:t>
            </w:r>
            <w:proofErr w:type="spellStart"/>
            <w:r>
              <w:rPr>
                <w:rFonts w:ascii="Times New Roman" w:eastAsiaTheme="majorEastAsia" w:hAnsi="Times New Roman" w:cs="Times New Roman"/>
                <w:i/>
                <w:iCs/>
                <w:sz w:val="24"/>
                <w:szCs w:val="24"/>
              </w:rPr>
              <w:t>Hypnos</w:t>
            </w:r>
            <w:proofErr w:type="spellEnd"/>
            <w:r>
              <w:rPr>
                <w:rFonts w:ascii="Times New Roman" w:eastAsiaTheme="majorEastAsia" w:hAnsi="Times New Roman" w:cs="Times New Roman"/>
                <w:i/>
                <w:iCs/>
                <w:sz w:val="24"/>
                <w:szCs w:val="24"/>
              </w:rPr>
              <w:t>: O Deus do Sono e o Portal para Outros Estados de Consciência</w:t>
            </w:r>
          </w:p>
        </w:tc>
        <w:tc>
          <w:tcPr>
            <w:tcW w:w="4503" w:type="dxa"/>
            <w:tcBorders>
              <w:top w:val="nil"/>
              <w:left w:val="nil"/>
              <w:bottom w:val="nil"/>
              <w:right w:val="nil"/>
            </w:tcBorders>
          </w:tcPr>
          <w:p w14:paraId="7B7EACE8" w14:textId="77777777" w:rsidR="0003312E" w:rsidRDefault="00000000">
            <w:pPr>
              <w:spacing w:after="0" w:line="240" w:lineRule="auto"/>
              <w:jc w:val="both"/>
              <w:rPr>
                <w:rStyle w:val="15"/>
                <w:rFonts w:eastAsia="Garamond"/>
                <w:b w:val="0"/>
                <w:bCs w:val="0"/>
                <w:sz w:val="24"/>
                <w:szCs w:val="24"/>
              </w:rPr>
            </w:pPr>
            <w:r>
              <w:rPr>
                <w:rFonts w:ascii="Times New Roman" w:eastAsiaTheme="majorEastAsia" w:hAnsi="Times New Roman" w:cs="Times New Roman"/>
                <w:i/>
                <w:iCs/>
                <w:sz w:val="24"/>
                <w:szCs w:val="24"/>
              </w:rPr>
              <w:t xml:space="preserve">Figura 1.2: </w:t>
            </w:r>
            <w:r>
              <w:rPr>
                <w:rStyle w:val="15"/>
                <w:b w:val="0"/>
                <w:bCs w:val="0"/>
                <w:i/>
                <w:iCs/>
                <w:sz w:val="24"/>
                <w:szCs w:val="24"/>
                <w:shd w:val="clear" w:color="auto" w:fill="FFFFFF"/>
              </w:rPr>
              <w:t xml:space="preserve">James </w:t>
            </w:r>
            <w:proofErr w:type="spellStart"/>
            <w:r>
              <w:rPr>
                <w:rStyle w:val="15"/>
                <w:b w:val="0"/>
                <w:bCs w:val="0"/>
                <w:i/>
                <w:iCs/>
                <w:sz w:val="24"/>
                <w:szCs w:val="24"/>
                <w:shd w:val="clear" w:color="auto" w:fill="FFFFFF"/>
              </w:rPr>
              <w:t>Braid</w:t>
            </w:r>
            <w:proofErr w:type="spellEnd"/>
            <w:r>
              <w:rPr>
                <w:rStyle w:val="15"/>
                <w:b w:val="0"/>
                <w:bCs w:val="0"/>
                <w:i/>
                <w:iCs/>
                <w:sz w:val="24"/>
                <w:szCs w:val="24"/>
                <w:shd w:val="clear" w:color="auto" w:fill="FFFFFF"/>
              </w:rPr>
              <w:t xml:space="preserve"> (1795 - 1860):</w:t>
            </w:r>
            <w:r>
              <w:rPr>
                <w:rFonts w:ascii="Times New Roman" w:hAnsi="Times New Roman" w:cs="Times New Roman"/>
                <w:i/>
                <w:iCs/>
                <w:sz w:val="24"/>
                <w:szCs w:val="24"/>
                <w:shd w:val="clear" w:color="auto" w:fill="FFFFFF"/>
              </w:rPr>
              <w:t> </w:t>
            </w:r>
            <w:r>
              <w:rPr>
                <w:rFonts w:ascii="Times New Roman" w:eastAsiaTheme="majorEastAsia" w:hAnsi="Times New Roman" w:cs="Times New Roman"/>
                <w:i/>
                <w:iCs/>
                <w:sz w:val="24"/>
                <w:szCs w:val="24"/>
              </w:rPr>
              <w:t>O Cirurgião que Transformou Sono em Ciência</w:t>
            </w:r>
          </w:p>
        </w:tc>
      </w:tr>
    </w:tbl>
    <w:p w14:paraId="606D591A"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5E002764"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Hipnose em Poucas Palavras: Quando a Atenção se Torna um Portal</w:t>
      </w:r>
    </w:p>
    <w:p w14:paraId="46F40537"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Da sombra do mito grego à luz fria dos scanners cerebrais: a hipnose nos convida a uma jornada singular. Uma jornada para repensar os próprios limites da nossa consciência. Este capítulo narra como um termo inspirado no deus do sono se transformou na chave para entender estados de </w:t>
      </w:r>
      <w:proofErr w:type="spellStart"/>
      <w:r>
        <w:rPr>
          <w:rFonts w:ascii="Times New Roman" w:eastAsia="Segoe UI" w:hAnsi="Times New Roman" w:cs="Times New Roman"/>
          <w:sz w:val="24"/>
          <w:szCs w:val="24"/>
          <w:shd w:val="clear" w:color="auto" w:fill="FFFFFF"/>
          <w:lang w:eastAsia="zh-CN"/>
        </w:rPr>
        <w:t>hiperatenção</w:t>
      </w:r>
      <w:proofErr w:type="spellEnd"/>
      <w:r>
        <w:rPr>
          <w:rFonts w:ascii="Times New Roman" w:eastAsia="Segoe UI" w:hAnsi="Times New Roman" w:cs="Times New Roman"/>
          <w:sz w:val="24"/>
          <w:szCs w:val="24"/>
          <w:shd w:val="clear" w:color="auto" w:fill="FFFFFF"/>
          <w:lang w:eastAsia="zh-CN"/>
        </w:rPr>
        <w:t>, revelando um paradoxo fundamental: o verdadeiro portal para a mente não está no ato de dormir, mas no de focar intensamente.</w:t>
      </w:r>
      <w:r>
        <w:rPr>
          <w:rFonts w:ascii="Times New Roman" w:eastAsia="Segoe UI" w:hAnsi="Times New Roman" w:cs="Times New Roman"/>
          <w:sz w:val="24"/>
          <w:szCs w:val="24"/>
          <w:shd w:val="clear" w:color="auto" w:fill="FFFFFF"/>
          <w:lang w:eastAsia="zh-CN"/>
        </w:rPr>
        <w:br/>
        <w:t xml:space="preserve">Para desvendar esse enigma, percorreremos quatro caminhos entrelaçados. Começamos pela própria palavra "hipnose", resgatada por James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num golpe de genialidade para dar credibilidade científica a um fenômeno milenar. Em seguida, traçamos sua trajetória histórica, que serpenteia dos templos de cura da Grécia Antiga até os consultórios modernos. Depois, adentramos a comprovação neurocientífica, que finalmente revela a arquitetura cerebral por trás desse estado único de concentração. Por fim, exploramos sua dimensão simbólica, que a entende como um portal onde a mente transcende sua experiência comum. São essas quatro dimensões – etimológica, histórico-clínica, neurocientífica e poético-filosófica – que, juntas, tecem uma visão unificada desse estado tão peculiar da mente.</w:t>
      </w:r>
    </w:p>
    <w:p w14:paraId="1A78D950"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29358CBC"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 xml:space="preserve">A Jornada da Palavra: De </w:t>
      </w:r>
      <w:proofErr w:type="spellStart"/>
      <w:r>
        <w:rPr>
          <w:rFonts w:ascii="Times New Roman" w:eastAsia="Segoe UI" w:hAnsi="Times New Roman" w:cs="Times New Roman"/>
          <w:b/>
          <w:bCs/>
          <w:sz w:val="24"/>
          <w:szCs w:val="24"/>
          <w:shd w:val="clear" w:color="auto" w:fill="FFFFFF"/>
          <w:lang w:eastAsia="zh-CN"/>
        </w:rPr>
        <w:t>Hypnos</w:t>
      </w:r>
      <w:proofErr w:type="spellEnd"/>
      <w:r>
        <w:rPr>
          <w:rFonts w:ascii="Times New Roman" w:eastAsia="Segoe UI" w:hAnsi="Times New Roman" w:cs="Times New Roman"/>
          <w:b/>
          <w:bCs/>
          <w:sz w:val="24"/>
          <w:szCs w:val="24"/>
          <w:shd w:val="clear" w:color="auto" w:fill="FFFFFF"/>
          <w:lang w:eastAsia="zh-CN"/>
        </w:rPr>
        <w:t xml:space="preserve"> a </w:t>
      </w:r>
      <w:proofErr w:type="spellStart"/>
      <w:r>
        <w:rPr>
          <w:rFonts w:ascii="Times New Roman" w:eastAsia="Segoe UI" w:hAnsi="Times New Roman" w:cs="Times New Roman"/>
          <w:b/>
          <w:bCs/>
          <w:sz w:val="24"/>
          <w:szCs w:val="24"/>
          <w:shd w:val="clear" w:color="auto" w:fill="FFFFFF"/>
          <w:lang w:eastAsia="zh-CN"/>
        </w:rPr>
        <w:t>Braid</w:t>
      </w:r>
      <w:proofErr w:type="spellEnd"/>
    </w:p>
    <w:p w14:paraId="0664C465"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 história da </w:t>
      </w:r>
      <w:r>
        <w:rPr>
          <w:rFonts w:ascii="Times New Roman" w:eastAsia="Segoe UI" w:hAnsi="Times New Roman" w:cs="Times New Roman"/>
          <w:i/>
          <w:iCs/>
          <w:sz w:val="24"/>
          <w:szCs w:val="24"/>
          <w:shd w:val="clear" w:color="auto" w:fill="FFFFFF"/>
          <w:lang w:eastAsia="zh-CN"/>
        </w:rPr>
        <w:t>palavra</w:t>
      </w:r>
      <w:r>
        <w:rPr>
          <w:rFonts w:ascii="Times New Roman" w:eastAsia="Segoe UI" w:hAnsi="Times New Roman" w:cs="Times New Roman"/>
          <w:sz w:val="24"/>
          <w:szCs w:val="24"/>
          <w:shd w:val="clear" w:color="auto" w:fill="FFFFFF"/>
          <w:lang w:eastAsia="zh-CN"/>
        </w:rPr>
        <w:t> 'hipnose' é um caso paradigmático de como um termo pode nascer de um equívoco e, mesmo assim, abrir caminho para uma revolução científica. Suas raízes mais remotas mergulham na Grécia Antiga, onde </w:t>
      </w:r>
      <w:proofErr w:type="spellStart"/>
      <w:r>
        <w:rPr>
          <w:rFonts w:ascii="Times New Roman" w:eastAsia="Segoe UI" w:hAnsi="Times New Roman" w:cs="Times New Roman"/>
          <w:i/>
          <w:iCs/>
          <w:sz w:val="24"/>
          <w:szCs w:val="24"/>
          <w:shd w:val="clear" w:color="auto" w:fill="FFFFFF"/>
          <w:lang w:eastAsia="zh-CN"/>
        </w:rPr>
        <w:t>hýpnos</w:t>
      </w:r>
      <w:proofErr w:type="spellEnd"/>
      <w:r>
        <w:rPr>
          <w:rFonts w:ascii="Times New Roman" w:eastAsia="Segoe UI" w:hAnsi="Times New Roman" w:cs="Times New Roman"/>
          <w:sz w:val="24"/>
          <w:szCs w:val="24"/>
          <w:shd w:val="clear" w:color="auto" w:fill="FFFFFF"/>
          <w:lang w:eastAsia="zh-CN"/>
        </w:rPr>
        <w:t xml:space="preserve"> não era apenas um estado, mas um deus. </w:t>
      </w:r>
      <w:proofErr w:type="spellStart"/>
      <w:r>
        <w:rPr>
          <w:rFonts w:ascii="Times New Roman" w:eastAsia="Segoe UI" w:hAnsi="Times New Roman" w:cs="Times New Roman"/>
          <w:sz w:val="24"/>
          <w:szCs w:val="24"/>
          <w:shd w:val="clear" w:color="auto" w:fill="FFFFFF"/>
          <w:lang w:eastAsia="zh-CN"/>
        </w:rPr>
        <w:t>Hypnos</w:t>
      </w:r>
      <w:proofErr w:type="spellEnd"/>
      <w:r>
        <w:rPr>
          <w:rFonts w:ascii="Times New Roman" w:eastAsia="Segoe UI" w:hAnsi="Times New Roman" w:cs="Times New Roman"/>
          <w:sz w:val="24"/>
          <w:szCs w:val="24"/>
          <w:shd w:val="clear" w:color="auto" w:fill="FFFFFF"/>
          <w:lang w:eastAsia="zh-CN"/>
        </w:rPr>
        <w:t xml:space="preserve">, irmão de </w:t>
      </w:r>
      <w:proofErr w:type="spellStart"/>
      <w:r>
        <w:rPr>
          <w:rFonts w:ascii="Times New Roman" w:eastAsia="Segoe UI" w:hAnsi="Times New Roman" w:cs="Times New Roman"/>
          <w:sz w:val="24"/>
          <w:szCs w:val="24"/>
          <w:shd w:val="clear" w:color="auto" w:fill="FFFFFF"/>
          <w:lang w:eastAsia="zh-CN"/>
        </w:rPr>
        <w:t>Thanatos</w:t>
      </w:r>
      <w:proofErr w:type="spellEnd"/>
      <w:r>
        <w:rPr>
          <w:rFonts w:ascii="Times New Roman" w:eastAsia="Segoe UI" w:hAnsi="Times New Roman" w:cs="Times New Roman"/>
          <w:sz w:val="24"/>
          <w:szCs w:val="24"/>
          <w:shd w:val="clear" w:color="auto" w:fill="FFFFFF"/>
          <w:lang w:eastAsia="zh-CN"/>
        </w:rPr>
        <w:t xml:space="preserve"> (a Morte), personificava o limiar entre vigília e inconsciente. Nos templos de Asclépio, a </w:t>
      </w:r>
      <w:proofErr w:type="spellStart"/>
      <w:r>
        <w:rPr>
          <w:rFonts w:ascii="Times New Roman" w:eastAsia="Segoe UI" w:hAnsi="Times New Roman" w:cs="Times New Roman"/>
          <w:i/>
          <w:iCs/>
          <w:sz w:val="24"/>
          <w:szCs w:val="24"/>
          <w:shd w:val="clear" w:color="auto" w:fill="FFFFFF"/>
          <w:lang w:eastAsia="zh-CN"/>
        </w:rPr>
        <w:t>incubatio</w:t>
      </w:r>
      <w:proofErr w:type="spellEnd"/>
      <w:r>
        <w:rPr>
          <w:rFonts w:ascii="Times New Roman" w:eastAsia="Segoe UI" w:hAnsi="Times New Roman" w:cs="Times New Roman"/>
          <w:sz w:val="24"/>
          <w:szCs w:val="24"/>
          <w:shd w:val="clear" w:color="auto" w:fill="FFFFFF"/>
          <w:lang w:eastAsia="zh-CN"/>
        </w:rPr>
        <w:t> - ritual em que os doentes dormiam em busca de sonhos curativos - explorava o poder da sugestão e do transe. Era uma prática sagrada, onde a linguagem do sacerdote e a fé do suplicante se combinavam para induzir visões terapêuticas.</w:t>
      </w:r>
      <w:r>
        <w:rPr>
          <w:rFonts w:ascii="Times New Roman" w:eastAsia="Segoe UI" w:hAnsi="Times New Roman" w:cs="Times New Roman"/>
          <w:sz w:val="24"/>
          <w:szCs w:val="24"/>
          <w:shd w:val="clear" w:color="auto" w:fill="FFFFFF"/>
          <w:lang w:eastAsia="zh-CN"/>
        </w:rPr>
        <w:br/>
      </w:r>
      <w:proofErr w:type="spellStart"/>
      <w:r>
        <w:rPr>
          <w:rFonts w:ascii="Times New Roman" w:eastAsia="Segoe UI" w:hAnsi="Times New Roman" w:cs="Times New Roman"/>
          <w:sz w:val="24"/>
          <w:szCs w:val="24"/>
          <w:shd w:val="clear" w:color="auto" w:fill="FFFFFF"/>
          <w:lang w:eastAsia="zh-CN"/>
        </w:rPr>
        <w:lastRenderedPageBreak/>
        <w:t>Hypnos</w:t>
      </w:r>
      <w:proofErr w:type="spellEnd"/>
      <w:r>
        <w:rPr>
          <w:rFonts w:ascii="Times New Roman" w:eastAsia="Segoe UI" w:hAnsi="Times New Roman" w:cs="Times New Roman"/>
          <w:sz w:val="24"/>
          <w:szCs w:val="24"/>
          <w:shd w:val="clear" w:color="auto" w:fill="FFFFFF"/>
          <w:lang w:eastAsia="zh-CN"/>
        </w:rPr>
        <w:t xml:space="preserve"> não representava meramente uma condição fisiológica, mas uma entidade divina habitando a fronteira entre o consciente e o inconsciente. Na Grécia Antiga, o sono era visto como veículo de comunicação com os deuses. Embora a prática moderna da hipnose, cunhada por James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no século XIX, surja de uma investigação científica e não de uma continuidade direta com o mito, é fascinante observar um eco da antiga intuição. Tanto o deus </w:t>
      </w:r>
      <w:proofErr w:type="spellStart"/>
      <w:r>
        <w:rPr>
          <w:rFonts w:ascii="Times New Roman" w:eastAsia="Segoe UI" w:hAnsi="Times New Roman" w:cs="Times New Roman"/>
          <w:sz w:val="24"/>
          <w:szCs w:val="24"/>
          <w:shd w:val="clear" w:color="auto" w:fill="FFFFFF"/>
          <w:lang w:eastAsia="zh-CN"/>
        </w:rPr>
        <w:t>Hypnos</w:t>
      </w:r>
      <w:proofErr w:type="spellEnd"/>
      <w:r>
        <w:rPr>
          <w:rFonts w:ascii="Times New Roman" w:eastAsia="Segoe UI" w:hAnsi="Times New Roman" w:cs="Times New Roman"/>
          <w:sz w:val="24"/>
          <w:szCs w:val="24"/>
          <w:shd w:val="clear" w:color="auto" w:fill="FFFFFF"/>
          <w:lang w:eastAsia="zh-CN"/>
        </w:rPr>
        <w:t xml:space="preserve">, que personificava a passagem para um reino além da vigília comum, quanto a neurociência contemporânea, ao descrever a hipnose como um estado distinto de consciência, apontam para a existência de um limiar cognitivo que separa a experiência ordinária de outras modalidades da mente. Filosoficamente, </w:t>
      </w:r>
      <w:proofErr w:type="spellStart"/>
      <w:r>
        <w:rPr>
          <w:rFonts w:ascii="Times New Roman" w:eastAsia="Segoe UI" w:hAnsi="Times New Roman" w:cs="Times New Roman"/>
          <w:sz w:val="24"/>
          <w:szCs w:val="24"/>
          <w:shd w:val="clear" w:color="auto" w:fill="FFFFFF"/>
          <w:lang w:eastAsia="zh-CN"/>
        </w:rPr>
        <w:t>Hypnos</w:t>
      </w:r>
      <w:proofErr w:type="spellEnd"/>
      <w:r>
        <w:rPr>
          <w:rFonts w:ascii="Times New Roman" w:eastAsia="Segoe UI" w:hAnsi="Times New Roman" w:cs="Times New Roman"/>
          <w:sz w:val="24"/>
          <w:szCs w:val="24"/>
          <w:shd w:val="clear" w:color="auto" w:fill="FFFFFF"/>
          <w:lang w:eastAsia="zh-CN"/>
        </w:rPr>
        <w:t xml:space="preserve"> simboliza o abandono do ego e a entrega ao desconhecido.</w:t>
      </w:r>
      <w:r>
        <w:rPr>
          <w:rFonts w:ascii="Times New Roman" w:eastAsia="Segoe UI" w:hAnsi="Times New Roman" w:cs="Times New Roman"/>
          <w:sz w:val="24"/>
          <w:szCs w:val="24"/>
          <w:shd w:val="clear" w:color="auto" w:fill="FFFFFF"/>
          <w:lang w:eastAsia="zh-CN"/>
        </w:rPr>
        <w:br/>
        <w:t xml:space="preserve">No século XVIII, o fenômeno foi sequestrado pelo mesmerismo de Franz </w:t>
      </w:r>
      <w:proofErr w:type="spellStart"/>
      <w:r>
        <w:rPr>
          <w:rFonts w:ascii="Times New Roman" w:eastAsia="Segoe UI" w:hAnsi="Times New Roman" w:cs="Times New Roman"/>
          <w:sz w:val="24"/>
          <w:szCs w:val="24"/>
          <w:shd w:val="clear" w:color="auto" w:fill="FFFFFF"/>
          <w:lang w:eastAsia="zh-CN"/>
        </w:rPr>
        <w:t>Mesmer</w:t>
      </w:r>
      <w:proofErr w:type="spellEnd"/>
      <w:r>
        <w:rPr>
          <w:rFonts w:ascii="Times New Roman" w:eastAsia="Segoe UI" w:hAnsi="Times New Roman" w:cs="Times New Roman"/>
          <w:sz w:val="24"/>
          <w:szCs w:val="24"/>
          <w:shd w:val="clear" w:color="auto" w:fill="FFFFFF"/>
          <w:lang w:eastAsia="zh-CN"/>
        </w:rPr>
        <w:t>, que atribuía o transe a um "fluido magnético" invisível. Embora equivocada, sua teoria popularizou a noção de que a mente poderia ser guiada para estados alterados, ainda que afastando a hipnose do campo científico.</w:t>
      </w:r>
    </w:p>
    <w:p w14:paraId="62CEFDBA"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trajetória terminológica de James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revela um notável refinamento conceitual que acompanhou sua compreensão científica do fenômeno hipnótico. Em 1843,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inicialmente cunhou o termo "neuro-hipnotismo" ou "sono nervoso", buscando distanciar-se do mesmerismo e estabelecer uma explicação fisiológica baseada na "fixação </w:t>
      </w:r>
      <w:proofErr w:type="spellStart"/>
      <w:r>
        <w:rPr>
          <w:rFonts w:ascii="Times New Roman" w:eastAsia="Segoe UI" w:hAnsi="Times New Roman" w:cs="Times New Roman"/>
          <w:sz w:val="24"/>
          <w:szCs w:val="24"/>
          <w:shd w:val="clear" w:color="auto" w:fill="FFFFFF"/>
          <w:lang w:eastAsia="zh-CN"/>
        </w:rPr>
        <w:t>abstracta</w:t>
      </w:r>
      <w:proofErr w:type="spellEnd"/>
      <w:r>
        <w:rPr>
          <w:rFonts w:ascii="Times New Roman" w:eastAsia="Segoe UI" w:hAnsi="Times New Roman" w:cs="Times New Roman"/>
          <w:sz w:val="24"/>
          <w:szCs w:val="24"/>
          <w:shd w:val="clear" w:color="auto" w:fill="FFFFFF"/>
          <w:lang w:eastAsia="zh-CN"/>
        </w:rPr>
        <w:t xml:space="preserve"> do olho mental e visual". Contudo, rapidamente percebeu as limitações desta denominação, reconhecendo que o estado observado não constituía um sono, mas sim uma forma de </w:t>
      </w:r>
      <w:proofErr w:type="spellStart"/>
      <w:r>
        <w:rPr>
          <w:rFonts w:ascii="Times New Roman" w:eastAsia="Segoe UI" w:hAnsi="Times New Roman" w:cs="Times New Roman"/>
          <w:sz w:val="24"/>
          <w:szCs w:val="24"/>
          <w:shd w:val="clear" w:color="auto" w:fill="FFFFFF"/>
          <w:lang w:eastAsia="zh-CN"/>
        </w:rPr>
        <w:t>hiperatenção</w:t>
      </w:r>
      <w:proofErr w:type="spellEnd"/>
      <w:r>
        <w:rPr>
          <w:rFonts w:ascii="Times New Roman" w:eastAsia="Segoe UI" w:hAnsi="Times New Roman" w:cs="Times New Roman"/>
          <w:sz w:val="24"/>
          <w:szCs w:val="24"/>
          <w:shd w:val="clear" w:color="auto" w:fill="FFFFFF"/>
          <w:lang w:eastAsia="zh-CN"/>
        </w:rPr>
        <w:t xml:space="preserve"> concentrada.</w:t>
      </w:r>
      <w:r>
        <w:rPr>
          <w:rFonts w:ascii="Times New Roman" w:eastAsia="Segoe UI" w:hAnsi="Times New Roman" w:cs="Times New Roman"/>
          <w:sz w:val="24"/>
          <w:szCs w:val="24"/>
          <w:shd w:val="clear" w:color="auto" w:fill="FFFFFF"/>
          <w:lang w:eastAsia="zh-CN"/>
        </w:rPr>
        <w:br/>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refinou o "princípio </w:t>
      </w:r>
      <w:proofErr w:type="spellStart"/>
      <w:r>
        <w:rPr>
          <w:rFonts w:ascii="Times New Roman" w:eastAsia="Segoe UI" w:hAnsi="Times New Roman" w:cs="Times New Roman"/>
          <w:sz w:val="24"/>
          <w:szCs w:val="24"/>
          <w:shd w:val="clear" w:color="auto" w:fill="FFFFFF"/>
          <w:lang w:eastAsia="zh-CN"/>
        </w:rPr>
        <w:t>ideo</w:t>
      </w:r>
      <w:proofErr w:type="spellEnd"/>
      <w:r>
        <w:rPr>
          <w:rFonts w:ascii="Times New Roman" w:eastAsia="Segoe UI" w:hAnsi="Times New Roman" w:cs="Times New Roman"/>
          <w:sz w:val="24"/>
          <w:szCs w:val="24"/>
          <w:shd w:val="clear" w:color="auto" w:fill="FFFFFF"/>
          <w:lang w:eastAsia="zh-CN"/>
        </w:rPr>
        <w:t xml:space="preserve">-motor" de William B. Carpenter, transformando-o em "princípio </w:t>
      </w:r>
      <w:proofErr w:type="spellStart"/>
      <w:r>
        <w:rPr>
          <w:rFonts w:ascii="Times New Roman" w:eastAsia="Segoe UI" w:hAnsi="Times New Roman" w:cs="Times New Roman"/>
          <w:sz w:val="24"/>
          <w:szCs w:val="24"/>
          <w:shd w:val="clear" w:color="auto" w:fill="FFFFFF"/>
          <w:lang w:eastAsia="zh-CN"/>
        </w:rPr>
        <w:t>ideo</w:t>
      </w:r>
      <w:proofErr w:type="spellEnd"/>
      <w:r>
        <w:rPr>
          <w:rFonts w:ascii="Times New Roman" w:eastAsia="Segoe UI" w:hAnsi="Times New Roman" w:cs="Times New Roman"/>
          <w:sz w:val="24"/>
          <w:szCs w:val="24"/>
          <w:shd w:val="clear" w:color="auto" w:fill="FFFFFF"/>
          <w:lang w:eastAsia="zh-CN"/>
        </w:rPr>
        <w:t>-dinâmico" por sugestão de Daniel Noble - uma modificação que ampliou seu escopo explicativo para incluir tanto a excitação quanto a inibição de funções orgânicas (</w:t>
      </w:r>
      <w:proofErr w:type="spellStart"/>
      <w:r>
        <w:rPr>
          <w:rFonts w:ascii="Times New Roman" w:eastAsia="Segoe UI" w:hAnsi="Times New Roman" w:cs="Times New Roman"/>
          <w:sz w:val="24"/>
          <w:szCs w:val="24"/>
          <w:shd w:val="clear" w:color="auto" w:fill="FFFFFF"/>
          <w:lang w:eastAsia="zh-CN"/>
        </w:rPr>
        <w:t>Yeates</w:t>
      </w:r>
      <w:proofErr w:type="spellEnd"/>
      <w:r>
        <w:rPr>
          <w:rFonts w:ascii="Times New Roman" w:eastAsia="Segoe UI" w:hAnsi="Times New Roman" w:cs="Times New Roman"/>
          <w:sz w:val="24"/>
          <w:szCs w:val="24"/>
          <w:shd w:val="clear" w:color="auto" w:fill="FFFFFF"/>
          <w:lang w:eastAsia="zh-CN"/>
        </w:rPr>
        <w:t>, 2018). A culminação desse desenvolvimento teórico foi a proposta da "</w:t>
      </w:r>
      <w:proofErr w:type="spellStart"/>
      <w:r>
        <w:rPr>
          <w:rFonts w:ascii="Times New Roman" w:eastAsia="Segoe UI" w:hAnsi="Times New Roman" w:cs="Times New Roman"/>
          <w:sz w:val="24"/>
          <w:szCs w:val="24"/>
          <w:shd w:val="clear" w:color="auto" w:fill="FFFFFF"/>
          <w:lang w:eastAsia="zh-CN"/>
        </w:rPr>
        <w:t>psico-fisiologia</w:t>
      </w:r>
      <w:proofErr w:type="spellEnd"/>
      <w:r>
        <w:rPr>
          <w:rFonts w:ascii="Times New Roman" w:eastAsia="Segoe UI" w:hAnsi="Times New Roman" w:cs="Times New Roman"/>
          <w:sz w:val="24"/>
          <w:szCs w:val="24"/>
          <w:shd w:val="clear" w:color="auto" w:fill="FFFFFF"/>
          <w:lang w:eastAsia="zh-CN"/>
        </w:rPr>
        <w:t>" em 1855, estabelecendo um domínio científico unificado para os fenômenos mente-corpo, de onde emergiu o "</w:t>
      </w:r>
      <w:proofErr w:type="spellStart"/>
      <w:r>
        <w:rPr>
          <w:rFonts w:ascii="Times New Roman" w:eastAsia="Segoe UI" w:hAnsi="Times New Roman" w:cs="Times New Roman"/>
          <w:sz w:val="24"/>
          <w:szCs w:val="24"/>
          <w:shd w:val="clear" w:color="auto" w:fill="FFFFFF"/>
          <w:lang w:eastAsia="zh-CN"/>
        </w:rPr>
        <w:t>monoideo</w:t>
      </w:r>
      <w:proofErr w:type="spellEnd"/>
      <w:r>
        <w:rPr>
          <w:rFonts w:ascii="Times New Roman" w:eastAsia="Segoe UI" w:hAnsi="Times New Roman" w:cs="Times New Roman"/>
          <w:sz w:val="24"/>
          <w:szCs w:val="24"/>
          <w:shd w:val="clear" w:color="auto" w:fill="FFFFFF"/>
          <w:lang w:eastAsia="zh-CN"/>
        </w:rPr>
        <w:t xml:space="preserve">-dinamismo" como síntese final. Este conceito integrou o monoideísmo com o princípio </w:t>
      </w:r>
      <w:proofErr w:type="spellStart"/>
      <w:r>
        <w:rPr>
          <w:rFonts w:ascii="Times New Roman" w:eastAsia="Segoe UI" w:hAnsi="Times New Roman" w:cs="Times New Roman"/>
          <w:sz w:val="24"/>
          <w:szCs w:val="24"/>
          <w:shd w:val="clear" w:color="auto" w:fill="FFFFFF"/>
          <w:lang w:eastAsia="zh-CN"/>
        </w:rPr>
        <w:t>ideo</w:t>
      </w:r>
      <w:proofErr w:type="spellEnd"/>
      <w:r>
        <w:rPr>
          <w:rFonts w:ascii="Times New Roman" w:eastAsia="Segoe UI" w:hAnsi="Times New Roman" w:cs="Times New Roman"/>
          <w:sz w:val="24"/>
          <w:szCs w:val="24"/>
          <w:shd w:val="clear" w:color="auto" w:fill="FFFFFF"/>
          <w:lang w:eastAsia="zh-CN"/>
        </w:rPr>
        <w:t>-dinâmico para explicar como ideias dominantes produzem mudanças psicofisiológicas (</w:t>
      </w:r>
      <w:proofErr w:type="spellStart"/>
      <w:r>
        <w:rPr>
          <w:rFonts w:ascii="Times New Roman" w:eastAsia="Segoe UI" w:hAnsi="Times New Roman" w:cs="Times New Roman"/>
          <w:sz w:val="24"/>
          <w:szCs w:val="24"/>
          <w:shd w:val="clear" w:color="auto" w:fill="FFFFFF"/>
          <w:lang w:eastAsia="zh-CN"/>
        </w:rPr>
        <w:t>Yeates</w:t>
      </w:r>
      <w:proofErr w:type="spellEnd"/>
      <w:r>
        <w:rPr>
          <w:rFonts w:ascii="Times New Roman" w:eastAsia="Segoe UI" w:hAnsi="Times New Roman" w:cs="Times New Roman"/>
          <w:sz w:val="24"/>
          <w:szCs w:val="24"/>
          <w:shd w:val="clear" w:color="auto" w:fill="FFFFFF"/>
          <w:lang w:eastAsia="zh-CN"/>
        </w:rPr>
        <w:t>, 2018).</w:t>
      </w:r>
    </w:p>
    <w:p w14:paraId="39E8BAC3"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persistência do termo "hipnose", apesar de sua imprecisão descritiva, testemunha como uma metáfora inicial pode moldar duradouramente um campo de estudo, enquanto a evolução terminológica de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reflete sua crescente ênfase no papel ativo do sujeito e na natureza estritamente natural dos fenômenos hipnóticos.</w:t>
      </w:r>
      <w:r>
        <w:rPr>
          <w:rFonts w:ascii="Times New Roman" w:eastAsia="Segoe UI" w:hAnsi="Times New Roman" w:cs="Times New Roman"/>
          <w:sz w:val="24"/>
          <w:szCs w:val="24"/>
          <w:shd w:val="clear" w:color="auto" w:fill="FFFFFF"/>
          <w:lang w:eastAsia="zh-CN"/>
        </w:rPr>
        <w:br/>
        <w:t xml:space="preserve">No século XXI, a neurociência confirmou a intuição de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Estudos de neuroimagem funcional (</w:t>
      </w:r>
      <w:proofErr w:type="spellStart"/>
      <w:r>
        <w:rPr>
          <w:rFonts w:ascii="Times New Roman" w:eastAsia="Segoe UI" w:hAnsi="Times New Roman" w:cs="Times New Roman"/>
          <w:sz w:val="24"/>
          <w:szCs w:val="24"/>
          <w:shd w:val="clear" w:color="auto" w:fill="FFFFFF"/>
          <w:lang w:eastAsia="zh-CN"/>
        </w:rPr>
        <w:t>fMRI</w:t>
      </w:r>
      <w:proofErr w:type="spellEnd"/>
      <w:r>
        <w:rPr>
          <w:rFonts w:ascii="Times New Roman" w:eastAsia="Segoe UI" w:hAnsi="Times New Roman" w:cs="Times New Roman"/>
          <w:sz w:val="24"/>
          <w:szCs w:val="24"/>
          <w:shd w:val="clear" w:color="auto" w:fill="FFFFFF"/>
          <w:lang w:eastAsia="zh-CN"/>
        </w:rPr>
        <w:t xml:space="preserve">, EEG) demonstram que a hipnose é um estado de alerta paradoxal, em que redes de atenção executiva se potencializam enquanto a atividade da Rede de Modo Padrão </w:t>
      </w:r>
      <w:r>
        <w:rPr>
          <w:rFonts w:ascii="Times New Roman" w:eastAsia="Segoe UI" w:hAnsi="Times New Roman" w:cs="Times New Roman"/>
          <w:sz w:val="24"/>
          <w:szCs w:val="24"/>
          <w:shd w:val="clear" w:color="auto" w:fill="FFFFFF"/>
          <w:lang w:eastAsia="zh-CN"/>
        </w:rPr>
        <w:lastRenderedPageBreak/>
        <w:t>(DMN) - associada à autorreflexão espontânea - é modulada, correlacionando-se com o estado de absorção característico. A sugestão hipnótica, assim, não é magia, mas um exemplo agudo de como a cognição (a ideia) pode modular a função cerebral em tempo real, alterando a percepção e o comportamento.</w:t>
      </w:r>
    </w:p>
    <w:p w14:paraId="30519DC9"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461F04C8"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Quadro 1.1. A Evolução da Hipnose: Do Mito à Neurociência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6"/>
        <w:gridCol w:w="2141"/>
        <w:gridCol w:w="5584"/>
      </w:tblGrid>
      <w:tr w:rsidR="0003312E" w14:paraId="256526B3" w14:textId="77777777">
        <w:trPr>
          <w:tblHeader/>
        </w:trPr>
        <w:tc>
          <w:tcPr>
            <w:tcW w:w="0" w:type="auto"/>
            <w:tcMar>
              <w:top w:w="150" w:type="dxa"/>
              <w:left w:w="0" w:type="dxa"/>
              <w:bottom w:w="150" w:type="dxa"/>
              <w:right w:w="240" w:type="dxa"/>
            </w:tcMar>
            <w:vAlign w:val="center"/>
          </w:tcPr>
          <w:p w14:paraId="2F07418D"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Época</w:t>
            </w:r>
          </w:p>
        </w:tc>
        <w:tc>
          <w:tcPr>
            <w:tcW w:w="0" w:type="auto"/>
            <w:tcMar>
              <w:top w:w="150" w:type="dxa"/>
              <w:left w:w="240" w:type="dxa"/>
              <w:bottom w:w="150" w:type="dxa"/>
              <w:right w:w="240" w:type="dxa"/>
            </w:tcMar>
            <w:vAlign w:val="center"/>
          </w:tcPr>
          <w:p w14:paraId="446A9058"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Marco</w:t>
            </w:r>
          </w:p>
        </w:tc>
        <w:tc>
          <w:tcPr>
            <w:tcW w:w="0" w:type="auto"/>
            <w:tcMar>
              <w:top w:w="150" w:type="dxa"/>
              <w:left w:w="240" w:type="dxa"/>
              <w:bottom w:w="150" w:type="dxa"/>
              <w:right w:w="240" w:type="dxa"/>
            </w:tcMar>
            <w:vAlign w:val="center"/>
          </w:tcPr>
          <w:p w14:paraId="47305CCE"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Significado e Impacto</w:t>
            </w:r>
          </w:p>
        </w:tc>
      </w:tr>
      <w:tr w:rsidR="0003312E" w14:paraId="30BF91E6" w14:textId="77777777">
        <w:tc>
          <w:tcPr>
            <w:tcW w:w="0" w:type="auto"/>
            <w:tcMar>
              <w:top w:w="150" w:type="dxa"/>
              <w:left w:w="0" w:type="dxa"/>
              <w:bottom w:w="150" w:type="dxa"/>
              <w:right w:w="240" w:type="dxa"/>
            </w:tcMar>
            <w:vAlign w:val="center"/>
          </w:tcPr>
          <w:p w14:paraId="348A6F07"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Grécia Antiga (Mito)</w:t>
            </w:r>
          </w:p>
        </w:tc>
        <w:tc>
          <w:tcPr>
            <w:tcW w:w="0" w:type="auto"/>
            <w:tcMar>
              <w:top w:w="150" w:type="dxa"/>
              <w:left w:w="240" w:type="dxa"/>
              <w:bottom w:w="150" w:type="dxa"/>
              <w:right w:w="240" w:type="dxa"/>
            </w:tcMar>
            <w:vAlign w:val="center"/>
          </w:tcPr>
          <w:p w14:paraId="3DD23CC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sz w:val="20"/>
                <w:szCs w:val="20"/>
                <w:shd w:val="clear" w:color="auto" w:fill="FFFFFF"/>
                <w:lang w:eastAsia="zh-CN"/>
              </w:rPr>
              <w:t>Hypnos</w:t>
            </w:r>
            <w:proofErr w:type="spellEnd"/>
            <w:r>
              <w:rPr>
                <w:rFonts w:ascii="Times New Roman" w:eastAsia="Segoe UI" w:hAnsi="Times New Roman" w:cs="Times New Roman"/>
                <w:sz w:val="20"/>
                <w:szCs w:val="20"/>
                <w:shd w:val="clear" w:color="auto" w:fill="FFFFFF"/>
                <w:lang w:eastAsia="zh-CN"/>
              </w:rPr>
              <w:t>, deus do sono</w:t>
            </w:r>
          </w:p>
        </w:tc>
        <w:tc>
          <w:tcPr>
            <w:tcW w:w="0" w:type="auto"/>
            <w:tcMar>
              <w:top w:w="150" w:type="dxa"/>
              <w:left w:w="240" w:type="dxa"/>
              <w:bottom w:w="150" w:type="dxa"/>
              <w:right w:w="0" w:type="dxa"/>
            </w:tcMar>
            <w:vAlign w:val="center"/>
          </w:tcPr>
          <w:p w14:paraId="45719074"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Personificação do limiar entre vigília e inconsciente, irmão de </w:t>
            </w:r>
            <w:proofErr w:type="spellStart"/>
            <w:r>
              <w:rPr>
                <w:rFonts w:ascii="Times New Roman" w:eastAsia="Segoe UI" w:hAnsi="Times New Roman" w:cs="Times New Roman"/>
                <w:sz w:val="20"/>
                <w:szCs w:val="20"/>
                <w:shd w:val="clear" w:color="auto" w:fill="FFFFFF"/>
                <w:lang w:eastAsia="zh-CN"/>
              </w:rPr>
              <w:t>Thanatos</w:t>
            </w:r>
            <w:proofErr w:type="spellEnd"/>
            <w:r>
              <w:rPr>
                <w:rFonts w:ascii="Times New Roman" w:eastAsia="Segoe UI" w:hAnsi="Times New Roman" w:cs="Times New Roman"/>
                <w:sz w:val="20"/>
                <w:szCs w:val="20"/>
                <w:shd w:val="clear" w:color="auto" w:fill="FFFFFF"/>
                <w:lang w:eastAsia="zh-CN"/>
              </w:rPr>
              <w:t>. Simbolizava a passagem para o invisível, território onde a consciência se dissolve.</w:t>
            </w:r>
          </w:p>
        </w:tc>
      </w:tr>
      <w:tr w:rsidR="0003312E" w14:paraId="0E8A09C5" w14:textId="77777777">
        <w:tc>
          <w:tcPr>
            <w:tcW w:w="0" w:type="auto"/>
            <w:tcMar>
              <w:top w:w="150" w:type="dxa"/>
              <w:left w:w="0" w:type="dxa"/>
              <w:bottom w:w="150" w:type="dxa"/>
              <w:right w:w="240" w:type="dxa"/>
            </w:tcMar>
            <w:vAlign w:val="center"/>
          </w:tcPr>
          <w:p w14:paraId="404D03A4"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Grécia Antiga (Prática)</w:t>
            </w:r>
          </w:p>
        </w:tc>
        <w:tc>
          <w:tcPr>
            <w:tcW w:w="0" w:type="auto"/>
            <w:tcMar>
              <w:top w:w="150" w:type="dxa"/>
              <w:left w:w="240" w:type="dxa"/>
              <w:bottom w:w="150" w:type="dxa"/>
              <w:right w:w="240" w:type="dxa"/>
            </w:tcMar>
            <w:vAlign w:val="center"/>
          </w:tcPr>
          <w:p w14:paraId="6591714F"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i/>
                <w:iCs/>
                <w:sz w:val="20"/>
                <w:szCs w:val="20"/>
                <w:shd w:val="clear" w:color="auto" w:fill="FFFFFF"/>
                <w:lang w:eastAsia="zh-CN"/>
              </w:rPr>
              <w:t>Incubatio</w:t>
            </w:r>
            <w:proofErr w:type="spellEnd"/>
            <w:r>
              <w:rPr>
                <w:rFonts w:ascii="Times New Roman" w:eastAsia="Segoe UI" w:hAnsi="Times New Roman" w:cs="Times New Roman"/>
                <w:sz w:val="20"/>
                <w:szCs w:val="20"/>
                <w:shd w:val="clear" w:color="auto" w:fill="FFFFFF"/>
                <w:lang w:eastAsia="zh-CN"/>
              </w:rPr>
              <w:t> nos templos de Asclépio</w:t>
            </w:r>
          </w:p>
        </w:tc>
        <w:tc>
          <w:tcPr>
            <w:tcW w:w="0" w:type="auto"/>
            <w:tcMar>
              <w:top w:w="150" w:type="dxa"/>
              <w:left w:w="240" w:type="dxa"/>
              <w:bottom w:w="150" w:type="dxa"/>
              <w:right w:w="0" w:type="dxa"/>
            </w:tcMar>
            <w:vAlign w:val="center"/>
          </w:tcPr>
          <w:p w14:paraId="17B4CF86"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Ritual de cura em que os doentes dormiam buscando sonhos terapêuticos induzidos por sugestão e ambiente sagrado. Primeira evidência clínica de estados alterados de consciência.</w:t>
            </w:r>
          </w:p>
        </w:tc>
      </w:tr>
      <w:tr w:rsidR="0003312E" w14:paraId="488B7F4F" w14:textId="77777777">
        <w:tc>
          <w:tcPr>
            <w:tcW w:w="0" w:type="auto"/>
            <w:tcMar>
              <w:top w:w="150" w:type="dxa"/>
              <w:left w:w="0" w:type="dxa"/>
              <w:bottom w:w="150" w:type="dxa"/>
              <w:right w:w="240" w:type="dxa"/>
            </w:tcMar>
            <w:vAlign w:val="center"/>
          </w:tcPr>
          <w:p w14:paraId="60A585F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 XVIII</w:t>
            </w:r>
          </w:p>
        </w:tc>
        <w:tc>
          <w:tcPr>
            <w:tcW w:w="0" w:type="auto"/>
            <w:tcMar>
              <w:top w:w="150" w:type="dxa"/>
              <w:left w:w="240" w:type="dxa"/>
              <w:bottom w:w="150" w:type="dxa"/>
              <w:right w:w="240" w:type="dxa"/>
            </w:tcMar>
            <w:vAlign w:val="center"/>
          </w:tcPr>
          <w:p w14:paraId="4911EFF6"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Mesmerismo (Franz </w:t>
            </w:r>
            <w:proofErr w:type="spellStart"/>
            <w:r>
              <w:rPr>
                <w:rFonts w:ascii="Times New Roman" w:eastAsia="Segoe UI" w:hAnsi="Times New Roman" w:cs="Times New Roman"/>
                <w:sz w:val="20"/>
                <w:szCs w:val="20"/>
                <w:shd w:val="clear" w:color="auto" w:fill="FFFFFF"/>
                <w:lang w:eastAsia="zh-CN"/>
              </w:rPr>
              <w:t>Mesmer</w:t>
            </w:r>
            <w:proofErr w:type="spellEnd"/>
            <w:r>
              <w:rPr>
                <w:rFonts w:ascii="Times New Roman" w:eastAsia="Segoe UI" w:hAnsi="Times New Roman" w:cs="Times New Roman"/>
                <w:sz w:val="20"/>
                <w:szCs w:val="20"/>
                <w:shd w:val="clear" w:color="auto" w:fill="FFFFFF"/>
                <w:lang w:eastAsia="zh-CN"/>
              </w:rPr>
              <w:t>)</w:t>
            </w:r>
          </w:p>
        </w:tc>
        <w:tc>
          <w:tcPr>
            <w:tcW w:w="0" w:type="auto"/>
            <w:tcMar>
              <w:top w:w="150" w:type="dxa"/>
              <w:left w:w="240" w:type="dxa"/>
              <w:bottom w:w="150" w:type="dxa"/>
              <w:right w:w="0" w:type="dxa"/>
            </w:tcMar>
            <w:vAlign w:val="center"/>
          </w:tcPr>
          <w:p w14:paraId="502F7AE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Atribuía o transe a um "fluido magnético" universal. Popularizou o fenômeno, mas com base pseudocientífica, atrasando sua compreensão.</w:t>
            </w:r>
          </w:p>
        </w:tc>
      </w:tr>
      <w:tr w:rsidR="0003312E" w14:paraId="36668328" w14:textId="77777777">
        <w:tc>
          <w:tcPr>
            <w:tcW w:w="0" w:type="auto"/>
            <w:tcMar>
              <w:top w:w="150" w:type="dxa"/>
              <w:left w:w="0" w:type="dxa"/>
              <w:bottom w:w="150" w:type="dxa"/>
              <w:right w:w="240" w:type="dxa"/>
            </w:tcMar>
            <w:vAlign w:val="center"/>
          </w:tcPr>
          <w:p w14:paraId="2A9FCFCB"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1843</w:t>
            </w:r>
          </w:p>
        </w:tc>
        <w:tc>
          <w:tcPr>
            <w:tcW w:w="0" w:type="auto"/>
            <w:tcMar>
              <w:top w:w="150" w:type="dxa"/>
              <w:left w:w="240" w:type="dxa"/>
              <w:bottom w:w="150" w:type="dxa"/>
              <w:right w:w="240" w:type="dxa"/>
            </w:tcMar>
            <w:vAlign w:val="center"/>
          </w:tcPr>
          <w:p w14:paraId="4FF36D45"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sz w:val="20"/>
                <w:szCs w:val="20"/>
                <w:shd w:val="clear" w:color="auto" w:fill="FFFFFF"/>
                <w:lang w:eastAsia="zh-CN"/>
              </w:rPr>
              <w:t>Braid</w:t>
            </w:r>
            <w:proofErr w:type="spellEnd"/>
            <w:r>
              <w:rPr>
                <w:rFonts w:ascii="Times New Roman" w:eastAsia="Segoe UI" w:hAnsi="Times New Roman" w:cs="Times New Roman"/>
                <w:sz w:val="20"/>
                <w:szCs w:val="20"/>
                <w:shd w:val="clear" w:color="auto" w:fill="FFFFFF"/>
                <w:lang w:eastAsia="zh-CN"/>
              </w:rPr>
              <w:t xml:space="preserve"> cunha "hipnose"</w:t>
            </w:r>
          </w:p>
        </w:tc>
        <w:tc>
          <w:tcPr>
            <w:tcW w:w="0" w:type="auto"/>
            <w:tcMar>
              <w:top w:w="150" w:type="dxa"/>
              <w:left w:w="240" w:type="dxa"/>
              <w:bottom w:w="150" w:type="dxa"/>
              <w:right w:w="0" w:type="dxa"/>
            </w:tcMar>
            <w:vAlign w:val="center"/>
          </w:tcPr>
          <w:p w14:paraId="48B3D7B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Resgata a raiz grega </w:t>
            </w:r>
            <w:proofErr w:type="spellStart"/>
            <w:r>
              <w:rPr>
                <w:rFonts w:ascii="Times New Roman" w:eastAsia="Segoe UI" w:hAnsi="Times New Roman" w:cs="Times New Roman"/>
                <w:i/>
                <w:iCs/>
                <w:sz w:val="20"/>
                <w:szCs w:val="20"/>
                <w:shd w:val="clear" w:color="auto" w:fill="FFFFFF"/>
                <w:lang w:eastAsia="zh-CN"/>
              </w:rPr>
              <w:t>hýpnos</w:t>
            </w:r>
            <w:proofErr w:type="spellEnd"/>
            <w:r>
              <w:rPr>
                <w:rFonts w:ascii="Times New Roman" w:eastAsia="Segoe UI" w:hAnsi="Times New Roman" w:cs="Times New Roman"/>
                <w:sz w:val="20"/>
                <w:szCs w:val="20"/>
                <w:shd w:val="clear" w:color="auto" w:fill="FFFFFF"/>
                <w:lang w:eastAsia="zh-CN"/>
              </w:rPr>
              <w:t>, inicialmente como "sono nervoso", afastando o conceito do mesmerismo.</w:t>
            </w:r>
          </w:p>
        </w:tc>
      </w:tr>
      <w:tr w:rsidR="0003312E" w14:paraId="61445792" w14:textId="77777777">
        <w:tc>
          <w:tcPr>
            <w:tcW w:w="0" w:type="auto"/>
            <w:tcMar>
              <w:top w:w="150" w:type="dxa"/>
              <w:left w:w="0" w:type="dxa"/>
              <w:bottom w:w="150" w:type="dxa"/>
              <w:right w:w="240" w:type="dxa"/>
            </w:tcMar>
            <w:vAlign w:val="center"/>
          </w:tcPr>
          <w:p w14:paraId="15C277EA"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Pós-1843</w:t>
            </w:r>
          </w:p>
        </w:tc>
        <w:tc>
          <w:tcPr>
            <w:tcW w:w="0" w:type="auto"/>
            <w:tcMar>
              <w:top w:w="150" w:type="dxa"/>
              <w:left w:w="240" w:type="dxa"/>
              <w:bottom w:w="150" w:type="dxa"/>
              <w:right w:w="240" w:type="dxa"/>
            </w:tcMar>
            <w:vAlign w:val="center"/>
          </w:tcPr>
          <w:p w14:paraId="607F127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Teoria do Monoideísmo</w:t>
            </w:r>
          </w:p>
        </w:tc>
        <w:tc>
          <w:tcPr>
            <w:tcW w:w="0" w:type="auto"/>
            <w:tcMar>
              <w:top w:w="150" w:type="dxa"/>
              <w:left w:w="240" w:type="dxa"/>
              <w:bottom w:w="150" w:type="dxa"/>
              <w:right w:w="0" w:type="dxa"/>
            </w:tcMar>
            <w:vAlign w:val="center"/>
          </w:tcPr>
          <w:p w14:paraId="05F3490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sz w:val="20"/>
                <w:szCs w:val="20"/>
                <w:shd w:val="clear" w:color="auto" w:fill="FFFFFF"/>
                <w:lang w:eastAsia="zh-CN"/>
              </w:rPr>
              <w:t>Braid</w:t>
            </w:r>
            <w:proofErr w:type="spellEnd"/>
            <w:r>
              <w:rPr>
                <w:rFonts w:ascii="Times New Roman" w:eastAsia="Segoe UI" w:hAnsi="Times New Roman" w:cs="Times New Roman"/>
                <w:sz w:val="20"/>
                <w:szCs w:val="20"/>
                <w:shd w:val="clear" w:color="auto" w:fill="FFFFFF"/>
                <w:lang w:eastAsia="zh-CN"/>
              </w:rPr>
              <w:t xml:space="preserve"> corrige seu conceito: hipnose não é sono, mas </w:t>
            </w:r>
            <w:proofErr w:type="spellStart"/>
            <w:r>
              <w:rPr>
                <w:rFonts w:ascii="Times New Roman" w:eastAsia="Segoe UI" w:hAnsi="Times New Roman" w:cs="Times New Roman"/>
                <w:sz w:val="20"/>
                <w:szCs w:val="20"/>
                <w:shd w:val="clear" w:color="auto" w:fill="FFFFFF"/>
                <w:lang w:eastAsia="zh-CN"/>
              </w:rPr>
              <w:t>hiperatenção</w:t>
            </w:r>
            <w:proofErr w:type="spellEnd"/>
            <w:r>
              <w:rPr>
                <w:rFonts w:ascii="Times New Roman" w:eastAsia="Segoe UI" w:hAnsi="Times New Roman" w:cs="Times New Roman"/>
                <w:sz w:val="20"/>
                <w:szCs w:val="20"/>
                <w:shd w:val="clear" w:color="auto" w:fill="FFFFFF"/>
                <w:lang w:eastAsia="zh-CN"/>
              </w:rPr>
              <w:t xml:space="preserve"> focada em uma ideia única.</w:t>
            </w:r>
          </w:p>
        </w:tc>
      </w:tr>
      <w:tr w:rsidR="0003312E" w14:paraId="76BCA26E" w14:textId="77777777">
        <w:tc>
          <w:tcPr>
            <w:tcW w:w="0" w:type="auto"/>
            <w:tcMar>
              <w:top w:w="150" w:type="dxa"/>
              <w:left w:w="0" w:type="dxa"/>
              <w:bottom w:w="150" w:type="dxa"/>
              <w:right w:w="240" w:type="dxa"/>
            </w:tcMar>
            <w:vAlign w:val="center"/>
          </w:tcPr>
          <w:p w14:paraId="15E05C53"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Séculos XX-XXI</w:t>
            </w:r>
          </w:p>
        </w:tc>
        <w:tc>
          <w:tcPr>
            <w:tcW w:w="0" w:type="auto"/>
            <w:tcMar>
              <w:top w:w="150" w:type="dxa"/>
              <w:left w:w="240" w:type="dxa"/>
              <w:bottom w:w="150" w:type="dxa"/>
              <w:right w:w="240" w:type="dxa"/>
            </w:tcMar>
            <w:vAlign w:val="center"/>
          </w:tcPr>
          <w:p w14:paraId="5B429F49"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Validação Neurocientífica</w:t>
            </w:r>
          </w:p>
        </w:tc>
        <w:tc>
          <w:tcPr>
            <w:tcW w:w="0" w:type="auto"/>
            <w:tcMar>
              <w:top w:w="150" w:type="dxa"/>
              <w:left w:w="240" w:type="dxa"/>
              <w:bottom w:w="150" w:type="dxa"/>
              <w:right w:w="0" w:type="dxa"/>
            </w:tcMar>
            <w:vAlign w:val="center"/>
          </w:tcPr>
          <w:p w14:paraId="25E5AA22"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Neuroimagem funcional (</w:t>
            </w:r>
            <w:proofErr w:type="spellStart"/>
            <w:r>
              <w:rPr>
                <w:rFonts w:ascii="Times New Roman" w:eastAsia="Segoe UI" w:hAnsi="Times New Roman" w:cs="Times New Roman"/>
                <w:sz w:val="20"/>
                <w:szCs w:val="20"/>
                <w:shd w:val="clear" w:color="auto" w:fill="FFFFFF"/>
                <w:lang w:eastAsia="zh-CN"/>
              </w:rPr>
              <w:t>fMRI</w:t>
            </w:r>
            <w:proofErr w:type="spellEnd"/>
            <w:r>
              <w:rPr>
                <w:rFonts w:ascii="Times New Roman" w:eastAsia="Segoe UI" w:hAnsi="Times New Roman" w:cs="Times New Roman"/>
                <w:sz w:val="20"/>
                <w:szCs w:val="20"/>
                <w:shd w:val="clear" w:color="auto" w:fill="FFFFFF"/>
                <w:lang w:eastAsia="zh-CN"/>
              </w:rPr>
              <w:t xml:space="preserve">, EEG) confirma estado de alerta ativo, com ativação de redes de atenção executiva e modulação da Rede de Modo Padrão (DMN), validando o monoideísmo de </w:t>
            </w:r>
            <w:proofErr w:type="spellStart"/>
            <w:r>
              <w:rPr>
                <w:rFonts w:ascii="Times New Roman" w:eastAsia="Segoe UI" w:hAnsi="Times New Roman" w:cs="Times New Roman"/>
                <w:sz w:val="20"/>
                <w:szCs w:val="20"/>
                <w:shd w:val="clear" w:color="auto" w:fill="FFFFFF"/>
                <w:lang w:eastAsia="zh-CN"/>
              </w:rPr>
              <w:t>Braid</w:t>
            </w:r>
            <w:proofErr w:type="spellEnd"/>
            <w:r>
              <w:rPr>
                <w:rFonts w:ascii="Times New Roman" w:eastAsia="Segoe UI" w:hAnsi="Times New Roman" w:cs="Times New Roman"/>
                <w:sz w:val="20"/>
                <w:szCs w:val="20"/>
                <w:shd w:val="clear" w:color="auto" w:fill="FFFFFF"/>
                <w:lang w:eastAsia="zh-CN"/>
              </w:rPr>
              <w:t>.</w:t>
            </w:r>
          </w:p>
        </w:tc>
      </w:tr>
    </w:tbl>
    <w:p w14:paraId="3DB04C20"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2F652C56"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Em Essência: as Quatro Dimensões da Hipnose</w:t>
      </w:r>
    </w:p>
    <w:p w14:paraId="5762A85F"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1. A Dimensão Etimológica: O Sono e Seus Portais</w:t>
      </w:r>
      <w:r>
        <w:rPr>
          <w:rFonts w:ascii="Times New Roman" w:eastAsia="Segoe UI" w:hAnsi="Times New Roman" w:cs="Times New Roman"/>
          <w:sz w:val="24"/>
          <w:szCs w:val="24"/>
          <w:shd w:val="clear" w:color="auto" w:fill="FFFFFF"/>
          <w:lang w:eastAsia="zh-CN"/>
        </w:rPr>
        <w:br/>
        <w:t xml:space="preserve">Quando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escolheu o termo </w:t>
      </w:r>
      <w:r>
        <w:rPr>
          <w:rFonts w:ascii="Times New Roman" w:eastAsia="Segoe UI" w:hAnsi="Times New Roman" w:cs="Times New Roman"/>
          <w:i/>
          <w:iCs/>
          <w:sz w:val="24"/>
          <w:szCs w:val="24"/>
          <w:shd w:val="clear" w:color="auto" w:fill="FFFFFF"/>
          <w:lang w:eastAsia="zh-CN"/>
        </w:rPr>
        <w:t>hipnose</w:t>
      </w:r>
      <w:r>
        <w:rPr>
          <w:rFonts w:ascii="Times New Roman" w:eastAsia="Segoe UI" w:hAnsi="Times New Roman" w:cs="Times New Roman"/>
          <w:sz w:val="24"/>
          <w:szCs w:val="24"/>
          <w:shd w:val="clear" w:color="auto" w:fill="FFFFFF"/>
          <w:lang w:eastAsia="zh-CN"/>
        </w:rPr>
        <w:t>, cometeu um "erro" genial. Poderia ter adotado um neologismo asséptico, mas preferiu resgatar </w:t>
      </w:r>
      <w:proofErr w:type="spellStart"/>
      <w:r>
        <w:rPr>
          <w:rFonts w:ascii="Times New Roman" w:eastAsia="Segoe UI" w:hAnsi="Times New Roman" w:cs="Times New Roman"/>
          <w:i/>
          <w:iCs/>
          <w:sz w:val="24"/>
          <w:szCs w:val="24"/>
          <w:shd w:val="clear" w:color="auto" w:fill="FFFFFF"/>
          <w:lang w:eastAsia="zh-CN"/>
        </w:rPr>
        <w:t>hýpnos</w:t>
      </w:r>
      <w:proofErr w:type="spellEnd"/>
      <w:r>
        <w:rPr>
          <w:rFonts w:ascii="Times New Roman" w:eastAsia="Segoe UI" w:hAnsi="Times New Roman" w:cs="Times New Roman"/>
          <w:sz w:val="24"/>
          <w:szCs w:val="24"/>
          <w:shd w:val="clear" w:color="auto" w:fill="FFFFFF"/>
          <w:lang w:eastAsia="zh-CN"/>
        </w:rPr>
        <w:t>, a palavra grega para sono. O detalhe crucial estava no sufixo: não </w:t>
      </w:r>
      <w:proofErr w:type="spellStart"/>
      <w:r>
        <w:rPr>
          <w:rFonts w:ascii="Times New Roman" w:eastAsia="Segoe UI" w:hAnsi="Times New Roman" w:cs="Times New Roman"/>
          <w:i/>
          <w:iCs/>
          <w:sz w:val="24"/>
          <w:szCs w:val="24"/>
          <w:shd w:val="clear" w:color="auto" w:fill="FFFFFF"/>
          <w:lang w:eastAsia="zh-CN"/>
        </w:rPr>
        <w:t>hýpnos</w:t>
      </w:r>
      <w:proofErr w:type="spellEnd"/>
      <w:r>
        <w:rPr>
          <w:rFonts w:ascii="Times New Roman" w:eastAsia="Segoe UI" w:hAnsi="Times New Roman" w:cs="Times New Roman"/>
          <w:sz w:val="24"/>
          <w:szCs w:val="24"/>
          <w:shd w:val="clear" w:color="auto" w:fill="FFFFFF"/>
          <w:lang w:eastAsia="zh-CN"/>
        </w:rPr>
        <w:t> (o estado), mas </w:t>
      </w:r>
      <w:proofErr w:type="spellStart"/>
      <w:r>
        <w:rPr>
          <w:rFonts w:ascii="Times New Roman" w:eastAsia="Segoe UI" w:hAnsi="Times New Roman" w:cs="Times New Roman"/>
          <w:i/>
          <w:iCs/>
          <w:sz w:val="24"/>
          <w:szCs w:val="24"/>
          <w:shd w:val="clear" w:color="auto" w:fill="FFFFFF"/>
          <w:lang w:eastAsia="zh-CN"/>
        </w:rPr>
        <w:t>hýpnōsis</w:t>
      </w:r>
      <w:proofErr w:type="spellEnd"/>
      <w:r>
        <w:rPr>
          <w:rFonts w:ascii="Times New Roman" w:eastAsia="Segoe UI" w:hAnsi="Times New Roman" w:cs="Times New Roman"/>
          <w:sz w:val="24"/>
          <w:szCs w:val="24"/>
          <w:shd w:val="clear" w:color="auto" w:fill="FFFFFF"/>
          <w:lang w:eastAsia="zh-CN"/>
        </w:rPr>
        <w:t> (o processo de adormecer). Era uma metáfora precisa: a hipnose não é o sono, mas o ato de cruzar seu limiar. O paradoxo, posteriormente elucidado por EEG, é que o cérebro hipnotizado não dorme. Seu padrão de ondas difere do sono fisiológico. Contudo, a etimologia captura uma verdade fenomenológica: para quem experimenta a hipnose, a sensação é de transitar por um estado onde vigília e sonho se confundem. A palavra, assim, torna-se um portal linguístico, evocando a mente em trânsito entre dois mundos.</w:t>
      </w:r>
    </w:p>
    <w:p w14:paraId="7EE22923"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455121BF"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2. A Dimensão Histórico-Clínica: Do Templo ao Consultório</w:t>
      </w:r>
    </w:p>
    <w:p w14:paraId="548863F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 hipnose é tão antiga quanto a própria humanidade, mas sua história clínica revela um processo de apropriação gradual. Na Grécia Antiga, a </w:t>
      </w:r>
      <w:proofErr w:type="spellStart"/>
      <w:r>
        <w:rPr>
          <w:rFonts w:ascii="Times New Roman" w:eastAsia="Segoe UI" w:hAnsi="Times New Roman" w:cs="Times New Roman"/>
          <w:i/>
          <w:iCs/>
          <w:sz w:val="24"/>
          <w:szCs w:val="24"/>
          <w:shd w:val="clear" w:color="auto" w:fill="FFFFFF"/>
          <w:lang w:eastAsia="zh-CN"/>
        </w:rPr>
        <w:t>incubatio</w:t>
      </w:r>
      <w:proofErr w:type="spellEnd"/>
      <w:r>
        <w:rPr>
          <w:rFonts w:ascii="Times New Roman" w:eastAsia="Segoe UI" w:hAnsi="Times New Roman" w:cs="Times New Roman"/>
          <w:sz w:val="24"/>
          <w:szCs w:val="24"/>
          <w:shd w:val="clear" w:color="auto" w:fill="FFFFFF"/>
          <w:lang w:eastAsia="zh-CN"/>
        </w:rPr>
        <w:t xml:space="preserve"> nos templos de Asclépio explorava o poder da sugestão. Os doentes deitavam-se em câmaras sagradas do templo, enquanto sacerdotes usavam palavras e rituais para induzir sonhos curativos, fundindo linguagem e fé para reconfigurar a percepção. No século XVIII, </w:t>
      </w:r>
      <w:proofErr w:type="spellStart"/>
      <w:r>
        <w:rPr>
          <w:rFonts w:ascii="Times New Roman" w:eastAsia="Segoe UI" w:hAnsi="Times New Roman" w:cs="Times New Roman"/>
          <w:sz w:val="24"/>
          <w:szCs w:val="24"/>
          <w:shd w:val="clear" w:color="auto" w:fill="FFFFFF"/>
          <w:lang w:eastAsia="zh-CN"/>
        </w:rPr>
        <w:t>Mesmer</w:t>
      </w:r>
      <w:proofErr w:type="spellEnd"/>
      <w:r>
        <w:rPr>
          <w:rFonts w:ascii="Times New Roman" w:eastAsia="Segoe UI" w:hAnsi="Times New Roman" w:cs="Times New Roman"/>
          <w:sz w:val="24"/>
          <w:szCs w:val="24"/>
          <w:shd w:val="clear" w:color="auto" w:fill="FFFFFF"/>
          <w:lang w:eastAsia="zh-CN"/>
        </w:rPr>
        <w:t xml:space="preserve"> </w:t>
      </w:r>
      <w:proofErr w:type="spellStart"/>
      <w:r>
        <w:rPr>
          <w:rFonts w:ascii="Times New Roman" w:eastAsia="Segoe UI" w:hAnsi="Times New Roman" w:cs="Times New Roman"/>
          <w:sz w:val="24"/>
          <w:szCs w:val="24"/>
          <w:shd w:val="clear" w:color="auto" w:fill="FFFFFF"/>
          <w:lang w:eastAsia="zh-CN"/>
        </w:rPr>
        <w:t>medicalizou</w:t>
      </w:r>
      <w:proofErr w:type="spellEnd"/>
      <w:r>
        <w:rPr>
          <w:rFonts w:ascii="Times New Roman" w:eastAsia="Segoe UI" w:hAnsi="Times New Roman" w:cs="Times New Roman"/>
          <w:sz w:val="24"/>
          <w:szCs w:val="24"/>
          <w:shd w:val="clear" w:color="auto" w:fill="FFFFFF"/>
          <w:lang w:eastAsia="zh-CN"/>
        </w:rPr>
        <w:t xml:space="preserve"> o transe, atribuindo-o a um fluido invisível, um desvio que quase relegou a hipnose ao esoterismo.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em seu consultório, desmistificou o processo, demonstrando que o transe dependia de um mecanismo psicológico: a fixação da atenção. Seu conceito de monoideísmo - uma ideia dominando a mente - transformou a hipnose em uma ferramenta científica. Hoje, ela é utilizada em anestesia, controle da dor e cirurgias, preservando a essência: a capacidade da mente de se reconfigurar por meio da sugestão.</w:t>
      </w:r>
    </w:p>
    <w:p w14:paraId="0F6F004D"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306B4518"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3. A Dimensão Neurocientífica: A Arquitetura da Atenção</w:t>
      </w:r>
    </w:p>
    <w:p w14:paraId="1E466943"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suspeita pioneira de James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de que a hipnose constitui um estado de </w:t>
      </w:r>
      <w:proofErr w:type="spellStart"/>
      <w:r>
        <w:rPr>
          <w:rFonts w:ascii="Times New Roman" w:eastAsia="Segoe UI" w:hAnsi="Times New Roman" w:cs="Times New Roman"/>
          <w:sz w:val="24"/>
          <w:szCs w:val="24"/>
          <w:shd w:val="clear" w:color="auto" w:fill="FFFFFF"/>
          <w:lang w:eastAsia="zh-CN"/>
        </w:rPr>
        <w:t>hiperatenção</w:t>
      </w:r>
      <w:proofErr w:type="spellEnd"/>
      <w:r>
        <w:rPr>
          <w:rFonts w:ascii="Times New Roman" w:eastAsia="Segoe UI" w:hAnsi="Times New Roman" w:cs="Times New Roman"/>
          <w:sz w:val="24"/>
          <w:szCs w:val="24"/>
          <w:shd w:val="clear" w:color="auto" w:fill="FFFFFF"/>
          <w:lang w:eastAsia="zh-CN"/>
        </w:rPr>
        <w:t xml:space="preserve"> encontra respaldo sólido na neurociência contemporânea. Evidências de neuroimagem funcional demonstram que o estado hipnótico mobiliza com vigor regiões encefálicas fundamentais para o controle executivo, como o córtex pré-frontal dorsolateral e o cíngulo anterior. Esta ativação sustenta uma concentração intensa e singular na sugestão oferecida. Paralelamente, os padrões de atividade da DMN durante a hipnose são mais complexos do que uma simples inibição. Estudos indicam uma modulação específica e contextual desta rede, que pode estar relacionada com a redução da autorreflexão espontânea e uma maior absorção na experiência interna gerada pela sugestão. A plasticidade neural induzida pela hipnose estende-se também a redes sensório-motoras. Em essência, o cérebro sob hipnose não se encontra em repouso passivo, mas sim em um estado dinâmico de alerta seletivo, corroborando a visão original de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ao atribuir-lhe um fundamento neurofuncional preciso.</w:t>
      </w:r>
    </w:p>
    <w:p w14:paraId="0E40E405"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6A783B87"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4. A Dimensão Poético-Filosófica: O Limiar como Metáfora</w:t>
      </w:r>
    </w:p>
    <w:p w14:paraId="21908E39"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Mais que uma técnica clínica, a hipnose é metáfora do limiar. </w:t>
      </w:r>
      <w:proofErr w:type="spellStart"/>
      <w:r>
        <w:rPr>
          <w:rFonts w:ascii="Times New Roman" w:eastAsia="Segoe UI" w:hAnsi="Times New Roman" w:cs="Times New Roman"/>
          <w:sz w:val="24"/>
          <w:szCs w:val="24"/>
          <w:shd w:val="clear" w:color="auto" w:fill="FFFFFF"/>
          <w:lang w:eastAsia="zh-CN"/>
        </w:rPr>
        <w:t>Hypnos</w:t>
      </w:r>
      <w:proofErr w:type="spellEnd"/>
      <w:r>
        <w:rPr>
          <w:rFonts w:ascii="Times New Roman" w:eastAsia="Segoe UI" w:hAnsi="Times New Roman" w:cs="Times New Roman"/>
          <w:sz w:val="24"/>
          <w:szCs w:val="24"/>
          <w:shd w:val="clear" w:color="auto" w:fill="FFFFFF"/>
          <w:lang w:eastAsia="zh-CN"/>
        </w:rPr>
        <w:t xml:space="preserve">, irmão de </w:t>
      </w:r>
      <w:proofErr w:type="spellStart"/>
      <w:r>
        <w:rPr>
          <w:rFonts w:ascii="Times New Roman" w:eastAsia="Segoe UI" w:hAnsi="Times New Roman" w:cs="Times New Roman"/>
          <w:sz w:val="24"/>
          <w:szCs w:val="24"/>
          <w:shd w:val="clear" w:color="auto" w:fill="FFFFFF"/>
          <w:lang w:eastAsia="zh-CN"/>
        </w:rPr>
        <w:t>Thanatos</w:t>
      </w:r>
      <w:proofErr w:type="spellEnd"/>
      <w:r>
        <w:rPr>
          <w:rFonts w:ascii="Times New Roman" w:eastAsia="Segoe UI" w:hAnsi="Times New Roman" w:cs="Times New Roman"/>
          <w:sz w:val="24"/>
          <w:szCs w:val="24"/>
          <w:shd w:val="clear" w:color="auto" w:fill="FFFFFF"/>
          <w:lang w:eastAsia="zh-CN"/>
        </w:rPr>
        <w:t xml:space="preserve">, encarna a fronteira entre vida e morte, consciência e inconsciente. Esse arquétipo do portal, onde as regras da realidade se flexibilizam, constitui o cerne simbólico da hipnose. Ao escolher o termo,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capturou uma verdade profunda: a hipnose é uma jornada. Guiados pela voz alheia ou pelo próprio foco, cruzamos um umbral em que a dor pode ser aliviada, medos </w:t>
      </w:r>
      <w:r>
        <w:rPr>
          <w:rFonts w:ascii="Times New Roman" w:eastAsia="Segoe UI" w:hAnsi="Times New Roman" w:cs="Times New Roman"/>
          <w:sz w:val="24"/>
          <w:szCs w:val="24"/>
          <w:shd w:val="clear" w:color="auto" w:fill="FFFFFF"/>
          <w:lang w:eastAsia="zh-CN"/>
        </w:rPr>
        <w:lastRenderedPageBreak/>
        <w:t xml:space="preserve">ressignificados e a percepção corporal temporariamente suspensa. Nesse sentido, a sugestão hipnótica funciona como um feitiço secularizado - a materialização moderna do poder que os antigos atribuíam às palavras nos templos de Asclépio - uma narrativa compacta que, aceita nesse estado de receptividade, ressignifica a experiência. A </w:t>
      </w:r>
      <w:proofErr w:type="spellStart"/>
      <w:r>
        <w:rPr>
          <w:rFonts w:ascii="Times New Roman" w:eastAsia="Segoe UI" w:hAnsi="Times New Roman" w:cs="Times New Roman"/>
          <w:sz w:val="24"/>
          <w:szCs w:val="24"/>
          <w:shd w:val="clear" w:color="auto" w:fill="FFFFFF"/>
          <w:lang w:eastAsia="zh-CN"/>
        </w:rPr>
        <w:t>neuroetimologia</w:t>
      </w:r>
      <w:proofErr w:type="spellEnd"/>
      <w:r>
        <w:rPr>
          <w:rFonts w:ascii="Times New Roman" w:eastAsia="Segoe UI" w:hAnsi="Times New Roman" w:cs="Times New Roman"/>
          <w:sz w:val="24"/>
          <w:szCs w:val="24"/>
          <w:shd w:val="clear" w:color="auto" w:fill="FFFFFF"/>
          <w:lang w:eastAsia="zh-CN"/>
        </w:rPr>
        <w:t xml:space="preserve"> da hipnose revela, assim, não apenas a história de uma palavra, mas o anseio humano de transcender, ainda que momentaneamente, os limites do eu consciente.</w:t>
      </w:r>
    </w:p>
    <w:p w14:paraId="41ACF4ED"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233D083C"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Próximo: O Silêncio do Pensamento</w:t>
      </w:r>
    </w:p>
    <w:p w14:paraId="77719AFE"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Se a hipnose representa um portal consciente que podemos atravessar – uma jornada ativa da mente pelo limiar da sugestão –, o coma surge como seu antípoda absoluto. É o silêncio abrupto e involuntário da consciência, o fechamento definitivo do portão. Assim como James </w:t>
      </w:r>
      <w:proofErr w:type="spellStart"/>
      <w:r>
        <w:rPr>
          <w:rFonts w:ascii="Times New Roman" w:eastAsia="Segoe UI" w:hAnsi="Times New Roman" w:cs="Times New Roman"/>
          <w:sz w:val="24"/>
          <w:szCs w:val="24"/>
          <w:shd w:val="clear" w:color="auto" w:fill="FFFFFF"/>
          <w:lang w:eastAsia="zh-CN"/>
        </w:rPr>
        <w:t>Braid</w:t>
      </w:r>
      <w:proofErr w:type="spellEnd"/>
      <w:r>
        <w:rPr>
          <w:rFonts w:ascii="Times New Roman" w:eastAsia="Segoe UI" w:hAnsi="Times New Roman" w:cs="Times New Roman"/>
          <w:sz w:val="24"/>
          <w:szCs w:val="24"/>
          <w:shd w:val="clear" w:color="auto" w:fill="FFFFFF"/>
          <w:lang w:eastAsia="zh-CN"/>
        </w:rPr>
        <w:t xml:space="preserve"> se dedicou a mapear as fronteiras da atenção focada, coube a figuras como Harvey Cushing confrontar o mistério clínico supremo: a supressão global da consciência. Esse estado de suspensão das funções corticais, um território que desafia os próprios limites entre vida e morte, será o tema que exploraremos a seguir.</w:t>
      </w:r>
    </w:p>
    <w:p w14:paraId="5C540120" w14:textId="77777777" w:rsidR="0003312E" w:rsidRDefault="00000000">
      <w:pPr>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br w:type="page"/>
      </w:r>
    </w:p>
    <w:tbl>
      <w:tblPr>
        <w:tblStyle w:val="Tabelacomgrade"/>
        <w:tblW w:w="880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506"/>
        <w:gridCol w:w="4298"/>
      </w:tblGrid>
      <w:tr w:rsidR="0003312E" w14:paraId="53B3FE80" w14:textId="77777777">
        <w:trPr>
          <w:trHeight w:val="436"/>
          <w:jc w:val="center"/>
        </w:trPr>
        <w:tc>
          <w:tcPr>
            <w:tcW w:w="8804" w:type="dxa"/>
            <w:gridSpan w:val="2"/>
            <w:tcBorders>
              <w:top w:val="nil"/>
              <w:left w:val="nil"/>
              <w:bottom w:val="nil"/>
              <w:right w:val="nil"/>
            </w:tcBorders>
          </w:tcPr>
          <w:p w14:paraId="1DBC1666" w14:textId="77777777" w:rsidR="0003312E" w:rsidRDefault="00000000">
            <w:pPr>
              <w:spacing w:after="0" w:line="240" w:lineRule="auto"/>
              <w:jc w:val="both"/>
              <w:rPr>
                <w:rFonts w:ascii="Times New Roman" w:eastAsia="SimSun" w:hAnsi="Times New Roman" w:cs="Times New Roman"/>
                <w:b/>
                <w:bCs/>
                <w:sz w:val="24"/>
                <w:szCs w:val="24"/>
              </w:rPr>
            </w:pPr>
            <w:r>
              <w:rPr>
                <w:rFonts w:ascii="Times New Roman" w:eastAsia="Segoe UI" w:hAnsi="Times New Roman" w:cs="Times New Roman"/>
                <w:sz w:val="20"/>
                <w:szCs w:val="20"/>
                <w:shd w:val="clear" w:color="auto" w:fill="FFFFFF"/>
                <w:lang w:eastAsia="zh-CN"/>
              </w:rPr>
              <w:lastRenderedPageBreak/>
              <w:br w:type="page"/>
            </w:r>
            <w:r>
              <w:rPr>
                <w:rFonts w:ascii="Times New Roman" w:hAnsi="Times New Roman" w:cs="Times New Roman"/>
                <w:b/>
                <w:bCs/>
                <w:sz w:val="24"/>
                <w:szCs w:val="24"/>
              </w:rPr>
              <w:t xml:space="preserve">Capítulo </w:t>
            </w:r>
            <w:proofErr w:type="gramStart"/>
            <w:r>
              <w:rPr>
                <w:rFonts w:ascii="Times New Roman" w:hAnsi="Times New Roman" w:cs="Times New Roman"/>
                <w:b/>
                <w:bCs/>
                <w:sz w:val="24"/>
                <w:szCs w:val="24"/>
              </w:rPr>
              <w:t>2  -</w:t>
            </w:r>
            <w:proofErr w:type="gramEnd"/>
            <w:r>
              <w:rPr>
                <w:rFonts w:ascii="Times New Roman" w:hAnsi="Times New Roman" w:cs="Times New Roman"/>
                <w:b/>
                <w:bCs/>
                <w:sz w:val="24"/>
                <w:szCs w:val="24"/>
              </w:rPr>
              <w:t xml:space="preserve">  </w:t>
            </w:r>
            <w:r>
              <w:rPr>
                <w:rFonts w:ascii="Times New Roman" w:eastAsiaTheme="majorEastAsia" w:hAnsi="Times New Roman" w:cs="Times New Roman"/>
                <w:b/>
                <w:bCs/>
                <w:sz w:val="24"/>
                <w:szCs w:val="24"/>
              </w:rPr>
              <w:t>Coma: O Silêncio do Pensamento</w:t>
            </w:r>
          </w:p>
        </w:tc>
      </w:tr>
      <w:tr w:rsidR="0003312E" w14:paraId="214FFB01" w14:textId="77777777">
        <w:trPr>
          <w:trHeight w:val="2409"/>
          <w:jc w:val="center"/>
        </w:trPr>
        <w:tc>
          <w:tcPr>
            <w:tcW w:w="4506" w:type="dxa"/>
            <w:tcBorders>
              <w:top w:val="nil"/>
              <w:left w:val="nil"/>
              <w:bottom w:val="nil"/>
              <w:right w:val="nil"/>
            </w:tcBorders>
          </w:tcPr>
          <w:p w14:paraId="3B375E39"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hAnsi="Times New Roman" w:cs="Times New Roman"/>
                <w:noProof/>
                <w:sz w:val="24"/>
                <w:szCs w:val="24"/>
              </w:rPr>
              <w:drawing>
                <wp:inline distT="0" distB="0" distL="0" distR="0" wp14:anchorId="3302961A" wp14:editId="0545344C">
                  <wp:extent cx="1563370" cy="1563370"/>
                  <wp:effectExtent l="0" t="0" r="6350" b="6350"/>
                  <wp:docPr id="139345923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59230" name="Imagem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563370" cy="1563370"/>
                          </a:xfrm>
                          <a:prstGeom prst="rect">
                            <a:avLst/>
                          </a:prstGeom>
                          <a:noFill/>
                          <a:ln>
                            <a:noFill/>
                          </a:ln>
                        </pic:spPr>
                      </pic:pic>
                    </a:graphicData>
                  </a:graphic>
                </wp:inline>
              </w:drawing>
            </w:r>
          </w:p>
        </w:tc>
        <w:tc>
          <w:tcPr>
            <w:tcW w:w="4298" w:type="dxa"/>
            <w:tcBorders>
              <w:top w:val="nil"/>
              <w:left w:val="nil"/>
              <w:bottom w:val="nil"/>
              <w:right w:val="nil"/>
            </w:tcBorders>
          </w:tcPr>
          <w:p w14:paraId="562695DC"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4AF3FAB6" wp14:editId="0CE5ED50">
                  <wp:extent cx="1137285" cy="1524000"/>
                  <wp:effectExtent l="0" t="0" r="5715" b="0"/>
                  <wp:docPr id="51" name="Imagem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20" descr="IMG_256"/>
                          <pic:cNvPicPr>
                            <a:picLocks noChangeAspect="1"/>
                          </pic:cNvPicPr>
                        </pic:nvPicPr>
                        <pic:blipFill>
                          <a:blip r:embed="rId16"/>
                          <a:stretch>
                            <a:fillRect/>
                          </a:stretch>
                        </pic:blipFill>
                        <pic:spPr>
                          <a:xfrm>
                            <a:off x="0" y="0"/>
                            <a:ext cx="1137285" cy="1524000"/>
                          </a:xfrm>
                          <a:prstGeom prst="rect">
                            <a:avLst/>
                          </a:prstGeom>
                          <a:noFill/>
                          <a:ln w="9525">
                            <a:noFill/>
                          </a:ln>
                        </pic:spPr>
                      </pic:pic>
                    </a:graphicData>
                  </a:graphic>
                </wp:inline>
              </w:drawing>
            </w:r>
          </w:p>
        </w:tc>
      </w:tr>
      <w:tr w:rsidR="0003312E" w14:paraId="17E8C7B7" w14:textId="77777777">
        <w:trPr>
          <w:trHeight w:val="476"/>
          <w:jc w:val="center"/>
        </w:trPr>
        <w:tc>
          <w:tcPr>
            <w:tcW w:w="4506" w:type="dxa"/>
            <w:tcBorders>
              <w:top w:val="nil"/>
              <w:left w:val="nil"/>
              <w:bottom w:val="nil"/>
              <w:right w:val="nil"/>
            </w:tcBorders>
          </w:tcPr>
          <w:p w14:paraId="145D264A"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Figura 2.1: O Carvalho Invernal: Metáfora do Silêncio Neural</w:t>
            </w:r>
          </w:p>
        </w:tc>
        <w:tc>
          <w:tcPr>
            <w:tcW w:w="4298" w:type="dxa"/>
            <w:tcBorders>
              <w:top w:val="nil"/>
              <w:left w:val="nil"/>
              <w:bottom w:val="nil"/>
              <w:right w:val="nil"/>
            </w:tcBorders>
          </w:tcPr>
          <w:p w14:paraId="54929EF4"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 xml:space="preserve">Figura 2.2: </w:t>
            </w:r>
            <w:r>
              <w:rPr>
                <w:rFonts w:ascii="Times New Roman" w:eastAsia="Segoe UI" w:hAnsi="Times New Roman" w:cs="Times New Roman"/>
                <w:i/>
                <w:iCs/>
                <w:sz w:val="24"/>
                <w:szCs w:val="24"/>
                <w:shd w:val="clear" w:color="auto" w:fill="FFFFFF"/>
              </w:rPr>
              <w:t>Harvey Cushing (1869 - 1939)</w:t>
            </w:r>
            <w:r>
              <w:rPr>
                <w:rFonts w:ascii="Times New Roman" w:eastAsiaTheme="majorEastAsia" w:hAnsi="Times New Roman" w:cs="Times New Roman"/>
                <w:i/>
                <w:iCs/>
                <w:sz w:val="24"/>
                <w:szCs w:val="24"/>
              </w:rPr>
              <w:t>: O Decifrador do Silêncio Cerebral</w:t>
            </w:r>
          </w:p>
        </w:tc>
      </w:tr>
    </w:tbl>
    <w:p w14:paraId="58427F7C"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0A21A73E"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4819BE47"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Coma em Poucas Palavras: Quando a Consciência se Apaga</w:t>
      </w:r>
    </w:p>
    <w:p w14:paraId="1EA591F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Imagine um silêncio que não é paz, mas ausência. Um estado em que a consciência, aquilo que nos define como seres pensantes, simplesmente se apaga, deixando para trás um corpo que respira, um coração que bate, mas uma mente adormecida além de qualquer despertar. Este é o coma - um dos fenômenos mais enigmáticos e profundamente humanos, que desafia não apenas a medicina, mas nossa compreensão do que significa existir.</w:t>
      </w:r>
    </w:p>
    <w:p w14:paraId="50DCB6D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Ao longo da história, o coma foi visto como sono profundo, possessão divina ou demoníaca, e até como uma fronteira entre a vida e a morte. Hoje, a neurociência nos revela que ele é, na verdade, um colapso das redes neurais que sustentam a consciência. Mas será que essa explicação científica esgota todo o significado deste estado enigmático? Para explorar esta complexidade, convidamos você a percorrer quatro dimensões interligadas: a origem etimológica, que revela como antigamente entendíamos a inconsciência; a jornada histórica, dos templos gregos às modernas UTIs; a base neurocientífica, que desvenda os mecanismos do "silêncio neural"; e, finalmente, a dimensão filosófica, que nos confronta com questões essenciais sobre a vida, a morte e a natureza do "eu". Prepare-se para adentrar um território onde a ciência e o mistério se entrelaçam, e onde o silêncio do cérebro nos fala mais alto do que qualquer palavra.</w:t>
      </w:r>
    </w:p>
    <w:p w14:paraId="3E5E8230"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4AB5347E"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 xml:space="preserve">A Jornada da Palavra: De </w:t>
      </w:r>
      <w:proofErr w:type="spellStart"/>
      <w:r>
        <w:rPr>
          <w:rFonts w:ascii="Times New Roman" w:eastAsia="Segoe UI" w:hAnsi="Times New Roman" w:cs="Times New Roman"/>
          <w:b/>
          <w:bCs/>
          <w:sz w:val="24"/>
          <w:szCs w:val="24"/>
          <w:shd w:val="clear" w:color="auto" w:fill="FFFFFF"/>
          <w:lang w:eastAsia="zh-CN"/>
        </w:rPr>
        <w:t>Kôma</w:t>
      </w:r>
      <w:proofErr w:type="spellEnd"/>
      <w:r>
        <w:rPr>
          <w:rFonts w:ascii="Times New Roman" w:eastAsia="Segoe UI" w:hAnsi="Times New Roman" w:cs="Times New Roman"/>
          <w:b/>
          <w:bCs/>
          <w:sz w:val="24"/>
          <w:szCs w:val="24"/>
          <w:shd w:val="clear" w:color="auto" w:fill="FFFFFF"/>
          <w:lang w:eastAsia="zh-CN"/>
        </w:rPr>
        <w:t xml:space="preserve"> a Cushing</w:t>
      </w:r>
    </w:p>
    <w:p w14:paraId="24ABA370"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 história do coma reflete a trajetória da humanidade em transformar mistério em conhecimento, seguindo uma evolução cronológica marcante.</w:t>
      </w:r>
    </w:p>
    <w:p w14:paraId="67A9B51C"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Na Grécia Antiga, o termo </w:t>
      </w:r>
      <w:proofErr w:type="spellStart"/>
      <w:r>
        <w:rPr>
          <w:rFonts w:ascii="Times New Roman" w:eastAsia="Segoe UI" w:hAnsi="Times New Roman" w:cs="Times New Roman"/>
          <w:i/>
          <w:iCs/>
          <w:sz w:val="24"/>
          <w:szCs w:val="24"/>
          <w:shd w:val="clear" w:color="auto" w:fill="FFFFFF"/>
          <w:lang w:eastAsia="zh-CN"/>
        </w:rPr>
        <w:t>kôma</w:t>
      </w:r>
      <w:proofErr w:type="spellEnd"/>
      <w:r>
        <w:rPr>
          <w:rFonts w:ascii="Times New Roman" w:eastAsia="Segoe UI" w:hAnsi="Times New Roman" w:cs="Times New Roman"/>
          <w:sz w:val="24"/>
          <w:szCs w:val="24"/>
          <w:shd w:val="clear" w:color="auto" w:fill="FFFFFF"/>
          <w:lang w:eastAsia="zh-CN"/>
        </w:rPr>
        <w:t xml:space="preserve"> era puramente descritivo, usado por Hipócrates e Galeno para designar um torpor profundo, sem qualquer explicação fisiopatológica. Na Idade </w:t>
      </w:r>
      <w:r>
        <w:rPr>
          <w:rFonts w:ascii="Times New Roman" w:eastAsia="Segoe UI" w:hAnsi="Times New Roman" w:cs="Times New Roman"/>
          <w:sz w:val="24"/>
          <w:szCs w:val="24"/>
          <w:shd w:val="clear" w:color="auto" w:fill="FFFFFF"/>
          <w:lang w:eastAsia="zh-CN"/>
        </w:rPr>
        <w:lastRenderedPageBreak/>
        <w:t xml:space="preserve">Média, a incompreensão médica conferiu ao estado comatoso um caráter sobrenatural: o corpo presente, a mente ausente poderia estar </w:t>
      </w:r>
      <w:proofErr w:type="gramStart"/>
      <w:r>
        <w:rPr>
          <w:rFonts w:ascii="Times New Roman" w:eastAsia="Segoe UI" w:hAnsi="Times New Roman" w:cs="Times New Roman"/>
          <w:sz w:val="24"/>
          <w:szCs w:val="24"/>
          <w:shd w:val="clear" w:color="auto" w:fill="FFFFFF"/>
          <w:lang w:eastAsia="zh-CN"/>
        </w:rPr>
        <w:t>possuído</w:t>
      </w:r>
      <w:proofErr w:type="gramEnd"/>
      <w:r>
        <w:rPr>
          <w:rFonts w:ascii="Times New Roman" w:eastAsia="Segoe UI" w:hAnsi="Times New Roman" w:cs="Times New Roman"/>
          <w:sz w:val="24"/>
          <w:szCs w:val="24"/>
          <w:shd w:val="clear" w:color="auto" w:fill="FFFFFF"/>
          <w:lang w:eastAsia="zh-CN"/>
        </w:rPr>
        <w:t xml:space="preserve"> ou em êxtase divino. A medicina escolástica, ainda ligada aos humores galênicos, limitava-se a sangrias e preces.</w:t>
      </w:r>
    </w:p>
    <w:p w14:paraId="7495E090"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Nos séculos XVII e XVIII, as ideias permaneciam dominadas pela tradição hipocrática-galênica. Termos como letargia, "</w:t>
      </w:r>
      <w:proofErr w:type="spellStart"/>
      <w:r>
        <w:rPr>
          <w:rFonts w:ascii="Times New Roman" w:eastAsia="Segoe UI" w:hAnsi="Times New Roman" w:cs="Times New Roman"/>
          <w:sz w:val="24"/>
          <w:szCs w:val="24"/>
          <w:shd w:val="clear" w:color="auto" w:fill="FFFFFF"/>
          <w:lang w:eastAsia="zh-CN"/>
        </w:rPr>
        <w:t>carus</w:t>
      </w:r>
      <w:proofErr w:type="spellEnd"/>
      <w:r>
        <w:rPr>
          <w:rFonts w:ascii="Times New Roman" w:eastAsia="Segoe UI" w:hAnsi="Times New Roman" w:cs="Times New Roman"/>
          <w:sz w:val="24"/>
          <w:szCs w:val="24"/>
          <w:shd w:val="clear" w:color="auto" w:fill="FFFFFF"/>
          <w:lang w:eastAsia="zh-CN"/>
        </w:rPr>
        <w:t>" e apoplexia descreviam diferentes graus de inconsciência, atribuídos a desequilíbrios de "humores" no cérebro. O exame do paciente resumia-se a observar a respiração estertorosa, a resposta a estímulos violentos e a palpação do pulso, com a sangria como tratamento principal. Contudo, um avanço crucial surgiu com Thomas Willis no século XVII, que associou o estado a perturbações no "fluxo dos espíritos animais" - uma hipótese pré-científica, mas que pela primeira vez apontava o sistema nervoso como origem do problema.</w:t>
      </w:r>
    </w:p>
    <w:p w14:paraId="34D4FC0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Com o avanço da anatomia patológica, médicos como Félix Vicq-</w:t>
      </w:r>
      <w:proofErr w:type="spellStart"/>
      <w:r>
        <w:rPr>
          <w:rFonts w:ascii="Times New Roman" w:eastAsia="Segoe UI" w:hAnsi="Times New Roman" w:cs="Times New Roman"/>
          <w:sz w:val="24"/>
          <w:szCs w:val="24"/>
          <w:shd w:val="clear" w:color="auto" w:fill="FFFFFF"/>
          <w:lang w:eastAsia="zh-CN"/>
        </w:rPr>
        <w:t>d'Azyr</w:t>
      </w:r>
      <w:proofErr w:type="spellEnd"/>
      <w:r>
        <w:rPr>
          <w:rFonts w:ascii="Times New Roman" w:eastAsia="Segoe UI" w:hAnsi="Times New Roman" w:cs="Times New Roman"/>
          <w:sz w:val="24"/>
          <w:szCs w:val="24"/>
          <w:shd w:val="clear" w:color="auto" w:fill="FFFFFF"/>
          <w:lang w:eastAsia="zh-CN"/>
        </w:rPr>
        <w:t xml:space="preserve"> e Pierre </w:t>
      </w:r>
      <w:proofErr w:type="spellStart"/>
      <w:r>
        <w:rPr>
          <w:rFonts w:ascii="Times New Roman" w:eastAsia="Segoe UI" w:hAnsi="Times New Roman" w:cs="Times New Roman"/>
          <w:sz w:val="24"/>
          <w:szCs w:val="24"/>
          <w:shd w:val="clear" w:color="auto" w:fill="FFFFFF"/>
          <w:lang w:eastAsia="zh-CN"/>
        </w:rPr>
        <w:t>Cabanis</w:t>
      </w:r>
      <w:proofErr w:type="spellEnd"/>
      <w:r>
        <w:rPr>
          <w:rFonts w:ascii="Times New Roman" w:eastAsia="Segoe UI" w:hAnsi="Times New Roman" w:cs="Times New Roman"/>
          <w:sz w:val="24"/>
          <w:szCs w:val="24"/>
          <w:shd w:val="clear" w:color="auto" w:fill="FFFFFF"/>
          <w:lang w:eastAsia="zh-CN"/>
        </w:rPr>
        <w:t xml:space="preserve"> começaram a correlacionar lesões cerebrais específicas ao estado comatoso, transformando o coma de um enigma metafísico em questão neuroanatômica. No final do século XIX, a medicina especializou-se e a ciência experimental ganhou espaço. Médicos como John </w:t>
      </w:r>
      <w:proofErr w:type="spellStart"/>
      <w:r>
        <w:rPr>
          <w:rFonts w:ascii="Times New Roman" w:eastAsia="Segoe UI" w:hAnsi="Times New Roman" w:cs="Times New Roman"/>
          <w:sz w:val="24"/>
          <w:szCs w:val="24"/>
          <w:shd w:val="clear" w:color="auto" w:fill="FFFFFF"/>
          <w:lang w:eastAsia="zh-CN"/>
        </w:rPr>
        <w:t>Cheyne</w:t>
      </w:r>
      <w:proofErr w:type="spellEnd"/>
      <w:r>
        <w:rPr>
          <w:rFonts w:ascii="Times New Roman" w:eastAsia="Segoe UI" w:hAnsi="Times New Roman" w:cs="Times New Roman"/>
          <w:sz w:val="24"/>
          <w:szCs w:val="24"/>
          <w:shd w:val="clear" w:color="auto" w:fill="FFFFFF"/>
          <w:lang w:eastAsia="zh-CN"/>
        </w:rPr>
        <w:t xml:space="preserve"> identificaram padrões respiratórios específicos, enquanto a investigação da pressão intracraniana por cirurgiões como Theodor </w:t>
      </w:r>
      <w:proofErr w:type="spellStart"/>
      <w:r>
        <w:rPr>
          <w:rFonts w:ascii="Times New Roman" w:eastAsia="Segoe UI" w:hAnsi="Times New Roman" w:cs="Times New Roman"/>
          <w:sz w:val="24"/>
          <w:szCs w:val="24"/>
          <w:shd w:val="clear" w:color="auto" w:fill="FFFFFF"/>
          <w:lang w:eastAsia="zh-CN"/>
        </w:rPr>
        <w:t>Kocher</w:t>
      </w:r>
      <w:proofErr w:type="spellEnd"/>
      <w:r>
        <w:rPr>
          <w:rFonts w:ascii="Times New Roman" w:eastAsia="Segoe UI" w:hAnsi="Times New Roman" w:cs="Times New Roman"/>
          <w:sz w:val="24"/>
          <w:szCs w:val="24"/>
          <w:shd w:val="clear" w:color="auto" w:fill="FFFFFF"/>
          <w:lang w:eastAsia="zh-CN"/>
        </w:rPr>
        <w:t xml:space="preserve"> revelou a relação vital entre pressão craniana, pressão arterial e consciência. O coma passou a ser visto como problema mecânico-circulatório, com intervenções descompressivas como a trepanação.</w:t>
      </w:r>
    </w:p>
    <w:p w14:paraId="69D4B0C4"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ápice dessa transição ocorreu com Harvey Cushing (1869-1939), que incorporou rigor científico à neurocirurgia. Sua descrição da "Tríade de Cushing" - hipertensão arterial, bradicardia e irregularidade respiratória - estabeleceu-a como sinal de hipertensão intracraniana terminal, uma condição que frequentemente leva ao coma, consolidando-o como indicador mensurável de crise neurológica.</w:t>
      </w:r>
    </w:p>
    <w:p w14:paraId="1F8E3974"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Contudo, um enigma persistia: por que grandes lesões corticais nem sempre causavam coma, enquanto pequenas lesões no tronco cerebral sim? A resposta veio em meados do século XX com a descoberta do Sistema Ativador Reticular Ascendente (ARAS) por Horace </w:t>
      </w:r>
      <w:proofErr w:type="spellStart"/>
      <w:r>
        <w:rPr>
          <w:rFonts w:ascii="Times New Roman" w:eastAsia="Segoe UI" w:hAnsi="Times New Roman" w:cs="Times New Roman"/>
          <w:sz w:val="24"/>
          <w:szCs w:val="24"/>
          <w:shd w:val="clear" w:color="auto" w:fill="FFFFFF"/>
          <w:lang w:eastAsia="zh-CN"/>
        </w:rPr>
        <w:t>Magoun</w:t>
      </w:r>
      <w:proofErr w:type="spellEnd"/>
      <w:r>
        <w:rPr>
          <w:rFonts w:ascii="Times New Roman" w:eastAsia="Segoe UI" w:hAnsi="Times New Roman" w:cs="Times New Roman"/>
          <w:sz w:val="24"/>
          <w:szCs w:val="24"/>
          <w:shd w:val="clear" w:color="auto" w:fill="FFFFFF"/>
          <w:lang w:eastAsia="zh-CN"/>
        </w:rPr>
        <w:t xml:space="preserve"> e Giuseppe </w:t>
      </w:r>
      <w:proofErr w:type="spellStart"/>
      <w:r>
        <w:rPr>
          <w:rFonts w:ascii="Times New Roman" w:eastAsia="Segoe UI" w:hAnsi="Times New Roman" w:cs="Times New Roman"/>
          <w:sz w:val="24"/>
          <w:szCs w:val="24"/>
          <w:shd w:val="clear" w:color="auto" w:fill="FFFFFF"/>
          <w:lang w:eastAsia="zh-CN"/>
        </w:rPr>
        <w:t>Moruzzi</w:t>
      </w:r>
      <w:proofErr w:type="spellEnd"/>
      <w:r>
        <w:rPr>
          <w:rFonts w:ascii="Times New Roman" w:eastAsia="Segoe UI" w:hAnsi="Times New Roman" w:cs="Times New Roman"/>
          <w:sz w:val="24"/>
          <w:szCs w:val="24"/>
          <w:shd w:val="clear" w:color="auto" w:fill="FFFFFF"/>
          <w:lang w:eastAsia="zh-CN"/>
        </w:rPr>
        <w:t>. Através de experimentos com animais, identificaram uma rede neuronal no tronco cerebral responsável por "ligar" o cérebro e manter a vigília.</w:t>
      </w:r>
    </w:p>
    <w:p w14:paraId="2E3EE059"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Na década de 1960, as obras seminais de Fisher, </w:t>
      </w:r>
      <w:proofErr w:type="spellStart"/>
      <w:r>
        <w:rPr>
          <w:rFonts w:ascii="Times New Roman" w:eastAsia="Segoe UI" w:hAnsi="Times New Roman" w:cs="Times New Roman"/>
          <w:sz w:val="24"/>
          <w:szCs w:val="24"/>
          <w:shd w:val="clear" w:color="auto" w:fill="FFFFFF"/>
          <w:lang w:eastAsia="zh-CN"/>
        </w:rPr>
        <w:t>Plum</w:t>
      </w:r>
      <w:proofErr w:type="spellEnd"/>
      <w:r>
        <w:rPr>
          <w:rFonts w:ascii="Times New Roman" w:eastAsia="Segoe UI" w:hAnsi="Times New Roman" w:cs="Times New Roman"/>
          <w:sz w:val="24"/>
          <w:szCs w:val="24"/>
          <w:shd w:val="clear" w:color="auto" w:fill="FFFFFF"/>
          <w:lang w:eastAsia="zh-CN"/>
        </w:rPr>
        <w:t xml:space="preserve"> e </w:t>
      </w:r>
      <w:proofErr w:type="spellStart"/>
      <w:r>
        <w:rPr>
          <w:rFonts w:ascii="Times New Roman" w:eastAsia="Segoe UI" w:hAnsi="Times New Roman" w:cs="Times New Roman"/>
          <w:sz w:val="24"/>
          <w:szCs w:val="24"/>
          <w:shd w:val="clear" w:color="auto" w:fill="FFFFFF"/>
          <w:lang w:eastAsia="zh-CN"/>
        </w:rPr>
        <w:t>Posner</w:t>
      </w:r>
      <w:proofErr w:type="spellEnd"/>
      <w:r>
        <w:rPr>
          <w:rFonts w:ascii="Times New Roman" w:eastAsia="Segoe UI" w:hAnsi="Times New Roman" w:cs="Times New Roman"/>
          <w:sz w:val="24"/>
          <w:szCs w:val="24"/>
          <w:shd w:val="clear" w:color="auto" w:fill="FFFFFF"/>
          <w:lang w:eastAsia="zh-CN"/>
        </w:rPr>
        <w:t xml:space="preserve"> consolidaram séculos de observações em um exame clínico sistemático. Eles recapitularam os sinais - das pupilas aos reflexos do tronco cerebral - em um método lógico que permitia não apenas diagnosticar o coma, mas localizar sua causa no sistema nervoso. Este foi o marco final que transformou a abordagem do coma de observação passiva para diagnóstico ativo e estruturado.</w:t>
      </w:r>
    </w:p>
    <w:p w14:paraId="3D317B91"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2E5E3D39"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Quadro 2.1 - A Evolução do Coma: Do Mistério ao Mecanismo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8"/>
        <w:gridCol w:w="2692"/>
        <w:gridCol w:w="3741"/>
      </w:tblGrid>
      <w:tr w:rsidR="0003312E" w14:paraId="4E2FBE57" w14:textId="77777777">
        <w:trPr>
          <w:tblHeader/>
        </w:trPr>
        <w:tc>
          <w:tcPr>
            <w:tcW w:w="0" w:type="auto"/>
            <w:tcMar>
              <w:top w:w="150" w:type="dxa"/>
              <w:left w:w="0" w:type="dxa"/>
              <w:bottom w:w="150" w:type="dxa"/>
              <w:right w:w="240" w:type="dxa"/>
            </w:tcMar>
            <w:vAlign w:val="center"/>
          </w:tcPr>
          <w:p w14:paraId="705F7B7C"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Época</w:t>
            </w:r>
          </w:p>
        </w:tc>
        <w:tc>
          <w:tcPr>
            <w:tcW w:w="0" w:type="auto"/>
            <w:tcMar>
              <w:top w:w="150" w:type="dxa"/>
              <w:left w:w="240" w:type="dxa"/>
              <w:bottom w:w="150" w:type="dxa"/>
              <w:right w:w="240" w:type="dxa"/>
            </w:tcMar>
            <w:vAlign w:val="center"/>
          </w:tcPr>
          <w:p w14:paraId="1A1144B4"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Marco</w:t>
            </w:r>
          </w:p>
        </w:tc>
        <w:tc>
          <w:tcPr>
            <w:tcW w:w="0" w:type="auto"/>
            <w:tcMar>
              <w:top w:w="150" w:type="dxa"/>
              <w:left w:w="240" w:type="dxa"/>
              <w:bottom w:w="150" w:type="dxa"/>
              <w:right w:w="240" w:type="dxa"/>
            </w:tcMar>
            <w:vAlign w:val="center"/>
          </w:tcPr>
          <w:p w14:paraId="23855C39"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Significado e Impacto</w:t>
            </w:r>
          </w:p>
        </w:tc>
      </w:tr>
      <w:tr w:rsidR="0003312E" w14:paraId="5F197654" w14:textId="77777777">
        <w:tc>
          <w:tcPr>
            <w:tcW w:w="0" w:type="auto"/>
            <w:tcMar>
              <w:top w:w="150" w:type="dxa"/>
              <w:left w:w="0" w:type="dxa"/>
              <w:bottom w:w="150" w:type="dxa"/>
              <w:right w:w="240" w:type="dxa"/>
            </w:tcMar>
            <w:vAlign w:val="center"/>
          </w:tcPr>
          <w:p w14:paraId="18A5DBF6"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Grécia Antiga (séc. VIII a.C.)</w:t>
            </w:r>
          </w:p>
        </w:tc>
        <w:tc>
          <w:tcPr>
            <w:tcW w:w="0" w:type="auto"/>
            <w:tcMar>
              <w:top w:w="150" w:type="dxa"/>
              <w:left w:w="240" w:type="dxa"/>
              <w:bottom w:w="150" w:type="dxa"/>
              <w:right w:w="240" w:type="dxa"/>
            </w:tcMar>
            <w:vAlign w:val="center"/>
          </w:tcPr>
          <w:p w14:paraId="2DF4235E"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i/>
                <w:iCs/>
                <w:sz w:val="20"/>
                <w:szCs w:val="20"/>
                <w:shd w:val="clear" w:color="auto" w:fill="FFFFFF"/>
                <w:lang w:eastAsia="zh-CN"/>
              </w:rPr>
              <w:t>kôma</w:t>
            </w:r>
            <w:proofErr w:type="spellEnd"/>
            <w:r>
              <w:rPr>
                <w:rFonts w:ascii="Times New Roman" w:eastAsia="Segoe UI" w:hAnsi="Times New Roman" w:cs="Times New Roman"/>
                <w:sz w:val="20"/>
                <w:szCs w:val="20"/>
                <w:shd w:val="clear" w:color="auto" w:fill="FFFFFF"/>
                <w:lang w:eastAsia="zh-CN"/>
              </w:rPr>
              <w:t> na Ilíada</w:t>
            </w:r>
          </w:p>
        </w:tc>
        <w:tc>
          <w:tcPr>
            <w:tcW w:w="0" w:type="auto"/>
            <w:tcMar>
              <w:top w:w="150" w:type="dxa"/>
              <w:left w:w="240" w:type="dxa"/>
              <w:bottom w:w="150" w:type="dxa"/>
              <w:right w:w="0" w:type="dxa"/>
            </w:tcMar>
            <w:vAlign w:val="center"/>
          </w:tcPr>
          <w:p w14:paraId="09FD8D1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Torpor próximo da inconsciência; observação clínica primitiva</w:t>
            </w:r>
          </w:p>
        </w:tc>
      </w:tr>
      <w:tr w:rsidR="0003312E" w14:paraId="4696AB57" w14:textId="77777777">
        <w:tc>
          <w:tcPr>
            <w:tcW w:w="0" w:type="auto"/>
            <w:tcMar>
              <w:top w:w="150" w:type="dxa"/>
              <w:left w:w="0" w:type="dxa"/>
              <w:bottom w:w="150" w:type="dxa"/>
              <w:right w:w="240" w:type="dxa"/>
            </w:tcMar>
            <w:vAlign w:val="center"/>
          </w:tcPr>
          <w:p w14:paraId="6EDD5459"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Medicina Grega (Hipócrates, Galeno)</w:t>
            </w:r>
          </w:p>
        </w:tc>
        <w:tc>
          <w:tcPr>
            <w:tcW w:w="0" w:type="auto"/>
            <w:tcMar>
              <w:top w:w="150" w:type="dxa"/>
              <w:left w:w="240" w:type="dxa"/>
              <w:bottom w:w="150" w:type="dxa"/>
              <w:right w:w="240" w:type="dxa"/>
            </w:tcMar>
            <w:vAlign w:val="center"/>
          </w:tcPr>
          <w:p w14:paraId="3BF9C063"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Adoção no corpus médico</w:t>
            </w:r>
          </w:p>
        </w:tc>
        <w:tc>
          <w:tcPr>
            <w:tcW w:w="0" w:type="auto"/>
            <w:tcMar>
              <w:top w:w="150" w:type="dxa"/>
              <w:left w:w="240" w:type="dxa"/>
              <w:bottom w:w="150" w:type="dxa"/>
              <w:right w:w="0" w:type="dxa"/>
            </w:tcMar>
            <w:vAlign w:val="center"/>
          </w:tcPr>
          <w:p w14:paraId="775658B9"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Estado observado, sem compreensão fisiopatológica</w:t>
            </w:r>
          </w:p>
        </w:tc>
      </w:tr>
      <w:tr w:rsidR="0003312E" w14:paraId="0A10DFF1" w14:textId="77777777">
        <w:tc>
          <w:tcPr>
            <w:tcW w:w="0" w:type="auto"/>
            <w:tcMar>
              <w:top w:w="150" w:type="dxa"/>
              <w:left w:w="0" w:type="dxa"/>
              <w:bottom w:w="150" w:type="dxa"/>
              <w:right w:w="240" w:type="dxa"/>
            </w:tcMar>
            <w:vAlign w:val="center"/>
          </w:tcPr>
          <w:p w14:paraId="1D380572"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Idade Média e Renascimento</w:t>
            </w:r>
          </w:p>
        </w:tc>
        <w:tc>
          <w:tcPr>
            <w:tcW w:w="0" w:type="auto"/>
            <w:tcMar>
              <w:top w:w="150" w:type="dxa"/>
              <w:left w:w="240" w:type="dxa"/>
              <w:bottom w:w="150" w:type="dxa"/>
              <w:right w:w="240" w:type="dxa"/>
            </w:tcMar>
            <w:vAlign w:val="center"/>
          </w:tcPr>
          <w:p w14:paraId="09359BEB"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Interpretação sobrenatural</w:t>
            </w:r>
          </w:p>
        </w:tc>
        <w:tc>
          <w:tcPr>
            <w:tcW w:w="0" w:type="auto"/>
            <w:tcMar>
              <w:top w:w="150" w:type="dxa"/>
              <w:left w:w="240" w:type="dxa"/>
              <w:bottom w:w="150" w:type="dxa"/>
              <w:right w:w="0" w:type="dxa"/>
            </w:tcMar>
            <w:vAlign w:val="center"/>
          </w:tcPr>
          <w:p w14:paraId="68AB2E02"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Corpo presente, mente ausente; visão demoníaca ou divina</w:t>
            </w:r>
          </w:p>
        </w:tc>
      </w:tr>
      <w:tr w:rsidR="0003312E" w14:paraId="3DBC93C2" w14:textId="77777777">
        <w:tc>
          <w:tcPr>
            <w:tcW w:w="0" w:type="auto"/>
            <w:tcMar>
              <w:top w:w="150" w:type="dxa"/>
              <w:left w:w="0" w:type="dxa"/>
              <w:bottom w:w="150" w:type="dxa"/>
              <w:right w:w="240" w:type="dxa"/>
            </w:tcMar>
            <w:vAlign w:val="center"/>
          </w:tcPr>
          <w:p w14:paraId="446BD287"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 XVII</w:t>
            </w:r>
          </w:p>
        </w:tc>
        <w:tc>
          <w:tcPr>
            <w:tcW w:w="0" w:type="auto"/>
            <w:tcMar>
              <w:top w:w="150" w:type="dxa"/>
              <w:left w:w="240" w:type="dxa"/>
              <w:bottom w:w="150" w:type="dxa"/>
              <w:right w:w="240" w:type="dxa"/>
            </w:tcMar>
            <w:vAlign w:val="center"/>
          </w:tcPr>
          <w:p w14:paraId="777864C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Thomas Willis</w:t>
            </w:r>
          </w:p>
        </w:tc>
        <w:tc>
          <w:tcPr>
            <w:tcW w:w="0" w:type="auto"/>
            <w:tcMar>
              <w:top w:w="150" w:type="dxa"/>
              <w:left w:w="240" w:type="dxa"/>
              <w:bottom w:w="150" w:type="dxa"/>
              <w:right w:w="0" w:type="dxa"/>
            </w:tcMar>
            <w:vAlign w:val="center"/>
          </w:tcPr>
          <w:p w14:paraId="60BFEB8E"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Primeira associação com perturbações cerebrais</w:t>
            </w:r>
          </w:p>
        </w:tc>
      </w:tr>
      <w:tr w:rsidR="0003312E" w14:paraId="091E0FE4" w14:textId="77777777">
        <w:tc>
          <w:tcPr>
            <w:tcW w:w="0" w:type="auto"/>
            <w:tcMar>
              <w:top w:w="150" w:type="dxa"/>
              <w:left w:w="0" w:type="dxa"/>
              <w:bottom w:w="150" w:type="dxa"/>
              <w:right w:w="240" w:type="dxa"/>
            </w:tcMar>
            <w:vAlign w:val="center"/>
          </w:tcPr>
          <w:p w14:paraId="067D45E8"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Séculos XVIII-XIX</w:t>
            </w:r>
          </w:p>
        </w:tc>
        <w:tc>
          <w:tcPr>
            <w:tcW w:w="0" w:type="auto"/>
            <w:tcMar>
              <w:top w:w="150" w:type="dxa"/>
              <w:left w:w="240" w:type="dxa"/>
              <w:bottom w:w="150" w:type="dxa"/>
              <w:right w:w="240" w:type="dxa"/>
            </w:tcMar>
            <w:vAlign w:val="center"/>
          </w:tcPr>
          <w:p w14:paraId="0EEF934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Anatomia Patológica</w:t>
            </w:r>
          </w:p>
        </w:tc>
        <w:tc>
          <w:tcPr>
            <w:tcW w:w="0" w:type="auto"/>
            <w:tcMar>
              <w:top w:w="150" w:type="dxa"/>
              <w:left w:w="240" w:type="dxa"/>
              <w:bottom w:w="150" w:type="dxa"/>
              <w:right w:w="0" w:type="dxa"/>
            </w:tcMar>
            <w:vAlign w:val="center"/>
          </w:tcPr>
          <w:p w14:paraId="17F0BA0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Correlação entre lesões cerebrais e coma</w:t>
            </w:r>
          </w:p>
        </w:tc>
      </w:tr>
      <w:tr w:rsidR="0003312E" w14:paraId="347818F7" w14:textId="77777777">
        <w:tc>
          <w:tcPr>
            <w:tcW w:w="0" w:type="auto"/>
            <w:tcMar>
              <w:top w:w="150" w:type="dxa"/>
              <w:left w:w="0" w:type="dxa"/>
              <w:bottom w:w="150" w:type="dxa"/>
              <w:right w:w="240" w:type="dxa"/>
            </w:tcMar>
            <w:vAlign w:val="center"/>
          </w:tcPr>
          <w:p w14:paraId="615453C6"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Início do séc. XX</w:t>
            </w:r>
          </w:p>
        </w:tc>
        <w:tc>
          <w:tcPr>
            <w:tcW w:w="0" w:type="auto"/>
            <w:tcMar>
              <w:top w:w="150" w:type="dxa"/>
              <w:left w:w="240" w:type="dxa"/>
              <w:bottom w:w="150" w:type="dxa"/>
              <w:right w:w="240" w:type="dxa"/>
            </w:tcMar>
            <w:vAlign w:val="center"/>
          </w:tcPr>
          <w:p w14:paraId="7B1ECABD"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Harvey Cushing</w:t>
            </w:r>
          </w:p>
        </w:tc>
        <w:tc>
          <w:tcPr>
            <w:tcW w:w="0" w:type="auto"/>
            <w:tcMar>
              <w:top w:w="150" w:type="dxa"/>
              <w:left w:w="240" w:type="dxa"/>
              <w:bottom w:w="150" w:type="dxa"/>
              <w:right w:w="0" w:type="dxa"/>
            </w:tcMar>
            <w:vAlign w:val="center"/>
          </w:tcPr>
          <w:p w14:paraId="67549F8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Tríade de Cushing como sinal de hipertensão intracraniana</w:t>
            </w:r>
          </w:p>
        </w:tc>
      </w:tr>
      <w:tr w:rsidR="0003312E" w14:paraId="3A3BC3E0" w14:textId="77777777">
        <w:tc>
          <w:tcPr>
            <w:tcW w:w="0" w:type="auto"/>
            <w:tcMar>
              <w:top w:w="150" w:type="dxa"/>
              <w:left w:w="0" w:type="dxa"/>
              <w:bottom w:w="150" w:type="dxa"/>
              <w:right w:w="240" w:type="dxa"/>
            </w:tcMar>
            <w:vAlign w:val="center"/>
          </w:tcPr>
          <w:p w14:paraId="7E62944B"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Séculos XX-XXI</w:t>
            </w:r>
          </w:p>
        </w:tc>
        <w:tc>
          <w:tcPr>
            <w:tcW w:w="0" w:type="auto"/>
            <w:tcMar>
              <w:top w:w="150" w:type="dxa"/>
              <w:left w:w="240" w:type="dxa"/>
              <w:bottom w:w="150" w:type="dxa"/>
              <w:right w:w="240" w:type="dxa"/>
            </w:tcMar>
            <w:vAlign w:val="center"/>
          </w:tcPr>
          <w:p w14:paraId="26DFF5E9"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Escala de Coma de Glasgow (1974)</w:t>
            </w:r>
          </w:p>
        </w:tc>
        <w:tc>
          <w:tcPr>
            <w:tcW w:w="0" w:type="auto"/>
            <w:tcMar>
              <w:top w:w="150" w:type="dxa"/>
              <w:left w:w="240" w:type="dxa"/>
              <w:bottom w:w="150" w:type="dxa"/>
              <w:right w:w="0" w:type="dxa"/>
            </w:tcMar>
            <w:vAlign w:val="center"/>
          </w:tcPr>
          <w:p w14:paraId="78E9BE7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Sistema padronizado para avaliação da consciência</w:t>
            </w:r>
          </w:p>
        </w:tc>
      </w:tr>
      <w:tr w:rsidR="0003312E" w14:paraId="1B8A4799" w14:textId="77777777">
        <w:tc>
          <w:tcPr>
            <w:tcW w:w="0" w:type="auto"/>
            <w:tcMar>
              <w:top w:w="150" w:type="dxa"/>
              <w:left w:w="0" w:type="dxa"/>
              <w:bottom w:w="150" w:type="dxa"/>
              <w:right w:w="240" w:type="dxa"/>
            </w:tcMar>
            <w:vAlign w:val="center"/>
          </w:tcPr>
          <w:p w14:paraId="21D64583"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Séculos XX-XXI</w:t>
            </w:r>
          </w:p>
        </w:tc>
        <w:tc>
          <w:tcPr>
            <w:tcW w:w="0" w:type="auto"/>
            <w:tcMar>
              <w:top w:w="150" w:type="dxa"/>
              <w:left w:w="240" w:type="dxa"/>
              <w:bottom w:w="150" w:type="dxa"/>
              <w:right w:w="240" w:type="dxa"/>
            </w:tcMar>
            <w:vAlign w:val="center"/>
          </w:tcPr>
          <w:p w14:paraId="343583F7"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Tecnologias de imagem (TAC, </w:t>
            </w:r>
            <w:proofErr w:type="spellStart"/>
            <w:r>
              <w:rPr>
                <w:rFonts w:ascii="Times New Roman" w:eastAsia="Segoe UI" w:hAnsi="Times New Roman" w:cs="Times New Roman"/>
                <w:sz w:val="20"/>
                <w:szCs w:val="20"/>
                <w:shd w:val="clear" w:color="auto" w:fill="FFFFFF"/>
                <w:lang w:eastAsia="zh-CN"/>
              </w:rPr>
              <w:t>fMRI</w:t>
            </w:r>
            <w:proofErr w:type="spellEnd"/>
            <w:r>
              <w:rPr>
                <w:rFonts w:ascii="Times New Roman" w:eastAsia="Segoe UI" w:hAnsi="Times New Roman" w:cs="Times New Roman"/>
                <w:sz w:val="20"/>
                <w:szCs w:val="20"/>
                <w:shd w:val="clear" w:color="auto" w:fill="FFFFFF"/>
                <w:lang w:eastAsia="zh-CN"/>
              </w:rPr>
              <w:t>)</w:t>
            </w:r>
          </w:p>
        </w:tc>
        <w:tc>
          <w:tcPr>
            <w:tcW w:w="0" w:type="auto"/>
            <w:tcMar>
              <w:top w:w="150" w:type="dxa"/>
              <w:left w:w="240" w:type="dxa"/>
              <w:bottom w:w="150" w:type="dxa"/>
              <w:right w:w="0" w:type="dxa"/>
            </w:tcMar>
            <w:vAlign w:val="center"/>
          </w:tcPr>
          <w:p w14:paraId="0414584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Visualização de estrutura e função cerebral</w:t>
            </w:r>
          </w:p>
        </w:tc>
      </w:tr>
      <w:tr w:rsidR="0003312E" w14:paraId="10244D9D" w14:textId="77777777">
        <w:tc>
          <w:tcPr>
            <w:tcW w:w="0" w:type="auto"/>
            <w:tcMar>
              <w:top w:w="150" w:type="dxa"/>
              <w:left w:w="0" w:type="dxa"/>
              <w:bottom w:w="150" w:type="dxa"/>
              <w:right w:w="240" w:type="dxa"/>
            </w:tcMar>
            <w:vAlign w:val="center"/>
          </w:tcPr>
          <w:p w14:paraId="22E982D7"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Séculos XX-XXI</w:t>
            </w:r>
          </w:p>
        </w:tc>
        <w:tc>
          <w:tcPr>
            <w:tcW w:w="0" w:type="auto"/>
            <w:tcMar>
              <w:top w:w="150" w:type="dxa"/>
              <w:left w:w="240" w:type="dxa"/>
              <w:bottom w:w="150" w:type="dxa"/>
              <w:right w:w="240" w:type="dxa"/>
            </w:tcMar>
            <w:vAlign w:val="center"/>
          </w:tcPr>
          <w:p w14:paraId="734D25CE"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Estudos da Rede de Modo Padrão</w:t>
            </w:r>
          </w:p>
        </w:tc>
        <w:tc>
          <w:tcPr>
            <w:tcW w:w="0" w:type="auto"/>
            <w:tcMar>
              <w:top w:w="150" w:type="dxa"/>
              <w:left w:w="240" w:type="dxa"/>
              <w:bottom w:w="150" w:type="dxa"/>
              <w:right w:w="0" w:type="dxa"/>
            </w:tcMar>
            <w:vAlign w:val="center"/>
          </w:tcPr>
          <w:p w14:paraId="71B03669"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Base neurofisiológica para perda da consciência</w:t>
            </w:r>
          </w:p>
        </w:tc>
      </w:tr>
    </w:tbl>
    <w:p w14:paraId="5BC23010"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43BAC036"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Em Essência: as Quatro Dimensões do Coma</w:t>
      </w:r>
    </w:p>
    <w:p w14:paraId="6E6CAEC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1. A Dimensão Etimológica: O Sono que Não é Sono</w:t>
      </w:r>
      <w:r>
        <w:rPr>
          <w:rFonts w:ascii="Times New Roman" w:eastAsia="Segoe UI" w:hAnsi="Times New Roman" w:cs="Times New Roman"/>
          <w:sz w:val="24"/>
          <w:szCs w:val="24"/>
          <w:shd w:val="clear" w:color="auto" w:fill="FFFFFF"/>
          <w:lang w:eastAsia="zh-CN"/>
        </w:rPr>
        <w:br/>
        <w:t xml:space="preserve">A origem do termo "coma" revela muito sobre nossa percepção histórica da consciência. Vem do grego </w:t>
      </w:r>
      <w:proofErr w:type="spellStart"/>
      <w:r>
        <w:rPr>
          <w:rFonts w:ascii="Times New Roman" w:eastAsia="Segoe UI" w:hAnsi="Times New Roman" w:cs="Times New Roman"/>
          <w:sz w:val="24"/>
          <w:szCs w:val="24"/>
          <w:shd w:val="clear" w:color="auto" w:fill="FFFFFF"/>
          <w:lang w:eastAsia="zh-CN"/>
        </w:rPr>
        <w:t>kôma</w:t>
      </w:r>
      <w:proofErr w:type="spellEnd"/>
      <w:r>
        <w:rPr>
          <w:rFonts w:ascii="Times New Roman" w:eastAsia="Segoe UI" w:hAnsi="Times New Roman" w:cs="Times New Roman"/>
          <w:sz w:val="24"/>
          <w:szCs w:val="24"/>
          <w:shd w:val="clear" w:color="auto" w:fill="FFFFFF"/>
          <w:lang w:eastAsia="zh-CN"/>
        </w:rPr>
        <w:t xml:space="preserve">, que na Ilíada indicava um torpor quase absoluto, diferente do sono comum. Essa raiz se conecta a </w:t>
      </w:r>
      <w:proofErr w:type="spellStart"/>
      <w:r>
        <w:rPr>
          <w:rFonts w:ascii="Times New Roman" w:eastAsia="Segoe UI" w:hAnsi="Times New Roman" w:cs="Times New Roman"/>
          <w:sz w:val="24"/>
          <w:szCs w:val="24"/>
          <w:shd w:val="clear" w:color="auto" w:fill="FFFFFF"/>
          <w:lang w:eastAsia="zh-CN"/>
        </w:rPr>
        <w:t>koimētērion</w:t>
      </w:r>
      <w:proofErr w:type="spellEnd"/>
      <w:r>
        <w:rPr>
          <w:rFonts w:ascii="Times New Roman" w:eastAsia="Segoe UI" w:hAnsi="Times New Roman" w:cs="Times New Roman"/>
          <w:sz w:val="24"/>
          <w:szCs w:val="24"/>
          <w:shd w:val="clear" w:color="auto" w:fill="FFFFFF"/>
          <w:lang w:eastAsia="zh-CN"/>
        </w:rPr>
        <w:t>, o "local para adormecer eternamente", reforçando a ideia de um repouso que ultrapassa o sono habitual. Antes da neuroimagem, a única pista era a aparência: o paciente parecia dormir, mas não respondia a estímulos. A linguagem, assim, capturou a experiência antes da ciência, criando um termo que persiste como metáfora de um sono que não cede, de uma ausência que permanece.</w:t>
      </w:r>
    </w:p>
    <w:p w14:paraId="5A792BD5"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75935ED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2. A Dimensão Histórico-Clínica: Da Possessão à Pressão Intracraniana</w:t>
      </w:r>
    </w:p>
    <w:p w14:paraId="31A99354"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compreensão clínica do coma traça uma jornada de dessacralização progressiva, da esfera sobrenatural ao domínio científico. Já nos textos hipocráticos, identificam-se registros </w:t>
      </w:r>
      <w:r>
        <w:rPr>
          <w:rFonts w:ascii="Times New Roman" w:eastAsia="Segoe UI" w:hAnsi="Times New Roman" w:cs="Times New Roman"/>
          <w:sz w:val="24"/>
          <w:szCs w:val="24"/>
          <w:shd w:val="clear" w:color="auto" w:fill="FFFFFF"/>
          <w:lang w:eastAsia="zh-CN"/>
        </w:rPr>
        <w:lastRenderedPageBreak/>
        <w:t>sistemáticos do coma como sinal clínico relevante. Observações precisas documentavam sua associação com feridas temporais - considerada de natureza grave - e seu surgimento no curso de febres persistentes, onde era descrito como "disposição para o coma" ou apresentando-se conjuntamente com estupor e febre contínua (LEWIS; SHORT, 1879).</w:t>
      </w:r>
    </w:p>
    <w:p w14:paraId="5185CCDD"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Na Idade Média, a ausência de consciência migrou do campo clínico para o teológico, sendo frequentemente interpretada como possessão demoníaca ou graça divina. Esta visão refletia as limitações da medicina medieval, ainda cativa da teoria humoral galênica, onde tratamentos se restringiam a sangrias e preces.</w:t>
      </w:r>
    </w:p>
    <w:p w14:paraId="151121D7"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século XVII testemunhou a primeira tentativa de reconectar o coma ao cérebro através de Thomas Willis, que propôs a teoria do "fluxo dos espíritos animais" - ainda uma hipótese pré-científica, mas que representava um avanço conceitual crucial. Nos séculos XVIII e XIX, com o florescimento da anatomia patológica, médicos como Vicq-</w:t>
      </w:r>
      <w:proofErr w:type="spellStart"/>
      <w:r>
        <w:rPr>
          <w:rFonts w:ascii="Times New Roman" w:eastAsia="Segoe UI" w:hAnsi="Times New Roman" w:cs="Times New Roman"/>
          <w:sz w:val="24"/>
          <w:szCs w:val="24"/>
          <w:shd w:val="clear" w:color="auto" w:fill="FFFFFF"/>
          <w:lang w:eastAsia="zh-CN"/>
        </w:rPr>
        <w:t>d'Azyr</w:t>
      </w:r>
      <w:proofErr w:type="spellEnd"/>
      <w:r>
        <w:rPr>
          <w:rFonts w:ascii="Times New Roman" w:eastAsia="Segoe UI" w:hAnsi="Times New Roman" w:cs="Times New Roman"/>
          <w:sz w:val="24"/>
          <w:szCs w:val="24"/>
          <w:shd w:val="clear" w:color="auto" w:fill="FFFFFF"/>
          <w:lang w:eastAsia="zh-CN"/>
        </w:rPr>
        <w:t xml:space="preserve"> e </w:t>
      </w:r>
      <w:proofErr w:type="spellStart"/>
      <w:r>
        <w:rPr>
          <w:rFonts w:ascii="Times New Roman" w:eastAsia="Segoe UI" w:hAnsi="Times New Roman" w:cs="Times New Roman"/>
          <w:sz w:val="24"/>
          <w:szCs w:val="24"/>
          <w:shd w:val="clear" w:color="auto" w:fill="FFFFFF"/>
          <w:lang w:eastAsia="zh-CN"/>
        </w:rPr>
        <w:t>Cabanis</w:t>
      </w:r>
      <w:proofErr w:type="spellEnd"/>
      <w:r>
        <w:rPr>
          <w:rFonts w:ascii="Times New Roman" w:eastAsia="Segoe UI" w:hAnsi="Times New Roman" w:cs="Times New Roman"/>
          <w:sz w:val="24"/>
          <w:szCs w:val="24"/>
          <w:shd w:val="clear" w:color="auto" w:fill="FFFFFF"/>
          <w:lang w:eastAsia="zh-CN"/>
        </w:rPr>
        <w:t xml:space="preserve"> começaram a correlacionar sistematicamente lesões cerebrais específicas com estados comatosos, transformando definitivamente o fenômeno de mistério teológico em questão neuroanatômica.</w:t>
      </w:r>
    </w:p>
    <w:p w14:paraId="4D4BE9A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 consolidação final desta transição ocorreu com Harvey Cushing no início do século XX, que demonstrou a relação causal entre hipertensão intracraniana e o estado comatoso. Sua abordagem estabeleceu o coma como sintoma mensurável de crise neurológica, lançando as bases da neurologia moderna e completando a jornada secular que transformou a compreensão deste estado de enigma metafísico em entidade clínica precisamente definida.</w:t>
      </w:r>
    </w:p>
    <w:p w14:paraId="744EABFD"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0928F556"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3. A Dimensão Neurocientífica: A Arquitetura do Silêncio</w:t>
      </w:r>
      <w:r>
        <w:rPr>
          <w:rFonts w:ascii="Times New Roman" w:eastAsia="Segoe UI" w:hAnsi="Times New Roman" w:cs="Times New Roman"/>
          <w:sz w:val="24"/>
          <w:szCs w:val="24"/>
          <w:shd w:val="clear" w:color="auto" w:fill="FFFFFF"/>
          <w:lang w:eastAsia="zh-CN"/>
        </w:rPr>
        <w:br/>
        <w:t>A neurociência contemporânea revela que o coma não é um estado de sono, mas sim um colapso das redes neurais que sustentam a consciência. Caracteriza-se por uma desconexão generalizada entre o córtex cerebral - responsável pelo pensamento complexo - e o sistema de ativação reticular ascendente (SARA), localizado no tronco encefálico, que mantém a vigília. O tálamo, principal retransmissor de sinais sensoriais, silencia, interrompendo o fluxo de informações externas. Redes de alto nível, incluindo a rede de modo padrão (DMN), desligam-se completamente. Diferente do sono, não há alternância entre fases REM e não-REM; há um apagão eletrofisiológico sustentado - uma falha nos correlatos neurais da consciência. O cérebro em coma permanece incapaz de processar informações, em um silêncio neural absoluto.</w:t>
      </w:r>
    </w:p>
    <w:p w14:paraId="0358916E"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77CFCA60"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4. A Dimensão Poético-Filosófica: O Espelho do Eu</w:t>
      </w:r>
      <w:r>
        <w:rPr>
          <w:rFonts w:ascii="Times New Roman" w:eastAsia="Segoe UI" w:hAnsi="Times New Roman" w:cs="Times New Roman"/>
          <w:sz w:val="24"/>
          <w:szCs w:val="24"/>
          <w:shd w:val="clear" w:color="auto" w:fill="FFFFFF"/>
          <w:lang w:eastAsia="zh-CN"/>
        </w:rPr>
        <w:br/>
        <w:t xml:space="preserve">Para além da clínica e da neurociência, o coma permanece uma metáfora poderosa da fragilidade humana. Ele provoca a pergunta fundamental: se a consciência se apaga, o que resta </w:t>
      </w:r>
      <w:r>
        <w:rPr>
          <w:rFonts w:ascii="Times New Roman" w:eastAsia="Segoe UI" w:hAnsi="Times New Roman" w:cs="Times New Roman"/>
          <w:sz w:val="24"/>
          <w:szCs w:val="24"/>
          <w:shd w:val="clear" w:color="auto" w:fill="FFFFFF"/>
          <w:lang w:eastAsia="zh-CN"/>
        </w:rPr>
        <w:lastRenderedPageBreak/>
        <w:t>do "eu"? O corpo pode continuar funcionando - coração batendo, pulmões respirando - mas a narrativa interna cessa completamente. Na literatura, representa um símbolo de suspensão e limiar, reminiscente do sono de cem anos da Bela Adormecida. Filosoficamente, espelha o vazio, confrontando-nos com o silêncio eloquente do cérebro. Cushing entendia intuitivamente essa dimensão: cada paciente comatoso representava, simultaneamente, um enigma clínico e existencial. Para ele, o coma era "o silêncio mais profundo que o cérebro pode produzir. E, paradoxalmente, o mais eloquente."</w:t>
      </w:r>
    </w:p>
    <w:p w14:paraId="7993C586"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350DA13D"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Próximo: A Tempestade Neural</w:t>
      </w:r>
    </w:p>
    <w:p w14:paraId="66EF68DD"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Se o coma representa o grande silêncio da consciência - um colapso estrutural onde as redes neurais se desconectam e o </w:t>
      </w:r>
      <w:proofErr w:type="gramStart"/>
      <w:r>
        <w:rPr>
          <w:rFonts w:ascii="Times New Roman" w:eastAsia="Segoe UI" w:hAnsi="Times New Roman" w:cs="Times New Roman"/>
          <w:sz w:val="24"/>
          <w:szCs w:val="24"/>
          <w:shd w:val="clear" w:color="auto" w:fill="FFFFFF"/>
          <w:lang w:eastAsia="zh-CN"/>
        </w:rPr>
        <w:t>eu se dissolve</w:t>
      </w:r>
      <w:proofErr w:type="gramEnd"/>
      <w:r>
        <w:rPr>
          <w:rFonts w:ascii="Times New Roman" w:eastAsia="Segoe UI" w:hAnsi="Times New Roman" w:cs="Times New Roman"/>
          <w:sz w:val="24"/>
          <w:szCs w:val="24"/>
          <w:shd w:val="clear" w:color="auto" w:fill="FFFFFF"/>
          <w:lang w:eastAsia="zh-CN"/>
        </w:rPr>
        <w:t xml:space="preserve"> em ausência -, o próximo estágio de nossa jornada nos levará ao seu extremo oposto. Do vazio neural, emergiremos na tormenta cerebral do frenesi: um estado de hiperativação catastrófica onde a mente, longe de se apagar, incendeia-se em turbilhão descontrolado. Se no coma testemunhamos a arquitetura da consciência em ruínas, no frenesi observaremos seus circuitos em curto-circuito, sua fiação superaquecida pela tempestade elétrica de uma atividade neural sem freios. Do silêncio absoluto ao ruído ensurdecedor, a exploração dos estados liminares da mente prossegue.</w:t>
      </w:r>
    </w:p>
    <w:p w14:paraId="0996DFF9"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7C1B0654" w14:textId="77777777" w:rsidR="0003312E" w:rsidRDefault="00000000">
      <w:pPr>
        <w:spacing w:after="0" w:line="240" w:lineRule="auto"/>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br w:type="page"/>
      </w:r>
    </w:p>
    <w:tbl>
      <w:tblPr>
        <w:tblStyle w:val="Tabelacomgrade"/>
        <w:tblW w:w="85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2049228E" w14:textId="77777777">
        <w:trPr>
          <w:trHeight w:val="470"/>
          <w:jc w:val="center"/>
        </w:trPr>
        <w:tc>
          <w:tcPr>
            <w:tcW w:w="8505" w:type="dxa"/>
            <w:gridSpan w:val="2"/>
            <w:tcBorders>
              <w:top w:val="nil"/>
              <w:left w:val="nil"/>
              <w:bottom w:val="nil"/>
              <w:right w:val="nil"/>
            </w:tcBorders>
          </w:tcPr>
          <w:p w14:paraId="33CED188"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b/>
                <w:bCs/>
                <w:sz w:val="24"/>
                <w:szCs w:val="24"/>
              </w:rPr>
            </w:pPr>
            <w:r>
              <w:rPr>
                <w:rFonts w:ascii="Times New Roman" w:hAnsi="Times New Roman" w:cs="Times New Roman"/>
                <w:b/>
                <w:bCs/>
                <w:sz w:val="24"/>
                <w:szCs w:val="24"/>
              </w:rPr>
              <w:lastRenderedPageBreak/>
              <w:t xml:space="preserve">Capítulo </w:t>
            </w:r>
            <w:proofErr w:type="gramStart"/>
            <w:r>
              <w:rPr>
                <w:rFonts w:ascii="Times New Roman" w:hAnsi="Times New Roman" w:cs="Times New Roman"/>
                <w:b/>
                <w:bCs/>
                <w:sz w:val="24"/>
                <w:szCs w:val="24"/>
              </w:rPr>
              <w:t>3  -</w:t>
            </w:r>
            <w:proofErr w:type="gramEnd"/>
            <w:r>
              <w:rPr>
                <w:rFonts w:ascii="Times New Roman" w:hAnsi="Times New Roman" w:cs="Times New Roman"/>
                <w:b/>
                <w:bCs/>
                <w:sz w:val="24"/>
                <w:szCs w:val="24"/>
              </w:rPr>
              <w:t xml:space="preserve">  </w:t>
            </w:r>
            <w:r>
              <w:rPr>
                <w:rFonts w:ascii="Times New Roman" w:eastAsiaTheme="majorEastAsia" w:hAnsi="Times New Roman" w:cs="Times New Roman"/>
                <w:b/>
                <w:bCs/>
                <w:sz w:val="24"/>
                <w:szCs w:val="24"/>
              </w:rPr>
              <w:t>Frenesi: O Fogo que Incendeia a Mente</w:t>
            </w:r>
          </w:p>
        </w:tc>
      </w:tr>
      <w:tr w:rsidR="0003312E" w14:paraId="44516D6C" w14:textId="77777777">
        <w:trPr>
          <w:jc w:val="center"/>
        </w:trPr>
        <w:tc>
          <w:tcPr>
            <w:tcW w:w="4353" w:type="dxa"/>
            <w:tcBorders>
              <w:top w:val="nil"/>
              <w:left w:val="nil"/>
              <w:bottom w:val="nil"/>
              <w:right w:val="nil"/>
            </w:tcBorders>
          </w:tcPr>
          <w:p w14:paraId="30BF5463"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hAnsi="Times New Roman" w:cs="Times New Roman"/>
                <w:noProof/>
                <w:sz w:val="24"/>
                <w:szCs w:val="24"/>
              </w:rPr>
              <w:drawing>
                <wp:inline distT="0" distB="0" distL="0" distR="0" wp14:anchorId="6BCDDDB1" wp14:editId="53BEC204">
                  <wp:extent cx="1563370" cy="1563370"/>
                  <wp:effectExtent l="0" t="0" r="6350" b="6350"/>
                  <wp:docPr id="128519176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91761" name="Imagem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563370" cy="1563370"/>
                          </a:xfrm>
                          <a:prstGeom prst="rect">
                            <a:avLst/>
                          </a:prstGeom>
                          <a:noFill/>
                          <a:ln>
                            <a:noFill/>
                          </a:ln>
                        </pic:spPr>
                      </pic:pic>
                    </a:graphicData>
                  </a:graphic>
                </wp:inline>
              </w:drawing>
            </w:r>
          </w:p>
        </w:tc>
        <w:tc>
          <w:tcPr>
            <w:tcW w:w="4152" w:type="dxa"/>
            <w:tcBorders>
              <w:top w:val="nil"/>
              <w:left w:val="nil"/>
              <w:bottom w:val="nil"/>
              <w:right w:val="nil"/>
            </w:tcBorders>
          </w:tcPr>
          <w:p w14:paraId="371539A6"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5825F0E3" wp14:editId="429721B6">
                  <wp:extent cx="987425" cy="1481455"/>
                  <wp:effectExtent l="0" t="0" r="3175" b="12065"/>
                  <wp:docPr id="26" name="Imagem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16" descr="IMG_256"/>
                          <pic:cNvPicPr>
                            <a:picLocks noChangeAspect="1"/>
                          </pic:cNvPicPr>
                        </pic:nvPicPr>
                        <pic:blipFill>
                          <a:blip r:embed="rId18"/>
                          <a:stretch>
                            <a:fillRect/>
                          </a:stretch>
                        </pic:blipFill>
                        <pic:spPr>
                          <a:xfrm>
                            <a:off x="0" y="0"/>
                            <a:ext cx="987425" cy="1481455"/>
                          </a:xfrm>
                          <a:prstGeom prst="rect">
                            <a:avLst/>
                          </a:prstGeom>
                          <a:noFill/>
                          <a:ln w="9525">
                            <a:noFill/>
                          </a:ln>
                        </pic:spPr>
                      </pic:pic>
                    </a:graphicData>
                  </a:graphic>
                </wp:inline>
              </w:drawing>
            </w:r>
          </w:p>
        </w:tc>
      </w:tr>
      <w:tr w:rsidR="0003312E" w14:paraId="563D1AA9" w14:textId="77777777">
        <w:trPr>
          <w:trHeight w:val="476"/>
          <w:jc w:val="center"/>
        </w:trPr>
        <w:tc>
          <w:tcPr>
            <w:tcW w:w="4353" w:type="dxa"/>
            <w:tcBorders>
              <w:top w:val="nil"/>
              <w:left w:val="nil"/>
              <w:bottom w:val="nil"/>
              <w:right w:val="nil"/>
            </w:tcBorders>
          </w:tcPr>
          <w:p w14:paraId="02DF9318"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3.1: O Êxtase de Dionísio: Entre Inspiração e Perda de Controle</w:t>
            </w:r>
            <w:r>
              <w:rPr>
                <w:rFonts w:eastAsiaTheme="majorEastAsia"/>
                <w:sz w:val="24"/>
                <w:lang w:val="pt-BR"/>
              </w:rPr>
              <w:br/>
            </w:r>
          </w:p>
        </w:tc>
        <w:tc>
          <w:tcPr>
            <w:tcW w:w="4152" w:type="dxa"/>
            <w:tcBorders>
              <w:top w:val="nil"/>
              <w:left w:val="nil"/>
              <w:bottom w:val="nil"/>
              <w:right w:val="nil"/>
            </w:tcBorders>
          </w:tcPr>
          <w:p w14:paraId="561A9E70"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 xml:space="preserve">Figura 3.2: Friedrich Nietzsche (1844-1900): O Filósofo </w:t>
            </w:r>
            <w:proofErr w:type="gramStart"/>
            <w:r>
              <w:rPr>
                <w:rFonts w:ascii="Times New Roman" w:eastAsiaTheme="majorEastAsia" w:hAnsi="Times New Roman" w:cs="Times New Roman"/>
                <w:i/>
                <w:iCs/>
                <w:sz w:val="24"/>
                <w:szCs w:val="24"/>
              </w:rPr>
              <w:t>que Abraçou</w:t>
            </w:r>
            <w:proofErr w:type="gramEnd"/>
            <w:r>
              <w:rPr>
                <w:rFonts w:ascii="Times New Roman" w:eastAsiaTheme="majorEastAsia" w:hAnsi="Times New Roman" w:cs="Times New Roman"/>
                <w:i/>
                <w:iCs/>
                <w:sz w:val="24"/>
                <w:szCs w:val="24"/>
              </w:rPr>
              <w:t xml:space="preserve"> o Fogo Mental</w:t>
            </w:r>
          </w:p>
        </w:tc>
      </w:tr>
    </w:tbl>
    <w:p w14:paraId="0134AC6D"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5CC77BB5"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Frenesi em Poucas Palavras: Quando a Mente Arde Demais</w:t>
      </w:r>
    </w:p>
    <w:p w14:paraId="6BE1ABBD"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palavra "frenesi" evoca uma imagem visceral e poderosa: a mente em chamas. No uso comum, ela nos chega associada a uma exaltação sem freios, como se carregasse em seu próprio núcleo a ideia de uma perda de controle. Mas este fenômeno vai muito além de uma simples agitação. O frenesi, como conceito, atravessa domínios distintos - da patologia à inspiração. Este capítulo não busca reduzir essa complexidade, mas explorar como diferentes épocas e disciplinas interpretaram estados mentais intensos. Ele nos convida a explorar quatro dimensões profundamente entrelaçadas. A primeira nos leva à sua origem linguística, que remete à própria ideia de uma mente inflamada. A segunda percorre sua longa trajetória histórica, saindo dos tratados da medicina hipocrática para chegar aos insights da filosofia nietzschiana. A terceira dimensão desvenda os mecanismos neurobiológicos por trás dessa experiência, revelando um cérebro que opera em estado de superaquecimento. E a quarta nos transporta para o plano simbólico, onde o frenesi se revela como uma força primordial, ao mesmo tempo criadora e destruidora. São essas quatro perspectivas que, juntas, nos conduzem a uma compreensão mais rica e completa desse estado de exaltação mental que tanto fascina e assombra a humanidade.</w:t>
      </w:r>
    </w:p>
    <w:p w14:paraId="4B8666EC"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7E274FE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 xml:space="preserve">A Jornada da Palavra: De </w:t>
      </w:r>
      <w:proofErr w:type="spellStart"/>
      <w:r>
        <w:rPr>
          <w:rFonts w:ascii="Times New Roman" w:eastAsia="Times New Roman" w:hAnsi="Times New Roman" w:cs="Times New Roman"/>
          <w:b/>
          <w:bCs/>
          <w:color w:val="0F1115"/>
          <w:kern w:val="0"/>
          <w:sz w:val="24"/>
          <w:szCs w:val="24"/>
          <w:lang w:eastAsia="pt-BR"/>
          <w14:ligatures w14:val="none"/>
        </w:rPr>
        <w:t>Phrēn</w:t>
      </w:r>
      <w:proofErr w:type="spellEnd"/>
      <w:r>
        <w:rPr>
          <w:rFonts w:ascii="Times New Roman" w:eastAsia="Times New Roman" w:hAnsi="Times New Roman" w:cs="Times New Roman"/>
          <w:b/>
          <w:bCs/>
          <w:color w:val="0F1115"/>
          <w:kern w:val="0"/>
          <w:sz w:val="24"/>
          <w:szCs w:val="24"/>
          <w:lang w:eastAsia="pt-BR"/>
          <w14:ligatures w14:val="none"/>
        </w:rPr>
        <w:t xml:space="preserve"> a Nietzsche</w:t>
      </w:r>
    </w:p>
    <w:p w14:paraId="4531983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Dionísio, deus do vinho, do êxtase e do teatro, personificava o frenesi, uma força capaz de dissolver os limites do ego, liberando tanto a criação quanto a destruição.</w:t>
      </w:r>
    </w:p>
    <w:p w14:paraId="1AA9C935"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Na Idade Média, o frenesi assumiu interpretações predominantemente sobrenaturais: o que antes era condição médica passou a ser visto como possessão demoníaca ou, em raros casos, êxtase divino, quando o indivíduo era tomado por forças além de si mesmo. Embora visões sobrenaturais predominassem, tradições médicas continuaram a oferecer explicações naturais </w:t>
      </w:r>
      <w:r>
        <w:rPr>
          <w:rFonts w:ascii="Times New Roman" w:eastAsia="Times New Roman" w:hAnsi="Times New Roman" w:cs="Times New Roman"/>
          <w:color w:val="0F1115"/>
          <w:kern w:val="0"/>
          <w:sz w:val="24"/>
          <w:szCs w:val="24"/>
          <w:lang w:eastAsia="pt-BR"/>
          <w14:ligatures w14:val="none"/>
        </w:rPr>
        <w:lastRenderedPageBreak/>
        <w:t>para esses estados. Nesse contexto, o corpo em frenesi era um território perigoso, onde a razão se perdia e a alma se tornava receptáculo de algo maior.</w:t>
      </w:r>
    </w:p>
    <w:p w14:paraId="7E98AB73"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Durante o Renascimento e o Romantismo, o frenesi foi ressignificado como metáfora da genialidade. Passou a ser associado à obsessão criativa que alimenta a grandeza artística e, por vezes, conduz à autodestruição. Pintores como Michelangelo, músicos como Beethoven e escritores como Byron encarnavam esse ideal, transformando a agitação mental em fogo sagrado capaz de distinguir gênios dos meros mortais.</w:t>
      </w:r>
    </w:p>
    <w:p w14:paraId="41F659A2"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No século XIX, Friedrich Nietzsche desenvolveu uma das elaborações filosóficas mais influentes do conceito. Em O Nascimento da Tragédia, ele postulou que a grande arte nasce da tensão entre Apolo, representante da ordem e da forma, e Dionísio, símbolo do caos e do êxtase. Para Nietzsche, o frenesi não era patologia, mas força vital - o preço e a potência de quem ousa transcender os limites da moral convencional. </w:t>
      </w:r>
    </w:p>
    <w:p w14:paraId="22D96343"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biografia de Nietzsche oferece, ela mesma, uma narrativa complexa e trágica sobre os limites entre a potência criativa e o sofrimento mental. Seus períodos de produtividade filosófica intensa — nos quais forjou conceitos como o 'frenesi' dionisíaco — coexistiram com enxaquecas debilitantes. Seu colapso final, atribuído a uma doença neurológica sifilítica, interrompeu precocemente sua obra, levantando questões pungentes sobre o custo humano por trás de certas formas de genialidade. É crucial distinguir aqui: se, por um lado, Nietzsche elevou filosoficamente o frenesi a uma força vital, seu sofrimento neurológico constituiu uma experiência corporal avassaladora e involuntária - não uma escolha intelectual.</w:t>
      </w:r>
    </w:p>
    <w:p w14:paraId="08C1B8C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Mas que mecanismos cerebrais poderiam estar na base de um estado tão extremo de agitação mental? A neurociência contemporânea começa a desvendar os 'correlatos neurais' desse fogo interior, oferecendo uma contrapartida biológica à intuição filosófica. Evidências neurocientíficas apontam para um padrão específico: hiperatividade no sistema límbico - particularmente na amígdala e hipocampo - associada a comprometimentos no funcionamento do córtex pré-frontal (</w:t>
      </w:r>
      <w:proofErr w:type="spellStart"/>
      <w:r>
        <w:rPr>
          <w:rFonts w:ascii="Times New Roman" w:eastAsia="Times New Roman" w:hAnsi="Times New Roman" w:cs="Times New Roman"/>
          <w:color w:val="0F1115"/>
          <w:kern w:val="0"/>
          <w:sz w:val="24"/>
          <w:szCs w:val="24"/>
          <w:lang w:eastAsia="pt-BR"/>
          <w14:ligatures w14:val="none"/>
        </w:rPr>
        <w:t>ventromedial</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dorsomedial</w:t>
      </w:r>
      <w:proofErr w:type="spellEnd"/>
      <w:r>
        <w:rPr>
          <w:rFonts w:ascii="Times New Roman" w:eastAsia="Times New Roman" w:hAnsi="Times New Roman" w:cs="Times New Roman"/>
          <w:color w:val="0F1115"/>
          <w:kern w:val="0"/>
          <w:sz w:val="24"/>
          <w:szCs w:val="24"/>
          <w:lang w:eastAsia="pt-BR"/>
          <w14:ligatures w14:val="none"/>
        </w:rPr>
        <w:t xml:space="preserve"> e dorsolateral).</w:t>
      </w:r>
    </w:p>
    <w:p w14:paraId="0ADAE0BF"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Este desequilíbrio se manifesta como uma desconexão entre os centros emocionais e as regiões responsáveis pelo controle executivo e regulação racional. O resultado é um estado de hiperexcitação mental que pode oscilar entre a concentração criativa intensa e a agitação psicomotora descontrolada.</w:t>
      </w:r>
    </w:p>
    <w:p w14:paraId="09ECBE2E"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5A48A66D"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30259AE3"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2DB3B089"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618848D7"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lastRenderedPageBreak/>
        <w:t>Quadro 3.1 - A Evolução do Frenesi: Da Medicina à Filosofia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1"/>
        <w:gridCol w:w="3381"/>
        <w:gridCol w:w="4159"/>
      </w:tblGrid>
      <w:tr w:rsidR="0003312E" w14:paraId="337244E3" w14:textId="77777777">
        <w:trPr>
          <w:tblHeader/>
        </w:trPr>
        <w:tc>
          <w:tcPr>
            <w:tcW w:w="0" w:type="auto"/>
            <w:tcMar>
              <w:top w:w="150" w:type="dxa"/>
              <w:left w:w="0" w:type="dxa"/>
              <w:bottom w:w="150" w:type="dxa"/>
              <w:right w:w="240" w:type="dxa"/>
            </w:tcMar>
            <w:vAlign w:val="center"/>
          </w:tcPr>
          <w:p w14:paraId="445F4E7A"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Época</w:t>
            </w:r>
          </w:p>
        </w:tc>
        <w:tc>
          <w:tcPr>
            <w:tcW w:w="0" w:type="auto"/>
            <w:tcMar>
              <w:top w:w="150" w:type="dxa"/>
              <w:left w:w="240" w:type="dxa"/>
              <w:bottom w:w="150" w:type="dxa"/>
              <w:right w:w="240" w:type="dxa"/>
            </w:tcMar>
            <w:vAlign w:val="center"/>
          </w:tcPr>
          <w:p w14:paraId="17526727"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Marco</w:t>
            </w:r>
          </w:p>
        </w:tc>
        <w:tc>
          <w:tcPr>
            <w:tcW w:w="0" w:type="auto"/>
            <w:tcMar>
              <w:top w:w="150" w:type="dxa"/>
              <w:left w:w="240" w:type="dxa"/>
              <w:bottom w:w="150" w:type="dxa"/>
              <w:right w:w="240" w:type="dxa"/>
            </w:tcMar>
            <w:vAlign w:val="center"/>
          </w:tcPr>
          <w:p w14:paraId="4F4C0BEC"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Significado e Impacto</w:t>
            </w:r>
          </w:p>
        </w:tc>
      </w:tr>
      <w:tr w:rsidR="0003312E" w14:paraId="6A68B12F" w14:textId="77777777">
        <w:tc>
          <w:tcPr>
            <w:tcW w:w="0" w:type="auto"/>
            <w:tcMar>
              <w:top w:w="150" w:type="dxa"/>
              <w:left w:w="0" w:type="dxa"/>
              <w:bottom w:w="150" w:type="dxa"/>
              <w:right w:w="240" w:type="dxa"/>
            </w:tcMar>
            <w:vAlign w:val="center"/>
          </w:tcPr>
          <w:p w14:paraId="41C97E60"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Grécia Antiga (Mito)</w:t>
            </w:r>
          </w:p>
        </w:tc>
        <w:tc>
          <w:tcPr>
            <w:tcW w:w="0" w:type="auto"/>
            <w:tcMar>
              <w:top w:w="150" w:type="dxa"/>
              <w:left w:w="240" w:type="dxa"/>
              <w:bottom w:w="150" w:type="dxa"/>
              <w:right w:w="240" w:type="dxa"/>
            </w:tcMar>
            <w:vAlign w:val="center"/>
          </w:tcPr>
          <w:p w14:paraId="6A01EE68"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 xml:space="preserve">Grego </w:t>
            </w:r>
            <w:proofErr w:type="spellStart"/>
            <w:r>
              <w:rPr>
                <w:rFonts w:ascii="Times New Roman" w:eastAsia="Times New Roman" w:hAnsi="Times New Roman" w:cs="Times New Roman"/>
                <w:kern w:val="0"/>
                <w:sz w:val="20"/>
                <w:szCs w:val="20"/>
                <w:lang w:eastAsia="pt-BR"/>
                <w14:ligatures w14:val="none"/>
              </w:rPr>
              <w:t>phrénēsis</w:t>
            </w:r>
            <w:proofErr w:type="spellEnd"/>
            <w:r>
              <w:rPr>
                <w:rFonts w:ascii="Times New Roman" w:eastAsia="Times New Roman" w:hAnsi="Times New Roman" w:cs="Times New Roman"/>
                <w:kern w:val="0"/>
                <w:sz w:val="20"/>
                <w:szCs w:val="20"/>
                <w:lang w:eastAsia="pt-BR"/>
                <w14:ligatures w14:val="none"/>
              </w:rPr>
              <w:t xml:space="preserve"> (</w:t>
            </w:r>
            <w:proofErr w:type="spellStart"/>
            <w:r>
              <w:rPr>
                <w:rFonts w:ascii="Times New Roman" w:eastAsia="Times New Roman" w:hAnsi="Times New Roman" w:cs="Times New Roman"/>
                <w:kern w:val="0"/>
                <w:sz w:val="20"/>
                <w:szCs w:val="20"/>
                <w:lang w:eastAsia="pt-BR"/>
                <w14:ligatures w14:val="none"/>
              </w:rPr>
              <w:t>φρένῃσις</w:t>
            </w:r>
            <w:proofErr w:type="spellEnd"/>
            <w:r>
              <w:rPr>
                <w:rFonts w:ascii="Times New Roman" w:eastAsia="Times New Roman" w:hAnsi="Times New Roman" w:cs="Times New Roman"/>
                <w:kern w:val="0"/>
                <w:sz w:val="20"/>
                <w:szCs w:val="20"/>
                <w:lang w:eastAsia="pt-BR"/>
                <w14:ligatures w14:val="none"/>
              </w:rPr>
              <w:t xml:space="preserve">): de </w:t>
            </w:r>
            <w:proofErr w:type="spellStart"/>
            <w:r>
              <w:rPr>
                <w:rFonts w:ascii="Times New Roman" w:eastAsia="Times New Roman" w:hAnsi="Times New Roman" w:cs="Times New Roman"/>
                <w:kern w:val="0"/>
                <w:sz w:val="20"/>
                <w:szCs w:val="20"/>
                <w:lang w:eastAsia="pt-BR"/>
                <w14:ligatures w14:val="none"/>
              </w:rPr>
              <w:t>phrēn</w:t>
            </w:r>
            <w:proofErr w:type="spellEnd"/>
            <w:r>
              <w:rPr>
                <w:rFonts w:ascii="Times New Roman" w:eastAsia="Times New Roman" w:hAnsi="Times New Roman" w:cs="Times New Roman"/>
                <w:kern w:val="0"/>
                <w:sz w:val="20"/>
                <w:szCs w:val="20"/>
                <w:lang w:eastAsia="pt-BR"/>
                <w14:ligatures w14:val="none"/>
              </w:rPr>
              <w:t xml:space="preserve"> (</w:t>
            </w:r>
            <w:proofErr w:type="spellStart"/>
            <w:r>
              <w:rPr>
                <w:rFonts w:ascii="Times New Roman" w:eastAsia="Times New Roman" w:hAnsi="Times New Roman" w:cs="Times New Roman"/>
                <w:kern w:val="0"/>
                <w:sz w:val="20"/>
                <w:szCs w:val="20"/>
                <w:lang w:eastAsia="pt-BR"/>
                <w14:ligatures w14:val="none"/>
              </w:rPr>
              <w:t>φρήν</w:t>
            </w:r>
            <w:proofErr w:type="spellEnd"/>
            <w:r>
              <w:rPr>
                <w:rFonts w:ascii="Times New Roman" w:eastAsia="Times New Roman" w:hAnsi="Times New Roman" w:cs="Times New Roman"/>
                <w:kern w:val="0"/>
                <w:sz w:val="20"/>
                <w:szCs w:val="20"/>
                <w:lang w:eastAsia="pt-BR"/>
                <w14:ligatures w14:val="none"/>
              </w:rPr>
              <w:t>, "mente, ânimo") + -</w:t>
            </w:r>
            <w:proofErr w:type="spellStart"/>
            <w:r>
              <w:rPr>
                <w:rFonts w:ascii="Times New Roman" w:eastAsia="Times New Roman" w:hAnsi="Times New Roman" w:cs="Times New Roman"/>
                <w:kern w:val="0"/>
                <w:sz w:val="20"/>
                <w:szCs w:val="20"/>
                <w:lang w:eastAsia="pt-BR"/>
                <w14:ligatures w14:val="none"/>
              </w:rPr>
              <w:t>sis</w:t>
            </w:r>
            <w:proofErr w:type="spellEnd"/>
            <w:r>
              <w:rPr>
                <w:rFonts w:ascii="Times New Roman" w:eastAsia="Times New Roman" w:hAnsi="Times New Roman" w:cs="Times New Roman"/>
                <w:kern w:val="0"/>
                <w:sz w:val="20"/>
                <w:szCs w:val="20"/>
                <w:lang w:eastAsia="pt-BR"/>
                <w14:ligatures w14:val="none"/>
              </w:rPr>
              <w:t xml:space="preserve"> (-</w:t>
            </w:r>
            <w:proofErr w:type="spellStart"/>
            <w:r>
              <w:rPr>
                <w:rFonts w:ascii="Times New Roman" w:eastAsia="Times New Roman" w:hAnsi="Times New Roman" w:cs="Times New Roman"/>
                <w:kern w:val="0"/>
                <w:sz w:val="20"/>
                <w:szCs w:val="20"/>
                <w:lang w:eastAsia="pt-BR"/>
                <w14:ligatures w14:val="none"/>
              </w:rPr>
              <w:t>σις</w:t>
            </w:r>
            <w:proofErr w:type="spellEnd"/>
            <w:r>
              <w:rPr>
                <w:rFonts w:ascii="Times New Roman" w:eastAsia="Times New Roman" w:hAnsi="Times New Roman" w:cs="Times New Roman"/>
                <w:kern w:val="0"/>
                <w:sz w:val="20"/>
                <w:szCs w:val="20"/>
                <w:lang w:eastAsia="pt-BR"/>
                <w14:ligatures w14:val="none"/>
              </w:rPr>
              <w:t>, "processo/estado"). Literalmente, "o processo de uma mente agitada".</w:t>
            </w:r>
          </w:p>
        </w:tc>
        <w:tc>
          <w:tcPr>
            <w:tcW w:w="0" w:type="auto"/>
            <w:tcMar>
              <w:top w:w="150" w:type="dxa"/>
              <w:left w:w="240" w:type="dxa"/>
              <w:bottom w:w="150" w:type="dxa"/>
              <w:right w:w="0" w:type="dxa"/>
            </w:tcMar>
            <w:vAlign w:val="center"/>
          </w:tcPr>
          <w:p w14:paraId="6723FB33"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Dionísio - personificação do frenesi como força criadora e destruidora. O êxtase dionisíaco dissolvia os limites do ego, levando à inspiração artística ou à loucura autodestrutiva.</w:t>
            </w:r>
          </w:p>
        </w:tc>
      </w:tr>
      <w:tr w:rsidR="0003312E" w14:paraId="1A559243" w14:textId="77777777">
        <w:tc>
          <w:tcPr>
            <w:tcW w:w="0" w:type="auto"/>
            <w:tcMar>
              <w:top w:w="150" w:type="dxa"/>
              <w:left w:w="0" w:type="dxa"/>
              <w:bottom w:w="150" w:type="dxa"/>
              <w:right w:w="240" w:type="dxa"/>
            </w:tcMar>
            <w:vAlign w:val="center"/>
          </w:tcPr>
          <w:p w14:paraId="4D625A39"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Idade Média</w:t>
            </w:r>
          </w:p>
        </w:tc>
        <w:tc>
          <w:tcPr>
            <w:tcW w:w="0" w:type="auto"/>
            <w:tcMar>
              <w:top w:w="150" w:type="dxa"/>
              <w:left w:w="240" w:type="dxa"/>
              <w:bottom w:w="150" w:type="dxa"/>
              <w:right w:w="240" w:type="dxa"/>
            </w:tcMar>
            <w:vAlign w:val="center"/>
          </w:tcPr>
          <w:p w14:paraId="512C2A1A"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Frenesi como possessão</w:t>
            </w:r>
          </w:p>
        </w:tc>
        <w:tc>
          <w:tcPr>
            <w:tcW w:w="0" w:type="auto"/>
            <w:tcMar>
              <w:top w:w="150" w:type="dxa"/>
              <w:left w:w="240" w:type="dxa"/>
              <w:bottom w:w="150" w:type="dxa"/>
              <w:right w:w="0" w:type="dxa"/>
            </w:tcMar>
            <w:vAlign w:val="center"/>
          </w:tcPr>
          <w:p w14:paraId="265808C7"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Interpretações predominantemente sobrenaturais, mas com continuidade de tradições médicas. O corpo sem controle era visto como vaso para forças externas, refletindo uma visão de mundo em que o sobrenatural explicava a patologia.</w:t>
            </w:r>
          </w:p>
        </w:tc>
      </w:tr>
      <w:tr w:rsidR="0003312E" w14:paraId="2E56E43B" w14:textId="77777777">
        <w:tc>
          <w:tcPr>
            <w:tcW w:w="0" w:type="auto"/>
            <w:tcMar>
              <w:top w:w="150" w:type="dxa"/>
              <w:left w:w="0" w:type="dxa"/>
              <w:bottom w:w="150" w:type="dxa"/>
              <w:right w:w="240" w:type="dxa"/>
            </w:tcMar>
            <w:vAlign w:val="center"/>
          </w:tcPr>
          <w:p w14:paraId="5FD8D141"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Renascimento</w:t>
            </w:r>
          </w:p>
        </w:tc>
        <w:tc>
          <w:tcPr>
            <w:tcW w:w="0" w:type="auto"/>
            <w:tcMar>
              <w:top w:w="150" w:type="dxa"/>
              <w:left w:w="240" w:type="dxa"/>
              <w:bottom w:w="150" w:type="dxa"/>
              <w:right w:w="240" w:type="dxa"/>
            </w:tcMar>
            <w:vAlign w:val="center"/>
          </w:tcPr>
          <w:p w14:paraId="1BE09E4E"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Frenesi como paixão criativa</w:t>
            </w:r>
          </w:p>
        </w:tc>
        <w:tc>
          <w:tcPr>
            <w:tcW w:w="0" w:type="auto"/>
            <w:tcMar>
              <w:top w:w="150" w:type="dxa"/>
              <w:left w:w="240" w:type="dxa"/>
              <w:bottom w:w="150" w:type="dxa"/>
              <w:right w:w="0" w:type="dxa"/>
            </w:tcMar>
            <w:vAlign w:val="center"/>
          </w:tcPr>
          <w:p w14:paraId="1325DB33"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Deixa de ser apenas patologia para tornar-se metáfora do gênio artístico. A agitação mental passa a ser associada à inspiração febril e à criação desmedida, quase divina.</w:t>
            </w:r>
          </w:p>
        </w:tc>
      </w:tr>
      <w:tr w:rsidR="0003312E" w14:paraId="6F992CDC" w14:textId="77777777">
        <w:tc>
          <w:tcPr>
            <w:tcW w:w="0" w:type="auto"/>
            <w:tcMar>
              <w:top w:w="150" w:type="dxa"/>
              <w:left w:w="0" w:type="dxa"/>
              <w:bottom w:w="150" w:type="dxa"/>
              <w:right w:w="240" w:type="dxa"/>
            </w:tcMar>
            <w:vAlign w:val="center"/>
          </w:tcPr>
          <w:p w14:paraId="567E87D2"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Século XIX</w:t>
            </w:r>
          </w:p>
        </w:tc>
        <w:tc>
          <w:tcPr>
            <w:tcW w:w="0" w:type="auto"/>
            <w:tcMar>
              <w:top w:w="150" w:type="dxa"/>
              <w:left w:w="240" w:type="dxa"/>
              <w:bottom w:w="150" w:type="dxa"/>
              <w:right w:w="240" w:type="dxa"/>
            </w:tcMar>
            <w:vAlign w:val="center"/>
          </w:tcPr>
          <w:p w14:paraId="4F2D5BB4"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Nietzsche resgata o conceito</w:t>
            </w:r>
          </w:p>
        </w:tc>
        <w:tc>
          <w:tcPr>
            <w:tcW w:w="0" w:type="auto"/>
            <w:tcMar>
              <w:top w:w="150" w:type="dxa"/>
              <w:left w:w="240" w:type="dxa"/>
              <w:bottom w:w="150" w:type="dxa"/>
              <w:right w:w="0" w:type="dxa"/>
            </w:tcMar>
            <w:vAlign w:val="center"/>
          </w:tcPr>
          <w:p w14:paraId="1A23EF1F"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Reinterpreta o frenesi não como doença, mas como força vital dionisíaca. Em O Nascimento da Tragédia, ele o eleva a condição de motor primordial da arte e da superação humana.</w:t>
            </w:r>
          </w:p>
        </w:tc>
      </w:tr>
      <w:tr w:rsidR="0003312E" w14:paraId="3CCD176D" w14:textId="77777777">
        <w:tc>
          <w:tcPr>
            <w:tcW w:w="0" w:type="auto"/>
            <w:tcMar>
              <w:top w:w="150" w:type="dxa"/>
              <w:left w:w="0" w:type="dxa"/>
              <w:bottom w:w="150" w:type="dxa"/>
              <w:right w:w="240" w:type="dxa"/>
            </w:tcMar>
            <w:vAlign w:val="center"/>
          </w:tcPr>
          <w:p w14:paraId="625AE164"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Séculos XX-XXI</w:t>
            </w:r>
          </w:p>
        </w:tc>
        <w:tc>
          <w:tcPr>
            <w:tcW w:w="0" w:type="auto"/>
            <w:tcMar>
              <w:top w:w="150" w:type="dxa"/>
              <w:left w:w="240" w:type="dxa"/>
              <w:bottom w:w="150" w:type="dxa"/>
              <w:right w:w="240" w:type="dxa"/>
            </w:tcMar>
            <w:vAlign w:val="center"/>
          </w:tcPr>
          <w:p w14:paraId="5385A1B4"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Neurociência investiga os correlatos neurais</w:t>
            </w:r>
          </w:p>
        </w:tc>
        <w:tc>
          <w:tcPr>
            <w:tcW w:w="0" w:type="auto"/>
            <w:tcMar>
              <w:top w:w="150" w:type="dxa"/>
              <w:left w:w="240" w:type="dxa"/>
              <w:bottom w:w="150" w:type="dxa"/>
              <w:right w:w="0" w:type="dxa"/>
            </w:tcMar>
            <w:vAlign w:val="center"/>
          </w:tcPr>
          <w:p w14:paraId="48995134"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Estudos de neuroimagem identificam padrões de atividade neural associados a estados de hiperativação emocional, integrando perspectivas biológicas com dimensões psicológicas.</w:t>
            </w:r>
          </w:p>
        </w:tc>
      </w:tr>
    </w:tbl>
    <w:p w14:paraId="23087AC7"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175AF764"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Em Essência: as Quatro Dimensões do Frenesi</w:t>
      </w:r>
    </w:p>
    <w:p w14:paraId="17D17BA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1. A Dimensão Etimológica: A Mente Inflamada</w:t>
      </w:r>
    </w:p>
    <w:p w14:paraId="5A81F568"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palavra "frenesi" tem sua origem no grego </w:t>
      </w:r>
      <w:proofErr w:type="spellStart"/>
      <w:r>
        <w:rPr>
          <w:rFonts w:ascii="Times New Roman" w:eastAsia="Times New Roman" w:hAnsi="Times New Roman" w:cs="Times New Roman"/>
          <w:color w:val="0F1115"/>
          <w:kern w:val="0"/>
          <w:sz w:val="24"/>
          <w:szCs w:val="24"/>
          <w:lang w:eastAsia="pt-BR"/>
          <w14:ligatures w14:val="none"/>
        </w:rPr>
        <w:t>phrenesis</w:t>
      </w:r>
      <w:proofErr w:type="spellEnd"/>
      <w:r>
        <w:rPr>
          <w:rFonts w:ascii="Times New Roman" w:eastAsia="Times New Roman" w:hAnsi="Times New Roman" w:cs="Times New Roman"/>
          <w:color w:val="0F1115"/>
          <w:kern w:val="0"/>
          <w:sz w:val="24"/>
          <w:szCs w:val="24"/>
          <w:lang w:eastAsia="pt-BR"/>
          <w14:ligatures w14:val="none"/>
        </w:rPr>
        <w:t xml:space="preserve">, que significa delírio, um termo derivado de </w:t>
      </w:r>
      <w:proofErr w:type="spellStart"/>
      <w:r>
        <w:rPr>
          <w:rFonts w:ascii="Times New Roman" w:eastAsia="Times New Roman" w:hAnsi="Times New Roman" w:cs="Times New Roman"/>
          <w:color w:val="0F1115"/>
          <w:kern w:val="0"/>
          <w:sz w:val="24"/>
          <w:szCs w:val="24"/>
          <w:lang w:eastAsia="pt-BR"/>
          <w14:ligatures w14:val="none"/>
        </w:rPr>
        <w:t>phrēn</w:t>
      </w:r>
      <w:proofErr w:type="spellEnd"/>
      <w:r>
        <w:rPr>
          <w:rFonts w:ascii="Times New Roman" w:eastAsia="Times New Roman" w:hAnsi="Times New Roman" w:cs="Times New Roman"/>
          <w:color w:val="0F1115"/>
          <w:kern w:val="0"/>
          <w:sz w:val="24"/>
          <w:szCs w:val="24"/>
          <w:lang w:eastAsia="pt-BR"/>
          <w14:ligatures w14:val="none"/>
        </w:rPr>
        <w:t xml:space="preserve"> – um conceito que abrangia tanto a mente quanto as entranhas, refletindo uma visão corporal e visceral do pensamento na Grécia antiga. O sufixo -</w:t>
      </w:r>
      <w:proofErr w:type="spellStart"/>
      <w:r>
        <w:rPr>
          <w:rFonts w:ascii="Times New Roman" w:eastAsia="Times New Roman" w:hAnsi="Times New Roman" w:cs="Times New Roman"/>
          <w:color w:val="0F1115"/>
          <w:kern w:val="0"/>
          <w:sz w:val="24"/>
          <w:szCs w:val="24"/>
          <w:lang w:eastAsia="pt-BR"/>
          <w14:ligatures w14:val="none"/>
        </w:rPr>
        <w:t>sis</w:t>
      </w:r>
      <w:proofErr w:type="spellEnd"/>
      <w:r>
        <w:rPr>
          <w:rFonts w:ascii="Times New Roman" w:eastAsia="Times New Roman" w:hAnsi="Times New Roman" w:cs="Times New Roman"/>
          <w:color w:val="0F1115"/>
          <w:kern w:val="0"/>
          <w:sz w:val="24"/>
          <w:szCs w:val="24"/>
          <w:lang w:eastAsia="pt-BR"/>
          <w14:ligatures w14:val="none"/>
        </w:rPr>
        <w:t xml:space="preserve"> indicava um processo em curso, transformando a ideia em "um processo de exaltação mental". Enquanto "</w:t>
      </w:r>
      <w:proofErr w:type="spellStart"/>
      <w:r>
        <w:rPr>
          <w:rFonts w:ascii="Times New Roman" w:eastAsia="Times New Roman" w:hAnsi="Times New Roman" w:cs="Times New Roman"/>
          <w:color w:val="0F1115"/>
          <w:kern w:val="0"/>
          <w:sz w:val="24"/>
          <w:szCs w:val="24"/>
          <w:lang w:eastAsia="pt-BR"/>
          <w14:ligatures w14:val="none"/>
        </w:rPr>
        <w:t>frenite</w:t>
      </w:r>
      <w:proofErr w:type="spellEnd"/>
      <w:r>
        <w:rPr>
          <w:rFonts w:ascii="Times New Roman" w:eastAsia="Times New Roman" w:hAnsi="Times New Roman" w:cs="Times New Roman"/>
          <w:color w:val="0F1115"/>
          <w:kern w:val="0"/>
          <w:sz w:val="24"/>
          <w:szCs w:val="24"/>
          <w:lang w:eastAsia="pt-BR"/>
          <w14:ligatures w14:val="none"/>
        </w:rPr>
        <w:t>" seguiu um caminho médico, com o sufixo -</w:t>
      </w:r>
      <w:proofErr w:type="spellStart"/>
      <w:r>
        <w:rPr>
          <w:rFonts w:ascii="Times New Roman" w:eastAsia="Times New Roman" w:hAnsi="Times New Roman" w:cs="Times New Roman"/>
          <w:color w:val="0F1115"/>
          <w:kern w:val="0"/>
          <w:sz w:val="24"/>
          <w:szCs w:val="24"/>
          <w:lang w:eastAsia="pt-BR"/>
          <w14:ligatures w14:val="none"/>
        </w:rPr>
        <w:t>ite</w:t>
      </w:r>
      <w:proofErr w:type="spellEnd"/>
      <w:r>
        <w:rPr>
          <w:rFonts w:ascii="Times New Roman" w:eastAsia="Times New Roman" w:hAnsi="Times New Roman" w:cs="Times New Roman"/>
          <w:color w:val="0F1115"/>
          <w:kern w:val="0"/>
          <w:sz w:val="24"/>
          <w:szCs w:val="24"/>
          <w:lang w:eastAsia="pt-BR"/>
          <w14:ligatures w14:val="none"/>
        </w:rPr>
        <w:t xml:space="preserve"> apontando para inflamação, "frenesi" assumiu um sentido filosófico, descrevendo um estado de delírio e exaltação da alma. No latim, </w:t>
      </w:r>
      <w:proofErr w:type="spellStart"/>
      <w:r>
        <w:rPr>
          <w:rFonts w:ascii="Times New Roman" w:eastAsia="Times New Roman" w:hAnsi="Times New Roman" w:cs="Times New Roman"/>
          <w:color w:val="0F1115"/>
          <w:kern w:val="0"/>
          <w:sz w:val="24"/>
          <w:szCs w:val="24"/>
          <w:lang w:eastAsia="pt-BR"/>
          <w14:ligatures w14:val="none"/>
        </w:rPr>
        <w:t>phrenesis</w:t>
      </w:r>
      <w:proofErr w:type="spellEnd"/>
      <w:r>
        <w:rPr>
          <w:rFonts w:ascii="Times New Roman" w:eastAsia="Times New Roman" w:hAnsi="Times New Roman" w:cs="Times New Roman"/>
          <w:color w:val="0F1115"/>
          <w:kern w:val="0"/>
          <w:sz w:val="24"/>
          <w:szCs w:val="24"/>
          <w:lang w:eastAsia="pt-BR"/>
          <w14:ligatures w14:val="none"/>
        </w:rPr>
        <w:t xml:space="preserve"> mantém esse significado, sendo definida como loucura, delírio ou frenesi. Celso (3, 18) esclarece que a </w:t>
      </w:r>
      <w:proofErr w:type="spellStart"/>
      <w:r>
        <w:rPr>
          <w:rFonts w:ascii="Times New Roman" w:eastAsia="Times New Roman" w:hAnsi="Times New Roman" w:cs="Times New Roman"/>
          <w:color w:val="0F1115"/>
          <w:kern w:val="0"/>
          <w:sz w:val="24"/>
          <w:szCs w:val="24"/>
          <w:lang w:eastAsia="pt-BR"/>
          <w14:ligatures w14:val="none"/>
        </w:rPr>
        <w:t>phrenesis</w:t>
      </w:r>
      <w:proofErr w:type="spellEnd"/>
      <w:r>
        <w:rPr>
          <w:rFonts w:ascii="Times New Roman" w:eastAsia="Times New Roman" w:hAnsi="Times New Roman" w:cs="Times New Roman"/>
          <w:color w:val="0F1115"/>
          <w:kern w:val="0"/>
          <w:sz w:val="24"/>
          <w:szCs w:val="24"/>
          <w:lang w:eastAsia="pt-BR"/>
          <w14:ligatures w14:val="none"/>
        </w:rPr>
        <w:t xml:space="preserve"> se caracteriza quando uma demência se torna contínua. O termo também foi utilizado por outros autores: Séneca (de Ira, 1, 13, 3) refere-se à "</w:t>
      </w:r>
      <w:proofErr w:type="spellStart"/>
      <w:r>
        <w:rPr>
          <w:rFonts w:ascii="Times New Roman" w:eastAsia="Times New Roman" w:hAnsi="Times New Roman" w:cs="Times New Roman"/>
          <w:color w:val="0F1115"/>
          <w:kern w:val="0"/>
          <w:sz w:val="24"/>
          <w:szCs w:val="24"/>
          <w:lang w:eastAsia="pt-BR"/>
          <w14:ligatures w14:val="none"/>
        </w:rPr>
        <w:t>phrenesis</w:t>
      </w:r>
      <w:proofErr w:type="spellEnd"/>
      <w:r>
        <w:rPr>
          <w:rFonts w:ascii="Times New Roman" w:eastAsia="Times New Roman" w:hAnsi="Times New Roman" w:cs="Times New Roman"/>
          <w:color w:val="0F1115"/>
          <w:kern w:val="0"/>
          <w:sz w:val="24"/>
          <w:szCs w:val="24"/>
          <w:lang w:eastAsia="pt-BR"/>
          <w14:ligatures w14:val="none"/>
        </w:rPr>
        <w:t xml:space="preserve"> e insanidade necessárias para a força", Juvenal (14, 136) menciona uma "</w:t>
      </w:r>
      <w:proofErr w:type="spellStart"/>
      <w:r>
        <w:rPr>
          <w:rFonts w:ascii="Times New Roman" w:eastAsia="Times New Roman" w:hAnsi="Times New Roman" w:cs="Times New Roman"/>
          <w:color w:val="0F1115"/>
          <w:kern w:val="0"/>
          <w:sz w:val="24"/>
          <w:szCs w:val="24"/>
          <w:lang w:eastAsia="pt-BR"/>
          <w14:ligatures w14:val="none"/>
        </w:rPr>
        <w:t>phrenesis</w:t>
      </w:r>
      <w:proofErr w:type="spellEnd"/>
      <w:r>
        <w:rPr>
          <w:rFonts w:ascii="Times New Roman" w:eastAsia="Times New Roman" w:hAnsi="Times New Roman" w:cs="Times New Roman"/>
          <w:color w:val="0F1115"/>
          <w:kern w:val="0"/>
          <w:sz w:val="24"/>
          <w:szCs w:val="24"/>
          <w:lang w:eastAsia="pt-BR"/>
          <w14:ligatures w14:val="none"/>
        </w:rPr>
        <w:t xml:space="preserve"> manifesta", e </w:t>
      </w:r>
      <w:r>
        <w:rPr>
          <w:rFonts w:ascii="Times New Roman" w:eastAsia="Times New Roman" w:hAnsi="Times New Roman" w:cs="Times New Roman"/>
          <w:color w:val="0F1115"/>
          <w:kern w:val="0"/>
          <w:sz w:val="24"/>
          <w:szCs w:val="24"/>
          <w:lang w:eastAsia="pt-BR"/>
          <w14:ligatures w14:val="none"/>
        </w:rPr>
        <w:lastRenderedPageBreak/>
        <w:t xml:space="preserve">seu uso é ainda atestado em Ser. </w:t>
      </w:r>
      <w:proofErr w:type="spellStart"/>
      <w:r>
        <w:rPr>
          <w:rFonts w:ascii="Times New Roman" w:eastAsia="Times New Roman" w:hAnsi="Times New Roman" w:cs="Times New Roman"/>
          <w:color w:val="0F1115"/>
          <w:kern w:val="0"/>
          <w:sz w:val="24"/>
          <w:szCs w:val="24"/>
          <w:lang w:eastAsia="pt-BR"/>
          <w14:ligatures w14:val="none"/>
        </w:rPr>
        <w:t>Samm</w:t>
      </w:r>
      <w:proofErr w:type="spellEnd"/>
      <w:r>
        <w:rPr>
          <w:rFonts w:ascii="Times New Roman" w:eastAsia="Times New Roman" w:hAnsi="Times New Roman" w:cs="Times New Roman"/>
          <w:color w:val="0F1115"/>
          <w:kern w:val="0"/>
          <w:sz w:val="24"/>
          <w:szCs w:val="24"/>
          <w:lang w:eastAsia="pt-BR"/>
          <w14:ligatures w14:val="none"/>
        </w:rPr>
        <w:t xml:space="preserve">. (7, 90) e </w:t>
      </w:r>
      <w:proofErr w:type="spellStart"/>
      <w:r>
        <w:rPr>
          <w:rFonts w:ascii="Times New Roman" w:eastAsia="Times New Roman" w:hAnsi="Times New Roman" w:cs="Times New Roman"/>
          <w:color w:val="0F1115"/>
          <w:kern w:val="0"/>
          <w:sz w:val="24"/>
          <w:szCs w:val="24"/>
          <w:lang w:eastAsia="pt-BR"/>
          <w14:ligatures w14:val="none"/>
        </w:rPr>
        <w:t>Prud</w:t>
      </w:r>
      <w:proofErr w:type="spellEnd"/>
      <w:r>
        <w:rPr>
          <w:rFonts w:ascii="Times New Roman" w:eastAsia="Times New Roman" w:hAnsi="Times New Roman" w:cs="Times New Roman"/>
          <w:color w:val="0F1115"/>
          <w:kern w:val="0"/>
          <w:sz w:val="24"/>
          <w:szCs w:val="24"/>
          <w:lang w:eastAsia="pt-BR"/>
          <w14:ligatures w14:val="none"/>
        </w:rPr>
        <w:t>. (</w:t>
      </w:r>
      <w:proofErr w:type="spellStart"/>
      <w:r>
        <w:rPr>
          <w:rFonts w:ascii="Times New Roman" w:eastAsia="Times New Roman" w:hAnsi="Times New Roman" w:cs="Times New Roman"/>
          <w:color w:val="0F1115"/>
          <w:kern w:val="0"/>
          <w:sz w:val="24"/>
          <w:szCs w:val="24"/>
          <w:lang w:eastAsia="pt-BR"/>
          <w14:ligatures w14:val="none"/>
        </w:rPr>
        <w:t>Hamart</w:t>
      </w:r>
      <w:proofErr w:type="spellEnd"/>
      <w:r>
        <w:rPr>
          <w:rFonts w:ascii="Times New Roman" w:eastAsia="Times New Roman" w:hAnsi="Times New Roman" w:cs="Times New Roman"/>
          <w:color w:val="0F1115"/>
          <w:kern w:val="0"/>
          <w:sz w:val="24"/>
          <w:szCs w:val="24"/>
          <w:lang w:eastAsia="pt-BR"/>
          <w14:ligatures w14:val="none"/>
        </w:rPr>
        <w:t xml:space="preserve">. 125). É relevante notar que, em algumas versões do texto de Celso, a palavra aparece como </w:t>
      </w:r>
      <w:proofErr w:type="spellStart"/>
      <w:r>
        <w:rPr>
          <w:rFonts w:ascii="Times New Roman" w:eastAsia="Times New Roman" w:hAnsi="Times New Roman" w:cs="Times New Roman"/>
          <w:color w:val="0F1115"/>
          <w:kern w:val="0"/>
          <w:sz w:val="24"/>
          <w:szCs w:val="24"/>
          <w:lang w:eastAsia="pt-BR"/>
          <w14:ligatures w14:val="none"/>
        </w:rPr>
        <w:t>phrenitis</w:t>
      </w:r>
      <w:proofErr w:type="spellEnd"/>
      <w:r>
        <w:rPr>
          <w:rFonts w:ascii="Times New Roman" w:eastAsia="Times New Roman" w:hAnsi="Times New Roman" w:cs="Times New Roman"/>
          <w:color w:val="0F1115"/>
          <w:kern w:val="0"/>
          <w:sz w:val="24"/>
          <w:szCs w:val="24"/>
          <w:lang w:eastAsia="pt-BR"/>
          <w14:ligatures w14:val="none"/>
        </w:rPr>
        <w:t>.</w:t>
      </w:r>
    </w:p>
    <w:p w14:paraId="46B09004"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7E91BF3E"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2. A Dimensão Histórico-Clínica: Da Possessão à Paixão</w:t>
      </w:r>
    </w:p>
    <w:p w14:paraId="3862ACE7"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compreensão do frenesi percorreu um caminho fascinante: começou como diagnóstico médico na Grécia Antiga, transformou-se em possessão demoníaca na Idade Média, e ressurgiu no Renascimento como símbolo da genialidade artística. Figuras como Beethoven e Caravaggio personificavam essa ideia de que a grande criatividade exigia uma certa dose de fogo interior. No século XIX, Nietzsche deu o passo final ao transformar o frenesi de patologia em potência filosófica, vendo nele a força dionisíaca necessária para a criação autêntica e a superação dos limites convencionais.</w:t>
      </w:r>
    </w:p>
    <w:p w14:paraId="3C8FEBAA"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7850B91D"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3. A Dimensão Neurocientífica: A Tempestade Neural</w:t>
      </w:r>
    </w:p>
    <w:p w14:paraId="4BDA7E01"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compreensão contemporânea do fenômeno revela correlatos neurais caracterizados por significativa desregulação. Evidências neurocientíficas apontam para um padrão específico: hiperatividade no sistema límbico - particularmente na amígdala e hipocampo - associada a comprometimentos no funcionamento do córtex pré-frontal (</w:t>
      </w:r>
      <w:proofErr w:type="spellStart"/>
      <w:r>
        <w:rPr>
          <w:rFonts w:ascii="Times New Roman" w:eastAsia="Times New Roman" w:hAnsi="Times New Roman" w:cs="Times New Roman"/>
          <w:color w:val="0F1115"/>
          <w:kern w:val="0"/>
          <w:sz w:val="24"/>
          <w:szCs w:val="24"/>
          <w:lang w:eastAsia="pt-BR"/>
          <w14:ligatures w14:val="none"/>
        </w:rPr>
        <w:t>ventromedial</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dorsomedial</w:t>
      </w:r>
      <w:proofErr w:type="spellEnd"/>
      <w:r>
        <w:rPr>
          <w:rFonts w:ascii="Times New Roman" w:eastAsia="Times New Roman" w:hAnsi="Times New Roman" w:cs="Times New Roman"/>
          <w:color w:val="0F1115"/>
          <w:kern w:val="0"/>
          <w:sz w:val="24"/>
          <w:szCs w:val="24"/>
          <w:lang w:eastAsia="pt-BR"/>
          <w14:ligatures w14:val="none"/>
        </w:rPr>
        <w:t xml:space="preserve"> e dorsolateral).</w:t>
      </w:r>
    </w:p>
    <w:p w14:paraId="1820B891"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Esse desequilíbrio se manifesta como uma desconexão entre os centros emocionais e as regiões responsáveis pelo controle executivo e regulação racional. O resultado é um estado de hiperexcitação mental que pode oscilar entre a concentração criativa intensa e a agitação psicomotora descontrolada. Padrões semelhantes de variabilidade neural são observados em condições como TDAH, transtorno bipolar e transtorno de personalidade borderline, o que reforça a ideia de um espectro de hiperativação emocional com um substrato neural compartilhado — embora cada contexto mantenha suas particularidades clínicas.</w:t>
      </w:r>
    </w:p>
    <w:p w14:paraId="3A55621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É precisamente nesse terreno neural comum que a nuance se faz necessária, exigindo uma distinção fundamental. O 'frenesi' como arquétipo filosófico e força criativa, tal como explorado por Nietzsche, é uma metáfora cultural para estados de produtividade extrema e paixão intelectual. Ele habita o domínio da experiência humana ampliada. Em contraste, um episódio maníaco ou hipomaníaco no Transtorno Bipolar, ou a agitação psicomotora em outras condições psiquiátricas, é uma síndrome clínica patológica, caracterizada por sofrimento significativo, prejuízo funcional, riscos concretos à saúde e um comprometimento do teste de realidade.</w:t>
      </w:r>
    </w:p>
    <w:p w14:paraId="78A1479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lastRenderedPageBreak/>
        <w:t>Enquanto o frenesi filosófico pode ser uma elevação (ainda que caótica) do espírito, a mania clínica é frequentemente uma experiência de desorganização e angústia. A neurociência, ao revelar os substratos neurais da excitação mental, não reduz a genialidade à patologia. Pelo contrário, ela nos ajuda a traçar uma fronteira de respeito: a mesma tempestade neural que, em um contexto de resiliência e estrutura psíquica, pode incendiar a criação artística, em um cérebro vulnerável, pode desencadear uma crise que exige cuidado e intervenção médica.</w:t>
      </w:r>
    </w:p>
    <w:p w14:paraId="5E44B5B6"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lição </w:t>
      </w:r>
      <w:proofErr w:type="spellStart"/>
      <w:r>
        <w:rPr>
          <w:rFonts w:ascii="Times New Roman" w:eastAsia="Times New Roman" w:hAnsi="Times New Roman" w:cs="Times New Roman"/>
          <w:color w:val="0F1115"/>
          <w:kern w:val="0"/>
          <w:sz w:val="24"/>
          <w:szCs w:val="24"/>
          <w:lang w:eastAsia="pt-BR"/>
          <w14:ligatures w14:val="none"/>
        </w:rPr>
        <w:t>neuroetimológica</w:t>
      </w:r>
      <w:proofErr w:type="spellEnd"/>
      <w:r>
        <w:rPr>
          <w:rFonts w:ascii="Times New Roman" w:eastAsia="Times New Roman" w:hAnsi="Times New Roman" w:cs="Times New Roman"/>
          <w:color w:val="0F1115"/>
          <w:kern w:val="0"/>
          <w:sz w:val="24"/>
          <w:szCs w:val="24"/>
          <w:lang w:eastAsia="pt-BR"/>
          <w14:ligatures w14:val="none"/>
        </w:rPr>
        <w:t xml:space="preserve"> do frenesi é, portanto, uma lição de nuance: celebrar o fogo da mente sem romantizar o sofrimento que esse mesmo fogo pode causar quando se torna incontrolável. Esta perspectiva moderna oferece insights sobre dicotomias históricas, demonstrando que a tensão entre emoção e razão - discutida desde a tradição hipocrática dos humores até os debates filosóficos sobre paixão e autocontrole - possui bases mensuráveis na arquitetura cerebral, mas cujas expressões na vida concreta exigem uma compreensão que vá além do laboratório.</w:t>
      </w:r>
    </w:p>
    <w:p w14:paraId="0CFBEE26"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37EBD1E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4. A Dimensão Poético-Filosófica: O Fogo de Dionísio</w:t>
      </w:r>
    </w:p>
    <w:p w14:paraId="6CE0DAFE"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No plano simbólico, o frenesi encontra sua melhor expressão em Dionísio, o deus grego do êxtase e do teatro, que representa a força primordial que dissolve os limites da razão e libera as paixões mais profundas. Nietzsche elevou este conceito ao argumentar que a verdadeira grandeza nasce do equilíbrio tenso entre a ordem apolínea e o caos dionisíaco. Sua própria vida tornou-se uma ilustração dramática desta tensão: períodos de produtividade filosófica intensa convivendo com sofrimento físico e mental, demonstrando como o fogo criativo pode ser tanto fonte de iluminação quanto de autodestruição.</w:t>
      </w:r>
    </w:p>
    <w:p w14:paraId="093E2C13"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312D9AA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Próximo: A Sombra da Mente</w:t>
      </w:r>
    </w:p>
    <w:p w14:paraId="3D93235B"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Se o frenesi é o fogo que consome e, ao mesmo tempo, ilumina, a melancolia surge como a sua sombra complementar – uma penumbra que se alonga e se aprofunda. Enquanto Nietzsche, em sua coragem filosófica, abraçou a tempestade mental como uma força criadora, seria Robert Burton, em sua obra monumental, quem mergulharia nas profundezas mais silenciosas do espírito humano para mapear a complexa anatomia da tristeza. Esse é um território distinto, onde a dor lentamente se transforma em reflexão profunda e o silêncio interior pode dar lugar a uma sabedoria singular. Assim, nossa jornada segue seu curso, partindo das chamas intensas e dionisíacas do frenesi para adentrar as profundezas contemplativas da melancolia.</w:t>
      </w:r>
    </w:p>
    <w:p w14:paraId="50C02B5B"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tbl>
      <w:tblPr>
        <w:tblStyle w:val="Tabelacomgrade"/>
        <w:tblW w:w="8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477"/>
        <w:gridCol w:w="4270"/>
      </w:tblGrid>
      <w:tr w:rsidR="0003312E" w14:paraId="6E432F46" w14:textId="77777777">
        <w:trPr>
          <w:trHeight w:val="470"/>
        </w:trPr>
        <w:tc>
          <w:tcPr>
            <w:tcW w:w="8747" w:type="dxa"/>
            <w:gridSpan w:val="2"/>
            <w:tcBorders>
              <w:top w:val="nil"/>
              <w:left w:val="nil"/>
              <w:bottom w:val="nil"/>
              <w:right w:val="nil"/>
            </w:tcBorders>
          </w:tcPr>
          <w:p w14:paraId="2910380E"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b/>
                <w:bCs/>
                <w:sz w:val="24"/>
                <w:szCs w:val="24"/>
              </w:rPr>
            </w:pPr>
            <w:r>
              <w:rPr>
                <w:rFonts w:ascii="Times New Roman" w:hAnsi="Times New Roman" w:cs="Times New Roman"/>
                <w:b/>
                <w:bCs/>
                <w:sz w:val="24"/>
                <w:szCs w:val="24"/>
              </w:rPr>
              <w:lastRenderedPageBreak/>
              <w:t xml:space="preserve">Capítulo </w:t>
            </w:r>
            <w:proofErr w:type="gramStart"/>
            <w:r>
              <w:rPr>
                <w:rFonts w:ascii="Times New Roman" w:hAnsi="Times New Roman" w:cs="Times New Roman"/>
                <w:b/>
                <w:bCs/>
                <w:sz w:val="24"/>
                <w:szCs w:val="24"/>
              </w:rPr>
              <w:t>4  -</w:t>
            </w:r>
            <w:proofErr w:type="gramEnd"/>
            <w:r>
              <w:rPr>
                <w:rFonts w:ascii="Times New Roman" w:hAnsi="Times New Roman" w:cs="Times New Roman"/>
                <w:b/>
                <w:bCs/>
                <w:sz w:val="24"/>
                <w:szCs w:val="24"/>
              </w:rPr>
              <w:t xml:space="preserve">  Melancolia: A Cidade Subterrânea</w:t>
            </w:r>
          </w:p>
        </w:tc>
      </w:tr>
      <w:tr w:rsidR="0003312E" w14:paraId="2C611F48" w14:textId="77777777">
        <w:tc>
          <w:tcPr>
            <w:tcW w:w="4477" w:type="dxa"/>
            <w:tcBorders>
              <w:top w:val="nil"/>
              <w:left w:val="nil"/>
              <w:bottom w:val="nil"/>
              <w:right w:val="nil"/>
            </w:tcBorders>
          </w:tcPr>
          <w:p w14:paraId="2279877E"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hAnsi="Times New Roman" w:cs="Times New Roman"/>
                <w:noProof/>
                <w:sz w:val="24"/>
                <w:szCs w:val="24"/>
              </w:rPr>
              <w:drawing>
                <wp:inline distT="0" distB="0" distL="0" distR="0" wp14:anchorId="3AF51683" wp14:editId="676D7FCC">
                  <wp:extent cx="1563370" cy="1153160"/>
                  <wp:effectExtent l="0" t="0" r="6350" b="5080"/>
                  <wp:docPr id="91729108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91088" name="Imagem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563370" cy="1153160"/>
                          </a:xfrm>
                          <a:prstGeom prst="rect">
                            <a:avLst/>
                          </a:prstGeom>
                          <a:noFill/>
                          <a:ln>
                            <a:noFill/>
                          </a:ln>
                        </pic:spPr>
                      </pic:pic>
                    </a:graphicData>
                  </a:graphic>
                </wp:inline>
              </w:drawing>
            </w:r>
          </w:p>
        </w:tc>
        <w:tc>
          <w:tcPr>
            <w:tcW w:w="4270" w:type="dxa"/>
            <w:tcBorders>
              <w:top w:val="nil"/>
              <w:left w:val="nil"/>
              <w:bottom w:val="nil"/>
              <w:right w:val="nil"/>
            </w:tcBorders>
          </w:tcPr>
          <w:p w14:paraId="2B4FB861"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ECC97A3" wp14:editId="39E242F3">
                  <wp:extent cx="821055" cy="1231265"/>
                  <wp:effectExtent l="0" t="0" r="1905" b="3175"/>
                  <wp:docPr id="52" name="Imagem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21" descr="IMG_256"/>
                          <pic:cNvPicPr>
                            <a:picLocks noChangeAspect="1"/>
                          </pic:cNvPicPr>
                        </pic:nvPicPr>
                        <pic:blipFill>
                          <a:blip r:embed="rId20"/>
                          <a:stretch>
                            <a:fillRect/>
                          </a:stretch>
                        </pic:blipFill>
                        <pic:spPr>
                          <a:xfrm>
                            <a:off x="0" y="0"/>
                            <a:ext cx="821055" cy="1231265"/>
                          </a:xfrm>
                          <a:prstGeom prst="rect">
                            <a:avLst/>
                          </a:prstGeom>
                          <a:noFill/>
                          <a:ln w="9525">
                            <a:noFill/>
                          </a:ln>
                        </pic:spPr>
                      </pic:pic>
                    </a:graphicData>
                  </a:graphic>
                </wp:inline>
              </w:drawing>
            </w:r>
          </w:p>
        </w:tc>
      </w:tr>
      <w:tr w:rsidR="0003312E" w14:paraId="041EC7C5" w14:textId="77777777">
        <w:trPr>
          <w:trHeight w:val="476"/>
        </w:trPr>
        <w:tc>
          <w:tcPr>
            <w:tcW w:w="4477" w:type="dxa"/>
            <w:tcBorders>
              <w:top w:val="nil"/>
              <w:left w:val="nil"/>
              <w:bottom w:val="nil"/>
              <w:right w:val="nil"/>
            </w:tcBorders>
          </w:tcPr>
          <w:p w14:paraId="24F9CFEB"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4.1: O Labirinto das Sombras: A Geografia da Introspecção</w:t>
            </w:r>
          </w:p>
        </w:tc>
        <w:tc>
          <w:tcPr>
            <w:tcW w:w="4270" w:type="dxa"/>
            <w:tcBorders>
              <w:top w:val="nil"/>
              <w:left w:val="nil"/>
              <w:bottom w:val="nil"/>
              <w:right w:val="nil"/>
            </w:tcBorders>
          </w:tcPr>
          <w:p w14:paraId="1EAA3E25"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Figura 4.2</w:t>
            </w:r>
            <w:r>
              <w:rPr>
                <w:rFonts w:ascii="Times New Roman" w:eastAsiaTheme="majorEastAsia" w:hAnsi="Times New Roman" w:cs="Times New Roman"/>
                <w:sz w:val="24"/>
                <w:szCs w:val="24"/>
              </w:rPr>
              <w:t xml:space="preserve">: </w:t>
            </w:r>
            <w:r>
              <w:rPr>
                <w:rFonts w:ascii="Times New Roman" w:eastAsia="Segoe UI" w:hAnsi="Times New Roman" w:cs="Times New Roman"/>
                <w:i/>
                <w:iCs/>
                <w:sz w:val="24"/>
                <w:szCs w:val="24"/>
                <w:shd w:val="clear" w:color="auto" w:fill="FFFFFF"/>
              </w:rPr>
              <w:t>Robert Burton (1577 - 1640)</w:t>
            </w:r>
            <w:r>
              <w:rPr>
                <w:rFonts w:ascii="Times New Roman" w:eastAsiaTheme="majorEastAsia" w:hAnsi="Times New Roman" w:cs="Times New Roman"/>
                <w:i/>
                <w:iCs/>
                <w:sz w:val="24"/>
                <w:szCs w:val="24"/>
              </w:rPr>
              <w:t>: O Cartógrafo das Profundezas da Alma</w:t>
            </w:r>
          </w:p>
        </w:tc>
      </w:tr>
    </w:tbl>
    <w:p w14:paraId="2BE27821"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2A27603B"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Melancolia em Poucas Palavras: A Cor da Alma</w:t>
      </w:r>
    </w:p>
    <w:p w14:paraId="43A393E5"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A melancolia apresenta uma dualidade fundamental: enquanto experiência humana universal associada à introspecção e criatividade, também configura uma condição clínica de sofrimento. Este capítulo explora essa tensão ao longo da história. A melancolia nos convida a explorar um território profundo e complexo da experiência humana, e para compreendê-la, percorreremos quatro dimensões fundamentais que se entrelaçam. A primeira nos revela sua origem etimológica, que literalmente significa "bile negra" – uma substância que os antigos acreditavam intoxicar tanto o corpo quanto a mente. A segunda dimensão nos guia por sua extraordinária jornada histórica, que a viu transitar de um simples desequilíbrio físico para um pecado mortal, até finalmente ser reconhecida como uma marca distintiva da genialidade. A terceira nos mostra como a neurociência moderna identifica padrões neuroquímicos associados a essa antiga "bile negra" em termos de desregulações neuroquímicas específicas. E a quarta nos leva ao plano filosófico, onde a melancolia se revela não como uma mera patologia, mas como um espaço fértil de introspecção profunda e sabedoria potencial. São essas quatro perspectivas, integradas na seção final, que nos oferecem uma visão completa e multifacetada desse estado de espírito que tanto tem fascinado a humanidade ao longo dos séculos.</w:t>
      </w:r>
    </w:p>
    <w:p w14:paraId="756D9792"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085CC503"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A Jornada da Palavra: Da Bile Negra a Burton</w:t>
      </w:r>
    </w:p>
    <w:p w14:paraId="69FEB910"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Iniciando com Hipócrates e a teoria dos humores, a história da melancolia é também a história de sua transformação cultural, de um desequilíbrio humoral a símbolo de genialidade e profundidade.</w:t>
      </w:r>
    </w:p>
    <w:p w14:paraId="6C0E84C2"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Na Grécia Antiga, Hipócrates via a melancolia como um problema físico: o excesso de bile negra envenenava corpo e mente. Posteriormente, o 'Problema XXX', texto do Corpus </w:t>
      </w:r>
      <w:proofErr w:type="spellStart"/>
      <w:r>
        <w:rPr>
          <w:rFonts w:eastAsia="Segoe UI"/>
          <w:sz w:val="24"/>
          <w:shd w:val="clear" w:color="auto" w:fill="FFFFFF"/>
          <w:lang w:val="pt-BR"/>
        </w:rPr>
        <w:t>Aristotelicum</w:t>
      </w:r>
      <w:proofErr w:type="spellEnd"/>
      <w:r>
        <w:rPr>
          <w:rFonts w:eastAsia="Segoe UI"/>
          <w:sz w:val="24"/>
          <w:shd w:val="clear" w:color="auto" w:fill="FFFFFF"/>
          <w:lang w:val="pt-BR"/>
        </w:rPr>
        <w:t xml:space="preserve"> tradicionalmente atribuído à escola de Aristóteles e considerado </w:t>
      </w:r>
      <w:proofErr w:type="spellStart"/>
      <w:r>
        <w:rPr>
          <w:rFonts w:eastAsia="Segoe UI"/>
          <w:sz w:val="24"/>
          <w:shd w:val="clear" w:color="auto" w:fill="FFFFFF"/>
          <w:lang w:val="pt-BR"/>
        </w:rPr>
        <w:t>pseudo-aristotélico</w:t>
      </w:r>
      <w:proofErr w:type="spellEnd"/>
      <w:r>
        <w:rPr>
          <w:rFonts w:eastAsia="Segoe UI"/>
          <w:sz w:val="24"/>
          <w:shd w:val="clear" w:color="auto" w:fill="FFFFFF"/>
          <w:lang w:val="pt-BR"/>
        </w:rPr>
        <w:t xml:space="preserve">, observou que muitos grandes filósofos, poetas e estadistas eram melancólicos, </w:t>
      </w:r>
      <w:r>
        <w:rPr>
          <w:rFonts w:eastAsia="Segoe UI"/>
          <w:sz w:val="24"/>
          <w:shd w:val="clear" w:color="auto" w:fill="FFFFFF"/>
          <w:lang w:val="pt-BR"/>
        </w:rPr>
        <w:lastRenderedPageBreak/>
        <w:t>criando uma associação duradoura entre sofrimento e genialidade. Assim, a melancolia deixava de ser mera doença e passava a ser considerada o preço da grandeza.</w:t>
      </w:r>
    </w:p>
    <w:p w14:paraId="0408008A"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Durante a Idade Média, a melancolia foi convertida em pecado. Embora reinterpretada teologicamente como acédia, tradições médicas mantiveram explicações naturais para a melancolia, demonstrando a coexistência de perspectivas. Transformada no pecado capital da acedia (do grego </w:t>
      </w:r>
      <w:proofErr w:type="spellStart"/>
      <w:r>
        <w:rPr>
          <w:rFonts w:eastAsia="Segoe UI"/>
          <w:sz w:val="24"/>
          <w:shd w:val="clear" w:color="auto" w:fill="FFFFFF"/>
          <w:lang w:val="pt-BR"/>
        </w:rPr>
        <w:t>akēdía</w:t>
      </w:r>
      <w:proofErr w:type="spellEnd"/>
      <w:r>
        <w:rPr>
          <w:rFonts w:eastAsia="Segoe UI"/>
          <w:sz w:val="24"/>
          <w:shd w:val="clear" w:color="auto" w:fill="FFFFFF"/>
          <w:lang w:val="pt-BR"/>
        </w:rPr>
        <w:t>, 'ausência de cuidado'), a melancolia tornou-se uma falha espiritual específica: um torpor da alma que levava à negligência dos deveres religiosos e à incapacidade de encontrar alegria na devoção, particularmente temida na vida monástica. Já não era um fluido corporal, mas uma falha moral, um vício a ser combatido com oração e disciplina.</w:t>
      </w:r>
    </w:p>
    <w:p w14:paraId="42095D90"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No Renascimento, essa visão foi radicalmente ressignificada. Marsílio </w:t>
      </w:r>
      <w:proofErr w:type="spellStart"/>
      <w:r>
        <w:rPr>
          <w:rFonts w:eastAsia="Segoe UI"/>
          <w:sz w:val="24"/>
          <w:shd w:val="clear" w:color="auto" w:fill="FFFFFF"/>
          <w:lang w:val="pt-BR"/>
        </w:rPr>
        <w:t>Ficino</w:t>
      </w:r>
      <w:proofErr w:type="spellEnd"/>
      <w:r>
        <w:rPr>
          <w:rFonts w:eastAsia="Segoe UI"/>
          <w:sz w:val="24"/>
          <w:shd w:val="clear" w:color="auto" w:fill="FFFFFF"/>
          <w:lang w:val="pt-BR"/>
        </w:rPr>
        <w:t xml:space="preserve"> </w:t>
      </w:r>
      <w:proofErr w:type="spellStart"/>
      <w:r>
        <w:rPr>
          <w:rFonts w:eastAsia="Segoe UI"/>
          <w:sz w:val="24"/>
          <w:shd w:val="clear" w:color="auto" w:fill="FFFFFF"/>
          <w:lang w:val="pt-BR"/>
        </w:rPr>
        <w:t>reassociou</w:t>
      </w:r>
      <w:proofErr w:type="spellEnd"/>
      <w:r>
        <w:rPr>
          <w:rFonts w:eastAsia="Segoe UI"/>
          <w:sz w:val="24"/>
          <w:shd w:val="clear" w:color="auto" w:fill="FFFFFF"/>
          <w:lang w:val="pt-BR"/>
        </w:rPr>
        <w:t xml:space="preserve"> a melancolia ao planeta Saturno - lento, frio, distante e sábio - e argumentou que ela era a marca de intelectuais e artistas. Essa concepção encontra expressão icônica na gravura </w:t>
      </w:r>
      <w:proofErr w:type="spellStart"/>
      <w:r>
        <w:rPr>
          <w:rFonts w:eastAsia="Segoe UI"/>
          <w:sz w:val="24"/>
          <w:shd w:val="clear" w:color="auto" w:fill="FFFFFF"/>
          <w:lang w:val="pt-BR"/>
        </w:rPr>
        <w:t>Melencolia</w:t>
      </w:r>
      <w:proofErr w:type="spellEnd"/>
      <w:r>
        <w:rPr>
          <w:rFonts w:eastAsia="Segoe UI"/>
          <w:sz w:val="24"/>
          <w:shd w:val="clear" w:color="auto" w:fill="FFFFFF"/>
          <w:lang w:val="pt-BR"/>
        </w:rPr>
        <w:t xml:space="preserve"> I (1514), de Albrecht Dürer, que retrata um anjo alado cercado por instrumentos científicos e artísticos, imerso em paralisia criativa. A melancolia passa a simbolizar não a doença, mas a profundidade do gênio.</w:t>
      </w:r>
    </w:p>
    <w:p w14:paraId="7C573653"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Em 1621, Robert Burton publicou The </w:t>
      </w:r>
      <w:proofErr w:type="spellStart"/>
      <w:r>
        <w:rPr>
          <w:rFonts w:eastAsia="Segoe UI"/>
          <w:sz w:val="24"/>
          <w:shd w:val="clear" w:color="auto" w:fill="FFFFFF"/>
          <w:lang w:val="pt-BR"/>
        </w:rPr>
        <w:t>Anatomy</w:t>
      </w:r>
      <w:proofErr w:type="spellEnd"/>
      <w:r>
        <w:rPr>
          <w:rFonts w:eastAsia="Segoe UI"/>
          <w:sz w:val="24"/>
          <w:shd w:val="clear" w:color="auto" w:fill="FFFFFF"/>
          <w:lang w:val="pt-BR"/>
        </w:rPr>
        <w:t xml:space="preserve"> </w:t>
      </w:r>
      <w:proofErr w:type="spellStart"/>
      <w:r>
        <w:rPr>
          <w:rFonts w:eastAsia="Segoe UI"/>
          <w:sz w:val="24"/>
          <w:shd w:val="clear" w:color="auto" w:fill="FFFFFF"/>
          <w:lang w:val="pt-BR"/>
        </w:rPr>
        <w:t>of</w:t>
      </w:r>
      <w:proofErr w:type="spellEnd"/>
      <w:r>
        <w:rPr>
          <w:rFonts w:eastAsia="Segoe UI"/>
          <w:sz w:val="24"/>
          <w:shd w:val="clear" w:color="auto" w:fill="FFFFFF"/>
          <w:lang w:val="pt-BR"/>
        </w:rPr>
        <w:t xml:space="preserve"> </w:t>
      </w:r>
      <w:proofErr w:type="spellStart"/>
      <w:r>
        <w:rPr>
          <w:rFonts w:eastAsia="Segoe UI"/>
          <w:sz w:val="24"/>
          <w:shd w:val="clear" w:color="auto" w:fill="FFFFFF"/>
          <w:lang w:val="pt-BR"/>
        </w:rPr>
        <w:t>Melancholy</w:t>
      </w:r>
      <w:proofErr w:type="spellEnd"/>
      <w:r>
        <w:rPr>
          <w:rFonts w:eastAsia="Segoe UI"/>
          <w:sz w:val="24"/>
          <w:shd w:val="clear" w:color="auto" w:fill="FFFFFF"/>
          <w:lang w:val="pt-BR"/>
        </w:rPr>
        <w:t xml:space="preserve">, obra monumental que compilou todo o conhecimento sobre a melancolia, desde a antiguidade até sua época. Burton não </w:t>
      </w:r>
      <w:proofErr w:type="spellStart"/>
      <w:r>
        <w:rPr>
          <w:rFonts w:eastAsia="Segoe UI"/>
          <w:sz w:val="24"/>
          <w:shd w:val="clear" w:color="auto" w:fill="FFFFFF"/>
          <w:lang w:val="pt-BR"/>
        </w:rPr>
        <w:t>oferevia</w:t>
      </w:r>
      <w:proofErr w:type="spellEnd"/>
      <w:r>
        <w:rPr>
          <w:rFonts w:eastAsia="Segoe UI"/>
          <w:sz w:val="24"/>
          <w:shd w:val="clear" w:color="auto" w:fill="FFFFFF"/>
          <w:lang w:val="pt-BR"/>
        </w:rPr>
        <w:t xml:space="preserve"> uma cura simples, mas um mapa detalhado da condição, tratando-a como fenômeno que abrange corpo, mente e espírito. Sua obra é uma verdadeira cidade subterrânea textual, onde o leitor se perde e se encontra, percebendo que, mesmo nas profundezas, não está sozinho.</w:t>
      </w:r>
    </w:p>
    <w:p w14:paraId="38CC0643"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No século XX, Sigmund Freud psicanalisou a melancolia em Luto e Melancolia (1917), mostrando que o ego se identifica com o objeto perdido e direciona contra si mesmo a raiva e a culpa. A psiquiatria moderna codificou a melancolia como um subtipo de depressão maior, com características biológicas distintas, sujeita a debates contemporâneos sobre medicalização da experiência humana, mas a aura de mistério e profundidade, conferida por Burton e Dürer, permanece.</w:t>
      </w:r>
    </w:p>
    <w:p w14:paraId="061918C7"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0BD83501"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00762F60"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51041857"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2526B0BA"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58569CD2"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0DCB088C"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411397AF"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lastRenderedPageBreak/>
        <w:t>Quadro 4.1 - A Evolução da Melancolia: Da Doença à Genialidade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7"/>
        <w:gridCol w:w="1859"/>
        <w:gridCol w:w="5495"/>
      </w:tblGrid>
      <w:tr w:rsidR="0003312E" w14:paraId="1FDDC9B4" w14:textId="77777777">
        <w:trPr>
          <w:tblHeader/>
        </w:trPr>
        <w:tc>
          <w:tcPr>
            <w:tcW w:w="0" w:type="auto"/>
            <w:tcMar>
              <w:top w:w="150" w:type="dxa"/>
              <w:left w:w="0" w:type="dxa"/>
              <w:bottom w:w="150" w:type="dxa"/>
              <w:right w:w="240" w:type="dxa"/>
            </w:tcMar>
            <w:vAlign w:val="center"/>
          </w:tcPr>
          <w:p w14:paraId="27AEF097"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Época</w:t>
            </w:r>
            <w:proofErr w:type="spellEnd"/>
          </w:p>
        </w:tc>
        <w:tc>
          <w:tcPr>
            <w:tcW w:w="0" w:type="auto"/>
            <w:tcMar>
              <w:top w:w="150" w:type="dxa"/>
              <w:left w:w="240" w:type="dxa"/>
              <w:bottom w:w="150" w:type="dxa"/>
              <w:right w:w="240" w:type="dxa"/>
            </w:tcMar>
            <w:vAlign w:val="center"/>
          </w:tcPr>
          <w:p w14:paraId="7D50866D"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r>
              <w:rPr>
                <w:rFonts w:eastAsia="Segoe UI"/>
                <w:b/>
                <w:bCs/>
                <w:sz w:val="20"/>
                <w:szCs w:val="20"/>
                <w:shd w:val="clear" w:color="auto" w:fill="FFFFFF"/>
              </w:rPr>
              <w:t>Marco</w:t>
            </w:r>
          </w:p>
        </w:tc>
        <w:tc>
          <w:tcPr>
            <w:tcW w:w="0" w:type="auto"/>
            <w:tcMar>
              <w:top w:w="150" w:type="dxa"/>
              <w:left w:w="240" w:type="dxa"/>
              <w:bottom w:w="150" w:type="dxa"/>
              <w:right w:w="240" w:type="dxa"/>
            </w:tcMar>
            <w:vAlign w:val="center"/>
          </w:tcPr>
          <w:p w14:paraId="1541FEEF"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Significado</w:t>
            </w:r>
            <w:proofErr w:type="spellEnd"/>
            <w:r>
              <w:rPr>
                <w:rFonts w:eastAsia="Segoe UI"/>
                <w:b/>
                <w:bCs/>
                <w:sz w:val="20"/>
                <w:szCs w:val="20"/>
                <w:shd w:val="clear" w:color="auto" w:fill="FFFFFF"/>
              </w:rPr>
              <w:t xml:space="preserve"> e Impacto</w:t>
            </w:r>
          </w:p>
        </w:tc>
      </w:tr>
      <w:tr w:rsidR="0003312E" w14:paraId="53E4B79C" w14:textId="77777777">
        <w:tc>
          <w:tcPr>
            <w:tcW w:w="0" w:type="auto"/>
            <w:tcMar>
              <w:top w:w="150" w:type="dxa"/>
              <w:left w:w="0" w:type="dxa"/>
              <w:bottom w:w="150" w:type="dxa"/>
              <w:right w:w="240" w:type="dxa"/>
            </w:tcMar>
            <w:vAlign w:val="center"/>
          </w:tcPr>
          <w:p w14:paraId="1A8FBEAF"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Grécia</w:t>
            </w:r>
            <w:proofErr w:type="spellEnd"/>
            <w:r>
              <w:rPr>
                <w:rFonts w:eastAsia="Segoe UI"/>
                <w:b/>
                <w:bCs/>
                <w:sz w:val="20"/>
                <w:szCs w:val="20"/>
                <w:shd w:val="clear" w:color="auto" w:fill="FFFFFF"/>
              </w:rPr>
              <w:t xml:space="preserve"> </w:t>
            </w:r>
            <w:proofErr w:type="spellStart"/>
            <w:r>
              <w:rPr>
                <w:rFonts w:eastAsia="Segoe UI"/>
                <w:b/>
                <w:bCs/>
                <w:sz w:val="20"/>
                <w:szCs w:val="20"/>
                <w:shd w:val="clear" w:color="auto" w:fill="FFFFFF"/>
              </w:rPr>
              <w:t>Antiga</w:t>
            </w:r>
            <w:proofErr w:type="spellEnd"/>
            <w:r>
              <w:rPr>
                <w:rFonts w:eastAsia="Segoe UI"/>
                <w:b/>
                <w:bCs/>
                <w:sz w:val="20"/>
                <w:szCs w:val="20"/>
                <w:shd w:val="clear" w:color="auto" w:fill="FFFFFF"/>
              </w:rPr>
              <w:t xml:space="preserve"> (Hipócrates)</w:t>
            </w:r>
          </w:p>
        </w:tc>
        <w:tc>
          <w:tcPr>
            <w:tcW w:w="0" w:type="auto"/>
            <w:tcMar>
              <w:top w:w="150" w:type="dxa"/>
              <w:left w:w="240" w:type="dxa"/>
              <w:bottom w:w="150" w:type="dxa"/>
              <w:right w:w="240" w:type="dxa"/>
            </w:tcMar>
            <w:vAlign w:val="center"/>
          </w:tcPr>
          <w:p w14:paraId="1792ED35" w14:textId="77777777" w:rsidR="0003312E" w:rsidRDefault="00000000">
            <w:pPr>
              <w:pStyle w:val="NormalWeb"/>
              <w:spacing w:beforeAutospacing="0" w:after="0" w:afterAutospacing="0" w:line="240" w:lineRule="auto"/>
              <w:jc w:val="both"/>
              <w:rPr>
                <w:rFonts w:eastAsia="Segoe UI"/>
                <w:sz w:val="20"/>
                <w:szCs w:val="20"/>
                <w:shd w:val="clear" w:color="auto" w:fill="FFFFFF"/>
              </w:rPr>
            </w:pPr>
            <w:proofErr w:type="spellStart"/>
            <w:r>
              <w:rPr>
                <w:rFonts w:eastAsia="Segoe UI"/>
                <w:sz w:val="20"/>
                <w:szCs w:val="20"/>
                <w:shd w:val="clear" w:color="auto" w:fill="FFFFFF"/>
              </w:rPr>
              <w:t>melankholía</w:t>
            </w:r>
            <w:proofErr w:type="spellEnd"/>
            <w:r>
              <w:rPr>
                <w:rFonts w:eastAsia="Segoe UI"/>
                <w:sz w:val="20"/>
                <w:szCs w:val="20"/>
                <w:shd w:val="clear" w:color="auto" w:fill="FFFFFF"/>
              </w:rPr>
              <w:t xml:space="preserve"> = "bile </w:t>
            </w:r>
            <w:proofErr w:type="spellStart"/>
            <w:r>
              <w:rPr>
                <w:rFonts w:eastAsia="Segoe UI"/>
                <w:sz w:val="20"/>
                <w:szCs w:val="20"/>
                <w:shd w:val="clear" w:color="auto" w:fill="FFFFFF"/>
              </w:rPr>
              <w:t>negra</w:t>
            </w:r>
            <w:proofErr w:type="spellEnd"/>
            <w:r>
              <w:rPr>
                <w:rFonts w:eastAsia="Segoe UI"/>
                <w:sz w:val="20"/>
                <w:szCs w:val="20"/>
                <w:shd w:val="clear" w:color="auto" w:fill="FFFFFF"/>
              </w:rPr>
              <w:t>"</w:t>
            </w:r>
          </w:p>
        </w:tc>
        <w:tc>
          <w:tcPr>
            <w:tcW w:w="0" w:type="auto"/>
            <w:tcMar>
              <w:top w:w="150" w:type="dxa"/>
              <w:left w:w="240" w:type="dxa"/>
              <w:bottom w:w="150" w:type="dxa"/>
              <w:right w:w="0" w:type="dxa"/>
            </w:tcMar>
            <w:vAlign w:val="center"/>
          </w:tcPr>
          <w:p w14:paraId="7AA2D57B" w14:textId="77777777" w:rsidR="0003312E" w:rsidRDefault="00000000">
            <w:pPr>
              <w:pStyle w:val="NormalWeb"/>
              <w:spacing w:beforeAutospacing="0" w:after="0" w:afterAutospacing="0" w:line="240" w:lineRule="auto"/>
              <w:jc w:val="both"/>
              <w:rPr>
                <w:rFonts w:eastAsia="Segoe UI"/>
                <w:sz w:val="20"/>
                <w:szCs w:val="20"/>
                <w:shd w:val="clear" w:color="auto" w:fill="FFFFFF"/>
                <w:lang w:val="pt-BR"/>
              </w:rPr>
            </w:pPr>
            <w:r>
              <w:rPr>
                <w:rFonts w:eastAsia="Segoe UI"/>
                <w:sz w:val="20"/>
                <w:szCs w:val="20"/>
                <w:shd w:val="clear" w:color="auto" w:fill="FFFFFF"/>
                <w:lang w:val="pt-BR"/>
              </w:rPr>
              <w:t>Um dos quatro humores corporais. O excesso de bile negra produz tristeza, medo e aversão social. Primeira definição da melancolia como doença física com sintomas psíquicos.</w:t>
            </w:r>
          </w:p>
        </w:tc>
      </w:tr>
      <w:tr w:rsidR="0003312E" w14:paraId="036218AD" w14:textId="77777777">
        <w:tc>
          <w:tcPr>
            <w:tcW w:w="0" w:type="auto"/>
            <w:tcMar>
              <w:top w:w="150" w:type="dxa"/>
              <w:left w:w="0" w:type="dxa"/>
              <w:bottom w:w="150" w:type="dxa"/>
              <w:right w:w="240" w:type="dxa"/>
            </w:tcMar>
            <w:vAlign w:val="center"/>
          </w:tcPr>
          <w:p w14:paraId="0864B31E"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Grécia</w:t>
            </w:r>
            <w:proofErr w:type="spellEnd"/>
            <w:r>
              <w:rPr>
                <w:rFonts w:eastAsia="Segoe UI"/>
                <w:b/>
                <w:bCs/>
                <w:sz w:val="20"/>
                <w:szCs w:val="20"/>
                <w:shd w:val="clear" w:color="auto" w:fill="FFFFFF"/>
              </w:rPr>
              <w:t xml:space="preserve"> </w:t>
            </w:r>
            <w:proofErr w:type="spellStart"/>
            <w:r>
              <w:rPr>
                <w:rFonts w:eastAsia="Segoe UI"/>
                <w:b/>
                <w:bCs/>
                <w:sz w:val="20"/>
                <w:szCs w:val="20"/>
                <w:shd w:val="clear" w:color="auto" w:fill="FFFFFF"/>
              </w:rPr>
              <w:t>Antiga</w:t>
            </w:r>
            <w:proofErr w:type="spellEnd"/>
            <w:r>
              <w:rPr>
                <w:rFonts w:eastAsia="Segoe UI"/>
                <w:b/>
                <w:bCs/>
                <w:sz w:val="20"/>
                <w:szCs w:val="20"/>
                <w:shd w:val="clear" w:color="auto" w:fill="FFFFFF"/>
              </w:rPr>
              <w:t xml:space="preserve"> (Aristóteles)</w:t>
            </w:r>
          </w:p>
        </w:tc>
        <w:tc>
          <w:tcPr>
            <w:tcW w:w="0" w:type="auto"/>
            <w:tcMar>
              <w:top w:w="150" w:type="dxa"/>
              <w:left w:w="240" w:type="dxa"/>
              <w:bottom w:w="150" w:type="dxa"/>
              <w:right w:w="240" w:type="dxa"/>
            </w:tcMar>
            <w:vAlign w:val="center"/>
          </w:tcPr>
          <w:p w14:paraId="1A383867" w14:textId="77777777" w:rsidR="0003312E" w:rsidRDefault="00000000">
            <w:pPr>
              <w:pStyle w:val="NormalWeb"/>
              <w:spacing w:beforeAutospacing="0" w:after="0" w:afterAutospacing="0" w:line="240" w:lineRule="auto"/>
              <w:jc w:val="both"/>
              <w:rPr>
                <w:rFonts w:eastAsia="Segoe UI"/>
                <w:sz w:val="20"/>
                <w:szCs w:val="20"/>
                <w:shd w:val="clear" w:color="auto" w:fill="FFFFFF"/>
              </w:rPr>
            </w:pPr>
            <w:proofErr w:type="spellStart"/>
            <w:r>
              <w:rPr>
                <w:rFonts w:eastAsia="Segoe UI"/>
                <w:sz w:val="20"/>
                <w:szCs w:val="20"/>
                <w:shd w:val="clear" w:color="auto" w:fill="FFFFFF"/>
              </w:rPr>
              <w:t>Problema</w:t>
            </w:r>
            <w:proofErr w:type="spellEnd"/>
            <w:r>
              <w:rPr>
                <w:rFonts w:eastAsia="Segoe UI"/>
                <w:sz w:val="20"/>
                <w:szCs w:val="20"/>
                <w:shd w:val="clear" w:color="auto" w:fill="FFFFFF"/>
              </w:rPr>
              <w:t xml:space="preserve"> XXX</w:t>
            </w:r>
          </w:p>
        </w:tc>
        <w:tc>
          <w:tcPr>
            <w:tcW w:w="0" w:type="auto"/>
            <w:tcMar>
              <w:top w:w="150" w:type="dxa"/>
              <w:left w:w="240" w:type="dxa"/>
              <w:bottom w:w="150" w:type="dxa"/>
              <w:right w:w="0" w:type="dxa"/>
            </w:tcMar>
            <w:vAlign w:val="center"/>
          </w:tcPr>
          <w:p w14:paraId="79D88B3A" w14:textId="77777777" w:rsidR="0003312E" w:rsidRDefault="00000000">
            <w:pPr>
              <w:pStyle w:val="NormalWeb"/>
              <w:spacing w:beforeAutospacing="0" w:after="0" w:afterAutospacing="0" w:line="240" w:lineRule="auto"/>
              <w:jc w:val="both"/>
              <w:rPr>
                <w:rFonts w:eastAsia="Segoe UI"/>
                <w:sz w:val="20"/>
                <w:szCs w:val="20"/>
                <w:shd w:val="clear" w:color="auto" w:fill="FFFFFF"/>
                <w:lang w:val="pt-BR"/>
              </w:rPr>
            </w:pPr>
            <w:r>
              <w:rPr>
                <w:rFonts w:eastAsia="Segoe UI"/>
                <w:sz w:val="20"/>
                <w:szCs w:val="20"/>
                <w:shd w:val="clear" w:color="auto" w:fill="FFFFFF"/>
                <w:lang w:val="pt-BR"/>
              </w:rPr>
              <w:t>Associa melancolia ao gênio em filosofia, política e artes. Estabelece a dualidade sofrimento-genialidade.</w:t>
            </w:r>
          </w:p>
        </w:tc>
      </w:tr>
      <w:tr w:rsidR="0003312E" w14:paraId="78C0E09C" w14:textId="77777777">
        <w:tc>
          <w:tcPr>
            <w:tcW w:w="0" w:type="auto"/>
            <w:tcMar>
              <w:top w:w="150" w:type="dxa"/>
              <w:left w:w="0" w:type="dxa"/>
              <w:bottom w:w="150" w:type="dxa"/>
              <w:right w:w="240" w:type="dxa"/>
            </w:tcMar>
            <w:vAlign w:val="center"/>
          </w:tcPr>
          <w:p w14:paraId="655947D6"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Idade</w:t>
            </w:r>
            <w:proofErr w:type="spellEnd"/>
            <w:r>
              <w:rPr>
                <w:rFonts w:eastAsia="Segoe UI"/>
                <w:b/>
                <w:bCs/>
                <w:sz w:val="20"/>
                <w:szCs w:val="20"/>
                <w:shd w:val="clear" w:color="auto" w:fill="FFFFFF"/>
              </w:rPr>
              <w:t xml:space="preserve"> </w:t>
            </w:r>
            <w:proofErr w:type="spellStart"/>
            <w:r>
              <w:rPr>
                <w:rFonts w:eastAsia="Segoe UI"/>
                <w:b/>
                <w:bCs/>
                <w:sz w:val="20"/>
                <w:szCs w:val="20"/>
                <w:shd w:val="clear" w:color="auto" w:fill="FFFFFF"/>
              </w:rPr>
              <w:t>Média</w:t>
            </w:r>
            <w:proofErr w:type="spellEnd"/>
          </w:p>
        </w:tc>
        <w:tc>
          <w:tcPr>
            <w:tcW w:w="0" w:type="auto"/>
            <w:tcMar>
              <w:top w:w="150" w:type="dxa"/>
              <w:left w:w="240" w:type="dxa"/>
              <w:bottom w:w="150" w:type="dxa"/>
              <w:right w:w="240" w:type="dxa"/>
            </w:tcMar>
            <w:vAlign w:val="center"/>
          </w:tcPr>
          <w:p w14:paraId="2D25D647" w14:textId="77777777" w:rsidR="0003312E" w:rsidRDefault="00000000">
            <w:pPr>
              <w:pStyle w:val="NormalWeb"/>
              <w:spacing w:beforeAutospacing="0" w:after="0" w:afterAutospacing="0" w:line="240" w:lineRule="auto"/>
              <w:jc w:val="both"/>
              <w:rPr>
                <w:rFonts w:eastAsia="Segoe UI"/>
                <w:sz w:val="20"/>
                <w:szCs w:val="20"/>
                <w:shd w:val="clear" w:color="auto" w:fill="FFFFFF"/>
              </w:rPr>
            </w:pPr>
            <w:r>
              <w:rPr>
                <w:rFonts w:eastAsia="Segoe UI"/>
                <w:sz w:val="20"/>
                <w:szCs w:val="20"/>
                <w:shd w:val="clear" w:color="auto" w:fill="FFFFFF"/>
              </w:rPr>
              <w:t>Acedia</w:t>
            </w:r>
          </w:p>
        </w:tc>
        <w:tc>
          <w:tcPr>
            <w:tcW w:w="0" w:type="auto"/>
            <w:tcMar>
              <w:top w:w="150" w:type="dxa"/>
              <w:left w:w="240" w:type="dxa"/>
              <w:bottom w:w="150" w:type="dxa"/>
              <w:right w:w="0" w:type="dxa"/>
            </w:tcMar>
            <w:vAlign w:val="center"/>
          </w:tcPr>
          <w:p w14:paraId="1F9A2D19" w14:textId="77777777" w:rsidR="0003312E" w:rsidRDefault="00000000">
            <w:pPr>
              <w:pStyle w:val="NormalWeb"/>
              <w:spacing w:beforeAutospacing="0" w:after="0" w:afterAutospacing="0" w:line="240" w:lineRule="auto"/>
              <w:jc w:val="both"/>
              <w:rPr>
                <w:rFonts w:eastAsia="Segoe UI"/>
                <w:sz w:val="20"/>
                <w:szCs w:val="20"/>
                <w:shd w:val="clear" w:color="auto" w:fill="FFFFFF"/>
                <w:lang w:val="pt-BR"/>
              </w:rPr>
            </w:pPr>
            <w:r>
              <w:rPr>
                <w:rFonts w:eastAsia="Segoe UI"/>
                <w:sz w:val="20"/>
                <w:szCs w:val="20"/>
                <w:shd w:val="clear" w:color="auto" w:fill="FFFFFF"/>
                <w:lang w:val="pt-BR"/>
              </w:rPr>
              <w:t>Interpretações predominantemente sobrenaturais, mas com continuidade de tradições médicas. Transformação teológica: a melancolia torna-se pecado capital, falha moral que afasta o fiel de Deus.</w:t>
            </w:r>
          </w:p>
        </w:tc>
      </w:tr>
      <w:tr w:rsidR="0003312E" w14:paraId="1DD3D806" w14:textId="77777777">
        <w:tc>
          <w:tcPr>
            <w:tcW w:w="0" w:type="auto"/>
            <w:tcMar>
              <w:top w:w="150" w:type="dxa"/>
              <w:left w:w="0" w:type="dxa"/>
              <w:bottom w:w="150" w:type="dxa"/>
              <w:right w:w="240" w:type="dxa"/>
            </w:tcMar>
            <w:vAlign w:val="center"/>
          </w:tcPr>
          <w:p w14:paraId="1A75BA48"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Renascimento</w:t>
            </w:r>
            <w:proofErr w:type="spellEnd"/>
            <w:r>
              <w:rPr>
                <w:rFonts w:eastAsia="Segoe UI"/>
                <w:b/>
                <w:bCs/>
                <w:sz w:val="20"/>
                <w:szCs w:val="20"/>
                <w:shd w:val="clear" w:color="auto" w:fill="FFFFFF"/>
              </w:rPr>
              <w:t xml:space="preserve"> (Ficino)</w:t>
            </w:r>
          </w:p>
        </w:tc>
        <w:tc>
          <w:tcPr>
            <w:tcW w:w="0" w:type="auto"/>
            <w:tcMar>
              <w:top w:w="150" w:type="dxa"/>
              <w:left w:w="240" w:type="dxa"/>
              <w:bottom w:w="150" w:type="dxa"/>
              <w:right w:w="240" w:type="dxa"/>
            </w:tcMar>
            <w:vAlign w:val="center"/>
          </w:tcPr>
          <w:p w14:paraId="31782E81" w14:textId="77777777" w:rsidR="0003312E" w:rsidRDefault="00000000">
            <w:pPr>
              <w:pStyle w:val="NormalWeb"/>
              <w:spacing w:beforeAutospacing="0" w:after="0" w:afterAutospacing="0" w:line="240" w:lineRule="auto"/>
              <w:jc w:val="both"/>
              <w:rPr>
                <w:rFonts w:eastAsia="Segoe UI"/>
                <w:sz w:val="20"/>
                <w:szCs w:val="20"/>
                <w:shd w:val="clear" w:color="auto" w:fill="FFFFFF"/>
              </w:rPr>
            </w:pPr>
            <w:proofErr w:type="spellStart"/>
            <w:r>
              <w:rPr>
                <w:rFonts w:eastAsia="Segoe UI"/>
                <w:sz w:val="20"/>
                <w:szCs w:val="20"/>
                <w:shd w:val="clear" w:color="auto" w:fill="FFFFFF"/>
              </w:rPr>
              <w:t>Melancolia</w:t>
            </w:r>
            <w:proofErr w:type="spellEnd"/>
            <w:r>
              <w:rPr>
                <w:rFonts w:eastAsia="Segoe UI"/>
                <w:sz w:val="20"/>
                <w:szCs w:val="20"/>
                <w:shd w:val="clear" w:color="auto" w:fill="FFFFFF"/>
              </w:rPr>
              <w:t xml:space="preserve"> do </w:t>
            </w:r>
            <w:proofErr w:type="spellStart"/>
            <w:r>
              <w:rPr>
                <w:rFonts w:eastAsia="Segoe UI"/>
                <w:sz w:val="20"/>
                <w:szCs w:val="20"/>
                <w:shd w:val="clear" w:color="auto" w:fill="FFFFFF"/>
              </w:rPr>
              <w:t>homem</w:t>
            </w:r>
            <w:proofErr w:type="spellEnd"/>
            <w:r>
              <w:rPr>
                <w:rFonts w:eastAsia="Segoe UI"/>
                <w:sz w:val="20"/>
                <w:szCs w:val="20"/>
                <w:shd w:val="clear" w:color="auto" w:fill="FFFFFF"/>
              </w:rPr>
              <w:t xml:space="preserve"> superior</w:t>
            </w:r>
          </w:p>
        </w:tc>
        <w:tc>
          <w:tcPr>
            <w:tcW w:w="0" w:type="auto"/>
            <w:tcMar>
              <w:top w:w="150" w:type="dxa"/>
              <w:left w:w="240" w:type="dxa"/>
              <w:bottom w:w="150" w:type="dxa"/>
              <w:right w:w="0" w:type="dxa"/>
            </w:tcMar>
            <w:vAlign w:val="center"/>
          </w:tcPr>
          <w:p w14:paraId="6A9CD63D" w14:textId="77777777" w:rsidR="0003312E" w:rsidRDefault="00000000">
            <w:pPr>
              <w:pStyle w:val="NormalWeb"/>
              <w:spacing w:beforeAutospacing="0" w:after="0" w:afterAutospacing="0" w:line="240" w:lineRule="auto"/>
              <w:jc w:val="both"/>
              <w:rPr>
                <w:rFonts w:eastAsia="Segoe UI"/>
                <w:sz w:val="20"/>
                <w:szCs w:val="20"/>
                <w:shd w:val="clear" w:color="auto" w:fill="FFFFFF"/>
              </w:rPr>
            </w:pPr>
            <w:r>
              <w:rPr>
                <w:rFonts w:eastAsia="Segoe UI"/>
                <w:sz w:val="20"/>
                <w:szCs w:val="20"/>
                <w:shd w:val="clear" w:color="auto" w:fill="FFFFFF"/>
                <w:lang w:val="pt-BR"/>
              </w:rPr>
              <w:t xml:space="preserve">Reabilitação do conceito. Associada a Saturno e intelectuais, torna-se sinal de profundidade. </w:t>
            </w:r>
            <w:r>
              <w:rPr>
                <w:rFonts w:eastAsia="Segoe UI"/>
                <w:sz w:val="20"/>
                <w:szCs w:val="20"/>
                <w:shd w:val="clear" w:color="auto" w:fill="FFFFFF"/>
              </w:rPr>
              <w:t xml:space="preserve">Dürer </w:t>
            </w:r>
            <w:proofErr w:type="spellStart"/>
            <w:r>
              <w:rPr>
                <w:rFonts w:eastAsia="Segoe UI"/>
                <w:sz w:val="20"/>
                <w:szCs w:val="20"/>
                <w:shd w:val="clear" w:color="auto" w:fill="FFFFFF"/>
              </w:rPr>
              <w:t>imortaliza</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em</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Melencolia</w:t>
            </w:r>
            <w:proofErr w:type="spellEnd"/>
            <w:r>
              <w:rPr>
                <w:rFonts w:eastAsia="Segoe UI"/>
                <w:sz w:val="20"/>
                <w:szCs w:val="20"/>
                <w:shd w:val="clear" w:color="auto" w:fill="FFFFFF"/>
              </w:rPr>
              <w:t xml:space="preserve"> I (1514).</w:t>
            </w:r>
          </w:p>
        </w:tc>
      </w:tr>
      <w:tr w:rsidR="0003312E" w14:paraId="59CF6EDA" w14:textId="77777777">
        <w:tc>
          <w:tcPr>
            <w:tcW w:w="0" w:type="auto"/>
            <w:tcMar>
              <w:top w:w="150" w:type="dxa"/>
              <w:left w:w="0" w:type="dxa"/>
              <w:bottom w:w="150" w:type="dxa"/>
              <w:right w:w="240" w:type="dxa"/>
            </w:tcMar>
            <w:vAlign w:val="center"/>
          </w:tcPr>
          <w:p w14:paraId="63132D4D"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r>
              <w:rPr>
                <w:rFonts w:eastAsia="Segoe UI"/>
                <w:b/>
                <w:bCs/>
                <w:sz w:val="20"/>
                <w:szCs w:val="20"/>
                <w:shd w:val="clear" w:color="auto" w:fill="FFFFFF"/>
              </w:rPr>
              <w:t>1621</w:t>
            </w:r>
          </w:p>
        </w:tc>
        <w:tc>
          <w:tcPr>
            <w:tcW w:w="0" w:type="auto"/>
            <w:tcMar>
              <w:top w:w="150" w:type="dxa"/>
              <w:left w:w="240" w:type="dxa"/>
              <w:bottom w:w="150" w:type="dxa"/>
              <w:right w:w="240" w:type="dxa"/>
            </w:tcMar>
            <w:vAlign w:val="center"/>
          </w:tcPr>
          <w:p w14:paraId="71BDDBFB" w14:textId="77777777" w:rsidR="0003312E" w:rsidRDefault="00000000">
            <w:pPr>
              <w:pStyle w:val="NormalWeb"/>
              <w:spacing w:beforeAutospacing="0" w:after="0" w:afterAutospacing="0" w:line="240" w:lineRule="auto"/>
              <w:jc w:val="both"/>
              <w:rPr>
                <w:rFonts w:eastAsia="Segoe UI"/>
                <w:sz w:val="20"/>
                <w:szCs w:val="20"/>
                <w:shd w:val="clear" w:color="auto" w:fill="FFFFFF"/>
              </w:rPr>
            </w:pPr>
            <w:r>
              <w:rPr>
                <w:rFonts w:eastAsia="Segoe UI"/>
                <w:sz w:val="20"/>
                <w:szCs w:val="20"/>
                <w:shd w:val="clear" w:color="auto" w:fill="FFFFFF"/>
              </w:rPr>
              <w:t>The Anatomy of Melancholy</w:t>
            </w:r>
          </w:p>
        </w:tc>
        <w:tc>
          <w:tcPr>
            <w:tcW w:w="0" w:type="auto"/>
            <w:tcMar>
              <w:top w:w="150" w:type="dxa"/>
              <w:left w:w="240" w:type="dxa"/>
              <w:bottom w:w="150" w:type="dxa"/>
              <w:right w:w="0" w:type="dxa"/>
            </w:tcMar>
            <w:vAlign w:val="center"/>
          </w:tcPr>
          <w:p w14:paraId="1BAD1370" w14:textId="77777777" w:rsidR="0003312E" w:rsidRDefault="00000000">
            <w:pPr>
              <w:pStyle w:val="NormalWeb"/>
              <w:spacing w:beforeAutospacing="0" w:after="0" w:afterAutospacing="0" w:line="240" w:lineRule="auto"/>
              <w:jc w:val="both"/>
              <w:rPr>
                <w:rFonts w:eastAsia="Segoe UI"/>
                <w:sz w:val="20"/>
                <w:szCs w:val="20"/>
                <w:shd w:val="clear" w:color="auto" w:fill="FFFFFF"/>
              </w:rPr>
            </w:pPr>
            <w:r>
              <w:rPr>
                <w:rFonts w:eastAsia="Segoe UI"/>
                <w:sz w:val="20"/>
                <w:szCs w:val="20"/>
                <w:shd w:val="clear" w:color="auto" w:fill="FFFFFF"/>
                <w:lang w:val="pt-BR"/>
              </w:rPr>
              <w:t xml:space="preserve">Burton compila todo o conhecimento sobre a melancolia, tratando-a como condição universal que abrange corpo, mente e espírito. </w:t>
            </w:r>
            <w:r>
              <w:rPr>
                <w:rFonts w:eastAsia="Segoe UI"/>
                <w:sz w:val="20"/>
                <w:szCs w:val="20"/>
                <w:shd w:val="clear" w:color="auto" w:fill="FFFFFF"/>
              </w:rPr>
              <w:t xml:space="preserve">Obra </w:t>
            </w:r>
            <w:proofErr w:type="spellStart"/>
            <w:r>
              <w:rPr>
                <w:rFonts w:eastAsia="Segoe UI"/>
                <w:sz w:val="20"/>
                <w:szCs w:val="20"/>
                <w:shd w:val="clear" w:color="auto" w:fill="FFFFFF"/>
              </w:rPr>
              <w:t>ao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mesmo</w:t>
            </w:r>
            <w:proofErr w:type="spellEnd"/>
            <w:r>
              <w:rPr>
                <w:rFonts w:eastAsia="Segoe UI"/>
                <w:sz w:val="20"/>
                <w:szCs w:val="20"/>
                <w:shd w:val="clear" w:color="auto" w:fill="FFFFFF"/>
              </w:rPr>
              <w:t xml:space="preserve"> tempo </w:t>
            </w:r>
            <w:proofErr w:type="spellStart"/>
            <w:r>
              <w:rPr>
                <w:rFonts w:eastAsia="Segoe UI"/>
                <w:sz w:val="20"/>
                <w:szCs w:val="20"/>
                <w:shd w:val="clear" w:color="auto" w:fill="FFFFFF"/>
              </w:rPr>
              <w:t>enciclopédia</w:t>
            </w:r>
            <w:proofErr w:type="spellEnd"/>
            <w:r>
              <w:rPr>
                <w:rFonts w:eastAsia="Segoe UI"/>
                <w:sz w:val="20"/>
                <w:szCs w:val="20"/>
                <w:shd w:val="clear" w:color="auto" w:fill="FFFFFF"/>
              </w:rPr>
              <w:t xml:space="preserve"> e </w:t>
            </w:r>
            <w:proofErr w:type="spellStart"/>
            <w:r>
              <w:rPr>
                <w:rFonts w:eastAsia="Segoe UI"/>
                <w:sz w:val="20"/>
                <w:szCs w:val="20"/>
                <w:shd w:val="clear" w:color="auto" w:fill="FFFFFF"/>
              </w:rPr>
              <w:t>confissão</w:t>
            </w:r>
            <w:proofErr w:type="spellEnd"/>
            <w:r>
              <w:rPr>
                <w:rFonts w:eastAsia="Segoe UI"/>
                <w:sz w:val="20"/>
                <w:szCs w:val="20"/>
                <w:shd w:val="clear" w:color="auto" w:fill="FFFFFF"/>
              </w:rPr>
              <w:t>.</w:t>
            </w:r>
          </w:p>
        </w:tc>
      </w:tr>
      <w:tr w:rsidR="0003312E" w14:paraId="57CD678D" w14:textId="77777777">
        <w:tc>
          <w:tcPr>
            <w:tcW w:w="0" w:type="auto"/>
            <w:tcMar>
              <w:top w:w="150" w:type="dxa"/>
              <w:left w:w="0" w:type="dxa"/>
              <w:bottom w:w="150" w:type="dxa"/>
              <w:right w:w="240" w:type="dxa"/>
            </w:tcMar>
            <w:vAlign w:val="center"/>
          </w:tcPr>
          <w:p w14:paraId="05DC7FC2"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Século</w:t>
            </w:r>
            <w:proofErr w:type="spellEnd"/>
            <w:r>
              <w:rPr>
                <w:rFonts w:eastAsia="Segoe UI"/>
                <w:b/>
                <w:bCs/>
                <w:sz w:val="20"/>
                <w:szCs w:val="20"/>
                <w:shd w:val="clear" w:color="auto" w:fill="FFFFFF"/>
              </w:rPr>
              <w:t xml:space="preserve"> XX</w:t>
            </w:r>
          </w:p>
        </w:tc>
        <w:tc>
          <w:tcPr>
            <w:tcW w:w="0" w:type="auto"/>
            <w:tcMar>
              <w:top w:w="150" w:type="dxa"/>
              <w:left w:w="240" w:type="dxa"/>
              <w:bottom w:w="150" w:type="dxa"/>
              <w:right w:w="240" w:type="dxa"/>
            </w:tcMar>
            <w:vAlign w:val="center"/>
          </w:tcPr>
          <w:p w14:paraId="771DF1CA" w14:textId="77777777" w:rsidR="0003312E" w:rsidRDefault="00000000">
            <w:pPr>
              <w:pStyle w:val="NormalWeb"/>
              <w:spacing w:beforeAutospacing="0" w:after="0" w:afterAutospacing="0" w:line="240" w:lineRule="auto"/>
              <w:jc w:val="both"/>
              <w:rPr>
                <w:rFonts w:eastAsia="Segoe UI"/>
                <w:sz w:val="20"/>
                <w:szCs w:val="20"/>
                <w:shd w:val="clear" w:color="auto" w:fill="FFFFFF"/>
              </w:rPr>
            </w:pPr>
            <w:r>
              <w:rPr>
                <w:rFonts w:eastAsia="Segoe UI"/>
                <w:sz w:val="20"/>
                <w:szCs w:val="20"/>
                <w:shd w:val="clear" w:color="auto" w:fill="FFFFFF"/>
              </w:rPr>
              <w:t xml:space="preserve">Luto e </w:t>
            </w:r>
            <w:proofErr w:type="spellStart"/>
            <w:r>
              <w:rPr>
                <w:rFonts w:eastAsia="Segoe UI"/>
                <w:sz w:val="20"/>
                <w:szCs w:val="20"/>
                <w:shd w:val="clear" w:color="auto" w:fill="FFFFFF"/>
              </w:rPr>
              <w:t>Melancolia</w:t>
            </w:r>
            <w:proofErr w:type="spellEnd"/>
            <w:r>
              <w:rPr>
                <w:rFonts w:eastAsia="Segoe UI"/>
                <w:sz w:val="20"/>
                <w:szCs w:val="20"/>
                <w:shd w:val="clear" w:color="auto" w:fill="FFFFFF"/>
              </w:rPr>
              <w:t xml:space="preserve"> (Freud, 1917)</w:t>
            </w:r>
          </w:p>
        </w:tc>
        <w:tc>
          <w:tcPr>
            <w:tcW w:w="0" w:type="auto"/>
            <w:tcMar>
              <w:top w:w="150" w:type="dxa"/>
              <w:left w:w="240" w:type="dxa"/>
              <w:bottom w:w="150" w:type="dxa"/>
              <w:right w:w="0" w:type="dxa"/>
            </w:tcMar>
            <w:vAlign w:val="center"/>
          </w:tcPr>
          <w:p w14:paraId="52D1DB0D" w14:textId="77777777" w:rsidR="0003312E" w:rsidRDefault="00000000">
            <w:pPr>
              <w:pStyle w:val="NormalWeb"/>
              <w:spacing w:beforeAutospacing="0" w:after="0" w:afterAutospacing="0" w:line="240" w:lineRule="auto"/>
              <w:jc w:val="both"/>
              <w:rPr>
                <w:rFonts w:eastAsia="Segoe UI"/>
                <w:sz w:val="20"/>
                <w:szCs w:val="20"/>
                <w:shd w:val="clear" w:color="auto" w:fill="FFFFFF"/>
                <w:lang w:val="pt-BR"/>
              </w:rPr>
            </w:pPr>
            <w:r>
              <w:rPr>
                <w:rFonts w:eastAsia="Segoe UI"/>
                <w:sz w:val="20"/>
                <w:szCs w:val="20"/>
                <w:shd w:val="clear" w:color="auto" w:fill="FFFFFF"/>
                <w:lang w:val="pt-BR"/>
              </w:rPr>
              <w:t>Freud psicanalisa a melancolia: o ego se volta contra si mesmo, internalizando a perda e a raiva.</w:t>
            </w:r>
          </w:p>
        </w:tc>
      </w:tr>
      <w:tr w:rsidR="0003312E" w14:paraId="4D5C7A3F" w14:textId="77777777">
        <w:tc>
          <w:tcPr>
            <w:tcW w:w="0" w:type="auto"/>
            <w:tcMar>
              <w:top w:w="150" w:type="dxa"/>
              <w:left w:w="0" w:type="dxa"/>
              <w:bottom w:w="150" w:type="dxa"/>
              <w:right w:w="240" w:type="dxa"/>
            </w:tcMar>
            <w:vAlign w:val="center"/>
          </w:tcPr>
          <w:p w14:paraId="7E0A604A" w14:textId="77777777" w:rsidR="0003312E" w:rsidRDefault="00000000">
            <w:pPr>
              <w:pStyle w:val="NormalWeb"/>
              <w:spacing w:beforeAutospacing="0" w:after="0" w:afterAutospacing="0" w:line="240" w:lineRule="auto"/>
              <w:jc w:val="both"/>
              <w:rPr>
                <w:rFonts w:eastAsia="Segoe UI"/>
                <w:b/>
                <w:bCs/>
                <w:sz w:val="20"/>
                <w:szCs w:val="20"/>
                <w:shd w:val="clear" w:color="auto" w:fill="FFFFFF"/>
              </w:rPr>
            </w:pPr>
            <w:proofErr w:type="spellStart"/>
            <w:r>
              <w:rPr>
                <w:rFonts w:eastAsia="Segoe UI"/>
                <w:b/>
                <w:bCs/>
                <w:sz w:val="20"/>
                <w:szCs w:val="20"/>
                <w:shd w:val="clear" w:color="auto" w:fill="FFFFFF"/>
              </w:rPr>
              <w:t>Século</w:t>
            </w:r>
            <w:proofErr w:type="spellEnd"/>
            <w:r>
              <w:rPr>
                <w:rFonts w:eastAsia="Segoe UI"/>
                <w:b/>
                <w:bCs/>
                <w:sz w:val="20"/>
                <w:szCs w:val="20"/>
                <w:shd w:val="clear" w:color="auto" w:fill="FFFFFF"/>
              </w:rPr>
              <w:t xml:space="preserve"> XXI</w:t>
            </w:r>
          </w:p>
        </w:tc>
        <w:tc>
          <w:tcPr>
            <w:tcW w:w="0" w:type="auto"/>
            <w:tcMar>
              <w:top w:w="150" w:type="dxa"/>
              <w:left w:w="240" w:type="dxa"/>
              <w:bottom w:w="150" w:type="dxa"/>
              <w:right w:w="240" w:type="dxa"/>
            </w:tcMar>
            <w:vAlign w:val="center"/>
          </w:tcPr>
          <w:p w14:paraId="6F1CEF71" w14:textId="77777777" w:rsidR="0003312E" w:rsidRDefault="00000000">
            <w:pPr>
              <w:pStyle w:val="NormalWeb"/>
              <w:spacing w:beforeAutospacing="0" w:after="0" w:afterAutospacing="0" w:line="240" w:lineRule="auto"/>
              <w:jc w:val="both"/>
              <w:rPr>
                <w:rFonts w:eastAsia="Segoe UI"/>
                <w:sz w:val="20"/>
                <w:szCs w:val="20"/>
                <w:shd w:val="clear" w:color="auto" w:fill="FFFFFF"/>
              </w:rPr>
            </w:pPr>
            <w:proofErr w:type="spellStart"/>
            <w:r>
              <w:rPr>
                <w:rFonts w:eastAsia="Segoe UI"/>
                <w:sz w:val="20"/>
                <w:szCs w:val="20"/>
                <w:shd w:val="clear" w:color="auto" w:fill="FFFFFF"/>
              </w:rPr>
              <w:t>Depressão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melancólica</w:t>
            </w:r>
            <w:proofErr w:type="spellEnd"/>
          </w:p>
        </w:tc>
        <w:tc>
          <w:tcPr>
            <w:tcW w:w="0" w:type="auto"/>
            <w:tcMar>
              <w:top w:w="150" w:type="dxa"/>
              <w:left w:w="240" w:type="dxa"/>
              <w:bottom w:w="150" w:type="dxa"/>
              <w:right w:w="0" w:type="dxa"/>
            </w:tcMar>
            <w:vAlign w:val="center"/>
          </w:tcPr>
          <w:p w14:paraId="441AA5EE" w14:textId="77777777" w:rsidR="0003312E" w:rsidRDefault="00000000">
            <w:pPr>
              <w:pStyle w:val="NormalWeb"/>
              <w:spacing w:beforeAutospacing="0" w:after="0" w:afterAutospacing="0" w:line="240" w:lineRule="auto"/>
              <w:jc w:val="both"/>
              <w:rPr>
                <w:rFonts w:eastAsia="Segoe UI"/>
                <w:sz w:val="20"/>
                <w:szCs w:val="20"/>
                <w:shd w:val="clear" w:color="auto" w:fill="FFFFFF"/>
              </w:rPr>
            </w:pPr>
            <w:r>
              <w:rPr>
                <w:rFonts w:eastAsia="Segoe UI"/>
                <w:sz w:val="20"/>
                <w:szCs w:val="20"/>
                <w:shd w:val="clear" w:color="auto" w:fill="FFFFFF"/>
                <w:lang w:val="pt-BR"/>
              </w:rPr>
              <w:t xml:space="preserve">Codificada como subtipo depressivo, mas sujeita a debates sobre medicalização da experiência humana com bases neurobiológicas. </w:t>
            </w:r>
            <w:r>
              <w:rPr>
                <w:rFonts w:eastAsia="Segoe UI"/>
                <w:sz w:val="20"/>
                <w:szCs w:val="20"/>
                <w:shd w:val="clear" w:color="auto" w:fill="FFFFFF"/>
              </w:rPr>
              <w:t xml:space="preserve">Aura de </w:t>
            </w:r>
            <w:proofErr w:type="spellStart"/>
            <w:r>
              <w:rPr>
                <w:rFonts w:eastAsia="Segoe UI"/>
                <w:sz w:val="20"/>
                <w:szCs w:val="20"/>
                <w:shd w:val="clear" w:color="auto" w:fill="FFFFFF"/>
              </w:rPr>
              <w:t>mistério</w:t>
            </w:r>
            <w:proofErr w:type="spellEnd"/>
            <w:r>
              <w:rPr>
                <w:rFonts w:eastAsia="Segoe UI"/>
                <w:sz w:val="20"/>
                <w:szCs w:val="20"/>
                <w:shd w:val="clear" w:color="auto" w:fill="FFFFFF"/>
              </w:rPr>
              <w:t xml:space="preserve"> cultural </w:t>
            </w:r>
            <w:proofErr w:type="spellStart"/>
            <w:r>
              <w:rPr>
                <w:rFonts w:eastAsia="Segoe UI"/>
                <w:sz w:val="20"/>
                <w:szCs w:val="20"/>
                <w:shd w:val="clear" w:color="auto" w:fill="FFFFFF"/>
              </w:rPr>
              <w:t>permanece</w:t>
            </w:r>
            <w:proofErr w:type="spellEnd"/>
            <w:r>
              <w:rPr>
                <w:rFonts w:eastAsia="Segoe UI"/>
                <w:sz w:val="20"/>
                <w:szCs w:val="20"/>
                <w:shd w:val="clear" w:color="auto" w:fill="FFFFFF"/>
              </w:rPr>
              <w:t>.</w:t>
            </w:r>
          </w:p>
        </w:tc>
      </w:tr>
    </w:tbl>
    <w:p w14:paraId="6FCA941B"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49A0CC1D"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Em Essência: as Quatro Dimensões da Melancolia</w:t>
      </w:r>
    </w:p>
    <w:p w14:paraId="38C35B90"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1. A Dimensão Etimológica: A Cor da Alma</w:t>
      </w:r>
    </w:p>
    <w:p w14:paraId="399C73C9"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A própria palavra "melancolia" carrega em si uma teoria médica antiga: vem do grego </w:t>
      </w:r>
      <w:proofErr w:type="spellStart"/>
      <w:r>
        <w:rPr>
          <w:rFonts w:eastAsia="Segoe UI"/>
          <w:sz w:val="24"/>
          <w:shd w:val="clear" w:color="auto" w:fill="FFFFFF"/>
          <w:lang w:val="pt-BR"/>
        </w:rPr>
        <w:t>melankholía</w:t>
      </w:r>
      <w:proofErr w:type="spellEnd"/>
      <w:r>
        <w:rPr>
          <w:rFonts w:eastAsia="Segoe UI"/>
          <w:sz w:val="24"/>
          <w:shd w:val="clear" w:color="auto" w:fill="FFFFFF"/>
          <w:lang w:val="pt-BR"/>
        </w:rPr>
        <w:t>, que significa literalmente "bile negra". Para os gregos, esta não era uma metáfora, mas uma substância real que, em excesso, intoxicava tanto o corpo quanto a mente. Essa origem linguística revela como entendiam a tristeza profunda como algo físico e tangível - um humor escuro que realmente manchava a existência. Mesmo depois que a teoria dos humores foi abandonada, a força desta imagem permaneceu, capturando a sensação visceral de peso e escuridão que caracteriza a experiência melancólica.</w:t>
      </w:r>
    </w:p>
    <w:p w14:paraId="4212C301"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64CFE729"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2. A Dimensão Histórico-Clínica: Do Humor Biliar ao Gênio Criativo</w:t>
      </w:r>
    </w:p>
    <w:p w14:paraId="16E3FC05"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A trajetória do conceito de melancolia constitui uma das mais ricas transformações na história das ideias. Linguisticamente, o termo latino </w:t>
      </w:r>
      <w:proofErr w:type="spellStart"/>
      <w:r>
        <w:rPr>
          <w:rFonts w:eastAsia="Segoe UI"/>
          <w:sz w:val="24"/>
          <w:shd w:val="clear" w:color="auto" w:fill="FFFFFF"/>
          <w:lang w:val="pt-BR"/>
        </w:rPr>
        <w:t>melancholia</w:t>
      </w:r>
      <w:proofErr w:type="spellEnd"/>
      <w:r>
        <w:rPr>
          <w:rFonts w:eastAsia="Segoe UI"/>
          <w:sz w:val="24"/>
          <w:shd w:val="clear" w:color="auto" w:fill="FFFFFF"/>
          <w:lang w:val="pt-BR"/>
        </w:rPr>
        <w:t xml:space="preserve">, substantivo feminino </w:t>
      </w:r>
      <w:r>
        <w:rPr>
          <w:rFonts w:eastAsia="Segoe UI"/>
          <w:sz w:val="24"/>
          <w:shd w:val="clear" w:color="auto" w:fill="FFFFFF"/>
          <w:lang w:val="pt-BR"/>
        </w:rPr>
        <w:lastRenderedPageBreak/>
        <w:t xml:space="preserve">derivado do grego </w:t>
      </w:r>
      <w:proofErr w:type="spellStart"/>
      <w:r>
        <w:rPr>
          <w:rFonts w:eastAsia="Segoe UI"/>
          <w:sz w:val="24"/>
          <w:shd w:val="clear" w:color="auto" w:fill="FFFFFF"/>
        </w:rPr>
        <w:t>μελ</w:t>
      </w:r>
      <w:proofErr w:type="spellEnd"/>
      <w:r>
        <w:rPr>
          <w:rFonts w:eastAsia="Segoe UI"/>
          <w:sz w:val="24"/>
          <w:shd w:val="clear" w:color="auto" w:fill="FFFFFF"/>
        </w:rPr>
        <w:t>αγχολία</w:t>
      </w:r>
      <w:r>
        <w:rPr>
          <w:rFonts w:eastAsia="Segoe UI"/>
          <w:sz w:val="24"/>
          <w:shd w:val="clear" w:color="auto" w:fill="FFFFFF"/>
          <w:lang w:val="pt-BR"/>
        </w:rPr>
        <w:t xml:space="preserve">, foi consolidado na tradição médica tardia, como atestado na obra </w:t>
      </w:r>
      <w:proofErr w:type="spellStart"/>
      <w:r>
        <w:rPr>
          <w:rFonts w:eastAsia="Segoe UI"/>
          <w:sz w:val="24"/>
          <w:shd w:val="clear" w:color="auto" w:fill="FFFFFF"/>
          <w:lang w:val="pt-BR"/>
        </w:rPr>
        <w:t>Acut</w:t>
      </w:r>
      <w:proofErr w:type="spellEnd"/>
      <w:r>
        <w:rPr>
          <w:rFonts w:eastAsia="Segoe UI"/>
          <w:sz w:val="24"/>
          <w:shd w:val="clear" w:color="auto" w:fill="FFFFFF"/>
          <w:lang w:val="pt-BR"/>
        </w:rPr>
        <w:t xml:space="preserve">. 3, 12, 108, de Celio </w:t>
      </w:r>
      <w:proofErr w:type="spellStart"/>
      <w:r>
        <w:rPr>
          <w:rFonts w:eastAsia="Segoe UI"/>
          <w:sz w:val="24"/>
          <w:shd w:val="clear" w:color="auto" w:fill="FFFFFF"/>
          <w:lang w:val="pt-BR"/>
        </w:rPr>
        <w:t>Auréliano</w:t>
      </w:r>
      <w:proofErr w:type="spellEnd"/>
      <w:r>
        <w:rPr>
          <w:rFonts w:eastAsia="Segoe UI"/>
          <w:sz w:val="24"/>
          <w:shd w:val="clear" w:color="auto" w:fill="FFFFFF"/>
          <w:lang w:val="pt-BR"/>
        </w:rPr>
        <w:t>. Sua jornada semântica, no entanto, é extraordinária: originária da medicina hipocrática como um desequilíbrio dos humores corporais, a melancolia foi subsequentemente reinterpretada na Idade Média como o pecado capital da acédia, um estado de apatia espiritual e negligência dos deveres religiosos.</w:t>
      </w:r>
    </w:p>
    <w:p w14:paraId="4348036A"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O Renascimento operou uma ressignificação profunda, resgatando-a dessa conotação moral e erigindo-a em atributo distintivo de intelectuais e artistas. Pensadores como Aristóteles, Marsílio </w:t>
      </w:r>
      <w:proofErr w:type="spellStart"/>
      <w:r>
        <w:rPr>
          <w:rFonts w:eastAsia="Segoe UI"/>
          <w:sz w:val="24"/>
          <w:shd w:val="clear" w:color="auto" w:fill="FFFFFF"/>
          <w:lang w:val="pt-BR"/>
        </w:rPr>
        <w:t>Ficino</w:t>
      </w:r>
      <w:proofErr w:type="spellEnd"/>
      <w:r>
        <w:rPr>
          <w:rFonts w:eastAsia="Segoe UI"/>
          <w:sz w:val="24"/>
          <w:shd w:val="clear" w:color="auto" w:fill="FFFFFF"/>
          <w:lang w:val="pt-BR"/>
        </w:rPr>
        <w:t xml:space="preserve"> e Albrecht Dürer foram fundamentais na construção dessa nova visão, forjando uma associação duradoura entre o temperamento melancólico e a profundidade criativa. É crucial notar que esta associação, embora culturalmente rica, não deve </w:t>
      </w:r>
      <w:proofErr w:type="spellStart"/>
      <w:r>
        <w:rPr>
          <w:rFonts w:eastAsia="Segoe UI"/>
          <w:sz w:val="24"/>
          <w:shd w:val="clear" w:color="auto" w:fill="FFFFFF"/>
          <w:lang w:val="pt-BR"/>
        </w:rPr>
        <w:t>romanticizar</w:t>
      </w:r>
      <w:proofErr w:type="spellEnd"/>
      <w:r>
        <w:rPr>
          <w:rFonts w:eastAsia="Segoe UI"/>
          <w:sz w:val="24"/>
          <w:shd w:val="clear" w:color="auto" w:fill="FFFFFF"/>
          <w:lang w:val="pt-BR"/>
        </w:rPr>
        <w:t xml:space="preserve"> o sofrimento real associado à melancolia clínica. A síntese definitiva dessa tradição multifacetada foi realizada por Robert Burton em sua Anatomia da Melancolia, uma obra enciclopédica que mapeou a condição em todas as suas dimensões — física, psicológica e espiritual —, apresentando-a não como uma mera patologia, mas como uma condição universal da experiência humana.</w:t>
      </w:r>
    </w:p>
    <w:p w14:paraId="3CB7CACE"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71EC1DBF"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3. A Dimensão Neurocientífica: A Química da Ausência</w:t>
      </w:r>
    </w:p>
    <w:p w14:paraId="0A3E0B39"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O que os antigos chamavam de "bile negra" a neurociência moderna identifica padrões neuroquímicos associados à depressão melancólica. A depressão melancólica envolve alterações nos sistemas de serotonina e dopamina - relacionados à capacidade de sentir prazer - e uma hiperatividade do eixo de estresse, resultando em níveis cronicamente elevados de cortisol. Estudos de neuroimagem mostram padrões característicos: hiperatividade em áreas ligadas à ruminação e emoções negativas, combinada com hipoatividade em regiões responsáveis pela regulação emocional. Estes padrões representam correlatos neurais de uma condição complexa, não uma redução determinista a desequilíbrios químicos. Assim, a "cidade subterrânea" descrita por Burton encontra seu correlato neural em circuitos cerebrais específicos que mantêm o indivíduo preso em padrões de pensamento negativo.</w:t>
      </w:r>
    </w:p>
    <w:p w14:paraId="09412D4D"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2473A12A"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4. A Dimensão Poético-Filosófica: A Sabedoria das Profundezas</w:t>
      </w:r>
    </w:p>
    <w:p w14:paraId="02FA98F6"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Para além da patologia, em diversas tradições culturais a melancolia foi reinterpretada como um espaço de introspecção profunda - uma "cidade subterrânea" da psique onde, mesmo no sofrimento, pode nascer uma forma peculiar de sabedoria. Desde Aristóteles, persiste a noção de que o temperamento melancólico está ligado à genialidade criativa e filosófica, embora esta ideia deva ser considerada com cuidado para não </w:t>
      </w:r>
      <w:proofErr w:type="spellStart"/>
      <w:r>
        <w:rPr>
          <w:rFonts w:eastAsia="Segoe UI"/>
          <w:sz w:val="24"/>
          <w:shd w:val="clear" w:color="auto" w:fill="FFFFFF"/>
          <w:lang w:val="pt-BR"/>
        </w:rPr>
        <w:t>romanticizar</w:t>
      </w:r>
      <w:proofErr w:type="spellEnd"/>
      <w:r>
        <w:rPr>
          <w:rFonts w:eastAsia="Segoe UI"/>
          <w:sz w:val="24"/>
          <w:shd w:val="clear" w:color="auto" w:fill="FFFFFF"/>
          <w:lang w:val="pt-BR"/>
        </w:rPr>
        <w:t xml:space="preserve"> o </w:t>
      </w:r>
      <w:r>
        <w:rPr>
          <w:rFonts w:eastAsia="Segoe UI"/>
          <w:sz w:val="24"/>
          <w:shd w:val="clear" w:color="auto" w:fill="FFFFFF"/>
          <w:lang w:val="pt-BR"/>
        </w:rPr>
        <w:lastRenderedPageBreak/>
        <w:t>sofrimento real. Burton, em sua obra monumental, legitimou esta complexidade, mostrando que a melancolia não é apenas uma condição a ser curada, mas um território humano a ser compreendido - um labirinto onde mesmo nas profundezas mais escuras podemos encontrar companhia e significado.</w:t>
      </w:r>
    </w:p>
    <w:p w14:paraId="62CABA88"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1662D0D9"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Próximo: Os Limiares do Êxtase</w:t>
      </w:r>
    </w:p>
    <w:p w14:paraId="67F2CC5A"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Se Robert Burton dedicou sua vida a mapear as profundezas introspectivas da melancolia, seria Santa Teresa de Ávila quem, em um movimento quase oposto, cartografaria sua antítese experiencial: o êxtase. Enquanto a melancolia nos convida a um mergulho interior, a um afundar em nós mesmos, o êxtase nos propõe uma transcendência, uma dissolução dos limites do eu na experiência do divino. É assim que nossa exploração dos estados da mente revela sua capacidade mais extraordinária: a de nos permitir habitar extremos absolutos. Da bile negra que escurece a alma à claridade celestial que a ilumina, da sombra mais profunda à luz mais cegante, da introspecção solitária à transcendência unificadora, a mente humana demonstra ser um território de contrastes radicalmente opostos e igualmente humanos.</w:t>
      </w:r>
    </w:p>
    <w:p w14:paraId="68968963" w14:textId="77777777" w:rsidR="0003312E" w:rsidRDefault="00000000">
      <w:pPr>
        <w:rPr>
          <w:rFonts w:eastAsia="Segoe UI"/>
          <w:sz w:val="24"/>
          <w:shd w:val="clear" w:color="auto" w:fill="FFFFFF"/>
        </w:rPr>
      </w:pPr>
      <w:r>
        <w:rPr>
          <w:rFonts w:eastAsia="Segoe UI"/>
          <w:sz w:val="24"/>
          <w:shd w:val="clear" w:color="auto" w:fill="FFFFFF"/>
        </w:rPr>
        <w:br w:type="page"/>
      </w:r>
    </w:p>
    <w:tbl>
      <w:tblPr>
        <w:tblStyle w:val="Tabelacomgrade"/>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099EC819" w14:textId="77777777">
        <w:trPr>
          <w:trHeight w:val="470"/>
        </w:trPr>
        <w:tc>
          <w:tcPr>
            <w:tcW w:w="8505" w:type="dxa"/>
            <w:gridSpan w:val="2"/>
            <w:tcBorders>
              <w:top w:val="nil"/>
              <w:left w:val="nil"/>
              <w:bottom w:val="nil"/>
              <w:right w:val="nil"/>
            </w:tcBorders>
          </w:tcPr>
          <w:p w14:paraId="72217BFF"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b/>
                <w:bCs/>
                <w:sz w:val="24"/>
                <w:szCs w:val="24"/>
              </w:rPr>
            </w:pPr>
            <w:r>
              <w:rPr>
                <w:rFonts w:ascii="Times New Roman" w:hAnsi="Times New Roman" w:cs="Times New Roman"/>
                <w:b/>
                <w:bCs/>
                <w:sz w:val="24"/>
                <w:szCs w:val="24"/>
              </w:rPr>
              <w:lastRenderedPageBreak/>
              <w:br w:type="page"/>
              <w:t xml:space="preserve">Capítulo </w:t>
            </w:r>
            <w:proofErr w:type="gramStart"/>
            <w:r>
              <w:rPr>
                <w:rFonts w:ascii="Times New Roman" w:hAnsi="Times New Roman" w:cs="Times New Roman"/>
                <w:b/>
                <w:bCs/>
                <w:sz w:val="24"/>
                <w:szCs w:val="24"/>
              </w:rPr>
              <w:t>5  -</w:t>
            </w:r>
            <w:proofErr w:type="gramEnd"/>
            <w:r>
              <w:rPr>
                <w:rFonts w:ascii="Times New Roman" w:hAnsi="Times New Roman" w:cs="Times New Roman"/>
                <w:b/>
                <w:bCs/>
                <w:sz w:val="24"/>
                <w:szCs w:val="24"/>
              </w:rPr>
              <w:t xml:space="preserve">  </w:t>
            </w:r>
            <w:r>
              <w:rPr>
                <w:rFonts w:ascii="Times New Roman" w:eastAsiaTheme="majorEastAsia" w:hAnsi="Times New Roman" w:cs="Times New Roman"/>
                <w:b/>
                <w:bCs/>
                <w:sz w:val="24"/>
                <w:szCs w:val="24"/>
              </w:rPr>
              <w:t>Êxtase: A Fusão do Eu com o Infinito</w:t>
            </w:r>
          </w:p>
        </w:tc>
      </w:tr>
      <w:tr w:rsidR="0003312E" w14:paraId="6D412414" w14:textId="77777777">
        <w:tc>
          <w:tcPr>
            <w:tcW w:w="4353" w:type="dxa"/>
            <w:tcBorders>
              <w:top w:val="nil"/>
              <w:left w:val="nil"/>
              <w:bottom w:val="nil"/>
              <w:right w:val="nil"/>
            </w:tcBorders>
          </w:tcPr>
          <w:p w14:paraId="2B6F0E45"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hAnsi="Times New Roman" w:cs="Times New Roman"/>
                <w:noProof/>
                <w:sz w:val="24"/>
                <w:szCs w:val="24"/>
              </w:rPr>
              <w:drawing>
                <wp:inline distT="0" distB="0" distL="0" distR="0" wp14:anchorId="382F2C22" wp14:editId="04BCF59D">
                  <wp:extent cx="1844040" cy="1844040"/>
                  <wp:effectExtent l="0" t="0" r="3810" b="3810"/>
                  <wp:docPr id="14285073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0739" name="Imagem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844040" cy="1844040"/>
                          </a:xfrm>
                          <a:prstGeom prst="rect">
                            <a:avLst/>
                          </a:prstGeom>
                          <a:noFill/>
                          <a:ln>
                            <a:noFill/>
                          </a:ln>
                        </pic:spPr>
                      </pic:pic>
                    </a:graphicData>
                  </a:graphic>
                </wp:inline>
              </w:drawing>
            </w:r>
          </w:p>
        </w:tc>
        <w:tc>
          <w:tcPr>
            <w:tcW w:w="4152" w:type="dxa"/>
            <w:tcBorders>
              <w:top w:val="nil"/>
              <w:left w:val="nil"/>
              <w:bottom w:val="nil"/>
              <w:right w:val="nil"/>
            </w:tcBorders>
          </w:tcPr>
          <w:p w14:paraId="5E8346D4"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02732AB" wp14:editId="5ACFB185">
                  <wp:extent cx="1224280" cy="1836420"/>
                  <wp:effectExtent l="0" t="0" r="10160" b="7620"/>
                  <wp:docPr id="31" name="Imagem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19" descr="IMG_256"/>
                          <pic:cNvPicPr>
                            <a:picLocks noChangeAspect="1"/>
                          </pic:cNvPicPr>
                        </pic:nvPicPr>
                        <pic:blipFill>
                          <a:blip r:embed="rId22"/>
                          <a:stretch>
                            <a:fillRect/>
                          </a:stretch>
                        </pic:blipFill>
                        <pic:spPr>
                          <a:xfrm>
                            <a:off x="0" y="0"/>
                            <a:ext cx="1231240" cy="1846359"/>
                          </a:xfrm>
                          <a:prstGeom prst="rect">
                            <a:avLst/>
                          </a:prstGeom>
                          <a:noFill/>
                          <a:ln w="9525">
                            <a:noFill/>
                          </a:ln>
                        </pic:spPr>
                      </pic:pic>
                    </a:graphicData>
                  </a:graphic>
                </wp:inline>
              </w:drawing>
            </w:r>
          </w:p>
        </w:tc>
      </w:tr>
      <w:tr w:rsidR="0003312E" w14:paraId="2567B2D0" w14:textId="77777777">
        <w:trPr>
          <w:trHeight w:val="476"/>
        </w:trPr>
        <w:tc>
          <w:tcPr>
            <w:tcW w:w="4353" w:type="dxa"/>
            <w:tcBorders>
              <w:top w:val="nil"/>
              <w:left w:val="nil"/>
              <w:bottom w:val="nil"/>
              <w:right w:val="nil"/>
            </w:tcBorders>
          </w:tcPr>
          <w:p w14:paraId="77121723"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5.1: A Flecha de Fogo: A Agonia e o Êxtase da Transcendência</w:t>
            </w:r>
          </w:p>
        </w:tc>
        <w:tc>
          <w:tcPr>
            <w:tcW w:w="4152" w:type="dxa"/>
            <w:tcBorders>
              <w:top w:val="nil"/>
              <w:left w:val="nil"/>
              <w:bottom w:val="nil"/>
              <w:right w:val="nil"/>
            </w:tcBorders>
          </w:tcPr>
          <w:p w14:paraId="0C0E8DEF"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 xml:space="preserve">Figura 5.2: </w:t>
            </w:r>
            <w:r>
              <w:rPr>
                <w:rFonts w:ascii="Times New Roman" w:eastAsia="Segoe UI" w:hAnsi="Times New Roman" w:cs="Times New Roman"/>
                <w:sz w:val="24"/>
                <w:szCs w:val="24"/>
                <w:shd w:val="clear" w:color="auto" w:fill="FFFFFF"/>
              </w:rPr>
              <w:t>Santa Teresa de Ávila (1515 - 1582)</w:t>
            </w:r>
            <w:r>
              <w:rPr>
                <w:rFonts w:ascii="Times New Roman" w:eastAsiaTheme="majorEastAsia" w:hAnsi="Times New Roman" w:cs="Times New Roman"/>
                <w:i/>
                <w:iCs/>
                <w:sz w:val="24"/>
                <w:szCs w:val="24"/>
              </w:rPr>
              <w:t>: A Exploradora do Invisível</w:t>
            </w:r>
          </w:p>
        </w:tc>
      </w:tr>
    </w:tbl>
    <w:p w14:paraId="164396C1"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39FB1EA4"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Êxtase em Poucas Palavras: Quando o Eu se Desfaz</w:t>
      </w:r>
    </w:p>
    <w:p w14:paraId="71D339B7"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êxtase representa um espectro de experiências caracterizadas pela dissolução temporária dos limites do self. Este capítulo explora suas múltiplas expressões - do místico ao secular - e as diversas lentes através das quais tem sido compreendido. O fenômeno do êxtase nos convida a explorar um dos territórios mais misteriosos da experiência humana, e para compreendê-lo, percorreremos quatro dimensões fundamentais que se complementam. A primeira nos revela sua origem etimológica, que significa literalmente "sair de si mesmo", já contendo em si a essência do que será desvendado. A segunda nos guia por sua rica jornada histórica, que parte das reflexões da filosofia grega e chega às profundezas do misticismo cristão e além. A terceira dimensão desvenda os correlatos neurocientíficos que tornam possível essa experiência tão singular de transcendência. E a quarta nos eleva ao plano filosófico, onde o êxtase se revela como um paradoxo fundamental da condição humana. São essas quatro perspectivas, cuidadosamente integradas na seção final, que nos oferecem uma compreensão profunda e multidimensional desse estado extraordinário de dissolução do eu.</w:t>
      </w:r>
    </w:p>
    <w:p w14:paraId="4F5A0DE7"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4CD42A76"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 xml:space="preserve">A Jornada da Palavra: De </w:t>
      </w:r>
      <w:proofErr w:type="spellStart"/>
      <w:r>
        <w:rPr>
          <w:rFonts w:ascii="Times New Roman" w:eastAsia="Segoe UI" w:hAnsi="Times New Roman" w:cs="Times New Roman"/>
          <w:b/>
          <w:bCs/>
          <w:sz w:val="24"/>
          <w:szCs w:val="24"/>
          <w:shd w:val="clear" w:color="auto" w:fill="FFFFFF"/>
          <w:lang w:eastAsia="zh-CN"/>
        </w:rPr>
        <w:t>Ékstasis</w:t>
      </w:r>
      <w:proofErr w:type="spellEnd"/>
      <w:r>
        <w:rPr>
          <w:rFonts w:ascii="Times New Roman" w:eastAsia="Segoe UI" w:hAnsi="Times New Roman" w:cs="Times New Roman"/>
          <w:b/>
          <w:bCs/>
          <w:sz w:val="24"/>
          <w:szCs w:val="24"/>
          <w:shd w:val="clear" w:color="auto" w:fill="FFFFFF"/>
          <w:lang w:eastAsia="zh-CN"/>
        </w:rPr>
        <w:t xml:space="preserve"> a Santa Teresa</w:t>
      </w:r>
    </w:p>
    <w:p w14:paraId="026DDF04"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Embora possamos traçar uma trajetória geral do êxtase como conceito filosófico para experiência religiosa e depois fenômeno científico, essas perspectivas frequentemente coexistiram e se influenciaram mutuamente. A história do êxtase percorre uma tensão entre sagrado e científico, entre graça divina e atividade cerebral. Na Grécia Antiga, </w:t>
      </w:r>
      <w:proofErr w:type="spellStart"/>
      <w:r>
        <w:rPr>
          <w:rFonts w:ascii="Times New Roman" w:eastAsia="Segoe UI" w:hAnsi="Times New Roman" w:cs="Times New Roman"/>
          <w:sz w:val="24"/>
          <w:szCs w:val="24"/>
          <w:shd w:val="clear" w:color="auto" w:fill="FFFFFF"/>
          <w:lang w:eastAsia="zh-CN"/>
        </w:rPr>
        <w:t>ékstasis</w:t>
      </w:r>
      <w:proofErr w:type="spellEnd"/>
      <w:r>
        <w:rPr>
          <w:rFonts w:ascii="Times New Roman" w:eastAsia="Segoe UI" w:hAnsi="Times New Roman" w:cs="Times New Roman"/>
          <w:sz w:val="24"/>
          <w:szCs w:val="24"/>
          <w:shd w:val="clear" w:color="auto" w:fill="FFFFFF"/>
          <w:lang w:eastAsia="zh-CN"/>
        </w:rPr>
        <w:t xml:space="preserve"> era conceito filosófico: para Platão, a alma transportava-se para contemplar as Formas Ideais; para Aristóteles, estava ligado ao furor poético e à melancolia genial. Neoplatônicos como Plotino </w:t>
      </w:r>
      <w:r>
        <w:rPr>
          <w:rFonts w:ascii="Times New Roman" w:eastAsia="Segoe UI" w:hAnsi="Times New Roman" w:cs="Times New Roman"/>
          <w:sz w:val="24"/>
          <w:szCs w:val="24"/>
          <w:shd w:val="clear" w:color="auto" w:fill="FFFFFF"/>
          <w:lang w:eastAsia="zh-CN"/>
        </w:rPr>
        <w:lastRenderedPageBreak/>
        <w:t>viam o êxtase como ápice da existência, a união da alma individual com o Uno, dissolvendo toda dualidade.</w:t>
      </w:r>
    </w:p>
    <w:p w14:paraId="4C11506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cristianismo primitivo absorveu e adaptou essa ideia, transformando o êxtase em um dom divino, um arrebatamento em que Deus tomava a alma para Si, como no caminho de Damasco de São Paulo. Mas foi Santa Teresa de Ávila quem elevou a tradição a seu ápice literário e psicológico. Santa Teresa desenvolveu sua teologia mística em um contexto histórico complexo - a Contrarreforma espanhola e a vigilância da Inquisição - o que influenciou tanto o conteúdo quanto a forma como descreveu suas experiências extáticas. Em O Livro da Vida e O Castelo Interior, descreveu os estágios da oração que conduzem ao êxtase final, a "união mística", com precisão quase clínica, detalhando sensações físicas - calor, levitação, uma "doce ferida" - e efeitos psicológicos, como perda dos sentidos, suspensão do tempo e paz inefável. Seu êxtase era corporal, concreto, uma experiência que simultaneamente queimava e curava.</w:t>
      </w:r>
    </w:p>
    <w:p w14:paraId="4F456E5C"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ciência moderna, a partir do século XIX, iniciou a secularização do êxtase. A psiquiatria inicialmente tentou </w:t>
      </w:r>
      <w:proofErr w:type="spellStart"/>
      <w:r>
        <w:rPr>
          <w:rFonts w:ascii="Times New Roman" w:eastAsia="Segoe UI" w:hAnsi="Times New Roman" w:cs="Times New Roman"/>
          <w:sz w:val="24"/>
          <w:szCs w:val="24"/>
          <w:shd w:val="clear" w:color="auto" w:fill="FFFFFF"/>
          <w:lang w:eastAsia="zh-CN"/>
        </w:rPr>
        <w:t>patologizá-lo</w:t>
      </w:r>
      <w:proofErr w:type="spellEnd"/>
      <w:r>
        <w:rPr>
          <w:rFonts w:ascii="Times New Roman" w:eastAsia="Segoe UI" w:hAnsi="Times New Roman" w:cs="Times New Roman"/>
          <w:sz w:val="24"/>
          <w:szCs w:val="24"/>
          <w:shd w:val="clear" w:color="auto" w:fill="FFFFFF"/>
          <w:lang w:eastAsia="zh-CN"/>
        </w:rPr>
        <w:t>, associando-o à histeria ou à epilepsia. William James, em As Variedades da Experiência Religiosa, reivindicou-o como estado legítimo de consciência. Hoje, a neurociência da espiritualidade mapeia cérebros de freiras em oração ou meditadores experientes, buscando as assinaturas neurais desse "estar fora de si". Além das tradições religiosas, o êxtase manifesta-se em experiências seculares como estados de '</w:t>
      </w:r>
      <w:proofErr w:type="spellStart"/>
      <w:r>
        <w:rPr>
          <w:rFonts w:ascii="Times New Roman" w:eastAsia="Segoe UI" w:hAnsi="Times New Roman" w:cs="Times New Roman"/>
          <w:sz w:val="24"/>
          <w:szCs w:val="24"/>
          <w:shd w:val="clear" w:color="auto" w:fill="FFFFFF"/>
          <w:lang w:eastAsia="zh-CN"/>
        </w:rPr>
        <w:t>flow</w:t>
      </w:r>
      <w:proofErr w:type="spellEnd"/>
      <w:r>
        <w:rPr>
          <w:rFonts w:ascii="Times New Roman" w:eastAsia="Segoe UI" w:hAnsi="Times New Roman" w:cs="Times New Roman"/>
          <w:sz w:val="24"/>
          <w:szCs w:val="24"/>
          <w:shd w:val="clear" w:color="auto" w:fill="FFFFFF"/>
          <w:lang w:eastAsia="zh-CN"/>
        </w:rPr>
        <w:t>' criativo, performances atléticas de pico, e momentos de profunda conexão estética.</w:t>
      </w:r>
    </w:p>
    <w:p w14:paraId="35A79717"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795C14C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Quadro 5.1 - A Evolução do Êxtase: Do Divino ao Neural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4"/>
        <w:gridCol w:w="2131"/>
        <w:gridCol w:w="5026"/>
      </w:tblGrid>
      <w:tr w:rsidR="0003312E" w14:paraId="190677BF" w14:textId="77777777">
        <w:trPr>
          <w:tblHeader/>
        </w:trPr>
        <w:tc>
          <w:tcPr>
            <w:tcW w:w="0" w:type="auto"/>
            <w:tcMar>
              <w:top w:w="150" w:type="dxa"/>
              <w:left w:w="0" w:type="dxa"/>
              <w:bottom w:w="150" w:type="dxa"/>
              <w:right w:w="240" w:type="dxa"/>
            </w:tcMar>
            <w:vAlign w:val="center"/>
          </w:tcPr>
          <w:p w14:paraId="5C955AA6"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Época</w:t>
            </w:r>
          </w:p>
        </w:tc>
        <w:tc>
          <w:tcPr>
            <w:tcW w:w="0" w:type="auto"/>
            <w:tcMar>
              <w:top w:w="150" w:type="dxa"/>
              <w:left w:w="240" w:type="dxa"/>
              <w:bottom w:w="150" w:type="dxa"/>
              <w:right w:w="240" w:type="dxa"/>
            </w:tcMar>
            <w:vAlign w:val="center"/>
          </w:tcPr>
          <w:p w14:paraId="68C37C07"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Marco</w:t>
            </w:r>
          </w:p>
        </w:tc>
        <w:tc>
          <w:tcPr>
            <w:tcW w:w="0" w:type="auto"/>
            <w:tcMar>
              <w:top w:w="150" w:type="dxa"/>
              <w:left w:w="240" w:type="dxa"/>
              <w:bottom w:w="150" w:type="dxa"/>
              <w:right w:w="240" w:type="dxa"/>
            </w:tcMar>
            <w:vAlign w:val="center"/>
          </w:tcPr>
          <w:p w14:paraId="2E79FDB3"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Significado e Impacto</w:t>
            </w:r>
          </w:p>
        </w:tc>
      </w:tr>
      <w:tr w:rsidR="0003312E" w14:paraId="472EC89B" w14:textId="77777777">
        <w:tc>
          <w:tcPr>
            <w:tcW w:w="0" w:type="auto"/>
            <w:tcMar>
              <w:top w:w="150" w:type="dxa"/>
              <w:left w:w="0" w:type="dxa"/>
              <w:bottom w:w="150" w:type="dxa"/>
              <w:right w:w="240" w:type="dxa"/>
            </w:tcMar>
            <w:vAlign w:val="center"/>
          </w:tcPr>
          <w:p w14:paraId="282CAB50"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Grécia Antiga (Filosofia)</w:t>
            </w:r>
          </w:p>
        </w:tc>
        <w:tc>
          <w:tcPr>
            <w:tcW w:w="0" w:type="auto"/>
            <w:tcMar>
              <w:top w:w="150" w:type="dxa"/>
              <w:left w:w="240" w:type="dxa"/>
              <w:bottom w:w="150" w:type="dxa"/>
              <w:right w:w="240" w:type="dxa"/>
            </w:tcMar>
            <w:vAlign w:val="center"/>
          </w:tcPr>
          <w:p w14:paraId="54B4D622"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sz w:val="20"/>
                <w:szCs w:val="20"/>
                <w:shd w:val="clear" w:color="auto" w:fill="FFFFFF"/>
                <w:lang w:eastAsia="zh-CN"/>
              </w:rPr>
              <w:t>ékstasis</w:t>
            </w:r>
            <w:proofErr w:type="spellEnd"/>
            <w:r>
              <w:rPr>
                <w:rFonts w:ascii="Times New Roman" w:eastAsia="Segoe UI" w:hAnsi="Times New Roman" w:cs="Times New Roman"/>
                <w:sz w:val="20"/>
                <w:szCs w:val="20"/>
                <w:shd w:val="clear" w:color="auto" w:fill="FFFFFF"/>
                <w:lang w:eastAsia="zh-CN"/>
              </w:rPr>
              <w:t xml:space="preserve"> = "deslocamento"</w:t>
            </w:r>
          </w:p>
        </w:tc>
        <w:tc>
          <w:tcPr>
            <w:tcW w:w="0" w:type="auto"/>
            <w:tcMar>
              <w:top w:w="150" w:type="dxa"/>
              <w:left w:w="240" w:type="dxa"/>
              <w:bottom w:w="150" w:type="dxa"/>
              <w:right w:w="0" w:type="dxa"/>
            </w:tcMar>
            <w:vAlign w:val="center"/>
          </w:tcPr>
          <w:p w14:paraId="3887A76D"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Em Platão, transporte da alma para contemplar as Formas Ideais; em Aristóteles, ligado ao furor poético e à genialidade. Experiência filosófica, não religiosa.</w:t>
            </w:r>
          </w:p>
        </w:tc>
      </w:tr>
      <w:tr w:rsidR="0003312E" w14:paraId="73EF7A76" w14:textId="77777777">
        <w:tc>
          <w:tcPr>
            <w:tcW w:w="0" w:type="auto"/>
            <w:tcMar>
              <w:top w:w="150" w:type="dxa"/>
              <w:left w:w="0" w:type="dxa"/>
              <w:bottom w:w="150" w:type="dxa"/>
              <w:right w:w="240" w:type="dxa"/>
            </w:tcMar>
            <w:vAlign w:val="center"/>
          </w:tcPr>
          <w:p w14:paraId="68D2AB23"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Helenismo/Roma</w:t>
            </w:r>
          </w:p>
        </w:tc>
        <w:tc>
          <w:tcPr>
            <w:tcW w:w="0" w:type="auto"/>
            <w:tcMar>
              <w:top w:w="150" w:type="dxa"/>
              <w:left w:w="240" w:type="dxa"/>
              <w:bottom w:w="150" w:type="dxa"/>
              <w:right w:w="240" w:type="dxa"/>
            </w:tcMar>
            <w:vAlign w:val="center"/>
          </w:tcPr>
          <w:p w14:paraId="74FC4CD5"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Neoplatonismo (Plotino)</w:t>
            </w:r>
          </w:p>
        </w:tc>
        <w:tc>
          <w:tcPr>
            <w:tcW w:w="0" w:type="auto"/>
            <w:tcMar>
              <w:top w:w="150" w:type="dxa"/>
              <w:left w:w="240" w:type="dxa"/>
              <w:bottom w:w="150" w:type="dxa"/>
              <w:right w:w="0" w:type="dxa"/>
            </w:tcMar>
            <w:vAlign w:val="center"/>
          </w:tcPr>
          <w:p w14:paraId="0E1C6F88"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Êxtase como união da alma com o Uno, transcendendo dualidades. Dissolução do eu em realidade superior.</w:t>
            </w:r>
          </w:p>
        </w:tc>
      </w:tr>
      <w:tr w:rsidR="0003312E" w14:paraId="7F31837F" w14:textId="77777777">
        <w:tc>
          <w:tcPr>
            <w:tcW w:w="0" w:type="auto"/>
            <w:tcMar>
              <w:top w:w="150" w:type="dxa"/>
              <w:left w:w="0" w:type="dxa"/>
              <w:bottom w:w="150" w:type="dxa"/>
              <w:right w:w="240" w:type="dxa"/>
            </w:tcMar>
            <w:vAlign w:val="center"/>
          </w:tcPr>
          <w:p w14:paraId="4539FAB3"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Cristianismo Primitivo</w:t>
            </w:r>
          </w:p>
        </w:tc>
        <w:tc>
          <w:tcPr>
            <w:tcW w:w="0" w:type="auto"/>
            <w:tcMar>
              <w:top w:w="150" w:type="dxa"/>
              <w:left w:w="240" w:type="dxa"/>
              <w:bottom w:w="150" w:type="dxa"/>
              <w:right w:w="240" w:type="dxa"/>
            </w:tcMar>
            <w:vAlign w:val="center"/>
          </w:tcPr>
          <w:p w14:paraId="5C538C5A"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proofErr w:type="spellStart"/>
            <w:r>
              <w:rPr>
                <w:rFonts w:ascii="Times New Roman" w:eastAsia="Segoe UI" w:hAnsi="Times New Roman" w:cs="Times New Roman"/>
                <w:sz w:val="20"/>
                <w:szCs w:val="20"/>
                <w:shd w:val="clear" w:color="auto" w:fill="FFFFFF"/>
                <w:lang w:eastAsia="zh-CN"/>
              </w:rPr>
              <w:t>Exstasis</w:t>
            </w:r>
            <w:proofErr w:type="spellEnd"/>
            <w:r>
              <w:rPr>
                <w:rFonts w:ascii="Times New Roman" w:eastAsia="Segoe UI" w:hAnsi="Times New Roman" w:cs="Times New Roman"/>
                <w:sz w:val="20"/>
                <w:szCs w:val="20"/>
                <w:shd w:val="clear" w:color="auto" w:fill="FFFFFF"/>
                <w:lang w:eastAsia="zh-CN"/>
              </w:rPr>
              <w:t xml:space="preserve"> (latim)</w:t>
            </w:r>
          </w:p>
        </w:tc>
        <w:tc>
          <w:tcPr>
            <w:tcW w:w="0" w:type="auto"/>
            <w:tcMar>
              <w:top w:w="150" w:type="dxa"/>
              <w:left w:w="240" w:type="dxa"/>
              <w:bottom w:w="150" w:type="dxa"/>
              <w:right w:w="0" w:type="dxa"/>
            </w:tcMar>
            <w:vAlign w:val="center"/>
          </w:tcPr>
          <w:p w14:paraId="0C3C450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Descreve experiências visionárias. Arrebatamento divino, Deus "toma" a alma para Si (São Paulo em Damasco).</w:t>
            </w:r>
          </w:p>
        </w:tc>
      </w:tr>
      <w:tr w:rsidR="0003312E" w14:paraId="62FBE7BA" w14:textId="77777777">
        <w:tc>
          <w:tcPr>
            <w:tcW w:w="0" w:type="auto"/>
            <w:tcMar>
              <w:top w:w="150" w:type="dxa"/>
              <w:left w:w="0" w:type="dxa"/>
              <w:bottom w:w="150" w:type="dxa"/>
              <w:right w:w="240" w:type="dxa"/>
            </w:tcMar>
            <w:vAlign w:val="center"/>
          </w:tcPr>
          <w:p w14:paraId="298E8A70"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Idade Média</w:t>
            </w:r>
          </w:p>
        </w:tc>
        <w:tc>
          <w:tcPr>
            <w:tcW w:w="0" w:type="auto"/>
            <w:tcMar>
              <w:top w:w="150" w:type="dxa"/>
              <w:left w:w="240" w:type="dxa"/>
              <w:bottom w:w="150" w:type="dxa"/>
              <w:right w:w="240" w:type="dxa"/>
            </w:tcMar>
            <w:vAlign w:val="center"/>
          </w:tcPr>
          <w:p w14:paraId="5C61A25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Misticismo cristão</w:t>
            </w:r>
          </w:p>
        </w:tc>
        <w:tc>
          <w:tcPr>
            <w:tcW w:w="0" w:type="auto"/>
            <w:tcMar>
              <w:top w:w="150" w:type="dxa"/>
              <w:left w:w="240" w:type="dxa"/>
              <w:bottom w:w="150" w:type="dxa"/>
              <w:right w:w="0" w:type="dxa"/>
            </w:tcMar>
            <w:vAlign w:val="center"/>
          </w:tcPr>
          <w:p w14:paraId="289E7BB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União mística com Deus como ápice da experiência religiosa. Exemplos: Santa </w:t>
            </w:r>
            <w:proofErr w:type="spellStart"/>
            <w:r>
              <w:rPr>
                <w:rFonts w:ascii="Times New Roman" w:eastAsia="Segoe UI" w:hAnsi="Times New Roman" w:cs="Times New Roman"/>
                <w:sz w:val="20"/>
                <w:szCs w:val="20"/>
                <w:shd w:val="clear" w:color="auto" w:fill="FFFFFF"/>
                <w:lang w:eastAsia="zh-CN"/>
              </w:rPr>
              <w:t>Hildegarda</w:t>
            </w:r>
            <w:proofErr w:type="spellEnd"/>
            <w:r>
              <w:rPr>
                <w:rFonts w:ascii="Times New Roman" w:eastAsia="Segoe UI" w:hAnsi="Times New Roman" w:cs="Times New Roman"/>
                <w:sz w:val="20"/>
                <w:szCs w:val="20"/>
                <w:shd w:val="clear" w:color="auto" w:fill="FFFFFF"/>
                <w:lang w:eastAsia="zh-CN"/>
              </w:rPr>
              <w:t xml:space="preserve"> de Bingen, Mestre </w:t>
            </w:r>
            <w:proofErr w:type="spellStart"/>
            <w:r>
              <w:rPr>
                <w:rFonts w:ascii="Times New Roman" w:eastAsia="Segoe UI" w:hAnsi="Times New Roman" w:cs="Times New Roman"/>
                <w:sz w:val="20"/>
                <w:szCs w:val="20"/>
                <w:shd w:val="clear" w:color="auto" w:fill="FFFFFF"/>
                <w:lang w:eastAsia="zh-CN"/>
              </w:rPr>
              <w:t>Eckhart</w:t>
            </w:r>
            <w:proofErr w:type="spellEnd"/>
            <w:r>
              <w:rPr>
                <w:rFonts w:ascii="Times New Roman" w:eastAsia="Segoe UI" w:hAnsi="Times New Roman" w:cs="Times New Roman"/>
                <w:sz w:val="20"/>
                <w:szCs w:val="20"/>
                <w:shd w:val="clear" w:color="auto" w:fill="FFFFFF"/>
                <w:lang w:eastAsia="zh-CN"/>
              </w:rPr>
              <w:t>.</w:t>
            </w:r>
          </w:p>
        </w:tc>
      </w:tr>
      <w:tr w:rsidR="0003312E" w14:paraId="123C82DF" w14:textId="77777777">
        <w:tc>
          <w:tcPr>
            <w:tcW w:w="0" w:type="auto"/>
            <w:tcMar>
              <w:top w:w="150" w:type="dxa"/>
              <w:left w:w="0" w:type="dxa"/>
              <w:bottom w:w="150" w:type="dxa"/>
              <w:right w:w="240" w:type="dxa"/>
            </w:tcMar>
            <w:vAlign w:val="center"/>
          </w:tcPr>
          <w:p w14:paraId="74F5ADC6"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 XVI</w:t>
            </w:r>
          </w:p>
        </w:tc>
        <w:tc>
          <w:tcPr>
            <w:tcW w:w="0" w:type="auto"/>
            <w:tcMar>
              <w:top w:w="150" w:type="dxa"/>
              <w:left w:w="240" w:type="dxa"/>
              <w:bottom w:w="150" w:type="dxa"/>
              <w:right w:w="240" w:type="dxa"/>
            </w:tcMar>
            <w:vAlign w:val="center"/>
          </w:tcPr>
          <w:p w14:paraId="101871A7"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Santa Teresa de Ávila</w:t>
            </w:r>
          </w:p>
        </w:tc>
        <w:tc>
          <w:tcPr>
            <w:tcW w:w="0" w:type="auto"/>
            <w:tcMar>
              <w:top w:w="150" w:type="dxa"/>
              <w:left w:w="240" w:type="dxa"/>
              <w:bottom w:w="150" w:type="dxa"/>
              <w:right w:w="0" w:type="dxa"/>
            </w:tcMar>
            <w:vAlign w:val="center"/>
          </w:tcPr>
          <w:p w14:paraId="14CCDCBA"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O Castelo Interior: estágios do êxtase, sensações físicas e efeitos espirituais, combinando teologia e fenomenologia.</w:t>
            </w:r>
          </w:p>
        </w:tc>
      </w:tr>
      <w:tr w:rsidR="0003312E" w14:paraId="3460C351" w14:textId="77777777">
        <w:tc>
          <w:tcPr>
            <w:tcW w:w="0" w:type="auto"/>
            <w:tcMar>
              <w:top w:w="150" w:type="dxa"/>
              <w:left w:w="0" w:type="dxa"/>
              <w:bottom w:w="150" w:type="dxa"/>
              <w:right w:w="240" w:type="dxa"/>
            </w:tcMar>
            <w:vAlign w:val="center"/>
          </w:tcPr>
          <w:p w14:paraId="36755A70"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lastRenderedPageBreak/>
              <w:t>Século XIX</w:t>
            </w:r>
          </w:p>
        </w:tc>
        <w:tc>
          <w:tcPr>
            <w:tcW w:w="0" w:type="auto"/>
            <w:tcMar>
              <w:top w:w="150" w:type="dxa"/>
              <w:left w:w="240" w:type="dxa"/>
              <w:bottom w:w="150" w:type="dxa"/>
              <w:right w:w="240" w:type="dxa"/>
            </w:tcMar>
            <w:vAlign w:val="center"/>
          </w:tcPr>
          <w:p w14:paraId="4F1B41B8"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William James</w:t>
            </w:r>
          </w:p>
        </w:tc>
        <w:tc>
          <w:tcPr>
            <w:tcW w:w="0" w:type="auto"/>
            <w:tcMar>
              <w:top w:w="150" w:type="dxa"/>
              <w:left w:w="240" w:type="dxa"/>
              <w:bottom w:w="150" w:type="dxa"/>
              <w:right w:w="0" w:type="dxa"/>
            </w:tcMar>
            <w:vAlign w:val="center"/>
          </w:tcPr>
          <w:p w14:paraId="63B5112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Êxtase como estado de consciência válido, independente da origem divina. Abordagem científica e fenomenológica.</w:t>
            </w:r>
          </w:p>
        </w:tc>
      </w:tr>
      <w:tr w:rsidR="0003312E" w14:paraId="6AF692A8" w14:textId="77777777">
        <w:tc>
          <w:tcPr>
            <w:tcW w:w="0" w:type="auto"/>
            <w:tcMar>
              <w:top w:w="150" w:type="dxa"/>
              <w:left w:w="0" w:type="dxa"/>
              <w:bottom w:w="150" w:type="dxa"/>
              <w:right w:w="240" w:type="dxa"/>
            </w:tcMar>
            <w:vAlign w:val="center"/>
          </w:tcPr>
          <w:p w14:paraId="7F31B757"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 XXI</w:t>
            </w:r>
          </w:p>
        </w:tc>
        <w:tc>
          <w:tcPr>
            <w:tcW w:w="0" w:type="auto"/>
            <w:tcMar>
              <w:top w:w="150" w:type="dxa"/>
              <w:left w:w="240" w:type="dxa"/>
              <w:bottom w:w="150" w:type="dxa"/>
              <w:right w:w="240" w:type="dxa"/>
            </w:tcMar>
            <w:vAlign w:val="center"/>
          </w:tcPr>
          <w:p w14:paraId="3153784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Neurociência da espiritualidade</w:t>
            </w:r>
          </w:p>
        </w:tc>
        <w:tc>
          <w:tcPr>
            <w:tcW w:w="0" w:type="auto"/>
            <w:tcMar>
              <w:top w:w="150" w:type="dxa"/>
              <w:left w:w="240" w:type="dxa"/>
              <w:bottom w:w="150" w:type="dxa"/>
              <w:right w:w="0" w:type="dxa"/>
            </w:tcMar>
            <w:vAlign w:val="center"/>
          </w:tcPr>
          <w:p w14:paraId="6A3AC077"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Neuroimagem investiga correlatos neurais em experiências extáticas religiosas e seculares, expandindo para tradições não-ocidentais</w:t>
            </w:r>
          </w:p>
        </w:tc>
      </w:tr>
    </w:tbl>
    <w:p w14:paraId="106539C9"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16668626"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Esta trajetória, porém, não confina o êxtase aos altares e claustros. Longe de ser um privilégio do sagrado, a experiência extática insurge-se em uma miríade de formas seculares. O estado de 'fluxo' (</w:t>
      </w:r>
      <w:proofErr w:type="spellStart"/>
      <w:r>
        <w:rPr>
          <w:rFonts w:ascii="Times New Roman" w:eastAsia="Segoe UI" w:hAnsi="Times New Roman" w:cs="Times New Roman"/>
          <w:i/>
          <w:iCs/>
          <w:sz w:val="24"/>
          <w:szCs w:val="24"/>
          <w:shd w:val="clear" w:color="auto" w:fill="FFFFFF"/>
          <w:lang w:eastAsia="zh-CN"/>
        </w:rPr>
        <w:t>flow</w:t>
      </w:r>
      <w:proofErr w:type="spellEnd"/>
      <w:r>
        <w:rPr>
          <w:rFonts w:ascii="Times New Roman" w:eastAsia="Segoe UI" w:hAnsi="Times New Roman" w:cs="Times New Roman"/>
          <w:sz w:val="24"/>
          <w:szCs w:val="24"/>
          <w:shd w:val="clear" w:color="auto" w:fill="FFFFFF"/>
          <w:lang w:eastAsia="zh-CN"/>
        </w:rPr>
        <w:t>) do artista absorto em sua criação, o ápice de performance do atleta em sua zona de excelência, o arrebatamento diante de uma obra de arte ou da grandiosidade da natureza - todos são ecos modernos da mesma capacidade neural de transcender o self ordinário. Compreender o êxtase, portanto, é mapear uma faculdade fundamental da mente humana, que encontra expressão tanto na contemplação do divino quanto na mais intensa experiência humana.</w:t>
      </w:r>
    </w:p>
    <w:p w14:paraId="76352722"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702B408E"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Em Essência: as Quatro Dimensões do Êxtase</w:t>
      </w:r>
    </w:p>
    <w:p w14:paraId="4658758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1. A Dimensão Etimológica: O Deslocamento do Ser</w:t>
      </w:r>
    </w:p>
    <w:p w14:paraId="4AA0C1AF"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própria palavra "êxtase" contém em si a definição precisa do fenômeno: vem do grego </w:t>
      </w:r>
      <w:proofErr w:type="spellStart"/>
      <w:r>
        <w:rPr>
          <w:rFonts w:ascii="Times New Roman" w:eastAsia="Segoe UI" w:hAnsi="Times New Roman" w:cs="Times New Roman"/>
          <w:sz w:val="24"/>
          <w:szCs w:val="24"/>
          <w:shd w:val="clear" w:color="auto" w:fill="FFFFFF"/>
          <w:lang w:eastAsia="zh-CN"/>
        </w:rPr>
        <w:t>ékstasis</w:t>
      </w:r>
      <w:proofErr w:type="spellEnd"/>
      <w:r>
        <w:rPr>
          <w:rFonts w:ascii="Times New Roman" w:eastAsia="Segoe UI" w:hAnsi="Times New Roman" w:cs="Times New Roman"/>
          <w:sz w:val="24"/>
          <w:szCs w:val="24"/>
          <w:shd w:val="clear" w:color="auto" w:fill="FFFFFF"/>
          <w:lang w:eastAsia="zh-CN"/>
        </w:rPr>
        <w:t>, que significa literalmente "sair de onde se está" ou "estar fora de si". Esta origem linguística captura perfeitamente a experiência central do êxtase - um rompimento dos limites habituais do eu, um deslocamento fundamental da consciência que deixa para trás a identidade pessoal estável. Não se trata de uma metáfora, mas da descrição exata de um estado em que a pessoa realmente sente que transcende seus próprios limites.</w:t>
      </w:r>
    </w:p>
    <w:p w14:paraId="14333F07"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0D05AAF7"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2. A Dimensão Histórico-Clínica: Da Filosofia à Neurociência</w:t>
      </w:r>
    </w:p>
    <w:p w14:paraId="2D7C7AC8"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compreensão do êxtase percorreu um caminho fascinante: começou como conceito filosófico na Grécia Antiga, transformou-se em experiência religiosa no cristianismo, e hoje é estudado como fenômeno neurocientífico. Santa Teresa de Ávila representa um marco crucial nesta jornada, pois suas descrições detalhadas da "união mística" combinavam precisão fenomenológica com profundidade espiritual. No século XX, William James deu o passo decisivo ao defender o êxtase como estado legítimo de consciência, abrindo caminho para que a ciência moderna pudesse estudá-lo sem reduzi-lo à patologia. Experiências extáticas similares </w:t>
      </w:r>
      <w:r>
        <w:rPr>
          <w:rFonts w:ascii="Times New Roman" w:eastAsia="Segoe UI" w:hAnsi="Times New Roman" w:cs="Times New Roman"/>
          <w:sz w:val="24"/>
          <w:szCs w:val="24"/>
          <w:shd w:val="clear" w:color="auto" w:fill="FFFFFF"/>
          <w:lang w:eastAsia="zh-CN"/>
        </w:rPr>
        <w:lastRenderedPageBreak/>
        <w:t xml:space="preserve">são documentadas em diversas tradições culturais, desde o </w:t>
      </w:r>
      <w:proofErr w:type="spellStart"/>
      <w:r>
        <w:rPr>
          <w:rFonts w:ascii="Times New Roman" w:eastAsia="Segoe UI" w:hAnsi="Times New Roman" w:cs="Times New Roman"/>
          <w:sz w:val="24"/>
          <w:szCs w:val="24"/>
          <w:shd w:val="clear" w:color="auto" w:fill="FFFFFF"/>
          <w:lang w:eastAsia="zh-CN"/>
        </w:rPr>
        <w:t>samadhi</w:t>
      </w:r>
      <w:proofErr w:type="spellEnd"/>
      <w:r>
        <w:rPr>
          <w:rFonts w:ascii="Times New Roman" w:eastAsia="Segoe UI" w:hAnsi="Times New Roman" w:cs="Times New Roman"/>
          <w:sz w:val="24"/>
          <w:szCs w:val="24"/>
          <w:shd w:val="clear" w:color="auto" w:fill="FFFFFF"/>
          <w:lang w:eastAsia="zh-CN"/>
        </w:rPr>
        <w:t xml:space="preserve"> no yoga até estados de possessão em tradições africanas e afro-diaspóricas.</w:t>
      </w:r>
    </w:p>
    <w:p w14:paraId="1B7F1536"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755D8830"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3. A Dimensão Neurocientífica: A Biologia da Transcendência</w:t>
      </w:r>
    </w:p>
    <w:p w14:paraId="203E95E5"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 neurociência contemporânea identifica padrões de atividade cerebral consistentemente associados a experiências de "sair de si". Estudos com neuroimagem mostram uma redução significativa da atividade no lobo parietal posterior - região crucial para manter nosso senso de limites corporais e a distinção entre self e mundo. Esta desativação neural está correlacionada com a sensação de dissolução do ego descrita pelos místicos: literalmente, o cérebro perde temporariamente sua capacidade de manter os limites do eu. Ao mesmo tempo, observa-se uma hiperatividade no sistema límbico, responsável pelas emoções intensas que caracterizam essas experiências transcendentais. Embora a neurociência identifique esses padrões, a relação entre correlatos neurais e experiência subjetiva permanece objeto de debate.</w:t>
      </w:r>
    </w:p>
    <w:p w14:paraId="1C0940CB"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2A0773FB"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4. A Dimensão Poético-Filosófica: O Paradoxo da Transcendência</w:t>
      </w:r>
    </w:p>
    <w:p w14:paraId="7AF91B8D"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No plano filosófico, o êxtase representa um dos paradoxos mais profundos da experiência humana: a dissolução do self individual conduz à mais plena sensação de vitalidade e conexão. Como mostra magistralmente a escultura de Bernini, O Êxtase de Santa Teresa, este estado combina agonia e prazer, morte do ego e renascimento espiritual. Esta dimensão paradoxal do êxtase - onde se perde o self para encontrar algo maior - ecoa não apenas nas experiências místicas, mas também nos estados de fluxo criativo, no amor intenso e na contemplação profunda, lembrando-nos que a </w:t>
      </w:r>
      <w:proofErr w:type="spellStart"/>
      <w:r>
        <w:rPr>
          <w:rFonts w:ascii="Times New Roman" w:eastAsia="Segoe UI" w:hAnsi="Times New Roman" w:cs="Times New Roman"/>
          <w:sz w:val="24"/>
          <w:szCs w:val="24"/>
          <w:shd w:val="clear" w:color="auto" w:fill="FFFFFF"/>
          <w:lang w:eastAsia="zh-CN"/>
        </w:rPr>
        <w:t>auto-transcendência</w:t>
      </w:r>
      <w:proofErr w:type="spellEnd"/>
      <w:r>
        <w:rPr>
          <w:rFonts w:ascii="Times New Roman" w:eastAsia="Segoe UI" w:hAnsi="Times New Roman" w:cs="Times New Roman"/>
          <w:sz w:val="24"/>
          <w:szCs w:val="24"/>
          <w:shd w:val="clear" w:color="auto" w:fill="FFFFFF"/>
          <w:lang w:eastAsia="zh-CN"/>
        </w:rPr>
        <w:t xml:space="preserve"> pode ser o caminho para a mais autêntica realização humana.</w:t>
      </w:r>
    </w:p>
    <w:p w14:paraId="41A2F957"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24446808"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Próximo: A Fragmentação do Real</w:t>
      </w:r>
    </w:p>
    <w:p w14:paraId="6F57C42F"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Se o êxtase representa aquela dissolução luminosa do self em uma unidade maior, o delírio se manifesta como sua contraparte obscura - uma fragmentação caótica e angustiante da realidade. Enquanto Santa Teresa encontrou ordem e união no transcendente, Vincent van Gogh enfrentou o colapso devastador de uma mente incapaz de sustentar a realidade consensual, desmoronando em visões fragmentadas e cores alucinadas. É assim que nossa jornada pelos estados da mente nos revela seus limites mais frágeis e impressionantes, levando-nos da união extática à desintegração delirante. Nesse território de extremos, a linha que separa a genialidade da loucura se mostra tão tênue quanto fundamental, lembrando-nos da incrível plasticidade e vulnerabilidade da consciência humana em sua busca por significado e transcendência.</w:t>
      </w:r>
    </w:p>
    <w:tbl>
      <w:tblPr>
        <w:tblStyle w:val="Tabelacomgrade"/>
        <w:tblW w:w="8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477"/>
        <w:gridCol w:w="4270"/>
      </w:tblGrid>
      <w:tr w:rsidR="0003312E" w14:paraId="5C933013" w14:textId="77777777">
        <w:trPr>
          <w:trHeight w:val="470"/>
        </w:trPr>
        <w:tc>
          <w:tcPr>
            <w:tcW w:w="8747" w:type="dxa"/>
            <w:gridSpan w:val="2"/>
            <w:tcBorders>
              <w:top w:val="nil"/>
              <w:left w:val="nil"/>
              <w:bottom w:val="nil"/>
              <w:right w:val="nil"/>
            </w:tcBorders>
          </w:tcPr>
          <w:p w14:paraId="150E31A4"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b/>
                <w:bCs/>
                <w:sz w:val="24"/>
                <w:szCs w:val="24"/>
              </w:rPr>
            </w:pPr>
            <w:r>
              <w:rPr>
                <w:rFonts w:ascii="Times New Roman" w:hAnsi="Times New Roman" w:cs="Times New Roman"/>
                <w:b/>
                <w:bCs/>
                <w:sz w:val="24"/>
                <w:szCs w:val="24"/>
              </w:rPr>
              <w:lastRenderedPageBreak/>
              <w:t xml:space="preserve">Capítulo </w:t>
            </w:r>
            <w:proofErr w:type="gramStart"/>
            <w:r>
              <w:rPr>
                <w:rFonts w:ascii="Times New Roman" w:hAnsi="Times New Roman" w:cs="Times New Roman"/>
                <w:b/>
                <w:bCs/>
                <w:sz w:val="24"/>
                <w:szCs w:val="24"/>
              </w:rPr>
              <w:t>6  -</w:t>
            </w:r>
            <w:proofErr w:type="gramEnd"/>
            <w:r>
              <w:rPr>
                <w:rFonts w:ascii="Times New Roman" w:hAnsi="Times New Roman" w:cs="Times New Roman"/>
                <w:b/>
                <w:bCs/>
                <w:sz w:val="24"/>
                <w:szCs w:val="24"/>
              </w:rPr>
              <w:t xml:space="preserve">  </w:t>
            </w:r>
            <w:r>
              <w:rPr>
                <w:rStyle w:val="Forte"/>
                <w:rFonts w:ascii="Times New Roman" w:eastAsia="Segoe UI" w:hAnsi="Times New Roman" w:cs="Times New Roman"/>
                <w:color w:val="0F1115"/>
                <w:sz w:val="24"/>
                <w:szCs w:val="24"/>
                <w:shd w:val="clear" w:color="auto" w:fill="FFFFFF"/>
              </w:rPr>
              <w:t>Delírio: Sair do Sulco do Pensamento</w:t>
            </w:r>
          </w:p>
        </w:tc>
      </w:tr>
      <w:tr w:rsidR="0003312E" w14:paraId="0DBEBBB6" w14:textId="77777777">
        <w:tc>
          <w:tcPr>
            <w:tcW w:w="4477" w:type="dxa"/>
            <w:tcBorders>
              <w:top w:val="nil"/>
              <w:left w:val="nil"/>
              <w:bottom w:val="nil"/>
              <w:right w:val="nil"/>
            </w:tcBorders>
          </w:tcPr>
          <w:p w14:paraId="15A83E65"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CDA2EA1" wp14:editId="093BC53C">
                  <wp:extent cx="1913255" cy="1585595"/>
                  <wp:effectExtent l="0" t="0" r="6985" b="14605"/>
                  <wp:docPr id="3" name="Imagem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MG_256"/>
                          <pic:cNvPicPr>
                            <a:picLocks noChangeAspect="1"/>
                          </pic:cNvPicPr>
                        </pic:nvPicPr>
                        <pic:blipFill>
                          <a:blip r:embed="rId23"/>
                          <a:srcRect t="29360" r="14777"/>
                          <a:stretch>
                            <a:fillRect/>
                          </a:stretch>
                        </pic:blipFill>
                        <pic:spPr>
                          <a:xfrm>
                            <a:off x="0" y="0"/>
                            <a:ext cx="1913255" cy="1585595"/>
                          </a:xfrm>
                          <a:prstGeom prst="rect">
                            <a:avLst/>
                          </a:prstGeom>
                          <a:noFill/>
                          <a:ln w="9525">
                            <a:noFill/>
                          </a:ln>
                        </pic:spPr>
                      </pic:pic>
                    </a:graphicData>
                  </a:graphic>
                </wp:inline>
              </w:drawing>
            </w:r>
          </w:p>
        </w:tc>
        <w:tc>
          <w:tcPr>
            <w:tcW w:w="4270" w:type="dxa"/>
            <w:tcBorders>
              <w:top w:val="nil"/>
              <w:left w:val="nil"/>
              <w:bottom w:val="nil"/>
              <w:right w:val="nil"/>
            </w:tcBorders>
          </w:tcPr>
          <w:p w14:paraId="726E54F9"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550A5441" wp14:editId="084F2A11">
                  <wp:extent cx="1228725" cy="1626870"/>
                  <wp:effectExtent l="0" t="0" r="5715" b="3810"/>
                  <wp:docPr id="53" name="Imagem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22" descr="IMG_256"/>
                          <pic:cNvPicPr>
                            <a:picLocks noChangeAspect="1"/>
                          </pic:cNvPicPr>
                        </pic:nvPicPr>
                        <pic:blipFill>
                          <a:blip r:embed="rId24"/>
                          <a:srcRect b="11746"/>
                          <a:stretch>
                            <a:fillRect/>
                          </a:stretch>
                        </pic:blipFill>
                        <pic:spPr>
                          <a:xfrm>
                            <a:off x="0" y="0"/>
                            <a:ext cx="1228725" cy="1626870"/>
                          </a:xfrm>
                          <a:prstGeom prst="rect">
                            <a:avLst/>
                          </a:prstGeom>
                          <a:noFill/>
                          <a:ln w="9525">
                            <a:noFill/>
                          </a:ln>
                        </pic:spPr>
                      </pic:pic>
                    </a:graphicData>
                  </a:graphic>
                </wp:inline>
              </w:drawing>
            </w:r>
          </w:p>
        </w:tc>
      </w:tr>
      <w:tr w:rsidR="0003312E" w14:paraId="769EEB28" w14:textId="77777777">
        <w:trPr>
          <w:trHeight w:val="476"/>
        </w:trPr>
        <w:tc>
          <w:tcPr>
            <w:tcW w:w="4477" w:type="dxa"/>
            <w:tcBorders>
              <w:top w:val="nil"/>
              <w:left w:val="nil"/>
              <w:bottom w:val="nil"/>
              <w:right w:val="nil"/>
            </w:tcBorders>
          </w:tcPr>
          <w:p w14:paraId="6933F448"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6.1: O Campo que se Desvia: Quando o Pensamento Perde o Sulco</w:t>
            </w:r>
          </w:p>
        </w:tc>
        <w:tc>
          <w:tcPr>
            <w:tcW w:w="4270" w:type="dxa"/>
            <w:tcBorders>
              <w:top w:val="nil"/>
              <w:left w:val="nil"/>
              <w:bottom w:val="nil"/>
              <w:right w:val="nil"/>
            </w:tcBorders>
          </w:tcPr>
          <w:p w14:paraId="092F4CB8"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 xml:space="preserve">Figura 6.2: </w:t>
            </w:r>
            <w:r>
              <w:rPr>
                <w:rStyle w:val="Forte"/>
                <w:rFonts w:ascii="Times New Roman" w:eastAsia="Segoe UI" w:hAnsi="Times New Roman" w:cs="Times New Roman"/>
                <w:b w:val="0"/>
                <w:bCs w:val="0"/>
                <w:i/>
                <w:iCs/>
                <w:sz w:val="24"/>
                <w:szCs w:val="24"/>
                <w:shd w:val="clear" w:color="auto" w:fill="FFFFFF"/>
              </w:rPr>
              <w:t xml:space="preserve">A Mente que Ara Fora do Sulco:  </w:t>
            </w:r>
            <w:r>
              <w:rPr>
                <w:rFonts w:ascii="Times New Roman" w:eastAsiaTheme="majorEastAsia" w:hAnsi="Times New Roman" w:cs="Times New Roman"/>
                <w:i/>
                <w:iCs/>
                <w:sz w:val="24"/>
                <w:szCs w:val="24"/>
              </w:rPr>
              <w:t xml:space="preserve">Vincent van Gogh </w:t>
            </w:r>
            <w:r>
              <w:rPr>
                <w:rStyle w:val="Forte"/>
                <w:rFonts w:ascii="Times New Roman" w:eastAsia="Segoe UI" w:hAnsi="Times New Roman" w:cs="Times New Roman"/>
                <w:b w:val="0"/>
                <w:bCs w:val="0"/>
                <w:i/>
                <w:iCs/>
                <w:sz w:val="24"/>
                <w:szCs w:val="24"/>
                <w:shd w:val="clear" w:color="auto" w:fill="FFFFFF"/>
              </w:rPr>
              <w:t>(1853 - 1890) e a Colheita do Invisível</w:t>
            </w:r>
          </w:p>
        </w:tc>
      </w:tr>
    </w:tbl>
    <w:p w14:paraId="49B06633"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0F4D985C"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Delírio em Poucas Palavras: Quando a Mente Sai do Rumo</w:t>
      </w:r>
    </w:p>
    <w:p w14:paraId="2EDAAF21"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O fenômeno do delírio nos convida a explorar um dos estados mais complexos da mente humana, e para compreendê-lo em sua totalidade, percorreremos quatro dimensões fundamentais que se entrelaçam. A primeira nos revela sua origem etimológica, que significa literalmente "sair do sulco", uma imagem que já antecipa a natureza desse desvio cognitivo. A segunda nos guia por sua intricada jornada histórica, que parte de interpretações de possessão demoníaca e chega a uma compreensão médica mais sofisticada. A terceira dimensão desvenda os mecanismos neurocientíficos por trás dessa profunda desconexão com a realidade. E a quarta nos leva ao plano filosófico e artístico, onde o delírio se revela como um paradoxo criativo de grande complexidade. São essas quatro perspectivas, meticulosamente integradas na seção final, que nos oferecem uma compreensão profunda e multidimensional desse estado de desorganização mental que tanto desafia nossa compreensão da sanidade.</w:t>
      </w:r>
    </w:p>
    <w:p w14:paraId="167D5730"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A Jornada da Palavra: Do Campo à Clínica - Uma História Conceptual Complexa</w:t>
      </w:r>
    </w:p>
    <w:p w14:paraId="618689E1"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A história do delírio reflete a trajetória da humanidade ao compreender a loucura, transitando de interpretações sobrenaturais para explicações médicas. Na Roma Antiga, </w:t>
      </w:r>
      <w:proofErr w:type="spellStart"/>
      <w:r>
        <w:rPr>
          <w:rStyle w:val="nfase"/>
          <w:rFonts w:eastAsia="Segoe UI"/>
          <w:i w:val="0"/>
          <w:iCs w:val="0"/>
          <w:color w:val="0F1115"/>
          <w:sz w:val="24"/>
          <w:shd w:val="clear" w:color="auto" w:fill="FFFFFF"/>
          <w:lang w:val="pt-BR"/>
        </w:rPr>
        <w:t>dēlīrāre</w:t>
      </w:r>
      <w:proofErr w:type="spellEnd"/>
      <w:r>
        <w:rPr>
          <w:rFonts w:eastAsia="Segoe UI"/>
          <w:color w:val="0F1115"/>
          <w:sz w:val="24"/>
          <w:shd w:val="clear" w:color="auto" w:fill="FFFFFF"/>
          <w:lang w:val="pt-BR"/>
        </w:rPr>
        <w:t> era um termo agrícola que logo adquiriu sentido metafórico: o pensamento que se desvia do sulco da lógica. Esta origem etimológica explica a abrangência conceptual do termo nas línguas latinas, referindo-se inicialmente a qualquer afastamento da normalidade.</w:t>
      </w:r>
    </w:p>
    <w:p w14:paraId="0164547C"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 xml:space="preserve">Na Idade Média, o delírio passou a ser visto como possessão, um território de batalha entre forças divinas e demoníacas, sem intervenção médica, onde exorcismos e peregrinações substituíam qualquer cuidado clínico. Esta visão começou a mudar significativamente antes do século XVIII, com autores como Pedro de Heredia (1579-1655), que em seu "Tratado do </w:t>
      </w:r>
      <w:r>
        <w:rPr>
          <w:rFonts w:eastAsia="Segoe UI"/>
          <w:color w:val="0F1115"/>
          <w:sz w:val="24"/>
          <w:shd w:val="clear" w:color="auto" w:fill="FFFFFF"/>
          <w:lang w:val="pt-BR"/>
        </w:rPr>
        <w:lastRenderedPageBreak/>
        <w:t xml:space="preserve">delírio" já enfatizava a importância da razão, considerando que "a razão é a potência príncipe que rege e governa todas as outras, e cuja </w:t>
      </w:r>
      <w:proofErr w:type="spellStart"/>
      <w:r>
        <w:rPr>
          <w:rFonts w:eastAsia="Segoe UI"/>
          <w:color w:val="0F1115"/>
          <w:sz w:val="24"/>
          <w:shd w:val="clear" w:color="auto" w:fill="FFFFFF"/>
          <w:lang w:val="pt-BR"/>
        </w:rPr>
        <w:t>actividade</w:t>
      </w:r>
      <w:proofErr w:type="spellEnd"/>
      <w:r>
        <w:rPr>
          <w:rFonts w:eastAsia="Segoe UI"/>
          <w:color w:val="0F1115"/>
          <w:sz w:val="24"/>
          <w:shd w:val="clear" w:color="auto" w:fill="FFFFFF"/>
          <w:lang w:val="pt-BR"/>
        </w:rPr>
        <w:t xml:space="preserve"> desajustada é o delírio".</w:t>
      </w:r>
    </w:p>
    <w:p w14:paraId="0109C110"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 xml:space="preserve">A virada decisiva ocorreu com Philippe Pinel, no século XVIII. No asilo de </w:t>
      </w:r>
      <w:proofErr w:type="spellStart"/>
      <w:r>
        <w:rPr>
          <w:rFonts w:eastAsia="Segoe UI"/>
          <w:color w:val="0F1115"/>
          <w:sz w:val="24"/>
          <w:shd w:val="clear" w:color="auto" w:fill="FFFFFF"/>
          <w:lang w:val="pt-BR"/>
        </w:rPr>
        <w:t>Bicêtre</w:t>
      </w:r>
      <w:proofErr w:type="spellEnd"/>
      <w:r>
        <w:rPr>
          <w:rFonts w:eastAsia="Segoe UI"/>
          <w:color w:val="0F1115"/>
          <w:sz w:val="24"/>
          <w:shd w:val="clear" w:color="auto" w:fill="FFFFFF"/>
          <w:lang w:val="pt-BR"/>
        </w:rPr>
        <w:t xml:space="preserve">, Pinel libertou os pacientes das correntes e propôs que o delírio não constituía punição divina, mas sim "alienação mental" - uma doença merecedora de estudo científico. No século XIX, Jean-Étienne </w:t>
      </w:r>
      <w:proofErr w:type="spellStart"/>
      <w:r>
        <w:rPr>
          <w:rFonts w:eastAsia="Segoe UI"/>
          <w:color w:val="0F1115"/>
          <w:sz w:val="24"/>
          <w:shd w:val="clear" w:color="auto" w:fill="FFFFFF"/>
          <w:lang w:val="pt-BR"/>
        </w:rPr>
        <w:t>Esquirol</w:t>
      </w:r>
      <w:proofErr w:type="spellEnd"/>
      <w:r>
        <w:rPr>
          <w:rFonts w:eastAsia="Segoe UI"/>
          <w:color w:val="0F1115"/>
          <w:sz w:val="24"/>
          <w:shd w:val="clear" w:color="auto" w:fill="FFFFFF"/>
          <w:lang w:val="pt-BR"/>
        </w:rPr>
        <w:t xml:space="preserve"> refinou o conceito, diferenciando o delírio generalizado da "monomania", fixação obsessiva em um único tema.</w:t>
      </w:r>
    </w:p>
    <w:p w14:paraId="6E403623" w14:textId="77777777" w:rsidR="0003312E" w:rsidRDefault="0003312E">
      <w:pPr>
        <w:pStyle w:val="NormalWeb"/>
        <w:shd w:val="clear" w:color="auto" w:fill="FFFFFF"/>
        <w:spacing w:beforeAutospacing="0" w:after="0" w:afterAutospacing="0" w:line="360" w:lineRule="auto"/>
        <w:ind w:firstLine="709"/>
        <w:jc w:val="both"/>
        <w:rPr>
          <w:rStyle w:val="Forte"/>
          <w:rFonts w:eastAsia="Segoe UI"/>
          <w:color w:val="0F1115"/>
          <w:sz w:val="24"/>
          <w:shd w:val="clear" w:color="auto" w:fill="FFFFFF"/>
          <w:lang w:val="pt-BR"/>
        </w:rPr>
      </w:pPr>
    </w:p>
    <w:p w14:paraId="3069D250"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A Grande Divergência Conceptual: Escolas Francesa, Alemã e Inglesa</w:t>
      </w:r>
    </w:p>
    <w:p w14:paraId="66B62073"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O século XIX testemunhou uma divergência fundamental na compreensão do delírio entre as diferentes escolas psiquiátricas:</w:t>
      </w:r>
    </w:p>
    <w:p w14:paraId="7407D05D"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nfase"/>
          <w:rFonts w:eastAsia="Segoe UI"/>
          <w:i w:val="0"/>
          <w:iCs w:val="0"/>
          <w:color w:val="0F1115"/>
          <w:sz w:val="24"/>
          <w:shd w:val="clear" w:color="auto" w:fill="FFFFFF"/>
          <w:lang w:val="pt-BR"/>
        </w:rPr>
        <w:t>Na Escola Francesa</w:t>
      </w:r>
      <w:r>
        <w:rPr>
          <w:rFonts w:eastAsia="Segoe UI"/>
          <w:color w:val="0F1115"/>
          <w:sz w:val="24"/>
          <w:shd w:val="clear" w:color="auto" w:fill="FFFFFF"/>
          <w:lang w:val="pt-BR"/>
        </w:rPr>
        <w:t> prevaleceu uma conceção ampla do "</w:t>
      </w:r>
      <w:proofErr w:type="spellStart"/>
      <w:r>
        <w:rPr>
          <w:rFonts w:eastAsia="Segoe UI"/>
          <w:color w:val="0F1115"/>
          <w:sz w:val="24"/>
          <w:shd w:val="clear" w:color="auto" w:fill="FFFFFF"/>
          <w:lang w:val="pt-BR"/>
        </w:rPr>
        <w:t>délire</w:t>
      </w:r>
      <w:proofErr w:type="spellEnd"/>
      <w:r>
        <w:rPr>
          <w:rFonts w:eastAsia="Segoe UI"/>
          <w:color w:val="0F1115"/>
          <w:sz w:val="24"/>
          <w:shd w:val="clear" w:color="auto" w:fill="FFFFFF"/>
          <w:lang w:val="pt-BR"/>
        </w:rPr>
        <w:t xml:space="preserve">" como síndrome multidimensional. Autores como </w:t>
      </w:r>
      <w:proofErr w:type="spellStart"/>
      <w:r>
        <w:rPr>
          <w:rFonts w:eastAsia="Segoe UI"/>
          <w:color w:val="0F1115"/>
          <w:sz w:val="24"/>
          <w:shd w:val="clear" w:color="auto" w:fill="FFFFFF"/>
          <w:lang w:val="pt-BR"/>
        </w:rPr>
        <w:t>Falret</w:t>
      </w:r>
      <w:proofErr w:type="spellEnd"/>
      <w:r>
        <w:rPr>
          <w:rFonts w:eastAsia="Segoe UI"/>
          <w:color w:val="0F1115"/>
          <w:sz w:val="24"/>
          <w:shd w:val="clear" w:color="auto" w:fill="FFFFFF"/>
          <w:lang w:val="pt-BR"/>
        </w:rPr>
        <w:t xml:space="preserve"> (1794-1870) mantinham que "delírio inclui em geral todas as perturbações da inteligência qualquer que seja a causa, origem e duração". Esta visão abrangente dificultava a distinção entre delírio e alucinações, sendo comum considerar a alucinação como "uma forma de delírio". Jules </w:t>
      </w:r>
      <w:proofErr w:type="spellStart"/>
      <w:r>
        <w:rPr>
          <w:rFonts w:eastAsia="Segoe UI"/>
          <w:color w:val="0F1115"/>
          <w:sz w:val="24"/>
          <w:shd w:val="clear" w:color="auto" w:fill="FFFFFF"/>
          <w:lang w:val="pt-BR"/>
        </w:rPr>
        <w:t>Séglas</w:t>
      </w:r>
      <w:proofErr w:type="spellEnd"/>
      <w:r>
        <w:rPr>
          <w:rFonts w:eastAsia="Segoe UI"/>
          <w:color w:val="0F1115"/>
          <w:sz w:val="24"/>
          <w:shd w:val="clear" w:color="auto" w:fill="FFFFFF"/>
          <w:lang w:val="pt-BR"/>
        </w:rPr>
        <w:t xml:space="preserve"> (1856-1939) viria a fazer contribuições importantes ao sublinhar que uma característica central do delírio é que o paciente "tem estas ideias como verdadeiras, sem verificação prévia e com uma absoluta falta de crítica".</w:t>
      </w:r>
    </w:p>
    <w:p w14:paraId="6AD171E6"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nfase"/>
          <w:rFonts w:eastAsia="Segoe UI"/>
          <w:i w:val="0"/>
          <w:iCs w:val="0"/>
          <w:color w:val="0F1115"/>
          <w:sz w:val="24"/>
          <w:shd w:val="clear" w:color="auto" w:fill="FFFFFF"/>
          <w:lang w:val="pt-BR"/>
        </w:rPr>
        <w:t>Em contraste, as escolas Alemã e Inglesa</w:t>
      </w:r>
      <w:r>
        <w:rPr>
          <w:rFonts w:eastAsia="Segoe UI"/>
          <w:color w:val="0F1115"/>
          <w:sz w:val="24"/>
          <w:shd w:val="clear" w:color="auto" w:fill="FFFFFF"/>
          <w:lang w:val="pt-BR"/>
        </w:rPr>
        <w:t> adotaram termos mais restritos - </w:t>
      </w:r>
      <w:proofErr w:type="spellStart"/>
      <w:r>
        <w:rPr>
          <w:rStyle w:val="nfase"/>
          <w:rFonts w:eastAsia="Segoe UI"/>
          <w:i w:val="0"/>
          <w:iCs w:val="0"/>
          <w:color w:val="0F1115"/>
          <w:sz w:val="24"/>
          <w:shd w:val="clear" w:color="auto" w:fill="FFFFFF"/>
          <w:lang w:val="pt-BR"/>
        </w:rPr>
        <w:t>Wahn</w:t>
      </w:r>
      <w:proofErr w:type="spellEnd"/>
      <w:r>
        <w:rPr>
          <w:rFonts w:eastAsia="Segoe UI"/>
          <w:color w:val="0F1115"/>
          <w:sz w:val="24"/>
          <w:shd w:val="clear" w:color="auto" w:fill="FFFFFF"/>
          <w:lang w:val="pt-BR"/>
        </w:rPr>
        <w:t> e </w:t>
      </w:r>
      <w:proofErr w:type="spellStart"/>
      <w:r>
        <w:rPr>
          <w:rStyle w:val="nfase"/>
          <w:rFonts w:eastAsia="Segoe UI"/>
          <w:i w:val="0"/>
          <w:iCs w:val="0"/>
          <w:color w:val="0F1115"/>
          <w:sz w:val="24"/>
          <w:shd w:val="clear" w:color="auto" w:fill="FFFFFF"/>
          <w:lang w:val="pt-BR"/>
        </w:rPr>
        <w:t>delusion</w:t>
      </w:r>
      <w:proofErr w:type="spellEnd"/>
      <w:r>
        <w:rPr>
          <w:rFonts w:eastAsia="Segoe UI"/>
          <w:color w:val="0F1115"/>
          <w:sz w:val="24"/>
          <w:shd w:val="clear" w:color="auto" w:fill="FFFFFF"/>
          <w:lang w:val="pt-BR"/>
        </w:rPr>
        <w:t> - manifestando desde o século XVIII um descontentamento com a indefinição do conceito francês. Thomas Arnold (1742-1816) já expressava esta insatisfação: "o termo delirium tem sido adoptado universalmente... No entanto tem sido definido de forma diferente pelos vários autores, por muitos nem definido de todo e por nenhum tão bem quanto seria desejável". Esta postura refletia uma tendência anglo-germânica para encontrar um termo que restringisse o conceito às alterações do conteúdo do pensamento.</w:t>
      </w:r>
    </w:p>
    <w:p w14:paraId="000B76F9" w14:textId="77777777" w:rsidR="0003312E" w:rsidRDefault="0003312E">
      <w:pPr>
        <w:pStyle w:val="NormalWeb"/>
        <w:shd w:val="clear" w:color="auto" w:fill="FFFFFF"/>
        <w:spacing w:beforeAutospacing="0" w:after="0" w:afterAutospacing="0" w:line="360" w:lineRule="auto"/>
        <w:ind w:firstLine="709"/>
        <w:jc w:val="both"/>
        <w:rPr>
          <w:rStyle w:val="Forte"/>
          <w:rFonts w:eastAsia="Segoe UI"/>
          <w:color w:val="0F1115"/>
          <w:sz w:val="24"/>
          <w:shd w:val="clear" w:color="auto" w:fill="FFFFFF"/>
          <w:lang w:val="pt-BR"/>
        </w:rPr>
      </w:pPr>
    </w:p>
    <w:p w14:paraId="52DFF005"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A Sistematização do Século XX e a Neurociência Contemporânea</w:t>
      </w:r>
    </w:p>
    <w:p w14:paraId="7407C72E"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 xml:space="preserve">O século XX trouxe a sistematização conceitual com Karl </w:t>
      </w:r>
      <w:proofErr w:type="spellStart"/>
      <w:r>
        <w:rPr>
          <w:rFonts w:eastAsia="Segoe UI"/>
          <w:color w:val="0F1115"/>
          <w:sz w:val="24"/>
          <w:shd w:val="clear" w:color="auto" w:fill="FFFFFF"/>
          <w:lang w:val="pt-BR"/>
        </w:rPr>
        <w:t>Jaspers</w:t>
      </w:r>
      <w:proofErr w:type="spellEnd"/>
      <w:r>
        <w:rPr>
          <w:rFonts w:eastAsia="Segoe UI"/>
          <w:color w:val="0F1115"/>
          <w:sz w:val="24"/>
          <w:shd w:val="clear" w:color="auto" w:fill="FFFFFF"/>
          <w:lang w:val="pt-BR"/>
        </w:rPr>
        <w:t xml:space="preserve"> (1883-1969), que na sua "Psicopatologia Geral" (1913) definiu criteriosamente as ideias delirantes como juízos falsos caracterizados por: 1) irredutibilidade perante argumentação lógica; 2) convicção plena; e 3) conteúdo impossível. Desenvolveram-se depois as formas de delírio primário com contributos de </w:t>
      </w:r>
      <w:proofErr w:type="spellStart"/>
      <w:r>
        <w:rPr>
          <w:rFonts w:eastAsia="Segoe UI"/>
          <w:color w:val="0F1115"/>
          <w:sz w:val="24"/>
          <w:shd w:val="clear" w:color="auto" w:fill="FFFFFF"/>
          <w:lang w:val="pt-BR"/>
        </w:rPr>
        <w:t>Gruhle</w:t>
      </w:r>
      <w:proofErr w:type="spellEnd"/>
      <w:r>
        <w:rPr>
          <w:rFonts w:eastAsia="Segoe UI"/>
          <w:color w:val="0F1115"/>
          <w:sz w:val="24"/>
          <w:shd w:val="clear" w:color="auto" w:fill="FFFFFF"/>
          <w:lang w:val="pt-BR"/>
        </w:rPr>
        <w:t xml:space="preserve"> (1880-1958) e Kurt Schneider (1887-1967).</w:t>
      </w:r>
    </w:p>
    <w:p w14:paraId="6971359B"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shd w:val="clear" w:color="auto" w:fill="FFFFFF"/>
          <w:lang w:val="pt-BR"/>
        </w:rPr>
      </w:pPr>
      <w:r>
        <w:rPr>
          <w:rFonts w:eastAsia="Segoe UI"/>
          <w:color w:val="0F1115"/>
          <w:sz w:val="24"/>
          <w:shd w:val="clear" w:color="auto" w:fill="FFFFFF"/>
          <w:lang w:val="pt-BR"/>
        </w:rPr>
        <w:t>Atualmente, o DSM-5 define o </w:t>
      </w:r>
      <w:r>
        <w:rPr>
          <w:rStyle w:val="nfase"/>
          <w:rFonts w:eastAsia="Segoe UI"/>
          <w:i w:val="0"/>
          <w:iCs w:val="0"/>
          <w:color w:val="0F1115"/>
          <w:sz w:val="24"/>
          <w:shd w:val="clear" w:color="auto" w:fill="FFFFFF"/>
          <w:lang w:val="pt-BR"/>
        </w:rPr>
        <w:t>delirium</w:t>
      </w:r>
      <w:r>
        <w:rPr>
          <w:rFonts w:eastAsia="Segoe UI"/>
          <w:color w:val="0F1115"/>
          <w:sz w:val="24"/>
          <w:shd w:val="clear" w:color="auto" w:fill="FFFFFF"/>
          <w:lang w:val="pt-BR"/>
        </w:rPr>
        <w:t xml:space="preserve"> como transtorno </w:t>
      </w:r>
      <w:proofErr w:type="spellStart"/>
      <w:r>
        <w:rPr>
          <w:rFonts w:eastAsia="Segoe UI"/>
          <w:color w:val="0F1115"/>
          <w:sz w:val="24"/>
          <w:shd w:val="clear" w:color="auto" w:fill="FFFFFF"/>
          <w:lang w:val="pt-BR"/>
        </w:rPr>
        <w:t>neurocognitivo</w:t>
      </w:r>
      <w:proofErr w:type="spellEnd"/>
      <w:r>
        <w:rPr>
          <w:rFonts w:eastAsia="Segoe UI"/>
          <w:color w:val="0F1115"/>
          <w:sz w:val="24"/>
          <w:shd w:val="clear" w:color="auto" w:fill="FFFFFF"/>
          <w:lang w:val="pt-BR"/>
        </w:rPr>
        <w:t xml:space="preserve"> agudo, com critérios objetivos de desatenção e desorganização do pensamento, enquanto os </w:t>
      </w:r>
      <w:r>
        <w:rPr>
          <w:rStyle w:val="nfase"/>
          <w:rFonts w:eastAsia="Segoe UI"/>
          <w:i w:val="0"/>
          <w:iCs w:val="0"/>
          <w:color w:val="0F1115"/>
          <w:sz w:val="24"/>
          <w:shd w:val="clear" w:color="auto" w:fill="FFFFFF"/>
          <w:lang w:val="pt-BR"/>
        </w:rPr>
        <w:t>delírios</w:t>
      </w:r>
      <w:r>
        <w:rPr>
          <w:rFonts w:eastAsia="Segoe UI"/>
          <w:color w:val="0F1115"/>
          <w:sz w:val="24"/>
          <w:shd w:val="clear" w:color="auto" w:fill="FFFFFF"/>
          <w:lang w:val="pt-BR"/>
        </w:rPr>
        <w:t xml:space="preserve"> são </w:t>
      </w:r>
      <w:r>
        <w:rPr>
          <w:rFonts w:eastAsia="Segoe UI"/>
          <w:color w:val="0F1115"/>
          <w:sz w:val="24"/>
          <w:shd w:val="clear" w:color="auto" w:fill="FFFFFF"/>
          <w:lang w:val="pt-BR"/>
        </w:rPr>
        <w:lastRenderedPageBreak/>
        <w:t>classificados como sintomas de transtornos psicóticos. Ainda assim, o estigma cultural persiste: o delírio continua a ser o território onde a razão tropeça.</w:t>
      </w:r>
    </w:p>
    <w:p w14:paraId="37226BED" w14:textId="77777777" w:rsidR="0003312E" w:rsidRDefault="0003312E">
      <w:pPr>
        <w:pStyle w:val="NormalWeb"/>
        <w:shd w:val="clear" w:color="auto" w:fill="FFFFFF"/>
        <w:spacing w:beforeAutospacing="0" w:after="0" w:afterAutospacing="0" w:line="360" w:lineRule="auto"/>
        <w:ind w:firstLine="709"/>
        <w:jc w:val="both"/>
        <w:rPr>
          <w:rFonts w:eastAsia="Segoe UI"/>
          <w:color w:val="0F1115"/>
          <w:sz w:val="24"/>
          <w:lang w:val="pt-BR"/>
        </w:rPr>
      </w:pPr>
    </w:p>
    <w:p w14:paraId="3E933D29"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Quadro 6.1. A Evolução do Delírio: Do Sulco à Sinapse</w:t>
      </w:r>
    </w:p>
    <w:tbl>
      <w:tblPr>
        <w:tblW w:w="0" w:type="auto"/>
        <w:tblCellMar>
          <w:top w:w="15" w:type="dxa"/>
          <w:left w:w="15" w:type="dxa"/>
          <w:bottom w:w="15" w:type="dxa"/>
          <w:right w:w="15" w:type="dxa"/>
        </w:tblCellMar>
        <w:tblLook w:val="04A0" w:firstRow="1" w:lastRow="0" w:firstColumn="1" w:lastColumn="0" w:noHBand="0" w:noVBand="1"/>
      </w:tblPr>
      <w:tblGrid>
        <w:gridCol w:w="1161"/>
        <w:gridCol w:w="1957"/>
        <w:gridCol w:w="5953"/>
      </w:tblGrid>
      <w:tr w:rsidR="0003312E" w14:paraId="1DF024BF" w14:textId="77777777">
        <w:trPr>
          <w:tblHeader/>
        </w:trPr>
        <w:tc>
          <w:tcPr>
            <w:tcW w:w="0" w:type="auto"/>
            <w:tcBorders>
              <w:top w:val="nil"/>
            </w:tcBorders>
            <w:tcMar>
              <w:top w:w="120" w:type="dxa"/>
              <w:left w:w="0" w:type="dxa"/>
              <w:bottom w:w="120" w:type="dxa"/>
              <w:right w:w="192" w:type="dxa"/>
            </w:tcMar>
            <w:vAlign w:val="center"/>
          </w:tcPr>
          <w:p w14:paraId="319E3479"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Época</w:t>
            </w:r>
            <w:proofErr w:type="spellEnd"/>
          </w:p>
        </w:tc>
        <w:tc>
          <w:tcPr>
            <w:tcW w:w="0" w:type="auto"/>
            <w:tcBorders>
              <w:top w:val="nil"/>
            </w:tcBorders>
            <w:tcMar>
              <w:top w:w="120" w:type="dxa"/>
              <w:left w:w="192" w:type="dxa"/>
              <w:bottom w:w="120" w:type="dxa"/>
              <w:right w:w="192" w:type="dxa"/>
            </w:tcMar>
            <w:vAlign w:val="center"/>
          </w:tcPr>
          <w:p w14:paraId="1D4FD2FC" w14:textId="77777777" w:rsidR="0003312E" w:rsidRDefault="00000000">
            <w:pPr>
              <w:spacing w:after="0" w:line="240" w:lineRule="auto"/>
              <w:rPr>
                <w:rFonts w:ascii="Times New Roman" w:eastAsia="Segoe UI" w:hAnsi="Times New Roman" w:cs="Times New Roman"/>
                <w:b/>
                <w:bCs/>
                <w:sz w:val="20"/>
                <w:szCs w:val="20"/>
              </w:rPr>
            </w:pPr>
            <w:r>
              <w:rPr>
                <w:rFonts w:ascii="Times New Roman" w:eastAsia="Segoe UI" w:hAnsi="Times New Roman" w:cs="Times New Roman"/>
                <w:b/>
                <w:bCs/>
                <w:kern w:val="0"/>
                <w:sz w:val="20"/>
                <w:szCs w:val="20"/>
                <w:lang w:val="en-US" w:eastAsia="zh-CN" w:bidi="ar"/>
              </w:rPr>
              <w:t>Marco</w:t>
            </w:r>
          </w:p>
        </w:tc>
        <w:tc>
          <w:tcPr>
            <w:tcW w:w="0" w:type="auto"/>
            <w:tcBorders>
              <w:top w:val="nil"/>
            </w:tcBorders>
            <w:tcMar>
              <w:top w:w="120" w:type="dxa"/>
              <w:left w:w="192" w:type="dxa"/>
              <w:bottom w:w="120" w:type="dxa"/>
              <w:right w:w="192" w:type="dxa"/>
            </w:tcMar>
            <w:vAlign w:val="center"/>
          </w:tcPr>
          <w:p w14:paraId="1A5DDCE6"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Significado</w:t>
            </w:r>
            <w:proofErr w:type="spellEnd"/>
            <w:r>
              <w:rPr>
                <w:rFonts w:ascii="Times New Roman" w:eastAsia="Segoe UI" w:hAnsi="Times New Roman" w:cs="Times New Roman"/>
                <w:b/>
                <w:bCs/>
                <w:kern w:val="0"/>
                <w:sz w:val="20"/>
                <w:szCs w:val="20"/>
                <w:lang w:val="en-US" w:eastAsia="zh-CN" w:bidi="ar"/>
              </w:rPr>
              <w:t xml:space="preserve"> e Impacto</w:t>
            </w:r>
          </w:p>
        </w:tc>
      </w:tr>
      <w:tr w:rsidR="0003312E" w14:paraId="0C9548C2" w14:textId="77777777">
        <w:tc>
          <w:tcPr>
            <w:tcW w:w="0" w:type="auto"/>
            <w:tcMar>
              <w:top w:w="120" w:type="dxa"/>
              <w:left w:w="0" w:type="dxa"/>
              <w:bottom w:w="120" w:type="dxa"/>
              <w:right w:w="192" w:type="dxa"/>
            </w:tcMar>
            <w:vAlign w:val="center"/>
          </w:tcPr>
          <w:p w14:paraId="20BE67EA" w14:textId="77777777" w:rsidR="0003312E" w:rsidRDefault="00000000">
            <w:pPr>
              <w:spacing w:after="0" w:line="240" w:lineRule="auto"/>
              <w:rPr>
                <w:rFonts w:ascii="Times New Roman" w:eastAsia="Segoe UI" w:hAnsi="Times New Roman" w:cs="Times New Roman"/>
                <w:b/>
                <w:bCs/>
                <w:sz w:val="20"/>
                <w:szCs w:val="20"/>
              </w:rPr>
            </w:pPr>
            <w:r>
              <w:rPr>
                <w:rFonts w:ascii="Times New Roman" w:eastAsia="Segoe UI" w:hAnsi="Times New Roman" w:cs="Times New Roman"/>
                <w:b/>
                <w:bCs/>
                <w:kern w:val="0"/>
                <w:sz w:val="20"/>
                <w:szCs w:val="20"/>
                <w:lang w:val="en-US" w:eastAsia="zh-CN" w:bidi="ar"/>
              </w:rPr>
              <w:t xml:space="preserve">Roma </w:t>
            </w:r>
            <w:proofErr w:type="spellStart"/>
            <w:r>
              <w:rPr>
                <w:rFonts w:ascii="Times New Roman" w:eastAsia="Segoe UI" w:hAnsi="Times New Roman" w:cs="Times New Roman"/>
                <w:b/>
                <w:bCs/>
                <w:kern w:val="0"/>
                <w:sz w:val="20"/>
                <w:szCs w:val="20"/>
                <w:lang w:val="en-US" w:eastAsia="zh-CN" w:bidi="ar"/>
              </w:rPr>
              <w:t>Antiga</w:t>
            </w:r>
            <w:proofErr w:type="spellEnd"/>
          </w:p>
        </w:tc>
        <w:tc>
          <w:tcPr>
            <w:tcW w:w="0" w:type="auto"/>
            <w:tcMar>
              <w:top w:w="120" w:type="dxa"/>
              <w:left w:w="192" w:type="dxa"/>
              <w:bottom w:w="120" w:type="dxa"/>
              <w:right w:w="192" w:type="dxa"/>
            </w:tcMar>
            <w:vAlign w:val="center"/>
          </w:tcPr>
          <w:p w14:paraId="43A53C26" w14:textId="77777777" w:rsidR="0003312E" w:rsidRDefault="00000000">
            <w:pPr>
              <w:spacing w:after="0" w:line="240" w:lineRule="auto"/>
              <w:rPr>
                <w:rFonts w:ascii="Times New Roman" w:eastAsia="Segoe UI" w:hAnsi="Times New Roman" w:cs="Times New Roman"/>
                <w:sz w:val="20"/>
                <w:szCs w:val="20"/>
              </w:rPr>
            </w:pPr>
            <w:proofErr w:type="spellStart"/>
            <w:r>
              <w:rPr>
                <w:rStyle w:val="nfase"/>
                <w:rFonts w:ascii="Times New Roman" w:eastAsia="Segoe UI" w:hAnsi="Times New Roman" w:cs="Times New Roman"/>
                <w:kern w:val="0"/>
                <w:sz w:val="20"/>
                <w:szCs w:val="20"/>
                <w:lang w:val="en-US" w:eastAsia="zh-CN" w:bidi="ar"/>
              </w:rPr>
              <w:t>dēlīrāre</w:t>
            </w:r>
            <w:proofErr w:type="spellEnd"/>
            <w:r>
              <w:rPr>
                <w:rFonts w:ascii="Times New Roman" w:eastAsia="Segoe UI" w:hAnsi="Times New Roman" w:cs="Times New Roman"/>
                <w:kern w:val="0"/>
                <w:sz w:val="20"/>
                <w:szCs w:val="20"/>
                <w:lang w:val="en-US" w:eastAsia="zh-CN" w:bidi="ar"/>
              </w:rPr>
              <w:t> = "</w:t>
            </w:r>
            <w:proofErr w:type="spellStart"/>
            <w:r>
              <w:rPr>
                <w:rFonts w:ascii="Times New Roman" w:eastAsia="Segoe UI" w:hAnsi="Times New Roman" w:cs="Times New Roman"/>
                <w:kern w:val="0"/>
                <w:sz w:val="20"/>
                <w:szCs w:val="20"/>
                <w:lang w:val="en-US" w:eastAsia="zh-CN" w:bidi="ar"/>
              </w:rPr>
              <w:t>sair</w:t>
            </w:r>
            <w:proofErr w:type="spellEnd"/>
            <w:r>
              <w:rPr>
                <w:rFonts w:ascii="Times New Roman" w:eastAsia="Segoe UI" w:hAnsi="Times New Roman" w:cs="Times New Roman"/>
                <w:kern w:val="0"/>
                <w:sz w:val="20"/>
                <w:szCs w:val="20"/>
                <w:lang w:val="en-US" w:eastAsia="zh-CN" w:bidi="ar"/>
              </w:rPr>
              <w:t xml:space="preserve"> do </w:t>
            </w:r>
            <w:proofErr w:type="spellStart"/>
            <w:r>
              <w:rPr>
                <w:rFonts w:ascii="Times New Roman" w:eastAsia="Segoe UI" w:hAnsi="Times New Roman" w:cs="Times New Roman"/>
                <w:kern w:val="0"/>
                <w:sz w:val="20"/>
                <w:szCs w:val="20"/>
                <w:lang w:val="en-US" w:eastAsia="zh-CN" w:bidi="ar"/>
              </w:rPr>
              <w:t>sulco</w:t>
            </w:r>
            <w:proofErr w:type="spellEnd"/>
            <w:r>
              <w:rPr>
                <w:rFonts w:ascii="Times New Roman" w:eastAsia="Segoe UI" w:hAnsi="Times New Roman" w:cs="Times New Roman"/>
                <w:kern w:val="0"/>
                <w:sz w:val="20"/>
                <w:szCs w:val="20"/>
                <w:lang w:val="en-US" w:eastAsia="zh-CN" w:bidi="ar"/>
              </w:rPr>
              <w:t>"</w:t>
            </w:r>
          </w:p>
        </w:tc>
        <w:tc>
          <w:tcPr>
            <w:tcW w:w="0" w:type="auto"/>
            <w:tcMar>
              <w:top w:w="120" w:type="dxa"/>
              <w:left w:w="192" w:type="dxa"/>
              <w:bottom w:w="120" w:type="dxa"/>
              <w:right w:w="0" w:type="dxa"/>
            </w:tcMar>
            <w:vAlign w:val="center"/>
          </w:tcPr>
          <w:p w14:paraId="350143DD"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Termo agrícola que ganha sentido metafórico: pensamento que se desvia do caminho reto da lógica, ainda sem conotação patológica definida.</w:t>
            </w:r>
          </w:p>
        </w:tc>
      </w:tr>
      <w:tr w:rsidR="0003312E" w14:paraId="39A84589" w14:textId="77777777">
        <w:tc>
          <w:tcPr>
            <w:tcW w:w="0" w:type="auto"/>
            <w:tcMar>
              <w:top w:w="120" w:type="dxa"/>
              <w:left w:w="0" w:type="dxa"/>
              <w:bottom w:w="120" w:type="dxa"/>
              <w:right w:w="192" w:type="dxa"/>
            </w:tcMar>
            <w:vAlign w:val="center"/>
          </w:tcPr>
          <w:p w14:paraId="5614FB4A"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Idade</w:t>
            </w:r>
            <w:proofErr w:type="spellEnd"/>
            <w:r>
              <w:rPr>
                <w:rFonts w:ascii="Times New Roman" w:eastAsia="Segoe UI" w:hAnsi="Times New Roman" w:cs="Times New Roman"/>
                <w:b/>
                <w:bCs/>
                <w:kern w:val="0"/>
                <w:sz w:val="20"/>
                <w:szCs w:val="20"/>
                <w:lang w:val="en-US" w:eastAsia="zh-CN" w:bidi="ar"/>
              </w:rPr>
              <w:t xml:space="preserve"> </w:t>
            </w:r>
            <w:proofErr w:type="spellStart"/>
            <w:r>
              <w:rPr>
                <w:rFonts w:ascii="Times New Roman" w:eastAsia="Segoe UI" w:hAnsi="Times New Roman" w:cs="Times New Roman"/>
                <w:b/>
                <w:bCs/>
                <w:kern w:val="0"/>
                <w:sz w:val="20"/>
                <w:szCs w:val="20"/>
                <w:lang w:val="en-US" w:eastAsia="zh-CN" w:bidi="ar"/>
              </w:rPr>
              <w:t>Média</w:t>
            </w:r>
            <w:proofErr w:type="spellEnd"/>
          </w:p>
        </w:tc>
        <w:tc>
          <w:tcPr>
            <w:tcW w:w="0" w:type="auto"/>
            <w:tcMar>
              <w:top w:w="120" w:type="dxa"/>
              <w:left w:w="192" w:type="dxa"/>
              <w:bottom w:w="120" w:type="dxa"/>
              <w:right w:w="192" w:type="dxa"/>
            </w:tcMar>
            <w:vAlign w:val="center"/>
          </w:tcPr>
          <w:p w14:paraId="7DF9244A" w14:textId="77777777" w:rsidR="0003312E" w:rsidRDefault="00000000">
            <w:pPr>
              <w:spacing w:after="0" w:line="240" w:lineRule="auto"/>
              <w:rPr>
                <w:rFonts w:ascii="Times New Roman" w:eastAsia="Segoe UI" w:hAnsi="Times New Roman" w:cs="Times New Roman"/>
                <w:sz w:val="20"/>
                <w:szCs w:val="20"/>
              </w:rPr>
            </w:pPr>
            <w:proofErr w:type="spellStart"/>
            <w:r>
              <w:rPr>
                <w:rFonts w:ascii="Times New Roman" w:eastAsia="Segoe UI" w:hAnsi="Times New Roman" w:cs="Times New Roman"/>
                <w:kern w:val="0"/>
                <w:sz w:val="20"/>
                <w:szCs w:val="20"/>
                <w:lang w:val="en-US" w:eastAsia="zh-CN" w:bidi="ar"/>
              </w:rPr>
              <w:t>Delírio</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como</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possessão</w:t>
            </w:r>
            <w:proofErr w:type="spellEnd"/>
          </w:p>
        </w:tc>
        <w:tc>
          <w:tcPr>
            <w:tcW w:w="0" w:type="auto"/>
            <w:tcMar>
              <w:top w:w="120" w:type="dxa"/>
              <w:left w:w="192" w:type="dxa"/>
              <w:bottom w:w="120" w:type="dxa"/>
              <w:right w:w="0" w:type="dxa"/>
            </w:tcMar>
            <w:vAlign w:val="center"/>
          </w:tcPr>
          <w:p w14:paraId="59F225FD"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 xml:space="preserve">Interpretado como influência demoníaca ou êxtase divino; o louco é território de batalha espiritual. </w:t>
            </w:r>
            <w:r>
              <w:rPr>
                <w:rFonts w:ascii="Times New Roman" w:eastAsia="Segoe UI" w:hAnsi="Times New Roman" w:cs="Times New Roman"/>
                <w:kern w:val="0"/>
                <w:sz w:val="20"/>
                <w:szCs w:val="20"/>
                <w:lang w:val="en-US" w:eastAsia="zh-CN" w:bidi="ar"/>
              </w:rPr>
              <w:t xml:space="preserve">Sem </w:t>
            </w:r>
            <w:proofErr w:type="spellStart"/>
            <w:r>
              <w:rPr>
                <w:rFonts w:ascii="Times New Roman" w:eastAsia="Segoe UI" w:hAnsi="Times New Roman" w:cs="Times New Roman"/>
                <w:kern w:val="0"/>
                <w:sz w:val="20"/>
                <w:szCs w:val="20"/>
                <w:lang w:val="en-US" w:eastAsia="zh-CN" w:bidi="ar"/>
              </w:rPr>
              <w:t>tratamento</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médico</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predominam</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exorcismos</w:t>
            </w:r>
            <w:proofErr w:type="spellEnd"/>
            <w:r>
              <w:rPr>
                <w:rFonts w:ascii="Times New Roman" w:eastAsia="Segoe UI" w:hAnsi="Times New Roman" w:cs="Times New Roman"/>
                <w:kern w:val="0"/>
                <w:sz w:val="20"/>
                <w:szCs w:val="20"/>
                <w:lang w:val="en-US" w:eastAsia="zh-CN" w:bidi="ar"/>
              </w:rPr>
              <w:t xml:space="preserve"> e </w:t>
            </w:r>
            <w:proofErr w:type="spellStart"/>
            <w:r>
              <w:rPr>
                <w:rFonts w:ascii="Times New Roman" w:eastAsia="Segoe UI" w:hAnsi="Times New Roman" w:cs="Times New Roman"/>
                <w:kern w:val="0"/>
                <w:sz w:val="20"/>
                <w:szCs w:val="20"/>
                <w:lang w:val="en-US" w:eastAsia="zh-CN" w:bidi="ar"/>
              </w:rPr>
              <w:t>peregrinações</w:t>
            </w:r>
            <w:proofErr w:type="spellEnd"/>
            <w:r>
              <w:rPr>
                <w:rFonts w:ascii="Times New Roman" w:eastAsia="Segoe UI" w:hAnsi="Times New Roman" w:cs="Times New Roman"/>
                <w:kern w:val="0"/>
                <w:sz w:val="20"/>
                <w:szCs w:val="20"/>
                <w:lang w:val="en-US" w:eastAsia="zh-CN" w:bidi="ar"/>
              </w:rPr>
              <w:t>.</w:t>
            </w:r>
          </w:p>
        </w:tc>
      </w:tr>
      <w:tr w:rsidR="0003312E" w14:paraId="249D121B" w14:textId="77777777">
        <w:tc>
          <w:tcPr>
            <w:tcW w:w="0" w:type="auto"/>
            <w:tcMar>
              <w:top w:w="120" w:type="dxa"/>
              <w:left w:w="0" w:type="dxa"/>
              <w:bottom w:w="120" w:type="dxa"/>
              <w:right w:w="192" w:type="dxa"/>
            </w:tcMar>
            <w:vAlign w:val="center"/>
          </w:tcPr>
          <w:p w14:paraId="07805E75"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Séculos</w:t>
            </w:r>
            <w:proofErr w:type="spellEnd"/>
            <w:r>
              <w:rPr>
                <w:rFonts w:ascii="Times New Roman" w:eastAsia="Segoe UI" w:hAnsi="Times New Roman" w:cs="Times New Roman"/>
                <w:b/>
                <w:bCs/>
                <w:kern w:val="0"/>
                <w:sz w:val="20"/>
                <w:szCs w:val="20"/>
                <w:lang w:val="en-US" w:eastAsia="zh-CN" w:bidi="ar"/>
              </w:rPr>
              <w:t xml:space="preserve"> XVI-XVII</w:t>
            </w:r>
          </w:p>
        </w:tc>
        <w:tc>
          <w:tcPr>
            <w:tcW w:w="0" w:type="auto"/>
            <w:tcMar>
              <w:top w:w="120" w:type="dxa"/>
              <w:left w:w="192" w:type="dxa"/>
              <w:bottom w:w="120" w:type="dxa"/>
              <w:right w:w="192" w:type="dxa"/>
            </w:tcMar>
            <w:vAlign w:val="center"/>
          </w:tcPr>
          <w:p w14:paraId="62B45F21" w14:textId="77777777" w:rsidR="0003312E" w:rsidRDefault="00000000">
            <w:pPr>
              <w:spacing w:after="0" w:line="240" w:lineRule="auto"/>
              <w:rPr>
                <w:rFonts w:ascii="Times New Roman" w:eastAsia="Segoe UI" w:hAnsi="Times New Roman" w:cs="Times New Roman"/>
                <w:sz w:val="20"/>
                <w:szCs w:val="20"/>
              </w:rPr>
            </w:pPr>
            <w:proofErr w:type="spellStart"/>
            <w:r>
              <w:rPr>
                <w:rFonts w:ascii="Times New Roman" w:eastAsia="Segoe UI" w:hAnsi="Times New Roman" w:cs="Times New Roman"/>
                <w:kern w:val="0"/>
                <w:sz w:val="20"/>
                <w:szCs w:val="20"/>
                <w:lang w:val="en-US" w:eastAsia="zh-CN" w:bidi="ar"/>
              </w:rPr>
              <w:t>Primeiras</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abordagens</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médicas</w:t>
            </w:r>
            <w:proofErr w:type="spellEnd"/>
          </w:p>
        </w:tc>
        <w:tc>
          <w:tcPr>
            <w:tcW w:w="0" w:type="auto"/>
            <w:tcMar>
              <w:top w:w="120" w:type="dxa"/>
              <w:left w:w="192" w:type="dxa"/>
              <w:bottom w:w="120" w:type="dxa"/>
              <w:right w:w="0" w:type="dxa"/>
            </w:tcMar>
            <w:vAlign w:val="center"/>
          </w:tcPr>
          <w:p w14:paraId="3CB270C5"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Pedro de Heredia e outros enfatizam a importância das alterações da razão, antecipando a medicalização da loucura.</w:t>
            </w:r>
          </w:p>
        </w:tc>
      </w:tr>
      <w:tr w:rsidR="0003312E" w14:paraId="055F03E4" w14:textId="77777777">
        <w:tc>
          <w:tcPr>
            <w:tcW w:w="0" w:type="auto"/>
            <w:tcMar>
              <w:top w:w="120" w:type="dxa"/>
              <w:left w:w="0" w:type="dxa"/>
              <w:bottom w:w="120" w:type="dxa"/>
              <w:right w:w="192" w:type="dxa"/>
            </w:tcMar>
            <w:vAlign w:val="center"/>
          </w:tcPr>
          <w:p w14:paraId="38CC55CC"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w:t>
            </w:r>
            <w:proofErr w:type="spellEnd"/>
            <w:r>
              <w:rPr>
                <w:rFonts w:ascii="Times New Roman" w:eastAsia="Segoe UI" w:hAnsi="Times New Roman" w:cs="Times New Roman"/>
                <w:b/>
                <w:bCs/>
                <w:kern w:val="0"/>
                <w:sz w:val="20"/>
                <w:szCs w:val="20"/>
                <w:lang w:val="en-US" w:eastAsia="zh-CN" w:bidi="ar"/>
              </w:rPr>
              <w:t xml:space="preserve"> XVIII</w:t>
            </w:r>
          </w:p>
        </w:tc>
        <w:tc>
          <w:tcPr>
            <w:tcW w:w="0" w:type="auto"/>
            <w:tcMar>
              <w:top w:w="120" w:type="dxa"/>
              <w:left w:w="192" w:type="dxa"/>
              <w:bottom w:w="120" w:type="dxa"/>
              <w:right w:w="192" w:type="dxa"/>
            </w:tcMar>
            <w:vAlign w:val="center"/>
          </w:tcPr>
          <w:p w14:paraId="12045199"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val="en-US" w:eastAsia="zh-CN" w:bidi="ar"/>
              </w:rPr>
              <w:t>Philippe Pinel</w:t>
            </w:r>
          </w:p>
        </w:tc>
        <w:tc>
          <w:tcPr>
            <w:tcW w:w="0" w:type="auto"/>
            <w:tcMar>
              <w:top w:w="120" w:type="dxa"/>
              <w:left w:w="192" w:type="dxa"/>
              <w:bottom w:w="120" w:type="dxa"/>
              <w:right w:w="0" w:type="dxa"/>
            </w:tcMar>
            <w:vAlign w:val="center"/>
          </w:tcPr>
          <w:p w14:paraId="4ABB0FEE"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Medicalização do delírio: definido como "alienação mental". Liberta os loucos das correntes e funda a psiquiatria moderna.</w:t>
            </w:r>
          </w:p>
        </w:tc>
      </w:tr>
      <w:tr w:rsidR="0003312E" w14:paraId="5A09858D" w14:textId="77777777">
        <w:tc>
          <w:tcPr>
            <w:tcW w:w="0" w:type="auto"/>
            <w:tcMar>
              <w:top w:w="120" w:type="dxa"/>
              <w:left w:w="0" w:type="dxa"/>
              <w:bottom w:w="120" w:type="dxa"/>
              <w:right w:w="192" w:type="dxa"/>
            </w:tcMar>
            <w:vAlign w:val="center"/>
          </w:tcPr>
          <w:p w14:paraId="292500EB"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w:t>
            </w:r>
            <w:proofErr w:type="spellEnd"/>
            <w:r>
              <w:rPr>
                <w:rFonts w:ascii="Times New Roman" w:eastAsia="Segoe UI" w:hAnsi="Times New Roman" w:cs="Times New Roman"/>
                <w:b/>
                <w:bCs/>
                <w:kern w:val="0"/>
                <w:sz w:val="20"/>
                <w:szCs w:val="20"/>
                <w:lang w:val="en-US" w:eastAsia="zh-CN" w:bidi="ar"/>
              </w:rPr>
              <w:t xml:space="preserve"> XIX</w:t>
            </w:r>
          </w:p>
        </w:tc>
        <w:tc>
          <w:tcPr>
            <w:tcW w:w="0" w:type="auto"/>
            <w:tcMar>
              <w:top w:w="120" w:type="dxa"/>
              <w:left w:w="192" w:type="dxa"/>
              <w:bottom w:w="120" w:type="dxa"/>
              <w:right w:w="192" w:type="dxa"/>
            </w:tcMar>
            <w:vAlign w:val="center"/>
          </w:tcPr>
          <w:p w14:paraId="0BA10EF7" w14:textId="77777777" w:rsidR="0003312E" w:rsidRDefault="00000000">
            <w:pPr>
              <w:spacing w:after="0" w:line="240" w:lineRule="auto"/>
              <w:rPr>
                <w:rFonts w:ascii="Times New Roman" w:eastAsia="Segoe UI" w:hAnsi="Times New Roman" w:cs="Times New Roman"/>
                <w:sz w:val="20"/>
                <w:szCs w:val="20"/>
              </w:rPr>
            </w:pPr>
            <w:proofErr w:type="spellStart"/>
            <w:r>
              <w:rPr>
                <w:rFonts w:ascii="Times New Roman" w:eastAsia="Segoe UI" w:hAnsi="Times New Roman" w:cs="Times New Roman"/>
                <w:kern w:val="0"/>
                <w:sz w:val="20"/>
                <w:szCs w:val="20"/>
                <w:lang w:val="en-US" w:eastAsia="zh-CN" w:bidi="ar"/>
              </w:rPr>
              <w:t>Divergência</w:t>
            </w:r>
            <w:proofErr w:type="spellEnd"/>
            <w:r>
              <w:rPr>
                <w:rFonts w:ascii="Times New Roman" w:eastAsia="Segoe UI" w:hAnsi="Times New Roman" w:cs="Times New Roman"/>
                <w:kern w:val="0"/>
                <w:sz w:val="20"/>
                <w:szCs w:val="20"/>
                <w:lang w:val="en-US" w:eastAsia="zh-CN" w:bidi="ar"/>
              </w:rPr>
              <w:t xml:space="preserve"> conceptual</w:t>
            </w:r>
          </w:p>
        </w:tc>
        <w:tc>
          <w:tcPr>
            <w:tcW w:w="0" w:type="auto"/>
            <w:tcMar>
              <w:top w:w="120" w:type="dxa"/>
              <w:left w:w="192" w:type="dxa"/>
              <w:bottom w:w="120" w:type="dxa"/>
              <w:right w:w="0" w:type="dxa"/>
            </w:tcMar>
            <w:vAlign w:val="center"/>
          </w:tcPr>
          <w:p w14:paraId="3CC7DA2B" w14:textId="77777777" w:rsidR="0003312E" w:rsidRDefault="00000000">
            <w:pPr>
              <w:spacing w:after="0" w:line="240" w:lineRule="auto"/>
              <w:rPr>
                <w:rFonts w:ascii="Times New Roman" w:eastAsia="Segoe UI" w:hAnsi="Times New Roman" w:cs="Times New Roman"/>
                <w:b/>
                <w:bCs/>
                <w:sz w:val="20"/>
                <w:szCs w:val="20"/>
              </w:rPr>
            </w:pPr>
            <w:r>
              <w:rPr>
                <w:rStyle w:val="Forte"/>
                <w:rFonts w:ascii="Times New Roman" w:eastAsia="Segoe UI" w:hAnsi="Times New Roman" w:cs="Times New Roman"/>
                <w:b w:val="0"/>
                <w:bCs w:val="0"/>
                <w:kern w:val="0"/>
                <w:sz w:val="20"/>
                <w:szCs w:val="20"/>
                <w:lang w:eastAsia="zh-CN" w:bidi="ar"/>
              </w:rPr>
              <w:t>Escola Francesa</w:t>
            </w:r>
            <w:r>
              <w:rPr>
                <w:rFonts w:ascii="Times New Roman" w:eastAsia="Segoe UI" w:hAnsi="Times New Roman" w:cs="Times New Roman"/>
                <w:kern w:val="0"/>
                <w:sz w:val="20"/>
                <w:szCs w:val="20"/>
                <w:lang w:eastAsia="zh-CN" w:bidi="ar"/>
              </w:rPr>
              <w:t>: conceção ampla do "</w:t>
            </w:r>
            <w:proofErr w:type="spellStart"/>
            <w:r>
              <w:rPr>
                <w:rFonts w:ascii="Times New Roman" w:eastAsia="Segoe UI" w:hAnsi="Times New Roman" w:cs="Times New Roman"/>
                <w:kern w:val="0"/>
                <w:sz w:val="20"/>
                <w:szCs w:val="20"/>
                <w:lang w:eastAsia="zh-CN" w:bidi="ar"/>
              </w:rPr>
              <w:t>délire</w:t>
            </w:r>
            <w:proofErr w:type="spellEnd"/>
            <w:r>
              <w:rPr>
                <w:rFonts w:ascii="Times New Roman" w:eastAsia="Segoe UI" w:hAnsi="Times New Roman" w:cs="Times New Roman"/>
                <w:kern w:val="0"/>
                <w:sz w:val="20"/>
                <w:szCs w:val="20"/>
                <w:lang w:eastAsia="zh-CN" w:bidi="ar"/>
              </w:rPr>
              <w:t>" como síndrome multidimensional</w:t>
            </w:r>
            <w:r>
              <w:rPr>
                <w:rFonts w:ascii="Times New Roman" w:eastAsia="Segoe UI" w:hAnsi="Times New Roman" w:cs="Times New Roman"/>
                <w:b/>
                <w:bCs/>
                <w:kern w:val="0"/>
                <w:sz w:val="20"/>
                <w:szCs w:val="20"/>
                <w:lang w:eastAsia="zh-CN" w:bidi="ar"/>
              </w:rPr>
              <w:t>. </w:t>
            </w:r>
            <w:r>
              <w:rPr>
                <w:rStyle w:val="Forte"/>
                <w:rFonts w:ascii="Times New Roman" w:eastAsia="Segoe UI" w:hAnsi="Times New Roman" w:cs="Times New Roman"/>
                <w:b w:val="0"/>
                <w:bCs w:val="0"/>
                <w:kern w:val="0"/>
                <w:sz w:val="20"/>
                <w:szCs w:val="20"/>
                <w:lang w:eastAsia="zh-CN" w:bidi="ar"/>
              </w:rPr>
              <w:t>Escolas Alemã e Inglesa</w:t>
            </w:r>
            <w:r>
              <w:rPr>
                <w:rFonts w:ascii="Times New Roman" w:eastAsia="Segoe UI" w:hAnsi="Times New Roman" w:cs="Times New Roman"/>
                <w:b/>
                <w:bCs/>
                <w:kern w:val="0"/>
                <w:sz w:val="20"/>
                <w:szCs w:val="20"/>
                <w:lang w:eastAsia="zh-CN" w:bidi="ar"/>
              </w:rPr>
              <w:t xml:space="preserve">: </w:t>
            </w:r>
            <w:r>
              <w:rPr>
                <w:rFonts w:ascii="Times New Roman" w:eastAsia="Segoe UI" w:hAnsi="Times New Roman" w:cs="Times New Roman"/>
                <w:kern w:val="0"/>
                <w:sz w:val="20"/>
                <w:szCs w:val="20"/>
                <w:lang w:eastAsia="zh-CN" w:bidi="ar"/>
              </w:rPr>
              <w:t>adoção de termos restritos (</w:t>
            </w:r>
            <w:proofErr w:type="spellStart"/>
            <w:r>
              <w:rPr>
                <w:rStyle w:val="nfase"/>
                <w:rFonts w:ascii="Times New Roman" w:eastAsia="Segoe UI" w:hAnsi="Times New Roman" w:cs="Times New Roman"/>
                <w:kern w:val="0"/>
                <w:sz w:val="20"/>
                <w:szCs w:val="20"/>
                <w:lang w:eastAsia="zh-CN" w:bidi="ar"/>
              </w:rPr>
              <w:t>Wahn</w:t>
            </w:r>
            <w:proofErr w:type="spellEnd"/>
            <w:r>
              <w:rPr>
                <w:rFonts w:ascii="Times New Roman" w:eastAsia="Segoe UI" w:hAnsi="Times New Roman" w:cs="Times New Roman"/>
                <w:kern w:val="0"/>
                <w:sz w:val="20"/>
                <w:szCs w:val="20"/>
                <w:lang w:eastAsia="zh-CN" w:bidi="ar"/>
              </w:rPr>
              <w:t> e </w:t>
            </w:r>
            <w:proofErr w:type="spellStart"/>
            <w:r>
              <w:rPr>
                <w:rStyle w:val="nfase"/>
                <w:rFonts w:ascii="Times New Roman" w:eastAsia="Segoe UI" w:hAnsi="Times New Roman" w:cs="Times New Roman"/>
                <w:kern w:val="0"/>
                <w:sz w:val="20"/>
                <w:szCs w:val="20"/>
                <w:lang w:eastAsia="zh-CN" w:bidi="ar"/>
              </w:rPr>
              <w:t>delusion</w:t>
            </w:r>
            <w:proofErr w:type="spellEnd"/>
            <w:r>
              <w:rPr>
                <w:rFonts w:ascii="Times New Roman" w:eastAsia="Segoe UI" w:hAnsi="Times New Roman" w:cs="Times New Roman"/>
                <w:kern w:val="0"/>
                <w:sz w:val="20"/>
                <w:szCs w:val="20"/>
                <w:lang w:eastAsia="zh-CN" w:bidi="ar"/>
              </w:rPr>
              <w:t>).</w:t>
            </w:r>
          </w:p>
        </w:tc>
      </w:tr>
      <w:tr w:rsidR="0003312E" w14:paraId="392911E3" w14:textId="77777777">
        <w:tc>
          <w:tcPr>
            <w:tcW w:w="0" w:type="auto"/>
            <w:tcMar>
              <w:top w:w="120" w:type="dxa"/>
              <w:left w:w="0" w:type="dxa"/>
              <w:bottom w:w="120" w:type="dxa"/>
              <w:right w:w="192" w:type="dxa"/>
            </w:tcMar>
            <w:vAlign w:val="center"/>
          </w:tcPr>
          <w:p w14:paraId="3A555B93"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w:t>
            </w:r>
            <w:proofErr w:type="spellEnd"/>
            <w:r>
              <w:rPr>
                <w:rFonts w:ascii="Times New Roman" w:eastAsia="Segoe UI" w:hAnsi="Times New Roman" w:cs="Times New Roman"/>
                <w:b/>
                <w:bCs/>
                <w:kern w:val="0"/>
                <w:sz w:val="20"/>
                <w:szCs w:val="20"/>
                <w:lang w:val="en-US" w:eastAsia="zh-CN" w:bidi="ar"/>
              </w:rPr>
              <w:t xml:space="preserve"> XIX (Arte)</w:t>
            </w:r>
          </w:p>
        </w:tc>
        <w:tc>
          <w:tcPr>
            <w:tcW w:w="0" w:type="auto"/>
            <w:tcMar>
              <w:top w:w="120" w:type="dxa"/>
              <w:left w:w="192" w:type="dxa"/>
              <w:bottom w:w="120" w:type="dxa"/>
              <w:right w:w="192" w:type="dxa"/>
            </w:tcMar>
            <w:vAlign w:val="center"/>
          </w:tcPr>
          <w:p w14:paraId="77A6D8B6"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val="en-US" w:eastAsia="zh-CN" w:bidi="ar"/>
              </w:rPr>
              <w:t>Vincent van Gogh</w:t>
            </w:r>
          </w:p>
        </w:tc>
        <w:tc>
          <w:tcPr>
            <w:tcW w:w="0" w:type="auto"/>
            <w:tcMar>
              <w:top w:w="120" w:type="dxa"/>
              <w:left w:w="192" w:type="dxa"/>
              <w:bottom w:w="120" w:type="dxa"/>
              <w:right w:w="0" w:type="dxa"/>
            </w:tcMar>
            <w:vAlign w:val="center"/>
          </w:tcPr>
          <w:p w14:paraId="56D4B4CD"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Tornou-se arquétipo do artista cujo delírio alimenta sua genialidade, embora esta relação seja complexa e não deva ser romantizada.</w:t>
            </w:r>
          </w:p>
        </w:tc>
      </w:tr>
      <w:tr w:rsidR="0003312E" w14:paraId="3F180DAC" w14:textId="77777777">
        <w:tc>
          <w:tcPr>
            <w:tcW w:w="0" w:type="auto"/>
            <w:tcMar>
              <w:top w:w="120" w:type="dxa"/>
              <w:left w:w="0" w:type="dxa"/>
              <w:bottom w:w="120" w:type="dxa"/>
              <w:right w:w="192" w:type="dxa"/>
            </w:tcMar>
            <w:vAlign w:val="center"/>
          </w:tcPr>
          <w:p w14:paraId="779FFD24"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w:t>
            </w:r>
            <w:proofErr w:type="spellEnd"/>
            <w:r>
              <w:rPr>
                <w:rFonts w:ascii="Times New Roman" w:eastAsia="Segoe UI" w:hAnsi="Times New Roman" w:cs="Times New Roman"/>
                <w:b/>
                <w:bCs/>
                <w:kern w:val="0"/>
                <w:sz w:val="20"/>
                <w:szCs w:val="20"/>
                <w:lang w:val="en-US" w:eastAsia="zh-CN" w:bidi="ar"/>
              </w:rPr>
              <w:t xml:space="preserve"> XX</w:t>
            </w:r>
          </w:p>
        </w:tc>
        <w:tc>
          <w:tcPr>
            <w:tcW w:w="0" w:type="auto"/>
            <w:tcMar>
              <w:top w:w="120" w:type="dxa"/>
              <w:left w:w="192" w:type="dxa"/>
              <w:bottom w:w="120" w:type="dxa"/>
              <w:right w:w="192" w:type="dxa"/>
            </w:tcMar>
            <w:vAlign w:val="center"/>
          </w:tcPr>
          <w:p w14:paraId="4FBF3973" w14:textId="77777777" w:rsidR="0003312E" w:rsidRDefault="00000000">
            <w:pPr>
              <w:spacing w:after="0" w:line="240" w:lineRule="auto"/>
              <w:rPr>
                <w:rFonts w:ascii="Times New Roman" w:eastAsia="Segoe UI" w:hAnsi="Times New Roman" w:cs="Times New Roman"/>
                <w:sz w:val="20"/>
                <w:szCs w:val="20"/>
              </w:rPr>
            </w:pPr>
            <w:proofErr w:type="spellStart"/>
            <w:r>
              <w:rPr>
                <w:rFonts w:ascii="Times New Roman" w:eastAsia="Segoe UI" w:hAnsi="Times New Roman" w:cs="Times New Roman"/>
                <w:kern w:val="0"/>
                <w:sz w:val="20"/>
                <w:szCs w:val="20"/>
                <w:lang w:val="en-US" w:eastAsia="zh-CN" w:bidi="ar"/>
              </w:rPr>
              <w:t>Sistematização</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conceitual</w:t>
            </w:r>
            <w:proofErr w:type="spellEnd"/>
          </w:p>
        </w:tc>
        <w:tc>
          <w:tcPr>
            <w:tcW w:w="0" w:type="auto"/>
            <w:tcMar>
              <w:top w:w="120" w:type="dxa"/>
              <w:left w:w="192" w:type="dxa"/>
              <w:bottom w:w="120" w:type="dxa"/>
              <w:right w:w="0" w:type="dxa"/>
            </w:tcMar>
            <w:vAlign w:val="center"/>
          </w:tcPr>
          <w:p w14:paraId="760BD5DA"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 xml:space="preserve">Karl </w:t>
            </w:r>
            <w:proofErr w:type="spellStart"/>
            <w:r>
              <w:rPr>
                <w:rFonts w:ascii="Times New Roman" w:eastAsia="Segoe UI" w:hAnsi="Times New Roman" w:cs="Times New Roman"/>
                <w:kern w:val="0"/>
                <w:sz w:val="20"/>
                <w:szCs w:val="20"/>
                <w:lang w:eastAsia="zh-CN" w:bidi="ar"/>
              </w:rPr>
              <w:t>Jaspers</w:t>
            </w:r>
            <w:proofErr w:type="spellEnd"/>
            <w:r>
              <w:rPr>
                <w:rFonts w:ascii="Times New Roman" w:eastAsia="Segoe UI" w:hAnsi="Times New Roman" w:cs="Times New Roman"/>
                <w:kern w:val="0"/>
                <w:sz w:val="20"/>
                <w:szCs w:val="20"/>
                <w:lang w:eastAsia="zh-CN" w:bidi="ar"/>
              </w:rPr>
              <w:t xml:space="preserve"> define criteriosamente as ideias delirantes na sua Psicopatologia Geral, estabelecendo as bases da psicopatologia moderna.</w:t>
            </w:r>
          </w:p>
        </w:tc>
      </w:tr>
      <w:tr w:rsidR="0003312E" w14:paraId="1061C53F" w14:textId="77777777">
        <w:tc>
          <w:tcPr>
            <w:tcW w:w="0" w:type="auto"/>
            <w:tcMar>
              <w:top w:w="120" w:type="dxa"/>
              <w:left w:w="0" w:type="dxa"/>
              <w:bottom w:w="120" w:type="dxa"/>
              <w:right w:w="192" w:type="dxa"/>
            </w:tcMar>
            <w:vAlign w:val="center"/>
          </w:tcPr>
          <w:p w14:paraId="18D15488"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w:t>
            </w:r>
            <w:proofErr w:type="spellEnd"/>
            <w:r>
              <w:rPr>
                <w:rFonts w:ascii="Times New Roman" w:eastAsia="Segoe UI" w:hAnsi="Times New Roman" w:cs="Times New Roman"/>
                <w:b/>
                <w:bCs/>
                <w:kern w:val="0"/>
                <w:sz w:val="20"/>
                <w:szCs w:val="20"/>
                <w:lang w:val="en-US" w:eastAsia="zh-CN" w:bidi="ar"/>
              </w:rPr>
              <w:t xml:space="preserve"> XX/XXI</w:t>
            </w:r>
          </w:p>
        </w:tc>
        <w:tc>
          <w:tcPr>
            <w:tcW w:w="0" w:type="auto"/>
            <w:tcMar>
              <w:top w:w="120" w:type="dxa"/>
              <w:left w:w="192" w:type="dxa"/>
              <w:bottom w:w="120" w:type="dxa"/>
              <w:right w:w="192" w:type="dxa"/>
            </w:tcMar>
            <w:vAlign w:val="center"/>
          </w:tcPr>
          <w:p w14:paraId="31A49F1A"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val="en-US" w:eastAsia="zh-CN" w:bidi="ar"/>
              </w:rPr>
              <w:t>DSM-5</w:t>
            </w:r>
          </w:p>
        </w:tc>
        <w:tc>
          <w:tcPr>
            <w:tcW w:w="0" w:type="auto"/>
            <w:tcMar>
              <w:top w:w="120" w:type="dxa"/>
              <w:left w:w="192" w:type="dxa"/>
              <w:bottom w:w="120" w:type="dxa"/>
              <w:right w:w="0" w:type="dxa"/>
            </w:tcMar>
            <w:vAlign w:val="center"/>
          </w:tcPr>
          <w:p w14:paraId="13787D0B"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Diferencia </w:t>
            </w:r>
            <w:r>
              <w:rPr>
                <w:rStyle w:val="nfase"/>
                <w:rFonts w:ascii="Times New Roman" w:eastAsia="Segoe UI" w:hAnsi="Times New Roman" w:cs="Times New Roman"/>
                <w:kern w:val="0"/>
                <w:sz w:val="20"/>
                <w:szCs w:val="20"/>
                <w:lang w:eastAsia="zh-CN" w:bidi="ar"/>
              </w:rPr>
              <w:t>delirium</w:t>
            </w:r>
            <w:r>
              <w:rPr>
                <w:rFonts w:ascii="Times New Roman" w:eastAsia="Segoe UI" w:hAnsi="Times New Roman" w:cs="Times New Roman"/>
                <w:kern w:val="0"/>
                <w:sz w:val="20"/>
                <w:szCs w:val="20"/>
                <w:lang w:eastAsia="zh-CN" w:bidi="ar"/>
              </w:rPr>
              <w:t xml:space="preserve"> (transtorno </w:t>
            </w:r>
            <w:proofErr w:type="spellStart"/>
            <w:r>
              <w:rPr>
                <w:rFonts w:ascii="Times New Roman" w:eastAsia="Segoe UI" w:hAnsi="Times New Roman" w:cs="Times New Roman"/>
                <w:kern w:val="0"/>
                <w:sz w:val="20"/>
                <w:szCs w:val="20"/>
                <w:lang w:eastAsia="zh-CN" w:bidi="ar"/>
              </w:rPr>
              <w:t>neurocognitivo</w:t>
            </w:r>
            <w:proofErr w:type="spellEnd"/>
            <w:r>
              <w:rPr>
                <w:rFonts w:ascii="Times New Roman" w:eastAsia="Segoe UI" w:hAnsi="Times New Roman" w:cs="Times New Roman"/>
                <w:kern w:val="0"/>
                <w:sz w:val="20"/>
                <w:szCs w:val="20"/>
                <w:lang w:eastAsia="zh-CN" w:bidi="ar"/>
              </w:rPr>
              <w:t xml:space="preserve"> agudo) de </w:t>
            </w:r>
            <w:r>
              <w:rPr>
                <w:rStyle w:val="nfase"/>
                <w:rFonts w:ascii="Times New Roman" w:eastAsia="Segoe UI" w:hAnsi="Times New Roman" w:cs="Times New Roman"/>
                <w:kern w:val="0"/>
                <w:sz w:val="20"/>
                <w:szCs w:val="20"/>
                <w:lang w:eastAsia="zh-CN" w:bidi="ar"/>
              </w:rPr>
              <w:t>delírios</w:t>
            </w:r>
            <w:r>
              <w:rPr>
                <w:rFonts w:ascii="Times New Roman" w:eastAsia="Segoe UI" w:hAnsi="Times New Roman" w:cs="Times New Roman"/>
                <w:kern w:val="0"/>
                <w:sz w:val="20"/>
                <w:szCs w:val="20"/>
                <w:lang w:eastAsia="zh-CN" w:bidi="ar"/>
              </w:rPr>
              <w:t> (sintomas de transtornos psicóticos).</w:t>
            </w:r>
          </w:p>
        </w:tc>
      </w:tr>
      <w:tr w:rsidR="0003312E" w14:paraId="2E41E323" w14:textId="77777777">
        <w:tc>
          <w:tcPr>
            <w:tcW w:w="0" w:type="auto"/>
            <w:tcMar>
              <w:top w:w="120" w:type="dxa"/>
              <w:left w:w="0" w:type="dxa"/>
              <w:bottom w:w="120" w:type="dxa"/>
              <w:right w:w="192" w:type="dxa"/>
            </w:tcMar>
            <w:vAlign w:val="center"/>
          </w:tcPr>
          <w:p w14:paraId="11D8C8D9" w14:textId="77777777" w:rsidR="0003312E" w:rsidRDefault="00000000">
            <w:pPr>
              <w:spacing w:after="0" w:line="240" w:lineRule="auto"/>
              <w:rPr>
                <w:rFonts w:ascii="Times New Roman" w:eastAsia="Segoe UI" w:hAnsi="Times New Roman" w:cs="Times New Roman"/>
                <w:b/>
                <w:bCs/>
                <w:sz w:val="20"/>
                <w:szCs w:val="20"/>
              </w:rPr>
            </w:pPr>
            <w:proofErr w:type="spellStart"/>
            <w:r>
              <w:rPr>
                <w:rFonts w:ascii="Times New Roman" w:eastAsia="Segoe UI" w:hAnsi="Times New Roman" w:cs="Times New Roman"/>
                <w:b/>
                <w:bCs/>
                <w:kern w:val="0"/>
                <w:sz w:val="20"/>
                <w:szCs w:val="20"/>
                <w:lang w:val="en-US" w:eastAsia="zh-CN" w:bidi="ar"/>
              </w:rPr>
              <w:t>Século</w:t>
            </w:r>
            <w:proofErr w:type="spellEnd"/>
            <w:r>
              <w:rPr>
                <w:rFonts w:ascii="Times New Roman" w:eastAsia="Segoe UI" w:hAnsi="Times New Roman" w:cs="Times New Roman"/>
                <w:b/>
                <w:bCs/>
                <w:kern w:val="0"/>
                <w:sz w:val="20"/>
                <w:szCs w:val="20"/>
                <w:lang w:val="en-US" w:eastAsia="zh-CN" w:bidi="ar"/>
              </w:rPr>
              <w:t xml:space="preserve"> XXI</w:t>
            </w:r>
          </w:p>
        </w:tc>
        <w:tc>
          <w:tcPr>
            <w:tcW w:w="0" w:type="auto"/>
            <w:tcMar>
              <w:top w:w="120" w:type="dxa"/>
              <w:left w:w="192" w:type="dxa"/>
              <w:bottom w:w="120" w:type="dxa"/>
              <w:right w:w="192" w:type="dxa"/>
            </w:tcMar>
            <w:vAlign w:val="center"/>
          </w:tcPr>
          <w:p w14:paraId="449DE0D5"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val="en-US" w:eastAsia="zh-CN" w:bidi="ar"/>
              </w:rPr>
              <w:t xml:space="preserve">Pesquisa </w:t>
            </w:r>
            <w:proofErr w:type="spellStart"/>
            <w:r>
              <w:rPr>
                <w:rFonts w:ascii="Times New Roman" w:eastAsia="Segoe UI" w:hAnsi="Times New Roman" w:cs="Times New Roman"/>
                <w:kern w:val="0"/>
                <w:sz w:val="20"/>
                <w:szCs w:val="20"/>
                <w:lang w:val="en-US" w:eastAsia="zh-CN" w:bidi="ar"/>
              </w:rPr>
              <w:t>em</w:t>
            </w:r>
            <w:proofErr w:type="spellEnd"/>
            <w:r>
              <w:rPr>
                <w:rFonts w:ascii="Times New Roman" w:eastAsia="Segoe UI" w:hAnsi="Times New Roman" w:cs="Times New Roman"/>
                <w:kern w:val="0"/>
                <w:sz w:val="20"/>
                <w:szCs w:val="20"/>
                <w:lang w:val="en-US" w:eastAsia="zh-CN" w:bidi="ar"/>
              </w:rPr>
              <w:t xml:space="preserve"> </w:t>
            </w:r>
            <w:proofErr w:type="spellStart"/>
            <w:r>
              <w:rPr>
                <w:rFonts w:ascii="Times New Roman" w:eastAsia="Segoe UI" w:hAnsi="Times New Roman" w:cs="Times New Roman"/>
                <w:kern w:val="0"/>
                <w:sz w:val="20"/>
                <w:szCs w:val="20"/>
                <w:lang w:val="en-US" w:eastAsia="zh-CN" w:bidi="ar"/>
              </w:rPr>
              <w:t>Neurociência</w:t>
            </w:r>
            <w:proofErr w:type="spellEnd"/>
          </w:p>
        </w:tc>
        <w:tc>
          <w:tcPr>
            <w:tcW w:w="0" w:type="auto"/>
            <w:tcMar>
              <w:top w:w="120" w:type="dxa"/>
              <w:left w:w="192" w:type="dxa"/>
              <w:bottom w:w="120" w:type="dxa"/>
              <w:right w:w="0" w:type="dxa"/>
            </w:tcMar>
            <w:vAlign w:val="center"/>
          </w:tcPr>
          <w:p w14:paraId="77C72776" w14:textId="77777777" w:rsidR="0003312E" w:rsidRDefault="00000000">
            <w:pPr>
              <w:spacing w:after="0" w:line="240" w:lineRule="auto"/>
              <w:rPr>
                <w:rFonts w:ascii="Times New Roman" w:eastAsia="Segoe UI" w:hAnsi="Times New Roman" w:cs="Times New Roman"/>
                <w:sz w:val="20"/>
                <w:szCs w:val="20"/>
              </w:rPr>
            </w:pPr>
            <w:r>
              <w:rPr>
                <w:rFonts w:ascii="Times New Roman" w:eastAsia="Segoe UI" w:hAnsi="Times New Roman" w:cs="Times New Roman"/>
                <w:kern w:val="0"/>
                <w:sz w:val="20"/>
                <w:szCs w:val="20"/>
                <w:lang w:eastAsia="zh-CN" w:bidi="ar"/>
              </w:rPr>
              <w:t>Estudos de neuroimagem e neuroquímica investigam disfunções em redes corticais e neurotransmissores, unindo a metáfora do "sulco" à realidade da "sinapse".</w:t>
            </w:r>
          </w:p>
        </w:tc>
      </w:tr>
    </w:tbl>
    <w:p w14:paraId="30B38690" w14:textId="77777777" w:rsidR="0003312E" w:rsidRDefault="0003312E">
      <w:pPr>
        <w:pStyle w:val="NormalWeb"/>
        <w:shd w:val="clear" w:color="auto" w:fill="FFFFFF"/>
        <w:spacing w:beforeAutospacing="0" w:after="0" w:afterAutospacing="0" w:line="360" w:lineRule="auto"/>
        <w:ind w:firstLine="709"/>
        <w:jc w:val="both"/>
        <w:rPr>
          <w:rStyle w:val="Forte"/>
          <w:rFonts w:eastAsia="Segoe UI"/>
          <w:color w:val="0F1115"/>
          <w:sz w:val="24"/>
          <w:shd w:val="clear" w:color="auto" w:fill="FFFFFF"/>
          <w:lang w:val="pt-BR"/>
        </w:rPr>
      </w:pPr>
    </w:p>
    <w:p w14:paraId="723E1BC6"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Em Essência: as Quatro Dimensões do Delírio</w:t>
      </w:r>
    </w:p>
    <w:p w14:paraId="53BC767C"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shd w:val="clear" w:color="auto" w:fill="FFFFFF"/>
          <w:lang w:val="pt-BR"/>
        </w:rPr>
      </w:pPr>
      <w:r>
        <w:rPr>
          <w:rStyle w:val="Forte"/>
          <w:rFonts w:eastAsia="Segoe UI"/>
          <w:color w:val="0F1115"/>
          <w:sz w:val="24"/>
          <w:shd w:val="clear" w:color="auto" w:fill="FFFFFF"/>
          <w:lang w:val="pt-BR"/>
        </w:rPr>
        <w:t>1. A Dimensão Etimológica: Sair do Sulco</w:t>
      </w:r>
      <w:r>
        <w:rPr>
          <w:rFonts w:eastAsia="Segoe UI"/>
          <w:color w:val="0F1115"/>
          <w:sz w:val="24"/>
          <w:shd w:val="clear" w:color="auto" w:fill="FFFFFF"/>
          <w:lang w:val="pt-BR"/>
        </w:rPr>
        <w:br/>
        <w:t>A palavra "delírio" carrega em si uma das metáforas mais precisas da psicopatologia: vem do latim </w:t>
      </w:r>
      <w:proofErr w:type="spellStart"/>
      <w:r>
        <w:rPr>
          <w:rStyle w:val="nfase"/>
          <w:rFonts w:eastAsia="Segoe UI"/>
          <w:i w:val="0"/>
          <w:iCs w:val="0"/>
          <w:color w:val="0F1115"/>
          <w:sz w:val="24"/>
          <w:shd w:val="clear" w:color="auto" w:fill="FFFFFF"/>
          <w:lang w:val="pt-BR"/>
        </w:rPr>
        <w:t>delirare</w:t>
      </w:r>
      <w:proofErr w:type="spellEnd"/>
      <w:r>
        <w:rPr>
          <w:rFonts w:eastAsia="Segoe UI"/>
          <w:color w:val="0F1115"/>
          <w:sz w:val="24"/>
          <w:shd w:val="clear" w:color="auto" w:fill="FFFFFF"/>
          <w:lang w:val="pt-BR"/>
        </w:rPr>
        <w:t>, que significa literalmente "sair do sulco". Esta imagem agrícola do arado que se desvia do caminho reto captura perfeitamente a essência do pensamento delirante - não se trata apenas de ter ideias erradas, mas de todo o processo cognitivo ter saído dos trilhos.</w:t>
      </w:r>
    </w:p>
    <w:p w14:paraId="001A611F" w14:textId="77777777" w:rsidR="0003312E" w:rsidRDefault="0003312E">
      <w:pPr>
        <w:pStyle w:val="NormalWeb"/>
        <w:shd w:val="clear" w:color="auto" w:fill="FFFFFF"/>
        <w:spacing w:beforeAutospacing="0" w:after="0" w:afterAutospacing="0" w:line="360" w:lineRule="auto"/>
        <w:ind w:firstLine="709"/>
        <w:jc w:val="both"/>
        <w:rPr>
          <w:rFonts w:eastAsia="Segoe UI"/>
          <w:color w:val="0F1115"/>
          <w:sz w:val="24"/>
          <w:lang w:val="pt-BR"/>
        </w:rPr>
      </w:pPr>
    </w:p>
    <w:p w14:paraId="0F0C8F39"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2. A Dimensão Histórico-Clínica: Da Possessão à Psicose</w:t>
      </w:r>
      <w:r>
        <w:rPr>
          <w:rFonts w:eastAsia="Segoe UI"/>
          <w:color w:val="0F1115"/>
          <w:sz w:val="24"/>
          <w:shd w:val="clear" w:color="auto" w:fill="FFFFFF"/>
          <w:lang w:val="pt-BR"/>
        </w:rPr>
        <w:br/>
        <w:t xml:space="preserve">A compreensão do delírio percorreu uma jornada histórica que reflete a própria evolução da </w:t>
      </w:r>
      <w:r>
        <w:rPr>
          <w:rFonts w:eastAsia="Segoe UI"/>
          <w:color w:val="0F1115"/>
          <w:sz w:val="24"/>
          <w:shd w:val="clear" w:color="auto" w:fill="FFFFFF"/>
          <w:lang w:val="pt-BR"/>
        </w:rPr>
        <w:lastRenderedPageBreak/>
        <w:t>psiquiatria, partindo de uma visão sobrenatural na Idade Média para uma conceção médica, ainda que marcada por divergências significativas entre as escolas francesa e anglo-germânica. Esta tensão conceptual só viria a ser resolvida com a sistematização do século XX, que permitiu diferenciar claramente o delirium agudo dos delírios psicóticos.</w:t>
      </w:r>
    </w:p>
    <w:p w14:paraId="6FDF3095"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A antiguidade deste conceito é atestada pela sua presença no léxico latino, nomeadamente nos textos médicos de Celso, "De Medicina" (LEWIS; SHORT, 1879). A análise das ocorrências revela que o "delirium" era então descrito como um sintoma clínico com etiologias específicas. Celso associa-o explicitamente a traumatismos cranianos, observando "</w:t>
      </w:r>
      <w:proofErr w:type="spellStart"/>
      <w:r>
        <w:rPr>
          <w:rFonts w:eastAsia="Segoe UI"/>
          <w:color w:val="0F1115"/>
          <w:sz w:val="24"/>
          <w:shd w:val="clear" w:color="auto" w:fill="FFFFFF"/>
          <w:lang w:val="pt-BR"/>
        </w:rPr>
        <w:t>ubi</w:t>
      </w:r>
      <w:proofErr w:type="spellEnd"/>
      <w:r>
        <w:rPr>
          <w:rFonts w:eastAsia="Segoe UI"/>
          <w:color w:val="0F1115"/>
          <w:sz w:val="24"/>
          <w:shd w:val="clear" w:color="auto" w:fill="FFFFFF"/>
          <w:lang w:val="pt-BR"/>
        </w:rPr>
        <w:t xml:space="preserve"> caput </w:t>
      </w:r>
      <w:proofErr w:type="spellStart"/>
      <w:r>
        <w:rPr>
          <w:rFonts w:eastAsia="Segoe UI"/>
          <w:color w:val="0F1115"/>
          <w:sz w:val="24"/>
          <w:shd w:val="clear" w:color="auto" w:fill="FFFFFF"/>
          <w:lang w:val="pt-BR"/>
        </w:rPr>
        <w:t>vulneratum</w:t>
      </w:r>
      <w:proofErr w:type="spellEnd"/>
      <w:r>
        <w:rPr>
          <w:rFonts w:eastAsia="Segoe UI"/>
          <w:color w:val="0F1115"/>
          <w:sz w:val="24"/>
          <w:shd w:val="clear" w:color="auto" w:fill="FFFFFF"/>
          <w:lang w:val="pt-BR"/>
        </w:rPr>
        <w:t xml:space="preserve"> est, delirium" (onde a cabeça foi ferida, há delírio). A sua inclusão entre outros sinais graves, como vómito e soluço, sugere que era considerado um indicador de prognóstico reservado. Para além do contexto médico, o termo já aparecia usado no registo satírico, como atesta Gregório de Veneza, que utiliza "delirium" para qualificar um </w:t>
      </w:r>
      <w:proofErr w:type="spellStart"/>
      <w:r>
        <w:rPr>
          <w:rFonts w:eastAsia="Segoe UI"/>
          <w:color w:val="0F1115"/>
          <w:sz w:val="24"/>
          <w:shd w:val="clear" w:color="auto" w:fill="FFFFFF"/>
          <w:lang w:val="pt-BR"/>
        </w:rPr>
        <w:t>acto</w:t>
      </w:r>
      <w:proofErr w:type="spellEnd"/>
      <w:r>
        <w:rPr>
          <w:rFonts w:eastAsia="Segoe UI"/>
          <w:color w:val="0F1115"/>
          <w:sz w:val="24"/>
          <w:shd w:val="clear" w:color="auto" w:fill="FFFFFF"/>
          <w:lang w:val="pt-BR"/>
        </w:rPr>
        <w:t xml:space="preserve"> insensato, demonstrando a sua permeação no léxico geral como sinónimo de loucura ou irracionalidade.</w:t>
      </w:r>
    </w:p>
    <w:p w14:paraId="6057B926" w14:textId="77777777" w:rsidR="0003312E" w:rsidRDefault="0003312E">
      <w:pPr>
        <w:pStyle w:val="NormalWeb"/>
        <w:shd w:val="clear" w:color="auto" w:fill="FFFFFF"/>
        <w:spacing w:beforeAutospacing="0" w:after="0" w:afterAutospacing="0" w:line="360" w:lineRule="auto"/>
        <w:ind w:firstLine="709"/>
        <w:jc w:val="both"/>
        <w:rPr>
          <w:rFonts w:eastAsia="Segoe UI"/>
          <w:color w:val="0F1115"/>
          <w:sz w:val="24"/>
          <w:shd w:val="clear" w:color="auto" w:fill="FFFFFF"/>
          <w:lang w:val="pt-BR"/>
        </w:rPr>
      </w:pPr>
    </w:p>
    <w:p w14:paraId="2066BDF3"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shd w:val="clear" w:color="auto" w:fill="FFFFFF"/>
          <w:lang w:val="pt-BR"/>
        </w:rPr>
      </w:pPr>
      <w:r>
        <w:rPr>
          <w:rStyle w:val="Forte"/>
          <w:rFonts w:eastAsia="Segoe UI"/>
          <w:color w:val="0F1115"/>
          <w:sz w:val="24"/>
          <w:shd w:val="clear" w:color="auto" w:fill="FFFFFF"/>
          <w:lang w:val="pt-BR"/>
        </w:rPr>
        <w:t>3. A Dimensão Neurocientífica: A Desconexão Cognitiva</w:t>
      </w:r>
      <w:r>
        <w:rPr>
          <w:rFonts w:eastAsia="Segoe UI"/>
          <w:color w:val="0F1115"/>
          <w:sz w:val="24"/>
          <w:shd w:val="clear" w:color="auto" w:fill="FFFFFF"/>
          <w:lang w:val="pt-BR"/>
        </w:rPr>
        <w:br/>
        <w:t>A neurociência contemporânea revela que a metáfora do "sair do sulco" tem bases biológicas precisas. O delirium está associado principalmente a desequilíbrios colinérgicos que afetam amplas redes corticais, enquanto os delírios psicóticos relacionam-se mais com hiperatividade dopaminérgica em circuitos específicos. Estas alterações neuroquímicas explicam por que o cérebro em estado delirante perde a capacidade de processar informações de forma coerente.</w:t>
      </w:r>
    </w:p>
    <w:p w14:paraId="2091D045" w14:textId="77777777" w:rsidR="0003312E" w:rsidRDefault="0003312E">
      <w:pPr>
        <w:pStyle w:val="NormalWeb"/>
        <w:shd w:val="clear" w:color="auto" w:fill="FFFFFF"/>
        <w:spacing w:beforeAutospacing="0" w:after="0" w:afterAutospacing="0" w:line="360" w:lineRule="auto"/>
        <w:ind w:firstLine="709"/>
        <w:jc w:val="both"/>
        <w:rPr>
          <w:rFonts w:eastAsia="Segoe UI"/>
          <w:color w:val="0F1115"/>
          <w:sz w:val="24"/>
          <w:lang w:val="pt-BR"/>
        </w:rPr>
      </w:pPr>
    </w:p>
    <w:p w14:paraId="14EFBB5D"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4. A Dimensão Poético-Filosófica: O Labirinto como Espelho</w:t>
      </w:r>
      <w:r>
        <w:rPr>
          <w:rFonts w:eastAsia="Segoe UI"/>
          <w:color w:val="0F1115"/>
          <w:sz w:val="24"/>
          <w:shd w:val="clear" w:color="auto" w:fill="FFFFFF"/>
          <w:lang w:val="pt-BR"/>
        </w:rPr>
        <w:br/>
        <w:t>Para além da patologia, o delírio permanece uma metáfora poderosa dos limites da razão humana. Como um labirinto invertido onde cada caminho leva a mais confusão, ele nos confronta com a fragilidade de nossa percepção da realidade. A vida e obra de Van Gogh exemplificam este paradoxo: seus episódios delirantes foram fonte de intenso sofrimento, mas também proporcionaram uma visão única do mundo que revolucionou a arte.</w:t>
      </w:r>
    </w:p>
    <w:p w14:paraId="4BF39F86" w14:textId="77777777" w:rsidR="0003312E" w:rsidRDefault="0003312E">
      <w:pPr>
        <w:spacing w:after="0" w:line="360" w:lineRule="auto"/>
        <w:ind w:firstLine="709"/>
        <w:jc w:val="both"/>
        <w:rPr>
          <w:rFonts w:ascii="Times New Roman" w:eastAsia="Segoe UI" w:hAnsi="Times New Roman" w:cs="Times New Roman"/>
          <w:color w:val="0F1115"/>
          <w:sz w:val="24"/>
          <w:szCs w:val="24"/>
        </w:rPr>
      </w:pPr>
    </w:p>
    <w:p w14:paraId="5C3BAF1F"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Style w:val="Forte"/>
          <w:rFonts w:eastAsia="Segoe UI"/>
          <w:color w:val="0F1115"/>
          <w:sz w:val="24"/>
          <w:shd w:val="clear" w:color="auto" w:fill="FFFFFF"/>
          <w:lang w:val="pt-BR"/>
        </w:rPr>
        <w:t>Próximo: O Teatro do Corpo</w:t>
      </w:r>
    </w:p>
    <w:p w14:paraId="78BA1120" w14:textId="77777777" w:rsidR="0003312E" w:rsidRDefault="00000000">
      <w:pPr>
        <w:pStyle w:val="NormalWeb"/>
        <w:shd w:val="clear" w:color="auto" w:fill="FFFFFF"/>
        <w:spacing w:beforeAutospacing="0" w:after="0" w:afterAutospacing="0" w:line="360" w:lineRule="auto"/>
        <w:ind w:firstLine="709"/>
        <w:jc w:val="both"/>
        <w:rPr>
          <w:rFonts w:eastAsia="Segoe UI"/>
          <w:color w:val="0F1115"/>
          <w:sz w:val="24"/>
          <w:lang w:val="pt-BR"/>
        </w:rPr>
      </w:pPr>
      <w:r>
        <w:rPr>
          <w:rFonts w:eastAsia="Segoe UI"/>
          <w:color w:val="0F1115"/>
          <w:sz w:val="24"/>
          <w:shd w:val="clear" w:color="auto" w:fill="FFFFFF"/>
          <w:lang w:val="pt-BR"/>
        </w:rPr>
        <w:t xml:space="preserve">Se o delírio de Van Gogh nos revela um labirinto interno de pensamento desorganizado, a histeria, tão minuciosamente estudada por Jean-Martin </w:t>
      </w:r>
      <w:proofErr w:type="spellStart"/>
      <w:r>
        <w:rPr>
          <w:rFonts w:eastAsia="Segoe UI"/>
          <w:color w:val="0F1115"/>
          <w:sz w:val="24"/>
          <w:shd w:val="clear" w:color="auto" w:fill="FFFFFF"/>
          <w:lang w:val="pt-BR"/>
        </w:rPr>
        <w:t>Charcot</w:t>
      </w:r>
      <w:proofErr w:type="spellEnd"/>
      <w:r>
        <w:rPr>
          <w:rFonts w:eastAsia="Segoe UI"/>
          <w:color w:val="0F1115"/>
          <w:sz w:val="24"/>
          <w:shd w:val="clear" w:color="auto" w:fill="FFFFFF"/>
          <w:lang w:val="pt-BR"/>
        </w:rPr>
        <w:t xml:space="preserve">, emerge como seu oposto performático: uma verdadeira encenação corporal do inconsciente. Enquanto o delírio internaliza o caos, transformando a mente em um campo de batalha privado, a histeria o </w:t>
      </w:r>
      <w:r>
        <w:rPr>
          <w:rFonts w:eastAsia="Segoe UI"/>
          <w:color w:val="0F1115"/>
          <w:sz w:val="24"/>
          <w:shd w:val="clear" w:color="auto" w:fill="FFFFFF"/>
          <w:lang w:val="pt-BR"/>
        </w:rPr>
        <w:lastRenderedPageBreak/>
        <w:t>externaliza de forma dramática por meio de sintomas físicos impressionantes - paralisias, convulsões, anestesias - convertendo o corpo em um palco vivo onde se manifesta aquilo que a mente não consegue verbalizar.</w:t>
      </w:r>
    </w:p>
    <w:p w14:paraId="152FE2CD" w14:textId="77777777" w:rsidR="0003312E" w:rsidRDefault="00000000">
      <w:pPr>
        <w:rPr>
          <w:rFonts w:eastAsia="Segoe UI"/>
          <w:sz w:val="24"/>
          <w:shd w:val="clear" w:color="auto" w:fill="FFFFFF"/>
        </w:rPr>
      </w:pPr>
      <w:r>
        <w:rPr>
          <w:rFonts w:eastAsia="Segoe UI"/>
          <w:sz w:val="24"/>
          <w:shd w:val="clear" w:color="auto" w:fill="FFFFFF"/>
        </w:rPr>
        <w:br w:type="page"/>
      </w:r>
    </w:p>
    <w:p w14:paraId="691C94C8"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tbl>
      <w:tblPr>
        <w:tblStyle w:val="Tabelacomgrade"/>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65E10604" w14:textId="77777777">
        <w:trPr>
          <w:trHeight w:val="470"/>
        </w:trPr>
        <w:tc>
          <w:tcPr>
            <w:tcW w:w="8505" w:type="dxa"/>
            <w:gridSpan w:val="2"/>
            <w:tcBorders>
              <w:top w:val="nil"/>
              <w:left w:val="nil"/>
              <w:bottom w:val="nil"/>
              <w:right w:val="nil"/>
            </w:tcBorders>
          </w:tcPr>
          <w:p w14:paraId="0884B359"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Capítulo </w:t>
            </w:r>
            <w:proofErr w:type="gramStart"/>
            <w:r>
              <w:rPr>
                <w:rFonts w:ascii="Times New Roman" w:hAnsi="Times New Roman" w:cs="Times New Roman"/>
                <w:b/>
                <w:bCs/>
                <w:sz w:val="24"/>
                <w:szCs w:val="24"/>
              </w:rPr>
              <w:t>7  -</w:t>
            </w:r>
            <w:proofErr w:type="gramEnd"/>
            <w:r>
              <w:rPr>
                <w:rFonts w:ascii="Times New Roman" w:hAnsi="Times New Roman" w:cs="Times New Roman"/>
                <w:b/>
                <w:bCs/>
                <w:sz w:val="24"/>
                <w:szCs w:val="24"/>
              </w:rPr>
              <w:t xml:space="preserve">  </w:t>
            </w:r>
            <w:r>
              <w:rPr>
                <w:rFonts w:ascii="Times New Roman" w:eastAsiaTheme="majorEastAsia" w:hAnsi="Times New Roman" w:cs="Times New Roman"/>
                <w:b/>
                <w:bCs/>
                <w:sz w:val="24"/>
                <w:szCs w:val="24"/>
              </w:rPr>
              <w:t>Histeria: Quando o Corpo Fala o que a Mente Cala</w:t>
            </w:r>
          </w:p>
        </w:tc>
      </w:tr>
      <w:tr w:rsidR="0003312E" w14:paraId="5C642A71" w14:textId="77777777">
        <w:tc>
          <w:tcPr>
            <w:tcW w:w="4353" w:type="dxa"/>
            <w:tcBorders>
              <w:top w:val="nil"/>
              <w:left w:val="nil"/>
              <w:bottom w:val="nil"/>
              <w:right w:val="nil"/>
            </w:tcBorders>
          </w:tcPr>
          <w:p w14:paraId="04B0B97F"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00D8998" wp14:editId="026467A3">
                  <wp:extent cx="1992630" cy="1992630"/>
                  <wp:effectExtent l="0" t="0" r="7620" b="7620"/>
                  <wp:docPr id="11" name="Imagem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7" descr="IMG_256"/>
                          <pic:cNvPicPr>
                            <a:picLocks noChangeAspect="1"/>
                          </pic:cNvPicPr>
                        </pic:nvPicPr>
                        <pic:blipFill>
                          <a:blip r:embed="rId25">
                            <a:clrChange>
                              <a:clrFrom>
                                <a:srgbClr val="CFCDC1"/>
                              </a:clrFrom>
                              <a:clrTo>
                                <a:srgbClr val="CFCDC1">
                                  <a:alpha val="0"/>
                                </a:srgbClr>
                              </a:clrTo>
                            </a:clrChange>
                            <a:biLevel thresh="75000"/>
                          </a:blip>
                          <a:stretch>
                            <a:fillRect/>
                          </a:stretch>
                        </pic:blipFill>
                        <pic:spPr>
                          <a:xfrm>
                            <a:off x="0" y="0"/>
                            <a:ext cx="1992630" cy="1992630"/>
                          </a:xfrm>
                          <a:prstGeom prst="rect">
                            <a:avLst/>
                          </a:prstGeom>
                          <a:noFill/>
                          <a:ln w="9525">
                            <a:noFill/>
                          </a:ln>
                        </pic:spPr>
                      </pic:pic>
                    </a:graphicData>
                  </a:graphic>
                </wp:inline>
              </w:drawing>
            </w:r>
          </w:p>
        </w:tc>
        <w:tc>
          <w:tcPr>
            <w:tcW w:w="4152" w:type="dxa"/>
            <w:tcBorders>
              <w:top w:val="nil"/>
              <w:left w:val="nil"/>
              <w:bottom w:val="nil"/>
              <w:right w:val="nil"/>
            </w:tcBorders>
          </w:tcPr>
          <w:p w14:paraId="0AC90226"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0E87C67" wp14:editId="51F9715B">
                  <wp:extent cx="1432560" cy="1948815"/>
                  <wp:effectExtent l="0" t="0" r="0" b="0"/>
                  <wp:docPr id="6" name="Imagem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3" descr="IMG_256"/>
                          <pic:cNvPicPr>
                            <a:picLocks noChangeAspect="1"/>
                          </pic:cNvPicPr>
                        </pic:nvPicPr>
                        <pic:blipFill>
                          <a:blip r:embed="rId26"/>
                          <a:srcRect b="9273"/>
                          <a:stretch>
                            <a:fillRect/>
                          </a:stretch>
                        </pic:blipFill>
                        <pic:spPr>
                          <a:xfrm>
                            <a:off x="0" y="0"/>
                            <a:ext cx="1449949" cy="1972707"/>
                          </a:xfrm>
                          <a:prstGeom prst="rect">
                            <a:avLst/>
                          </a:prstGeom>
                          <a:noFill/>
                          <a:ln>
                            <a:noFill/>
                          </a:ln>
                        </pic:spPr>
                      </pic:pic>
                    </a:graphicData>
                  </a:graphic>
                </wp:inline>
              </w:drawing>
            </w:r>
          </w:p>
        </w:tc>
      </w:tr>
      <w:tr w:rsidR="0003312E" w14:paraId="7054C637" w14:textId="77777777">
        <w:trPr>
          <w:trHeight w:val="476"/>
        </w:trPr>
        <w:tc>
          <w:tcPr>
            <w:tcW w:w="4353" w:type="dxa"/>
            <w:tcBorders>
              <w:top w:val="nil"/>
              <w:left w:val="nil"/>
              <w:bottom w:val="nil"/>
              <w:right w:val="nil"/>
            </w:tcBorders>
          </w:tcPr>
          <w:p w14:paraId="09BD2B90"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7.1: O Útero como Labirinto: O Código Corporal do Inconsciente</w:t>
            </w:r>
          </w:p>
        </w:tc>
        <w:tc>
          <w:tcPr>
            <w:tcW w:w="4152" w:type="dxa"/>
            <w:tcBorders>
              <w:top w:val="nil"/>
              <w:left w:val="nil"/>
              <w:bottom w:val="nil"/>
              <w:right w:val="nil"/>
            </w:tcBorders>
          </w:tcPr>
          <w:p w14:paraId="393CE61D"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sz w:val="24"/>
                <w:szCs w:val="24"/>
              </w:rPr>
              <w:t xml:space="preserve">Figura 7.2: </w:t>
            </w:r>
            <w:r>
              <w:rPr>
                <w:rFonts w:ascii="Times New Roman" w:eastAsia="Segoe UI" w:hAnsi="Times New Roman" w:cs="Times New Roman"/>
                <w:i/>
                <w:iCs/>
                <w:sz w:val="24"/>
                <w:szCs w:val="24"/>
                <w:shd w:val="clear" w:color="auto" w:fill="FFFFFF"/>
              </w:rPr>
              <w:t xml:space="preserve">Jean-Martin </w:t>
            </w:r>
            <w:proofErr w:type="spellStart"/>
            <w:r>
              <w:rPr>
                <w:rFonts w:ascii="Times New Roman" w:eastAsia="Segoe UI" w:hAnsi="Times New Roman" w:cs="Times New Roman"/>
                <w:i/>
                <w:iCs/>
                <w:sz w:val="24"/>
                <w:szCs w:val="24"/>
                <w:shd w:val="clear" w:color="auto" w:fill="FFFFFF"/>
              </w:rPr>
              <w:t>Charcot</w:t>
            </w:r>
            <w:proofErr w:type="spellEnd"/>
            <w:r>
              <w:rPr>
                <w:rFonts w:ascii="Times New Roman" w:eastAsia="Segoe UI" w:hAnsi="Times New Roman" w:cs="Times New Roman"/>
                <w:i/>
                <w:iCs/>
                <w:sz w:val="24"/>
                <w:szCs w:val="24"/>
                <w:shd w:val="clear" w:color="auto" w:fill="FFFFFF"/>
              </w:rPr>
              <w:t xml:space="preserve"> (1825 - 1893)</w:t>
            </w:r>
            <w:r>
              <w:rPr>
                <w:rFonts w:ascii="Times New Roman" w:eastAsiaTheme="majorEastAsia" w:hAnsi="Times New Roman" w:cs="Times New Roman"/>
                <w:i/>
                <w:iCs/>
                <w:sz w:val="24"/>
                <w:szCs w:val="24"/>
              </w:rPr>
              <w:t>:</w:t>
            </w:r>
            <w:r>
              <w:rPr>
                <w:rFonts w:ascii="Times New Roman" w:eastAsiaTheme="majorEastAsia" w:hAnsi="Times New Roman" w:cs="Times New Roman"/>
                <w:sz w:val="24"/>
                <w:szCs w:val="24"/>
              </w:rPr>
              <w:t xml:space="preserve"> </w:t>
            </w:r>
            <w:r>
              <w:rPr>
                <w:rFonts w:ascii="Times New Roman" w:eastAsiaTheme="majorEastAsia" w:hAnsi="Times New Roman" w:cs="Times New Roman"/>
                <w:i/>
                <w:iCs/>
                <w:sz w:val="24"/>
                <w:szCs w:val="24"/>
              </w:rPr>
              <w:t>O Diretor do Teatro Clínico</w:t>
            </w:r>
          </w:p>
        </w:tc>
      </w:tr>
    </w:tbl>
    <w:p w14:paraId="7F452A75"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1B7ABBB9"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4E806D5E"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Histeria em Poucas Palavras: Quando o Corpo Vira Palco</w:t>
      </w:r>
    </w:p>
    <w:p w14:paraId="2FF07BB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O fenômeno da histeria representa um dos capítulos mais reveladores da história da medicina, onde conceitos científicos, preconceitos de gênero e entendimentos culturais se entrelaçaram por milênios. Para desvendar esta complexidade, percorreremos quatro dimensões fundamentais que se complementam: A primeira dimensão nos revela sua origem etimológica no termo grego "</w:t>
      </w:r>
      <w:proofErr w:type="spellStart"/>
      <w:r>
        <w:rPr>
          <w:rFonts w:ascii="Times New Roman" w:eastAsia="Times New Roman" w:hAnsi="Times New Roman" w:cs="Times New Roman"/>
          <w:color w:val="0F1115"/>
          <w:kern w:val="0"/>
          <w:sz w:val="24"/>
          <w:szCs w:val="24"/>
          <w:lang w:eastAsia="pt-BR"/>
          <w14:ligatures w14:val="none"/>
        </w:rPr>
        <w:t>hystera</w:t>
      </w:r>
      <w:proofErr w:type="spellEnd"/>
      <w:r>
        <w:rPr>
          <w:rFonts w:ascii="Times New Roman" w:eastAsia="Times New Roman" w:hAnsi="Times New Roman" w:cs="Times New Roman"/>
          <w:color w:val="0F1115"/>
          <w:kern w:val="0"/>
          <w:sz w:val="24"/>
          <w:szCs w:val="24"/>
          <w:lang w:eastAsia="pt-BR"/>
          <w14:ligatures w14:val="none"/>
        </w:rPr>
        <w:t xml:space="preserve">" (útero), refletindo um erro anatômico que persistiu por séculos e </w:t>
      </w:r>
      <w:proofErr w:type="spellStart"/>
      <w:r>
        <w:rPr>
          <w:rFonts w:ascii="Times New Roman" w:eastAsia="Times New Roman" w:hAnsi="Times New Roman" w:cs="Times New Roman"/>
          <w:color w:val="0F1115"/>
          <w:kern w:val="0"/>
          <w:sz w:val="24"/>
          <w:szCs w:val="24"/>
          <w:lang w:eastAsia="pt-BR"/>
          <w14:ligatures w14:val="none"/>
        </w:rPr>
        <w:t>genderizou</w:t>
      </w:r>
      <w:proofErr w:type="spellEnd"/>
      <w:r>
        <w:rPr>
          <w:rFonts w:ascii="Times New Roman" w:eastAsia="Times New Roman" w:hAnsi="Times New Roman" w:cs="Times New Roman"/>
          <w:color w:val="0F1115"/>
          <w:kern w:val="0"/>
          <w:sz w:val="24"/>
          <w:szCs w:val="24"/>
          <w:lang w:eastAsia="pt-BR"/>
          <w14:ligatures w14:val="none"/>
        </w:rPr>
        <w:t xml:space="preserve"> profundamente a compreensão do sofrimento psicológico. A segunda nos guia por sua extraordinária jornada histórica, que parte das teorias médicas da Grécia Antiga, passa pela interpretação demonológica medieval e chega à medicalização teatral do século XIX. A terceira dimensão desvenda como a neurociência contemporânea compreende estes sintomas através do conceito de Transtorno de Sintomas Neurológicos Funcionais. E a quarta nos leva ao plano filosófico, onde a histeria emerge como uma metáfora poderosa dos mecanismos do inconsciente e da expressão corporal do sofrimento psíquico.</w:t>
      </w:r>
    </w:p>
    <w:p w14:paraId="37C75A79"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75E6ADDE"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A Jornada da Palavra: Do Útero Errante ao Inconsciente</w:t>
      </w:r>
    </w:p>
    <w:p w14:paraId="2DA91CA7"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história da histeria revela uma narrativa dramática de apropriação e reinterpretação cultural e médica. Na Grécia Antiga, a teoria hipocrática do "útero errante" estabeleceu as bases para uma compreensão ginecológica do fenômeno. Como atestam as referências documentais, autores como </w:t>
      </w:r>
      <w:proofErr w:type="spellStart"/>
      <w:r>
        <w:rPr>
          <w:rFonts w:ascii="Times New Roman" w:eastAsia="Times New Roman" w:hAnsi="Times New Roman" w:cs="Times New Roman"/>
          <w:color w:val="0F1115"/>
          <w:kern w:val="0"/>
          <w:sz w:val="24"/>
          <w:szCs w:val="24"/>
          <w:lang w:eastAsia="pt-BR"/>
          <w14:ligatures w14:val="none"/>
        </w:rPr>
        <w:t>Apollodorus</w:t>
      </w:r>
      <w:proofErr w:type="spellEnd"/>
      <w:r>
        <w:rPr>
          <w:rFonts w:ascii="Times New Roman" w:eastAsia="Times New Roman" w:hAnsi="Times New Roman" w:cs="Times New Roman"/>
          <w:color w:val="0F1115"/>
          <w:kern w:val="0"/>
          <w:sz w:val="24"/>
          <w:szCs w:val="24"/>
          <w:lang w:eastAsia="pt-BR"/>
          <w14:ligatures w14:val="none"/>
        </w:rPr>
        <w:t xml:space="preserve"> descreviam mulheres "tomadas por uma espécie de loucura - presumivelmente alguma forma de histeria" que corriam cantando pela selva, enquanto </w:t>
      </w:r>
      <w:proofErr w:type="spellStart"/>
      <w:r>
        <w:rPr>
          <w:rFonts w:ascii="Times New Roman" w:eastAsia="Times New Roman" w:hAnsi="Times New Roman" w:cs="Times New Roman"/>
          <w:color w:val="0F1115"/>
          <w:kern w:val="0"/>
          <w:sz w:val="24"/>
          <w:szCs w:val="24"/>
          <w:lang w:eastAsia="pt-BR"/>
          <w14:ligatures w14:val="none"/>
        </w:rPr>
        <w:t>Strabo</w:t>
      </w:r>
      <w:proofErr w:type="spellEnd"/>
      <w:r>
        <w:rPr>
          <w:rFonts w:ascii="Times New Roman" w:eastAsia="Times New Roman" w:hAnsi="Times New Roman" w:cs="Times New Roman"/>
          <w:color w:val="0F1115"/>
          <w:kern w:val="0"/>
          <w:sz w:val="24"/>
          <w:szCs w:val="24"/>
          <w:lang w:eastAsia="pt-BR"/>
          <w14:ligatures w14:val="none"/>
        </w:rPr>
        <w:t xml:space="preserve"> mencionava tratamentos para "doenças espasmódicas, como histeria e epilepsia".</w:t>
      </w:r>
    </w:p>
    <w:p w14:paraId="4BBD0803"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lastRenderedPageBreak/>
        <w:t>Na Idade Média, a explicação hipocrática cedeu lugar à interpretação teológica: os sintomas histéricos passaram a ser vistos como sinais de possessão demoníaca, deslocando as "curas" da esfera médica para a religiosa. Esta transição é crucial para entender como o corpo da mulher transformou-se em campo de batalha entre o sagrado e o profano.</w:t>
      </w:r>
    </w:p>
    <w:p w14:paraId="2DE930A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Figuras como Thomas </w:t>
      </w:r>
      <w:proofErr w:type="spellStart"/>
      <w:r>
        <w:rPr>
          <w:rFonts w:ascii="Times New Roman" w:eastAsia="Times New Roman" w:hAnsi="Times New Roman" w:cs="Times New Roman"/>
          <w:color w:val="0F1115"/>
          <w:kern w:val="0"/>
          <w:sz w:val="24"/>
          <w:szCs w:val="24"/>
          <w:lang w:eastAsia="pt-BR"/>
          <w14:ligatures w14:val="none"/>
        </w:rPr>
        <w:t>Sydenham</w:t>
      </w:r>
      <w:proofErr w:type="spellEnd"/>
      <w:r>
        <w:rPr>
          <w:rFonts w:ascii="Times New Roman" w:eastAsia="Times New Roman" w:hAnsi="Times New Roman" w:cs="Times New Roman"/>
          <w:color w:val="0F1115"/>
          <w:kern w:val="0"/>
          <w:sz w:val="24"/>
          <w:szCs w:val="24"/>
          <w:lang w:eastAsia="pt-BR"/>
          <w14:ligatures w14:val="none"/>
        </w:rPr>
        <w:t xml:space="preserve"> (século XVII) propuseram concepções mais complexas da histeria, reconhecendo seus aspectos psicossomáticos. Entretanto, a virada decisiva ocorreu no século XIX com Jean-Martin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No hospital da </w:t>
      </w:r>
      <w:proofErr w:type="spellStart"/>
      <w:r>
        <w:rPr>
          <w:rFonts w:ascii="Times New Roman" w:eastAsia="Times New Roman" w:hAnsi="Times New Roman" w:cs="Times New Roman"/>
          <w:color w:val="0F1115"/>
          <w:kern w:val="0"/>
          <w:sz w:val="24"/>
          <w:szCs w:val="24"/>
          <w:lang w:eastAsia="pt-BR"/>
          <w14:ligatures w14:val="none"/>
        </w:rPr>
        <w:t>Salpêtrière</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empreendeu uma missão de medicalização, argumentando que a histeria não era possessão nem fraude, mas uma doença real do sistema nervoso. É importante notar que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ainda acreditava que a histeria era causada por uma lesão anatômica ainda não identificável no sistema nervoso, que a ciência de sua época simplesmente não conseguia detectar. Crucialmente, não apenas demonstrou, mas legitimou e estudou sistematicamente que homens também podiam apresentar sintomas histéricos, desafiando o dogma etimológico que vinculava a condição exclusivamente ao feminino.</w:t>
      </w:r>
    </w:p>
    <w:p w14:paraId="65FC8781"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Um método de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era pedagogicamente teatral. Suas 'Lições de Terça-feira' transformavam o anfiteatro da </w:t>
      </w:r>
      <w:proofErr w:type="spellStart"/>
      <w:r>
        <w:rPr>
          <w:rFonts w:ascii="Times New Roman" w:eastAsia="Times New Roman" w:hAnsi="Times New Roman" w:cs="Times New Roman"/>
          <w:color w:val="0F1115"/>
          <w:kern w:val="0"/>
          <w:sz w:val="24"/>
          <w:szCs w:val="24"/>
          <w:lang w:eastAsia="pt-BR"/>
          <w14:ligatures w14:val="none"/>
        </w:rPr>
        <w:t>Salpêtrière</w:t>
      </w:r>
      <w:proofErr w:type="spellEnd"/>
      <w:r>
        <w:rPr>
          <w:rFonts w:ascii="Times New Roman" w:eastAsia="Times New Roman" w:hAnsi="Times New Roman" w:cs="Times New Roman"/>
          <w:color w:val="0F1115"/>
          <w:kern w:val="0"/>
          <w:sz w:val="24"/>
          <w:szCs w:val="24"/>
          <w:lang w:eastAsia="pt-BR"/>
          <w14:ligatures w14:val="none"/>
        </w:rPr>
        <w:t xml:space="preserve"> em palco de demonstração clínica, onde pacientes como Blanche </w:t>
      </w:r>
      <w:proofErr w:type="spellStart"/>
      <w:r>
        <w:rPr>
          <w:rFonts w:ascii="Times New Roman" w:eastAsia="Times New Roman" w:hAnsi="Times New Roman" w:cs="Times New Roman"/>
          <w:color w:val="0F1115"/>
          <w:kern w:val="0"/>
          <w:sz w:val="24"/>
          <w:szCs w:val="24"/>
          <w:lang w:eastAsia="pt-BR"/>
          <w14:ligatures w14:val="none"/>
        </w:rPr>
        <w:t>Wittmann</w:t>
      </w:r>
      <w:proofErr w:type="spellEnd"/>
      <w:r>
        <w:rPr>
          <w:rFonts w:ascii="Times New Roman" w:eastAsia="Times New Roman" w:hAnsi="Times New Roman" w:cs="Times New Roman"/>
          <w:color w:val="0F1115"/>
          <w:kern w:val="0"/>
          <w:sz w:val="24"/>
          <w:szCs w:val="24"/>
          <w:lang w:eastAsia="pt-BR"/>
          <w14:ligatures w14:val="none"/>
        </w:rPr>
        <w:t xml:space="preserve"> eram hipnotizadas diante de uma plateia ávida de médicos e curiosos. Embora tenha retirado a doença do reino do sobrenatural,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não se limitou a observá-la; ele a </w:t>
      </w:r>
      <w:r>
        <w:rPr>
          <w:rFonts w:ascii="Times New Roman" w:eastAsia="Times New Roman" w:hAnsi="Times New Roman" w:cs="Times New Roman"/>
          <w:i/>
          <w:iCs/>
          <w:color w:val="0F1115"/>
          <w:kern w:val="0"/>
          <w:sz w:val="24"/>
          <w:szCs w:val="24"/>
          <w:lang w:eastAsia="pt-BR"/>
          <w14:ligatures w14:val="none"/>
        </w:rPr>
        <w:t>encenou</w:t>
      </w:r>
      <w:r>
        <w:rPr>
          <w:rFonts w:ascii="Times New Roman" w:eastAsia="Times New Roman" w:hAnsi="Times New Roman" w:cs="Times New Roman"/>
          <w:color w:val="0F1115"/>
          <w:kern w:val="0"/>
          <w:sz w:val="24"/>
          <w:szCs w:val="24"/>
          <w:lang w:eastAsia="pt-BR"/>
          <w14:ligatures w14:val="none"/>
        </w:rPr>
        <w:t>. Seu teatro médico gerou um catálogo iconográfico de poses e sintomas — as </w:t>
      </w:r>
      <w:proofErr w:type="spellStart"/>
      <w:r>
        <w:rPr>
          <w:rFonts w:ascii="Times New Roman" w:eastAsia="Times New Roman" w:hAnsi="Times New Roman" w:cs="Times New Roman"/>
          <w:i/>
          <w:iCs/>
          <w:color w:val="0F1115"/>
          <w:kern w:val="0"/>
          <w:sz w:val="24"/>
          <w:szCs w:val="24"/>
          <w:lang w:eastAsia="pt-BR"/>
          <w14:ligatures w14:val="none"/>
        </w:rPr>
        <w:t>attitudes</w:t>
      </w:r>
      <w:proofErr w:type="spellEnd"/>
      <w:r>
        <w:rPr>
          <w:rFonts w:ascii="Times New Roman" w:eastAsia="Times New Roman" w:hAnsi="Times New Roman" w:cs="Times New Roman"/>
          <w:i/>
          <w:iCs/>
          <w:color w:val="0F1115"/>
          <w:kern w:val="0"/>
          <w:sz w:val="24"/>
          <w:szCs w:val="24"/>
          <w:lang w:eastAsia="pt-BR"/>
          <w14:ligatures w14:val="none"/>
        </w:rPr>
        <w:t xml:space="preserve"> </w:t>
      </w:r>
      <w:proofErr w:type="spellStart"/>
      <w:r>
        <w:rPr>
          <w:rFonts w:ascii="Times New Roman" w:eastAsia="Times New Roman" w:hAnsi="Times New Roman" w:cs="Times New Roman"/>
          <w:i/>
          <w:iCs/>
          <w:color w:val="0F1115"/>
          <w:kern w:val="0"/>
          <w:sz w:val="24"/>
          <w:szCs w:val="24"/>
          <w:lang w:eastAsia="pt-BR"/>
          <w14:ligatures w14:val="none"/>
        </w:rPr>
        <w:t>passionnelles</w:t>
      </w:r>
      <w:proofErr w:type="spellEnd"/>
      <w:r>
        <w:rPr>
          <w:rFonts w:ascii="Times New Roman" w:eastAsia="Times New Roman" w:hAnsi="Times New Roman" w:cs="Times New Roman"/>
          <w:i/>
          <w:iCs/>
          <w:color w:val="0F1115"/>
          <w:kern w:val="0"/>
          <w:sz w:val="24"/>
          <w:szCs w:val="24"/>
          <w:lang w:eastAsia="pt-BR"/>
          <w14:ligatures w14:val="none"/>
        </w:rPr>
        <w:t xml:space="preserve"> -</w:t>
      </w:r>
      <w:r>
        <w:rPr>
          <w:rFonts w:ascii="Times New Roman" w:eastAsia="Times New Roman" w:hAnsi="Times New Roman" w:cs="Times New Roman"/>
          <w:color w:val="0F1115"/>
          <w:kern w:val="0"/>
          <w:sz w:val="24"/>
          <w:szCs w:val="24"/>
          <w:lang w:eastAsia="pt-BR"/>
          <w14:ligatures w14:val="none"/>
        </w:rPr>
        <w:t xml:space="preserve"> que as pacientes, em um ciclo de influência mútua, aprendiam a executar. Assim, a </w:t>
      </w:r>
      <w:proofErr w:type="spellStart"/>
      <w:r>
        <w:rPr>
          <w:rFonts w:ascii="Times New Roman" w:eastAsia="Times New Roman" w:hAnsi="Times New Roman" w:cs="Times New Roman"/>
          <w:color w:val="0F1115"/>
          <w:kern w:val="0"/>
          <w:sz w:val="24"/>
          <w:szCs w:val="24"/>
          <w:lang w:eastAsia="pt-BR"/>
          <w14:ligatures w14:val="none"/>
        </w:rPr>
        <w:t>Salpêtrière</w:t>
      </w:r>
      <w:proofErr w:type="spellEnd"/>
      <w:r>
        <w:rPr>
          <w:rFonts w:ascii="Times New Roman" w:eastAsia="Times New Roman" w:hAnsi="Times New Roman" w:cs="Times New Roman"/>
          <w:color w:val="0F1115"/>
          <w:kern w:val="0"/>
          <w:sz w:val="24"/>
          <w:szCs w:val="24"/>
          <w:lang w:eastAsia="pt-BR"/>
          <w14:ligatures w14:val="none"/>
        </w:rPr>
        <w:t xml:space="preserve"> tornou-se uma fábrica de signos da histeria: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simultaneamente revelava e, de forma crucial, </w:t>
      </w:r>
      <w:r>
        <w:rPr>
          <w:rFonts w:ascii="Times New Roman" w:eastAsia="Times New Roman" w:hAnsi="Times New Roman" w:cs="Times New Roman"/>
          <w:i/>
          <w:iCs/>
          <w:color w:val="0F1115"/>
          <w:kern w:val="0"/>
          <w:sz w:val="24"/>
          <w:szCs w:val="24"/>
          <w:lang w:eastAsia="pt-BR"/>
          <w14:ligatures w14:val="none"/>
        </w:rPr>
        <w:t>modelava</w:t>
      </w:r>
      <w:r>
        <w:rPr>
          <w:rFonts w:ascii="Times New Roman" w:eastAsia="Times New Roman" w:hAnsi="Times New Roman" w:cs="Times New Roman"/>
          <w:color w:val="0F1115"/>
          <w:kern w:val="0"/>
          <w:sz w:val="24"/>
          <w:szCs w:val="24"/>
          <w:lang w:eastAsia="pt-BR"/>
          <w14:ligatures w14:val="none"/>
        </w:rPr>
        <w:t> a própria expressão da doença que se propunha a estudar. Ele "</w:t>
      </w:r>
      <w:proofErr w:type="spellStart"/>
      <w:r>
        <w:rPr>
          <w:rFonts w:ascii="Times New Roman" w:eastAsia="Times New Roman" w:hAnsi="Times New Roman" w:cs="Times New Roman"/>
          <w:color w:val="0F1115"/>
          <w:kern w:val="0"/>
          <w:sz w:val="24"/>
          <w:szCs w:val="24"/>
          <w:lang w:eastAsia="pt-BR"/>
          <w14:ligatures w14:val="none"/>
        </w:rPr>
        <w:t>objetalizou</w:t>
      </w:r>
      <w:proofErr w:type="spellEnd"/>
      <w:proofErr w:type="gramStart"/>
      <w:r>
        <w:rPr>
          <w:rFonts w:ascii="Times New Roman" w:eastAsia="Times New Roman" w:hAnsi="Times New Roman" w:cs="Times New Roman"/>
          <w:color w:val="0F1115"/>
          <w:kern w:val="0"/>
          <w:sz w:val="24"/>
          <w:szCs w:val="24"/>
          <w:lang w:eastAsia="pt-BR"/>
          <w14:ligatures w14:val="none"/>
        </w:rPr>
        <w:t>"  as</w:t>
      </w:r>
      <w:proofErr w:type="gramEnd"/>
      <w:r>
        <w:rPr>
          <w:rFonts w:ascii="Times New Roman" w:eastAsia="Times New Roman" w:hAnsi="Times New Roman" w:cs="Times New Roman"/>
          <w:color w:val="0F1115"/>
          <w:kern w:val="0"/>
          <w:sz w:val="24"/>
          <w:szCs w:val="24"/>
          <w:lang w:eastAsia="pt-BR"/>
          <w14:ligatures w14:val="none"/>
        </w:rPr>
        <w:t xml:space="preserve"> pacientes, transformando seu sofrimento em espetáculo clínico.</w:t>
      </w:r>
    </w:p>
    <w:p w14:paraId="23E73DF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Foi com Sigmund Freud, que estudou com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que a histeria adquiriu uma dimensão psíquica definitiva. Em "Estudos sobre a Histeria" (1895), escrito com Joseph Breuer, propôs que os sintomas representavam conversões simbólicas de traumas e conflitos inconscientes. A paciente histérica não estava doente do útero, mas da alma; seu corpo falava o que sua mente não conseguia articular.</w:t>
      </w:r>
    </w:p>
    <w:p w14:paraId="794158B0"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5AF452F8"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6A1FD7D2"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62A78A6C"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50764A18"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74359EEA"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lastRenderedPageBreak/>
        <w:t>Quadro 7.1. A Evolução da Histeria: Do Mito ao Cérebro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6"/>
        <w:gridCol w:w="2373"/>
        <w:gridCol w:w="5172"/>
      </w:tblGrid>
      <w:tr w:rsidR="0003312E" w14:paraId="510CA305" w14:textId="77777777">
        <w:trPr>
          <w:tblHeader/>
        </w:trPr>
        <w:tc>
          <w:tcPr>
            <w:tcW w:w="0" w:type="auto"/>
            <w:tcMar>
              <w:top w:w="150" w:type="dxa"/>
              <w:left w:w="0" w:type="dxa"/>
              <w:bottom w:w="150" w:type="dxa"/>
              <w:right w:w="240" w:type="dxa"/>
            </w:tcMar>
            <w:vAlign w:val="center"/>
          </w:tcPr>
          <w:p w14:paraId="481E68F9"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Época</w:t>
            </w:r>
          </w:p>
        </w:tc>
        <w:tc>
          <w:tcPr>
            <w:tcW w:w="0" w:type="auto"/>
            <w:tcMar>
              <w:top w:w="150" w:type="dxa"/>
              <w:left w:w="240" w:type="dxa"/>
              <w:bottom w:w="150" w:type="dxa"/>
              <w:right w:w="240" w:type="dxa"/>
            </w:tcMar>
            <w:vAlign w:val="center"/>
          </w:tcPr>
          <w:p w14:paraId="51ADFCEF"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Marco</w:t>
            </w:r>
          </w:p>
        </w:tc>
        <w:tc>
          <w:tcPr>
            <w:tcW w:w="0" w:type="auto"/>
            <w:tcMar>
              <w:top w:w="150" w:type="dxa"/>
              <w:left w:w="240" w:type="dxa"/>
              <w:bottom w:w="150" w:type="dxa"/>
              <w:right w:w="240" w:type="dxa"/>
            </w:tcMar>
            <w:vAlign w:val="center"/>
          </w:tcPr>
          <w:p w14:paraId="1ACD4CEB"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Significado e Impacto</w:t>
            </w:r>
          </w:p>
        </w:tc>
      </w:tr>
      <w:tr w:rsidR="0003312E" w14:paraId="31AEE779" w14:textId="77777777">
        <w:tc>
          <w:tcPr>
            <w:tcW w:w="0" w:type="auto"/>
            <w:tcMar>
              <w:top w:w="150" w:type="dxa"/>
              <w:left w:w="0" w:type="dxa"/>
              <w:bottom w:w="150" w:type="dxa"/>
              <w:right w:w="240" w:type="dxa"/>
            </w:tcMar>
            <w:vAlign w:val="center"/>
          </w:tcPr>
          <w:p w14:paraId="6CD6D3E0"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Grécia Antiga (Hipócrates)</w:t>
            </w:r>
          </w:p>
        </w:tc>
        <w:tc>
          <w:tcPr>
            <w:tcW w:w="0" w:type="auto"/>
            <w:tcMar>
              <w:top w:w="150" w:type="dxa"/>
              <w:left w:w="240" w:type="dxa"/>
              <w:bottom w:w="150" w:type="dxa"/>
              <w:right w:w="240" w:type="dxa"/>
            </w:tcMar>
            <w:vAlign w:val="center"/>
          </w:tcPr>
          <w:p w14:paraId="088B2925"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Teoria do "útero errante"</w:t>
            </w:r>
          </w:p>
        </w:tc>
        <w:tc>
          <w:tcPr>
            <w:tcW w:w="0" w:type="auto"/>
            <w:tcMar>
              <w:top w:w="150" w:type="dxa"/>
              <w:left w:w="240" w:type="dxa"/>
              <w:bottom w:w="150" w:type="dxa"/>
              <w:right w:w="0" w:type="dxa"/>
            </w:tcMar>
            <w:vAlign w:val="center"/>
          </w:tcPr>
          <w:p w14:paraId="5DB63227"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Explicação ginecológica: o útero (</w:t>
            </w:r>
            <w:proofErr w:type="spellStart"/>
            <w:r>
              <w:rPr>
                <w:rFonts w:ascii="Times New Roman" w:eastAsia="Times New Roman" w:hAnsi="Times New Roman" w:cs="Times New Roman"/>
                <w:kern w:val="0"/>
                <w:sz w:val="20"/>
                <w:szCs w:val="20"/>
                <w:lang w:eastAsia="pt-BR"/>
                <w14:ligatures w14:val="none"/>
              </w:rPr>
              <w:t>hystera</w:t>
            </w:r>
            <w:proofErr w:type="spellEnd"/>
            <w:r>
              <w:rPr>
                <w:rFonts w:ascii="Times New Roman" w:eastAsia="Times New Roman" w:hAnsi="Times New Roman" w:cs="Times New Roman"/>
                <w:kern w:val="0"/>
                <w:sz w:val="20"/>
                <w:szCs w:val="20"/>
                <w:lang w:eastAsia="pt-BR"/>
                <w14:ligatures w14:val="none"/>
              </w:rPr>
              <w:t xml:space="preserve">), insatisfeito, deslocava-se pelo corpo, causando sufocação e sintomas diversos. Patologização e </w:t>
            </w:r>
            <w:proofErr w:type="spellStart"/>
            <w:r>
              <w:rPr>
                <w:rFonts w:ascii="Times New Roman" w:eastAsia="Times New Roman" w:hAnsi="Times New Roman" w:cs="Times New Roman"/>
                <w:kern w:val="0"/>
                <w:sz w:val="20"/>
                <w:szCs w:val="20"/>
                <w:lang w:eastAsia="pt-BR"/>
                <w14:ligatures w14:val="none"/>
              </w:rPr>
              <w:t>genderização</w:t>
            </w:r>
            <w:proofErr w:type="spellEnd"/>
            <w:r>
              <w:rPr>
                <w:rFonts w:ascii="Times New Roman" w:eastAsia="Times New Roman" w:hAnsi="Times New Roman" w:cs="Times New Roman"/>
                <w:kern w:val="0"/>
                <w:sz w:val="20"/>
                <w:szCs w:val="20"/>
                <w:lang w:eastAsia="pt-BR"/>
                <w14:ligatures w14:val="none"/>
              </w:rPr>
              <w:t xml:space="preserve"> da histeria desde sua origem, restringindo-a ao sexo feminino.</w:t>
            </w:r>
          </w:p>
        </w:tc>
      </w:tr>
      <w:tr w:rsidR="0003312E" w14:paraId="31FB71CA" w14:textId="77777777">
        <w:tc>
          <w:tcPr>
            <w:tcW w:w="0" w:type="auto"/>
            <w:tcMar>
              <w:top w:w="150" w:type="dxa"/>
              <w:left w:w="0" w:type="dxa"/>
              <w:bottom w:w="150" w:type="dxa"/>
              <w:right w:w="240" w:type="dxa"/>
            </w:tcMar>
            <w:vAlign w:val="center"/>
          </w:tcPr>
          <w:p w14:paraId="1DF2D69D"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Idade Média</w:t>
            </w:r>
          </w:p>
        </w:tc>
        <w:tc>
          <w:tcPr>
            <w:tcW w:w="0" w:type="auto"/>
            <w:tcMar>
              <w:top w:w="150" w:type="dxa"/>
              <w:left w:w="240" w:type="dxa"/>
              <w:bottom w:w="150" w:type="dxa"/>
              <w:right w:w="240" w:type="dxa"/>
            </w:tcMar>
            <w:vAlign w:val="center"/>
          </w:tcPr>
          <w:p w14:paraId="08200DB8"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Histeria como possessão</w:t>
            </w:r>
          </w:p>
        </w:tc>
        <w:tc>
          <w:tcPr>
            <w:tcW w:w="0" w:type="auto"/>
            <w:tcMar>
              <w:top w:w="150" w:type="dxa"/>
              <w:left w:w="240" w:type="dxa"/>
              <w:bottom w:w="150" w:type="dxa"/>
              <w:right w:w="0" w:type="dxa"/>
            </w:tcMar>
            <w:vAlign w:val="center"/>
          </w:tcPr>
          <w:p w14:paraId="50BB06A9"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Interpretação religiosa: sintomas atribuídos a demônios ou forças malignas. Tratamentos envolviam exorcismos e rituais de purificação, criminalizando e moralizando o sofrimento.</w:t>
            </w:r>
          </w:p>
        </w:tc>
      </w:tr>
      <w:tr w:rsidR="0003312E" w14:paraId="00DC28C1" w14:textId="77777777">
        <w:tc>
          <w:tcPr>
            <w:tcW w:w="0" w:type="auto"/>
            <w:tcMar>
              <w:top w:w="150" w:type="dxa"/>
              <w:left w:w="0" w:type="dxa"/>
              <w:bottom w:w="150" w:type="dxa"/>
              <w:right w:w="240" w:type="dxa"/>
            </w:tcMar>
            <w:vAlign w:val="center"/>
          </w:tcPr>
          <w:p w14:paraId="1649178B"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Séculos XVII-XVIII</w:t>
            </w:r>
          </w:p>
        </w:tc>
        <w:tc>
          <w:tcPr>
            <w:tcW w:w="0" w:type="auto"/>
            <w:tcMar>
              <w:top w:w="150" w:type="dxa"/>
              <w:left w:w="240" w:type="dxa"/>
              <w:bottom w:w="150" w:type="dxa"/>
              <w:right w:w="240" w:type="dxa"/>
            </w:tcMar>
            <w:vAlign w:val="center"/>
          </w:tcPr>
          <w:p w14:paraId="0D18FC14"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Reconhecimento da complexidade psicossomática</w:t>
            </w:r>
          </w:p>
        </w:tc>
        <w:tc>
          <w:tcPr>
            <w:tcW w:w="0" w:type="auto"/>
            <w:tcMar>
              <w:top w:w="150" w:type="dxa"/>
              <w:left w:w="240" w:type="dxa"/>
              <w:bottom w:w="150" w:type="dxa"/>
              <w:right w:w="0" w:type="dxa"/>
            </w:tcMar>
            <w:vAlign w:val="center"/>
          </w:tcPr>
          <w:p w14:paraId="128B30CF"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 xml:space="preserve">Médicos como Thomas </w:t>
            </w:r>
            <w:proofErr w:type="spellStart"/>
            <w:r>
              <w:rPr>
                <w:rFonts w:ascii="Times New Roman" w:eastAsia="Times New Roman" w:hAnsi="Times New Roman" w:cs="Times New Roman"/>
                <w:kern w:val="0"/>
                <w:sz w:val="20"/>
                <w:szCs w:val="20"/>
                <w:lang w:eastAsia="pt-BR"/>
                <w14:ligatures w14:val="none"/>
              </w:rPr>
              <w:t>Sydenham</w:t>
            </w:r>
            <w:proofErr w:type="spellEnd"/>
            <w:r>
              <w:rPr>
                <w:rFonts w:ascii="Times New Roman" w:eastAsia="Times New Roman" w:hAnsi="Times New Roman" w:cs="Times New Roman"/>
                <w:kern w:val="0"/>
                <w:sz w:val="20"/>
                <w:szCs w:val="20"/>
                <w:lang w:eastAsia="pt-BR"/>
                <w14:ligatures w14:val="none"/>
              </w:rPr>
              <w:t xml:space="preserve"> avançam na compreensão da histeria como condição psicofisiológica complexa, embora mantendo associação com o feminino.</w:t>
            </w:r>
          </w:p>
        </w:tc>
      </w:tr>
      <w:tr w:rsidR="0003312E" w14:paraId="14E93275" w14:textId="77777777">
        <w:tc>
          <w:tcPr>
            <w:tcW w:w="0" w:type="auto"/>
            <w:tcMar>
              <w:top w:w="150" w:type="dxa"/>
              <w:left w:w="0" w:type="dxa"/>
              <w:bottom w:w="150" w:type="dxa"/>
              <w:right w:w="240" w:type="dxa"/>
            </w:tcMar>
            <w:vAlign w:val="center"/>
          </w:tcPr>
          <w:p w14:paraId="19142665"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Século XIX (</w:t>
            </w:r>
            <w:proofErr w:type="spellStart"/>
            <w:r>
              <w:rPr>
                <w:rFonts w:ascii="Times New Roman" w:eastAsia="Times New Roman" w:hAnsi="Times New Roman" w:cs="Times New Roman"/>
                <w:b/>
                <w:bCs/>
                <w:kern w:val="0"/>
                <w:sz w:val="20"/>
                <w:szCs w:val="20"/>
                <w:lang w:eastAsia="pt-BR"/>
                <w14:ligatures w14:val="none"/>
              </w:rPr>
              <w:t>Charcot</w:t>
            </w:r>
            <w:proofErr w:type="spellEnd"/>
            <w:r>
              <w:rPr>
                <w:rFonts w:ascii="Times New Roman" w:eastAsia="Times New Roman" w:hAnsi="Times New Roman" w:cs="Times New Roman"/>
                <w:b/>
                <w:bCs/>
                <w:kern w:val="0"/>
                <w:sz w:val="20"/>
                <w:szCs w:val="20"/>
                <w:lang w:eastAsia="pt-BR"/>
                <w14:ligatures w14:val="none"/>
              </w:rPr>
              <w:t>)</w:t>
            </w:r>
          </w:p>
        </w:tc>
        <w:tc>
          <w:tcPr>
            <w:tcW w:w="0" w:type="auto"/>
            <w:tcMar>
              <w:top w:w="150" w:type="dxa"/>
              <w:left w:w="240" w:type="dxa"/>
              <w:bottom w:w="150" w:type="dxa"/>
              <w:right w:w="240" w:type="dxa"/>
            </w:tcMar>
            <w:vAlign w:val="center"/>
          </w:tcPr>
          <w:p w14:paraId="35119F99"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 xml:space="preserve">Medicalização na </w:t>
            </w:r>
            <w:proofErr w:type="spellStart"/>
            <w:r>
              <w:rPr>
                <w:rFonts w:ascii="Times New Roman" w:eastAsia="Times New Roman" w:hAnsi="Times New Roman" w:cs="Times New Roman"/>
                <w:kern w:val="0"/>
                <w:sz w:val="20"/>
                <w:szCs w:val="20"/>
                <w:lang w:eastAsia="pt-BR"/>
                <w14:ligatures w14:val="none"/>
              </w:rPr>
              <w:t>Salpêtrière</w:t>
            </w:r>
            <w:proofErr w:type="spellEnd"/>
          </w:p>
        </w:tc>
        <w:tc>
          <w:tcPr>
            <w:tcW w:w="0" w:type="auto"/>
            <w:tcMar>
              <w:top w:w="150" w:type="dxa"/>
              <w:left w:w="240" w:type="dxa"/>
              <w:bottom w:w="150" w:type="dxa"/>
              <w:right w:w="0" w:type="dxa"/>
            </w:tcMar>
            <w:vAlign w:val="center"/>
          </w:tcPr>
          <w:p w14:paraId="00248AB0"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proofErr w:type="spellStart"/>
            <w:r>
              <w:rPr>
                <w:rFonts w:ascii="Times New Roman" w:eastAsia="Times New Roman" w:hAnsi="Times New Roman" w:cs="Times New Roman"/>
                <w:kern w:val="0"/>
                <w:sz w:val="20"/>
                <w:szCs w:val="20"/>
                <w:lang w:eastAsia="pt-BR"/>
                <w14:ligatures w14:val="none"/>
              </w:rPr>
              <w:t>Charcot</w:t>
            </w:r>
            <w:proofErr w:type="spellEnd"/>
            <w:r>
              <w:rPr>
                <w:rFonts w:ascii="Times New Roman" w:eastAsia="Times New Roman" w:hAnsi="Times New Roman" w:cs="Times New Roman"/>
                <w:kern w:val="0"/>
                <w:sz w:val="20"/>
                <w:szCs w:val="20"/>
                <w:lang w:eastAsia="pt-BR"/>
                <w14:ligatures w14:val="none"/>
              </w:rPr>
              <w:t> estabelece a histeria como uma doença nervosa legítima, embora ainda buscando uma base anatômica. Prova que também afeta homens. Transforma o sofrimento em demonstração clínica com hipnose, dessacralizando-a, mas também criando um "espetáculo" médico.</w:t>
            </w:r>
          </w:p>
        </w:tc>
      </w:tr>
      <w:tr w:rsidR="0003312E" w14:paraId="6CE26DBA" w14:textId="77777777">
        <w:tc>
          <w:tcPr>
            <w:tcW w:w="0" w:type="auto"/>
            <w:tcMar>
              <w:top w:w="150" w:type="dxa"/>
              <w:left w:w="0" w:type="dxa"/>
              <w:bottom w:w="150" w:type="dxa"/>
              <w:right w:w="240" w:type="dxa"/>
            </w:tcMar>
            <w:vAlign w:val="center"/>
          </w:tcPr>
          <w:p w14:paraId="51416A4A"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Final do Século XIX</w:t>
            </w:r>
          </w:p>
        </w:tc>
        <w:tc>
          <w:tcPr>
            <w:tcW w:w="0" w:type="auto"/>
            <w:tcMar>
              <w:top w:w="150" w:type="dxa"/>
              <w:left w:w="240" w:type="dxa"/>
              <w:bottom w:w="150" w:type="dxa"/>
              <w:right w:w="240" w:type="dxa"/>
            </w:tcMar>
            <w:vAlign w:val="center"/>
          </w:tcPr>
          <w:p w14:paraId="559776C9"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Freud e Breuer</w:t>
            </w:r>
          </w:p>
        </w:tc>
        <w:tc>
          <w:tcPr>
            <w:tcW w:w="0" w:type="auto"/>
            <w:tcMar>
              <w:top w:w="150" w:type="dxa"/>
              <w:left w:w="240" w:type="dxa"/>
              <w:bottom w:w="150" w:type="dxa"/>
              <w:right w:w="0" w:type="dxa"/>
            </w:tcMar>
            <w:vAlign w:val="center"/>
          </w:tcPr>
          <w:p w14:paraId="2EB4E5D8"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Psicologização: em Estudos sobre a Histeria, propõem que os sintomas são conversões de traumas inconscientes. A histeria deixa de ser doença do útero para tornar-se linguagem do inconsciente, fundando a psicanálise.</w:t>
            </w:r>
          </w:p>
        </w:tc>
      </w:tr>
      <w:tr w:rsidR="0003312E" w14:paraId="4C431DDB" w14:textId="77777777">
        <w:tc>
          <w:tcPr>
            <w:tcW w:w="0" w:type="auto"/>
            <w:tcMar>
              <w:top w:w="150" w:type="dxa"/>
              <w:left w:w="0" w:type="dxa"/>
              <w:bottom w:w="150" w:type="dxa"/>
              <w:right w:w="240" w:type="dxa"/>
            </w:tcMar>
            <w:vAlign w:val="center"/>
          </w:tcPr>
          <w:p w14:paraId="459865BE" w14:textId="0550C790"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éculo XX (DSM-III)</w:t>
            </w:r>
          </w:p>
        </w:tc>
        <w:tc>
          <w:tcPr>
            <w:tcW w:w="0" w:type="auto"/>
            <w:tcMar>
              <w:top w:w="150" w:type="dxa"/>
              <w:left w:w="240" w:type="dxa"/>
              <w:bottom w:w="150" w:type="dxa"/>
              <w:right w:w="240" w:type="dxa"/>
            </w:tcMar>
            <w:vAlign w:val="center"/>
          </w:tcPr>
          <w:p w14:paraId="0283F688"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Abandono do termo</w:t>
            </w:r>
          </w:p>
        </w:tc>
        <w:tc>
          <w:tcPr>
            <w:tcW w:w="0" w:type="auto"/>
            <w:tcMar>
              <w:top w:w="150" w:type="dxa"/>
              <w:left w:w="240" w:type="dxa"/>
              <w:bottom w:w="150" w:type="dxa"/>
              <w:right w:w="0" w:type="dxa"/>
            </w:tcMar>
            <w:vAlign w:val="center"/>
          </w:tcPr>
          <w:p w14:paraId="1B955DFB"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O termo "histeria" é removido por ser considerado impreciso e estigmatizante, substituído por categorias como "Transtorno de Conversão" e "Transtornos de Somatização".</w:t>
            </w:r>
          </w:p>
        </w:tc>
      </w:tr>
      <w:tr w:rsidR="0003312E" w14:paraId="2BC28B96" w14:textId="77777777">
        <w:tc>
          <w:tcPr>
            <w:tcW w:w="0" w:type="auto"/>
            <w:tcMar>
              <w:top w:w="150" w:type="dxa"/>
              <w:left w:w="0" w:type="dxa"/>
              <w:bottom w:w="150" w:type="dxa"/>
              <w:right w:w="240" w:type="dxa"/>
            </w:tcMar>
            <w:vAlign w:val="center"/>
          </w:tcPr>
          <w:p w14:paraId="45DD49D4"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Século XXI</w:t>
            </w:r>
          </w:p>
        </w:tc>
        <w:tc>
          <w:tcPr>
            <w:tcW w:w="0" w:type="auto"/>
            <w:tcMar>
              <w:top w:w="150" w:type="dxa"/>
              <w:left w:w="240" w:type="dxa"/>
              <w:bottom w:w="150" w:type="dxa"/>
              <w:right w:w="240" w:type="dxa"/>
            </w:tcMar>
            <w:vAlign w:val="center"/>
          </w:tcPr>
          <w:p w14:paraId="556619BD"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Transtorno de Sintomas Neurológicos Funcionais (TSNF)</w:t>
            </w:r>
          </w:p>
        </w:tc>
        <w:tc>
          <w:tcPr>
            <w:tcW w:w="0" w:type="auto"/>
            <w:tcMar>
              <w:top w:w="150" w:type="dxa"/>
              <w:left w:w="240" w:type="dxa"/>
              <w:bottom w:w="150" w:type="dxa"/>
              <w:right w:w="0" w:type="dxa"/>
            </w:tcMar>
            <w:vAlign w:val="center"/>
          </w:tcPr>
          <w:p w14:paraId="48F64BB0"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Reconhecimento de que os sintomas são reais e causam sofrimento, mas sem lesão estrutural identificável. Representa tentativa de desvinculação do estigma histórico.</w:t>
            </w:r>
          </w:p>
        </w:tc>
      </w:tr>
      <w:tr w:rsidR="0003312E" w14:paraId="3CC423C8" w14:textId="77777777">
        <w:tc>
          <w:tcPr>
            <w:tcW w:w="0" w:type="auto"/>
            <w:tcMar>
              <w:top w:w="150" w:type="dxa"/>
              <w:left w:w="0" w:type="dxa"/>
              <w:bottom w:w="150" w:type="dxa"/>
              <w:right w:w="240" w:type="dxa"/>
            </w:tcMar>
            <w:vAlign w:val="center"/>
          </w:tcPr>
          <w:p w14:paraId="6171BB81" w14:textId="77777777" w:rsidR="0003312E" w:rsidRDefault="00000000">
            <w:pPr>
              <w:spacing w:after="0" w:line="240" w:lineRule="auto"/>
              <w:rPr>
                <w:rFonts w:ascii="Times New Roman" w:eastAsia="Times New Roman" w:hAnsi="Times New Roman" w:cs="Times New Roman"/>
                <w:b/>
                <w:bCs/>
                <w:kern w:val="0"/>
                <w:sz w:val="20"/>
                <w:szCs w:val="20"/>
                <w:lang w:eastAsia="pt-BR"/>
                <w14:ligatures w14:val="none"/>
              </w:rPr>
            </w:pPr>
            <w:r>
              <w:rPr>
                <w:rFonts w:ascii="Times New Roman" w:eastAsia="Times New Roman" w:hAnsi="Times New Roman" w:cs="Times New Roman"/>
                <w:b/>
                <w:bCs/>
                <w:kern w:val="0"/>
                <w:sz w:val="20"/>
                <w:szCs w:val="20"/>
                <w:lang w:eastAsia="pt-BR"/>
                <w14:ligatures w14:val="none"/>
              </w:rPr>
              <w:t>Século XXI</w:t>
            </w:r>
          </w:p>
        </w:tc>
        <w:tc>
          <w:tcPr>
            <w:tcW w:w="0" w:type="auto"/>
            <w:tcMar>
              <w:top w:w="150" w:type="dxa"/>
              <w:left w:w="240" w:type="dxa"/>
              <w:bottom w:w="150" w:type="dxa"/>
              <w:right w:w="240" w:type="dxa"/>
            </w:tcMar>
            <w:vAlign w:val="center"/>
          </w:tcPr>
          <w:p w14:paraId="63331EAD"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Neurociência</w:t>
            </w:r>
          </w:p>
        </w:tc>
        <w:tc>
          <w:tcPr>
            <w:tcW w:w="0" w:type="auto"/>
            <w:tcMar>
              <w:top w:w="150" w:type="dxa"/>
              <w:left w:w="240" w:type="dxa"/>
              <w:bottom w:w="150" w:type="dxa"/>
              <w:right w:w="0" w:type="dxa"/>
            </w:tcMar>
            <w:vAlign w:val="center"/>
          </w:tcPr>
          <w:p w14:paraId="3B2CB262" w14:textId="77777777" w:rsidR="0003312E" w:rsidRDefault="00000000">
            <w:pPr>
              <w:spacing w:after="0" w:line="240" w:lineRule="auto"/>
              <w:rPr>
                <w:rFonts w:ascii="Times New Roman" w:eastAsia="Times New Roman" w:hAnsi="Times New Roman" w:cs="Times New Roman"/>
                <w:kern w:val="0"/>
                <w:sz w:val="20"/>
                <w:szCs w:val="20"/>
                <w:lang w:eastAsia="pt-BR"/>
                <w14:ligatures w14:val="none"/>
              </w:rPr>
            </w:pPr>
            <w:r>
              <w:rPr>
                <w:rFonts w:ascii="Times New Roman" w:eastAsia="Times New Roman" w:hAnsi="Times New Roman" w:cs="Times New Roman"/>
                <w:kern w:val="0"/>
                <w:sz w:val="20"/>
                <w:szCs w:val="20"/>
                <w:lang w:eastAsia="pt-BR"/>
                <w14:ligatures w14:val="none"/>
              </w:rPr>
              <w:t>Estudos de neuroimagem (</w:t>
            </w:r>
            <w:proofErr w:type="spellStart"/>
            <w:r>
              <w:rPr>
                <w:rFonts w:ascii="Times New Roman" w:eastAsia="Times New Roman" w:hAnsi="Times New Roman" w:cs="Times New Roman"/>
                <w:kern w:val="0"/>
                <w:sz w:val="20"/>
                <w:szCs w:val="20"/>
                <w:lang w:eastAsia="pt-BR"/>
                <w14:ligatures w14:val="none"/>
              </w:rPr>
              <w:t>fMRI</w:t>
            </w:r>
            <w:proofErr w:type="spellEnd"/>
            <w:r>
              <w:rPr>
                <w:rFonts w:ascii="Times New Roman" w:eastAsia="Times New Roman" w:hAnsi="Times New Roman" w:cs="Times New Roman"/>
                <w:kern w:val="0"/>
                <w:sz w:val="20"/>
                <w:szCs w:val="20"/>
                <w:lang w:eastAsia="pt-BR"/>
                <w14:ligatures w14:val="none"/>
              </w:rPr>
              <w:t>) identificam correlatos neurais associados aos sintomas funcionais. É importante notar que múltiplos modelos explicativos (psicanalítico, cognitivo-comportamental, neurobiológico) coexistem atualmente para compreender os TSNF.</w:t>
            </w:r>
          </w:p>
        </w:tc>
      </w:tr>
    </w:tbl>
    <w:p w14:paraId="4B9D82C0"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74ADEA72"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Em Essência: as Quatro Dimensões da Histeria</w:t>
      </w:r>
    </w:p>
    <w:p w14:paraId="4F080A6E"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1. A Dimensão Etimológica: O Útero Errante</w:t>
      </w:r>
    </w:p>
    <w:p w14:paraId="0284F0E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própria palavra "histeria" encapsula um dos equívocos mais persistentes da história da medicina: sua origem no grego </w:t>
      </w:r>
      <w:proofErr w:type="spellStart"/>
      <w:r>
        <w:rPr>
          <w:rFonts w:ascii="Times New Roman" w:eastAsia="Times New Roman" w:hAnsi="Times New Roman" w:cs="Times New Roman"/>
          <w:i/>
          <w:iCs/>
          <w:color w:val="0F1115"/>
          <w:kern w:val="0"/>
          <w:sz w:val="24"/>
          <w:szCs w:val="24"/>
          <w:lang w:eastAsia="pt-BR"/>
          <w14:ligatures w14:val="none"/>
        </w:rPr>
        <w:t>hystéra</w:t>
      </w:r>
      <w:proofErr w:type="spellEnd"/>
      <w:r>
        <w:rPr>
          <w:rFonts w:ascii="Times New Roman" w:eastAsia="Times New Roman" w:hAnsi="Times New Roman" w:cs="Times New Roman"/>
          <w:color w:val="0F1115"/>
          <w:kern w:val="0"/>
          <w:sz w:val="24"/>
          <w:szCs w:val="24"/>
          <w:lang w:eastAsia="pt-BR"/>
          <w14:ligatures w14:val="none"/>
        </w:rPr>
        <w:t> (</w:t>
      </w:r>
      <w:proofErr w:type="spellStart"/>
      <w:r>
        <w:rPr>
          <w:rFonts w:ascii="Times New Roman" w:eastAsia="Times New Roman" w:hAnsi="Times New Roman" w:cs="Times New Roman"/>
          <w:color w:val="0F1115"/>
          <w:kern w:val="0"/>
          <w:sz w:val="24"/>
          <w:szCs w:val="24"/>
          <w:lang w:eastAsia="pt-BR"/>
          <w14:ligatures w14:val="none"/>
        </w:rPr>
        <w:t>ὑστέρ</w:t>
      </w:r>
      <w:proofErr w:type="spellEnd"/>
      <w:r>
        <w:rPr>
          <w:rFonts w:ascii="Times New Roman" w:eastAsia="Times New Roman" w:hAnsi="Times New Roman" w:cs="Times New Roman"/>
          <w:color w:val="0F1115"/>
          <w:kern w:val="0"/>
          <w:sz w:val="24"/>
          <w:szCs w:val="24"/>
          <w:lang w:eastAsia="pt-BR"/>
          <w14:ligatures w14:val="none"/>
        </w:rPr>
        <w:t>α), que significa literalmente "útero". O termo </w:t>
      </w:r>
      <w:proofErr w:type="spellStart"/>
      <w:r>
        <w:rPr>
          <w:rFonts w:ascii="Times New Roman" w:eastAsia="Times New Roman" w:hAnsi="Times New Roman" w:cs="Times New Roman"/>
          <w:i/>
          <w:iCs/>
          <w:color w:val="0F1115"/>
          <w:kern w:val="0"/>
          <w:sz w:val="24"/>
          <w:szCs w:val="24"/>
          <w:lang w:eastAsia="pt-BR"/>
          <w14:ligatures w14:val="none"/>
        </w:rPr>
        <w:t>hystería</w:t>
      </w:r>
      <w:proofErr w:type="spellEnd"/>
      <w:r>
        <w:rPr>
          <w:rFonts w:ascii="Times New Roman" w:eastAsia="Times New Roman" w:hAnsi="Times New Roman" w:cs="Times New Roman"/>
          <w:color w:val="0F1115"/>
          <w:kern w:val="0"/>
          <w:sz w:val="24"/>
          <w:szCs w:val="24"/>
          <w:lang w:eastAsia="pt-BR"/>
          <w14:ligatures w14:val="none"/>
        </w:rPr>
        <w:t> (</w:t>
      </w:r>
      <w:proofErr w:type="spellStart"/>
      <w:r>
        <w:rPr>
          <w:rFonts w:ascii="Times New Roman" w:eastAsia="Times New Roman" w:hAnsi="Times New Roman" w:cs="Times New Roman"/>
          <w:color w:val="0F1115"/>
          <w:kern w:val="0"/>
          <w:sz w:val="24"/>
          <w:szCs w:val="24"/>
          <w:lang w:eastAsia="pt-BR"/>
          <w14:ligatures w14:val="none"/>
        </w:rPr>
        <w:t>ὑστερί</w:t>
      </w:r>
      <w:proofErr w:type="spellEnd"/>
      <w:r>
        <w:rPr>
          <w:rFonts w:ascii="Times New Roman" w:eastAsia="Times New Roman" w:hAnsi="Times New Roman" w:cs="Times New Roman"/>
          <w:color w:val="0F1115"/>
          <w:kern w:val="0"/>
          <w:sz w:val="24"/>
          <w:szCs w:val="24"/>
          <w:lang w:eastAsia="pt-BR"/>
          <w14:ligatures w14:val="none"/>
        </w:rPr>
        <w:t>α) deriva precisamente de </w:t>
      </w:r>
      <w:proofErr w:type="spellStart"/>
      <w:r>
        <w:rPr>
          <w:rFonts w:ascii="Times New Roman" w:eastAsia="Times New Roman" w:hAnsi="Times New Roman" w:cs="Times New Roman"/>
          <w:i/>
          <w:iCs/>
          <w:color w:val="0F1115"/>
          <w:kern w:val="0"/>
          <w:sz w:val="24"/>
          <w:szCs w:val="24"/>
          <w:lang w:eastAsia="pt-BR"/>
          <w14:ligatures w14:val="none"/>
        </w:rPr>
        <w:t>hystéra</w:t>
      </w:r>
      <w:proofErr w:type="spellEnd"/>
      <w:r>
        <w:rPr>
          <w:rFonts w:ascii="Times New Roman" w:eastAsia="Times New Roman" w:hAnsi="Times New Roman" w:cs="Times New Roman"/>
          <w:color w:val="0F1115"/>
          <w:kern w:val="0"/>
          <w:sz w:val="24"/>
          <w:szCs w:val="24"/>
          <w:lang w:eastAsia="pt-BR"/>
          <w14:ligatures w14:val="none"/>
        </w:rPr>
        <w:t> com o acréscimo do sufixo *-</w:t>
      </w:r>
      <w:proofErr w:type="spellStart"/>
      <w:r>
        <w:rPr>
          <w:rFonts w:ascii="Times New Roman" w:eastAsia="Times New Roman" w:hAnsi="Times New Roman" w:cs="Times New Roman"/>
          <w:color w:val="0F1115"/>
          <w:kern w:val="0"/>
          <w:sz w:val="24"/>
          <w:szCs w:val="24"/>
          <w:lang w:eastAsia="pt-BR"/>
          <w14:ligatures w14:val="none"/>
        </w:rPr>
        <w:t>ía</w:t>
      </w:r>
      <w:proofErr w:type="spellEnd"/>
      <w:r>
        <w:rPr>
          <w:rFonts w:ascii="Times New Roman" w:eastAsia="Times New Roman" w:hAnsi="Times New Roman" w:cs="Times New Roman"/>
          <w:color w:val="0F1115"/>
          <w:kern w:val="0"/>
          <w:sz w:val="24"/>
          <w:szCs w:val="24"/>
          <w:lang w:eastAsia="pt-BR"/>
          <w14:ligatures w14:val="none"/>
        </w:rPr>
        <w:t xml:space="preserve">*, que indica "estado" ou "condição" - configurando assim, de forma literal, uma "condição uterina". Esta raiz linguística reflete diretamente a teoria hipocrática do "útero errante", que atribuía uma </w:t>
      </w:r>
      <w:r>
        <w:rPr>
          <w:rFonts w:ascii="Times New Roman" w:eastAsia="Times New Roman" w:hAnsi="Times New Roman" w:cs="Times New Roman"/>
          <w:color w:val="0F1115"/>
          <w:kern w:val="0"/>
          <w:sz w:val="24"/>
          <w:szCs w:val="24"/>
          <w:lang w:eastAsia="pt-BR"/>
          <w14:ligatures w14:val="none"/>
        </w:rPr>
        <w:lastRenderedPageBreak/>
        <w:t>ampla gama de sintomas físicos e emocionais ao suposto deslocamento deste órgão pelo corpo feminino.</w:t>
      </w:r>
    </w:p>
    <w:p w14:paraId="411AD10B"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etimologia torna-se ainda mais reveladora quando examinamos trabalhos como o de Benjamin F. Butler, que traça explicitamente a linhagem linguística da palavra, observando que "histeria, histerismo, histérico, todos vêm da palavra grega" - uma referência direta ao termo "</w:t>
      </w:r>
      <w:proofErr w:type="spellStart"/>
      <w:r>
        <w:rPr>
          <w:rFonts w:ascii="Times New Roman" w:eastAsia="Times New Roman" w:hAnsi="Times New Roman" w:cs="Times New Roman"/>
          <w:color w:val="0F1115"/>
          <w:kern w:val="0"/>
          <w:sz w:val="24"/>
          <w:szCs w:val="24"/>
          <w:lang w:eastAsia="pt-BR"/>
          <w14:ligatures w14:val="none"/>
        </w:rPr>
        <w:t>hystera</w:t>
      </w:r>
      <w:proofErr w:type="spellEnd"/>
      <w:r>
        <w:rPr>
          <w:rFonts w:ascii="Times New Roman" w:eastAsia="Times New Roman" w:hAnsi="Times New Roman" w:cs="Times New Roman"/>
          <w:color w:val="0F1115"/>
          <w:kern w:val="0"/>
          <w:sz w:val="24"/>
          <w:szCs w:val="24"/>
          <w:lang w:eastAsia="pt-BR"/>
          <w14:ligatures w14:val="none"/>
        </w:rPr>
        <w:t xml:space="preserve">". Mais do que um simples erro anatômico, esta origem representa a profunda viés de </w:t>
      </w:r>
      <w:proofErr w:type="gramStart"/>
      <w:r>
        <w:rPr>
          <w:rFonts w:ascii="Times New Roman" w:eastAsia="Times New Roman" w:hAnsi="Times New Roman" w:cs="Times New Roman"/>
          <w:color w:val="0F1115"/>
          <w:kern w:val="0"/>
          <w:sz w:val="24"/>
          <w:szCs w:val="24"/>
          <w:lang w:eastAsia="pt-BR"/>
          <w14:ligatures w14:val="none"/>
        </w:rPr>
        <w:t>gênero  do</w:t>
      </w:r>
      <w:proofErr w:type="gramEnd"/>
      <w:r>
        <w:rPr>
          <w:rFonts w:ascii="Times New Roman" w:eastAsia="Times New Roman" w:hAnsi="Times New Roman" w:cs="Times New Roman"/>
          <w:color w:val="0F1115"/>
          <w:kern w:val="0"/>
          <w:sz w:val="24"/>
          <w:szCs w:val="24"/>
          <w:lang w:eastAsia="pt-BR"/>
          <w14:ligatures w14:val="none"/>
        </w:rPr>
        <w:t xml:space="preserve"> sofrimento psicológico, estabelecendo por milênios a crença de que certas formas de angústia eram inerentes à condição feminina, enquanto desconsiderava completamente a possibilidade de manifestações similares em corpos masculinos.</w:t>
      </w:r>
    </w:p>
    <w:p w14:paraId="3CD267E5"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6EE87EF3"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2. A Dimensão Histórico-Clínica: Do Exorcismo ao Espetáculo Clínico</w:t>
      </w:r>
    </w:p>
    <w:p w14:paraId="685B2A6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compreensão da histeria percorreu um caminho extraordinário que espelha a própria evolução do pensamento ocidental sobre doença, gênero e psique. Desde suas primeiras aparições na literatura antiga, o fenômeno já revelava sua natureza liminar entre o médico e o cultural. </w:t>
      </w:r>
      <w:proofErr w:type="spellStart"/>
      <w:r>
        <w:rPr>
          <w:rFonts w:ascii="Times New Roman" w:eastAsia="Times New Roman" w:hAnsi="Times New Roman" w:cs="Times New Roman"/>
          <w:color w:val="0F1115"/>
          <w:kern w:val="0"/>
          <w:sz w:val="24"/>
          <w:szCs w:val="24"/>
          <w:lang w:eastAsia="pt-BR"/>
          <w14:ligatures w14:val="none"/>
        </w:rPr>
        <w:t>Apollodorus</w:t>
      </w:r>
      <w:proofErr w:type="spellEnd"/>
      <w:r>
        <w:rPr>
          <w:rFonts w:ascii="Times New Roman" w:eastAsia="Times New Roman" w:hAnsi="Times New Roman" w:cs="Times New Roman"/>
          <w:color w:val="0F1115"/>
          <w:kern w:val="0"/>
          <w:sz w:val="24"/>
          <w:szCs w:val="24"/>
          <w:lang w:eastAsia="pt-BR"/>
          <w14:ligatures w14:val="none"/>
        </w:rPr>
        <w:t>, em sua "Biblioteca", descreve mulheres "tomadas por uma espécie de loucura - presumivelmente alguma forma de histeria" que as fazia correr cantando pela selva, capturando aquela qualidade extática e extravasante que sempre caracterizaria o fenômeno.</w:t>
      </w:r>
    </w:p>
    <w:p w14:paraId="0C76DAFC"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medicalização da histeria iniciou-se ainda na antiguidade, com </w:t>
      </w:r>
      <w:proofErr w:type="spellStart"/>
      <w:r>
        <w:rPr>
          <w:rFonts w:ascii="Times New Roman" w:eastAsia="Times New Roman" w:hAnsi="Times New Roman" w:cs="Times New Roman"/>
          <w:color w:val="0F1115"/>
          <w:kern w:val="0"/>
          <w:sz w:val="24"/>
          <w:szCs w:val="24"/>
          <w:lang w:eastAsia="pt-BR"/>
          <w14:ligatures w14:val="none"/>
        </w:rPr>
        <w:t>Strabo</w:t>
      </w:r>
      <w:proofErr w:type="spellEnd"/>
      <w:r>
        <w:rPr>
          <w:rFonts w:ascii="Times New Roman" w:eastAsia="Times New Roman" w:hAnsi="Times New Roman" w:cs="Times New Roman"/>
          <w:color w:val="0F1115"/>
          <w:kern w:val="0"/>
          <w:sz w:val="24"/>
          <w:szCs w:val="24"/>
          <w:lang w:eastAsia="pt-BR"/>
          <w14:ligatures w14:val="none"/>
        </w:rPr>
        <w:t xml:space="preserve"> mencionando em sua "Geografia" o uso de "substâncias antiespasmódicas para doenças espasmódicas, como histeria e epilepsia", enquanto Plínio, o Velho, na "História Natural", já se referia ao que "entre nós são conhecidas como histeria, ou afecções histéricas". Estes registros demonstram que, muito antes da psicanálise, a histeria já possuía um estatuto nosológico reconhecível.</w:t>
      </w:r>
    </w:p>
    <w:p w14:paraId="46BBAB0C"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Idade Média operou uma transformação crucial na compreensão do fenômeno: da esfera médica, a histeria migrou para o domínio religioso, sendo reinterpretada como possessão demoníaca. Neste processo, o corpo da mulher histérica transformou-se em campo de batalha espiritual, onde se travava o conflito entre o sagrado e o profano, exigindo exorcismos e rituais de purificação em vez de tratamentos médicos.</w:t>
      </w:r>
    </w:p>
    <w:p w14:paraId="289DB95D"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O século XIX testemunhou a reapropriação médica da histeria por Jean-Martin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na </w:t>
      </w:r>
      <w:proofErr w:type="spellStart"/>
      <w:r>
        <w:rPr>
          <w:rFonts w:ascii="Times New Roman" w:eastAsia="Times New Roman" w:hAnsi="Times New Roman" w:cs="Times New Roman"/>
          <w:color w:val="0F1115"/>
          <w:kern w:val="0"/>
          <w:sz w:val="24"/>
          <w:szCs w:val="24"/>
          <w:lang w:eastAsia="pt-BR"/>
          <w14:ligatures w14:val="none"/>
        </w:rPr>
        <w:t>Salpêtrière</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representa o paradoxo máximo desta história: ao mesmo tempo que dessacralizou a histeria ao tratá-la como doença nervosa legítima, embora ainda a buscando em uma lesão estrutural não identificada, transformou-a em espetáculo clínico através de suas famosas "Lições de Terça-feira". Seu teatro médico, onde pacientes como Blanche </w:t>
      </w:r>
      <w:proofErr w:type="spellStart"/>
      <w:r>
        <w:rPr>
          <w:rFonts w:ascii="Times New Roman" w:eastAsia="Times New Roman" w:hAnsi="Times New Roman" w:cs="Times New Roman"/>
          <w:color w:val="0F1115"/>
          <w:kern w:val="0"/>
          <w:sz w:val="24"/>
          <w:szCs w:val="24"/>
          <w:lang w:eastAsia="pt-BR"/>
          <w14:ligatures w14:val="none"/>
        </w:rPr>
        <w:t>Wittmann</w:t>
      </w:r>
      <w:proofErr w:type="spellEnd"/>
      <w:r>
        <w:rPr>
          <w:rFonts w:ascii="Times New Roman" w:eastAsia="Times New Roman" w:hAnsi="Times New Roman" w:cs="Times New Roman"/>
          <w:color w:val="0F1115"/>
          <w:kern w:val="0"/>
          <w:sz w:val="24"/>
          <w:szCs w:val="24"/>
          <w:lang w:eastAsia="pt-BR"/>
          <w14:ligatures w14:val="none"/>
        </w:rPr>
        <w:t xml:space="preserve"> performavam sintomas sob hipnose, em um ambiente que podia moldar e sugestionar as </w:t>
      </w:r>
      <w:r>
        <w:rPr>
          <w:rFonts w:ascii="Times New Roman" w:eastAsia="Times New Roman" w:hAnsi="Times New Roman" w:cs="Times New Roman"/>
          <w:color w:val="0F1115"/>
          <w:kern w:val="0"/>
          <w:sz w:val="24"/>
          <w:szCs w:val="24"/>
          <w:lang w:eastAsia="pt-BR"/>
          <w14:ligatures w14:val="none"/>
        </w:rPr>
        <w:lastRenderedPageBreak/>
        <w:t>manifestações da doença, criou uma iconografia da histeria que a tornou simultaneamente objeto científico e espetáculo visual.</w:t>
      </w:r>
    </w:p>
    <w:p w14:paraId="45DCDBA2"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dimensão cultural da histeria sempre transcendeu o puramente médico. Ateneu, em "Os </w:t>
      </w:r>
      <w:proofErr w:type="spellStart"/>
      <w:r>
        <w:rPr>
          <w:rFonts w:ascii="Times New Roman" w:eastAsia="Times New Roman" w:hAnsi="Times New Roman" w:cs="Times New Roman"/>
          <w:color w:val="0F1115"/>
          <w:kern w:val="0"/>
          <w:sz w:val="24"/>
          <w:szCs w:val="24"/>
          <w:lang w:eastAsia="pt-BR"/>
          <w14:ligatures w14:val="none"/>
        </w:rPr>
        <w:t>Deipnosofistas</w:t>
      </w:r>
      <w:proofErr w:type="spellEnd"/>
      <w:r>
        <w:rPr>
          <w:rFonts w:ascii="Times New Roman" w:eastAsia="Times New Roman" w:hAnsi="Times New Roman" w:cs="Times New Roman"/>
          <w:color w:val="0F1115"/>
          <w:kern w:val="0"/>
          <w:sz w:val="24"/>
          <w:szCs w:val="24"/>
          <w:lang w:eastAsia="pt-BR"/>
          <w14:ligatures w14:val="none"/>
        </w:rPr>
        <w:t>", menciona um festival denominado "</w:t>
      </w:r>
      <w:proofErr w:type="spellStart"/>
      <w:r>
        <w:rPr>
          <w:rFonts w:ascii="Times New Roman" w:eastAsia="Times New Roman" w:hAnsi="Times New Roman" w:cs="Times New Roman"/>
          <w:color w:val="0F1115"/>
          <w:kern w:val="0"/>
          <w:sz w:val="24"/>
          <w:szCs w:val="24"/>
          <w:lang w:eastAsia="pt-BR"/>
          <w14:ligatures w14:val="none"/>
        </w:rPr>
        <w:t>Hysteria</w:t>
      </w:r>
      <w:proofErr w:type="spellEnd"/>
      <w:r>
        <w:rPr>
          <w:rFonts w:ascii="Times New Roman" w:eastAsia="Times New Roman" w:hAnsi="Times New Roman" w:cs="Times New Roman"/>
          <w:color w:val="0F1115"/>
          <w:kern w:val="0"/>
          <w:sz w:val="24"/>
          <w:szCs w:val="24"/>
          <w:lang w:eastAsia="pt-BR"/>
          <w14:ligatures w14:val="none"/>
        </w:rPr>
        <w:t xml:space="preserve">", sugerindo manifestações ritualísticas do fenômeno. Já na era moderna, a penetração do conceito no imaginário cultural é atestada por C.T. </w:t>
      </w:r>
      <w:proofErr w:type="spellStart"/>
      <w:r>
        <w:rPr>
          <w:rFonts w:ascii="Times New Roman" w:eastAsia="Times New Roman" w:hAnsi="Times New Roman" w:cs="Times New Roman"/>
          <w:color w:val="0F1115"/>
          <w:kern w:val="0"/>
          <w:sz w:val="24"/>
          <w:szCs w:val="24"/>
          <w:lang w:eastAsia="pt-BR"/>
          <w14:ligatures w14:val="none"/>
        </w:rPr>
        <w:t>Onions</w:t>
      </w:r>
      <w:proofErr w:type="spellEnd"/>
      <w:r>
        <w:rPr>
          <w:rFonts w:ascii="Times New Roman" w:eastAsia="Times New Roman" w:hAnsi="Times New Roman" w:cs="Times New Roman"/>
          <w:color w:val="0F1115"/>
          <w:kern w:val="0"/>
          <w:sz w:val="24"/>
          <w:szCs w:val="24"/>
          <w:lang w:eastAsia="pt-BR"/>
          <w14:ligatures w14:val="none"/>
        </w:rPr>
        <w:t xml:space="preserve">, que identifica o uso do termo nas obras de Shakespeare, enquanto a "Cambridge </w:t>
      </w:r>
      <w:proofErr w:type="spellStart"/>
      <w:r>
        <w:rPr>
          <w:rFonts w:ascii="Times New Roman" w:eastAsia="Times New Roman" w:hAnsi="Times New Roman" w:cs="Times New Roman"/>
          <w:color w:val="0F1115"/>
          <w:kern w:val="0"/>
          <w:sz w:val="24"/>
          <w:szCs w:val="24"/>
          <w:lang w:eastAsia="pt-BR"/>
          <w14:ligatures w14:val="none"/>
        </w:rPr>
        <w:t>History</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of</w:t>
      </w:r>
      <w:proofErr w:type="spellEnd"/>
      <w:r>
        <w:rPr>
          <w:rFonts w:ascii="Times New Roman" w:eastAsia="Times New Roman" w:hAnsi="Times New Roman" w:cs="Times New Roman"/>
          <w:color w:val="0F1115"/>
          <w:kern w:val="0"/>
          <w:sz w:val="24"/>
          <w:szCs w:val="24"/>
          <w:lang w:eastAsia="pt-BR"/>
          <w14:ligatures w14:val="none"/>
        </w:rPr>
        <w:t xml:space="preserve"> American </w:t>
      </w:r>
      <w:proofErr w:type="spellStart"/>
      <w:r>
        <w:rPr>
          <w:rFonts w:ascii="Times New Roman" w:eastAsia="Times New Roman" w:hAnsi="Times New Roman" w:cs="Times New Roman"/>
          <w:color w:val="0F1115"/>
          <w:kern w:val="0"/>
          <w:sz w:val="24"/>
          <w:szCs w:val="24"/>
          <w:lang w:eastAsia="pt-BR"/>
          <w14:ligatures w14:val="none"/>
        </w:rPr>
        <w:t>Literature</w:t>
      </w:r>
      <w:proofErr w:type="spellEnd"/>
      <w:r>
        <w:rPr>
          <w:rFonts w:ascii="Times New Roman" w:eastAsia="Times New Roman" w:hAnsi="Times New Roman" w:cs="Times New Roman"/>
          <w:color w:val="0F1115"/>
          <w:kern w:val="0"/>
          <w:sz w:val="24"/>
          <w:szCs w:val="24"/>
          <w:lang w:eastAsia="pt-BR"/>
          <w14:ligatures w14:val="none"/>
        </w:rPr>
        <w:t>" analisa como "elementos de histeria se misturavam com o fervor moral" na literatura colonial.</w:t>
      </w:r>
    </w:p>
    <w:p w14:paraId="44E2AE31"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O século XIX também viu a emergência de vozes femininas no estudo da histeria, com a </w:t>
      </w:r>
      <w:proofErr w:type="spellStart"/>
      <w:r>
        <w:rPr>
          <w:rFonts w:ascii="Times New Roman" w:eastAsia="Times New Roman" w:hAnsi="Times New Roman" w:cs="Times New Roman"/>
          <w:color w:val="0F1115"/>
          <w:kern w:val="0"/>
          <w:sz w:val="24"/>
          <w:szCs w:val="24"/>
          <w:lang w:eastAsia="pt-BR"/>
          <w14:ligatures w14:val="none"/>
        </w:rPr>
        <w:t>Harper's</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Encyclopedia</w:t>
      </w:r>
      <w:proofErr w:type="spellEnd"/>
      <w:r>
        <w:rPr>
          <w:rFonts w:ascii="Times New Roman" w:eastAsia="Times New Roman" w:hAnsi="Times New Roman" w:cs="Times New Roman"/>
          <w:color w:val="0F1115"/>
          <w:kern w:val="0"/>
          <w:sz w:val="24"/>
          <w:szCs w:val="24"/>
          <w:lang w:eastAsia="pt-BR"/>
          <w14:ligatures w14:val="none"/>
        </w:rPr>
        <w:t xml:space="preserve"> </w:t>
      </w:r>
      <w:proofErr w:type="spellStart"/>
      <w:r>
        <w:rPr>
          <w:rFonts w:ascii="Times New Roman" w:eastAsia="Times New Roman" w:hAnsi="Times New Roman" w:cs="Times New Roman"/>
          <w:color w:val="0F1115"/>
          <w:kern w:val="0"/>
          <w:sz w:val="24"/>
          <w:szCs w:val="24"/>
          <w:lang w:eastAsia="pt-BR"/>
          <w14:ligatures w14:val="none"/>
        </w:rPr>
        <w:t>of</w:t>
      </w:r>
      <w:proofErr w:type="spellEnd"/>
      <w:r>
        <w:rPr>
          <w:rFonts w:ascii="Times New Roman" w:eastAsia="Times New Roman" w:hAnsi="Times New Roman" w:cs="Times New Roman"/>
          <w:color w:val="0F1115"/>
          <w:kern w:val="0"/>
          <w:sz w:val="24"/>
          <w:szCs w:val="24"/>
          <w:lang w:eastAsia="pt-BR"/>
          <w14:ligatures w14:val="none"/>
        </w:rPr>
        <w:t xml:space="preserve"> United States </w:t>
      </w:r>
      <w:proofErr w:type="spellStart"/>
      <w:r>
        <w:rPr>
          <w:rFonts w:ascii="Times New Roman" w:eastAsia="Times New Roman" w:hAnsi="Times New Roman" w:cs="Times New Roman"/>
          <w:color w:val="0F1115"/>
          <w:kern w:val="0"/>
          <w:sz w:val="24"/>
          <w:szCs w:val="24"/>
          <w:lang w:eastAsia="pt-BR"/>
          <w14:ligatures w14:val="none"/>
        </w:rPr>
        <w:t>History</w:t>
      </w:r>
      <w:proofErr w:type="spellEnd"/>
      <w:r>
        <w:rPr>
          <w:rFonts w:ascii="Times New Roman" w:eastAsia="Times New Roman" w:hAnsi="Times New Roman" w:cs="Times New Roman"/>
          <w:color w:val="0F1115"/>
          <w:kern w:val="0"/>
          <w:sz w:val="24"/>
          <w:szCs w:val="24"/>
          <w:lang w:eastAsia="pt-BR"/>
          <w14:ligatures w14:val="none"/>
        </w:rPr>
        <w:t xml:space="preserve"> registrando as contribuições de Mary Putnam Jacobi. Paralelamente, práticas terapêuticas diversificadas floresciam, como atestam os "Southern </w:t>
      </w:r>
      <w:proofErr w:type="spellStart"/>
      <w:r>
        <w:rPr>
          <w:rFonts w:ascii="Times New Roman" w:eastAsia="Times New Roman" w:hAnsi="Times New Roman" w:cs="Times New Roman"/>
          <w:color w:val="0F1115"/>
          <w:kern w:val="0"/>
          <w:sz w:val="24"/>
          <w:szCs w:val="24"/>
          <w:lang w:eastAsia="pt-BR"/>
          <w14:ligatures w14:val="none"/>
        </w:rPr>
        <w:t>Historical</w:t>
      </w:r>
      <w:proofErr w:type="spellEnd"/>
      <w:r>
        <w:rPr>
          <w:rFonts w:ascii="Times New Roman" w:eastAsia="Times New Roman" w:hAnsi="Times New Roman" w:cs="Times New Roman"/>
          <w:color w:val="0F1115"/>
          <w:kern w:val="0"/>
          <w:sz w:val="24"/>
          <w:szCs w:val="24"/>
          <w:lang w:eastAsia="pt-BR"/>
          <w14:ligatures w14:val="none"/>
        </w:rPr>
        <w:t xml:space="preserve"> Society Papers" que mencionam tratamentos para "histeria crônica" usando carvalho preto.</w:t>
      </w:r>
    </w:p>
    <w:p w14:paraId="47416D8F"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 virada decisiva, contudo, viria com Sigmund Freud, que levou da </w:t>
      </w:r>
      <w:proofErr w:type="spellStart"/>
      <w:r>
        <w:rPr>
          <w:rFonts w:ascii="Times New Roman" w:eastAsia="Times New Roman" w:hAnsi="Times New Roman" w:cs="Times New Roman"/>
          <w:color w:val="0F1115"/>
          <w:kern w:val="0"/>
          <w:sz w:val="24"/>
          <w:szCs w:val="24"/>
          <w:lang w:eastAsia="pt-BR"/>
          <w14:ligatures w14:val="none"/>
        </w:rPr>
        <w:t>Salpêtrière</w:t>
      </w:r>
      <w:proofErr w:type="spellEnd"/>
      <w:r>
        <w:rPr>
          <w:rFonts w:ascii="Times New Roman" w:eastAsia="Times New Roman" w:hAnsi="Times New Roman" w:cs="Times New Roman"/>
          <w:color w:val="0F1115"/>
          <w:kern w:val="0"/>
          <w:sz w:val="24"/>
          <w:szCs w:val="24"/>
          <w:lang w:eastAsia="pt-BR"/>
          <w14:ligatures w14:val="none"/>
        </w:rPr>
        <w:t xml:space="preserve"> de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uma pergunta crucial: se a histeria não era do útero, nem uma lesão anatômica visível, o que a movia? Foi Freud quem, partindo da concepção de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da histeria como doença do sistema nervoso, deu o passo radical em direção à psique. Sob sua lente, os sintomas corporais deixaram de ser sinais de uma disfunção neurológica misteriosa para se tornarem uma "linguagem do inconsciente" - conversões simbólicas de traumas e conflitos psíquicos que o corpo, à sua maneira, articulava. Nessa transição fundamental da neurologia para a psicanálise, a paciente histérica, finalmente, tinha sua voz simbolicamente reconhecida: seu corpo já não era um sistema com defeito, mas um texto a ser decifrado.</w:t>
      </w:r>
    </w:p>
    <w:p w14:paraId="3414E609"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No século XXI, a psiquiatria e a neurologia buscaram uma descrição mais neutra e mecanicista, encapsulada na categoria Transtorno de Sintomas Neurológicos Funcionais (TSNF). O termo reconhece a realidade e o sofrimento genuínos dos sintomas, ainda que na ausência de uma lesão estrutural identificável, representando um esforço consciente para se desvincular do pesado estigma histórico associado à "histeria".</w:t>
      </w:r>
    </w:p>
    <w:p w14:paraId="20C9AE01"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Apesar desse intento, a sombra do passado permanece longa e teima em assombrar o presente. O desafio clínico contemporâneo vai além da reclassificação nosológica; trata-se de dissociar essas condições de um estigma que, por séculos, </w:t>
      </w:r>
      <w:proofErr w:type="spellStart"/>
      <w:r>
        <w:rPr>
          <w:rFonts w:ascii="Times New Roman" w:eastAsia="Times New Roman" w:hAnsi="Times New Roman" w:cs="Times New Roman"/>
          <w:color w:val="0F1115"/>
          <w:kern w:val="0"/>
          <w:sz w:val="24"/>
          <w:szCs w:val="24"/>
          <w:lang w:eastAsia="pt-BR"/>
          <w14:ligatures w14:val="none"/>
        </w:rPr>
        <w:t>patologizou</w:t>
      </w:r>
      <w:proofErr w:type="spellEnd"/>
      <w:r>
        <w:rPr>
          <w:rFonts w:ascii="Times New Roman" w:eastAsia="Times New Roman" w:hAnsi="Times New Roman" w:cs="Times New Roman"/>
          <w:color w:val="0F1115"/>
          <w:kern w:val="0"/>
          <w:sz w:val="24"/>
          <w:szCs w:val="24"/>
          <w:lang w:eastAsia="pt-BR"/>
          <w14:ligatures w14:val="none"/>
        </w:rPr>
        <w:t xml:space="preserve"> e invalidou sobretudo a experiência feminina. Na prática clínica atual, esse legado perverso ainda se manifesta quando pacientes — majoritariamente mulheres, mas também homens agora marcados pelo estigma de uma "doença feminina" — veem seus sintomas físicos e incapacitantes serem recebidos com descrença ou minimizados como "apenas psicológicos". É um eco moderno da mesma suspeita </w:t>
      </w:r>
      <w:r>
        <w:rPr>
          <w:rFonts w:ascii="Times New Roman" w:eastAsia="Times New Roman" w:hAnsi="Times New Roman" w:cs="Times New Roman"/>
          <w:color w:val="0F1115"/>
          <w:kern w:val="0"/>
          <w:sz w:val="24"/>
          <w:szCs w:val="24"/>
          <w:lang w:eastAsia="pt-BR"/>
          <w14:ligatures w14:val="none"/>
        </w:rPr>
        <w:lastRenderedPageBreak/>
        <w:t xml:space="preserve">que pairou sobre as histéricas de outrora. O próprio termo "funcional", embora tecnicamente preciso, pode ser vivido pelo paciente não como um diagnóstico, mas como uma sutil invalidação de seu sofrimento. A </w:t>
      </w:r>
      <w:proofErr w:type="spellStart"/>
      <w:r>
        <w:rPr>
          <w:rFonts w:ascii="Times New Roman" w:eastAsia="Times New Roman" w:hAnsi="Times New Roman" w:cs="Times New Roman"/>
          <w:color w:val="0F1115"/>
          <w:kern w:val="0"/>
          <w:sz w:val="24"/>
          <w:szCs w:val="24"/>
          <w:lang w:eastAsia="pt-BR"/>
          <w14:ligatures w14:val="none"/>
        </w:rPr>
        <w:t>neuroetimologia</w:t>
      </w:r>
      <w:proofErr w:type="spellEnd"/>
      <w:r>
        <w:rPr>
          <w:rFonts w:ascii="Times New Roman" w:eastAsia="Times New Roman" w:hAnsi="Times New Roman" w:cs="Times New Roman"/>
          <w:color w:val="0F1115"/>
          <w:kern w:val="0"/>
          <w:sz w:val="24"/>
          <w:szCs w:val="24"/>
          <w:lang w:eastAsia="pt-BR"/>
          <w14:ligatures w14:val="none"/>
        </w:rPr>
        <w:t xml:space="preserve"> surge, assim, como um alerta crucial: ao empregar a categoria TSNF, o clínico não está apenas nomeando uma disfunção neurofisiológica, mas também manejando um conceito impregnado por séculos de descrédito. Superar a histeria, portanto, transcende em muito o abandono de um termo anacrônico; exige um combate ativo aos vieses inconscientes que ele ajudou a cristalizar na cultura médica.</w:t>
      </w:r>
    </w:p>
    <w:p w14:paraId="742521D2"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No fim, a trajetória da histeria revela-se como um espelho das ansiedades de cada época: da mulher como vaso de possessões espirituais na Idade Média ao objeto de estudo </w:t>
      </w:r>
      <w:proofErr w:type="spellStart"/>
      <w:r>
        <w:rPr>
          <w:rFonts w:ascii="Times New Roman" w:eastAsia="Times New Roman" w:hAnsi="Times New Roman" w:cs="Times New Roman"/>
          <w:color w:val="0F1115"/>
          <w:kern w:val="0"/>
          <w:sz w:val="24"/>
          <w:szCs w:val="24"/>
          <w:lang w:eastAsia="pt-BR"/>
          <w14:ligatures w14:val="none"/>
        </w:rPr>
        <w:t>medicalizado</w:t>
      </w:r>
      <w:proofErr w:type="spellEnd"/>
      <w:r>
        <w:rPr>
          <w:rFonts w:ascii="Times New Roman" w:eastAsia="Times New Roman" w:hAnsi="Times New Roman" w:cs="Times New Roman"/>
          <w:color w:val="0F1115"/>
          <w:kern w:val="0"/>
          <w:sz w:val="24"/>
          <w:szCs w:val="24"/>
          <w:lang w:eastAsia="pt-BR"/>
          <w14:ligatures w14:val="none"/>
        </w:rPr>
        <w:t xml:space="preserve"> no século XIX; do corpo feminino como território misterioso ao sujeito psíquico, portador de desejos e conflitos inconscientes. Cada reconstrução do conceito ilumina não apenas os avanços da medicina, mas, sobretudo, as transformações nas compreensões sobre gênero, poder e subjetividade no ocidente.</w:t>
      </w:r>
    </w:p>
    <w:p w14:paraId="4F8F5DBD"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4A0BFD97"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3. A Dimensão Neurocientífica: A Linguagem Neural do Inconsciente</w:t>
      </w:r>
    </w:p>
    <w:p w14:paraId="490C7334"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A neurociência contemporânea abandonou o termo "histeria" em favor de conceitos mais precisos como "Transtorno de Sintomas Neurológicos Funcionais", mas continua estudando os mesmos fenômenos. Pesquisas com neuroimagem mostram que estes sintomas têm correlatos cerebrais reais, envolvendo alterações na conectividade entre redes emocionais e motoras. Isto significa que, embora não haja lesão estrutural detectável, o cérebro realmente produz esses sintomas de uma maneira peculiar - o corpo não está "fingindo", mas sim expressando através de uma linguagem neural distinta aquilo que a mente consciente não consegue processar.</w:t>
      </w:r>
    </w:p>
    <w:p w14:paraId="7DAC7A90"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5CE6DCFF" w14:textId="77777777" w:rsidR="0003312E" w:rsidRDefault="00000000">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t>4. A Dimensão Poético-Filosófica: O Teatro do Inconsciente</w:t>
      </w:r>
    </w:p>
    <w:p w14:paraId="1FB9180D"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Para além das explicações médicas, a histeria permanece uma metáfora poderosa da condição humana. Ela nos mostra como o corpo pode tornar-se palco onde se encenam dramas psíquicos não resolvidos. Esta dimensão performática, que encontrou sua expressão máxima no teatro clínico de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e na teoria psicanalítica de Freud, revela a profunda interconexão entre corpo e mente, e como o sofrimento psicológico pode encontrar vias surpreendentes de expressão quando as palavras falham.</w:t>
      </w:r>
    </w:p>
    <w:p w14:paraId="1ADC7667"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16B7126E"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084AC49B"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37651C17"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b/>
          <w:bCs/>
          <w:color w:val="0F1115"/>
          <w:kern w:val="0"/>
          <w:sz w:val="24"/>
          <w:szCs w:val="24"/>
          <w:lang w:eastAsia="pt-BR"/>
          <w14:ligatures w14:val="none"/>
        </w:rPr>
        <w:lastRenderedPageBreak/>
        <w:t>Próximo: O Esgotamento Moderno</w:t>
      </w:r>
    </w:p>
    <w:p w14:paraId="3CF37785"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r>
        <w:rPr>
          <w:rFonts w:ascii="Times New Roman" w:eastAsia="Times New Roman" w:hAnsi="Times New Roman" w:cs="Times New Roman"/>
          <w:color w:val="0F1115"/>
          <w:kern w:val="0"/>
          <w:sz w:val="24"/>
          <w:szCs w:val="24"/>
          <w:lang w:eastAsia="pt-BR"/>
          <w14:ligatures w14:val="none"/>
        </w:rPr>
        <w:t xml:space="preserve">Se </w:t>
      </w:r>
      <w:proofErr w:type="spellStart"/>
      <w:r>
        <w:rPr>
          <w:rFonts w:ascii="Times New Roman" w:eastAsia="Times New Roman" w:hAnsi="Times New Roman" w:cs="Times New Roman"/>
          <w:color w:val="0F1115"/>
          <w:kern w:val="0"/>
          <w:sz w:val="24"/>
          <w:szCs w:val="24"/>
          <w:lang w:eastAsia="pt-BR"/>
          <w14:ligatures w14:val="none"/>
        </w:rPr>
        <w:t>Charcot</w:t>
      </w:r>
      <w:proofErr w:type="spellEnd"/>
      <w:r>
        <w:rPr>
          <w:rFonts w:ascii="Times New Roman" w:eastAsia="Times New Roman" w:hAnsi="Times New Roman" w:cs="Times New Roman"/>
          <w:color w:val="0F1115"/>
          <w:kern w:val="0"/>
          <w:sz w:val="24"/>
          <w:szCs w:val="24"/>
          <w:lang w:eastAsia="pt-BR"/>
          <w14:ligatures w14:val="none"/>
        </w:rPr>
        <w:t xml:space="preserve"> dedicou sua genialidade clínica a decifrar os teatros corporais da histeria individual, seria seu contemporâneo George Miller Beard quem diagnosticaria uma verdadeira epidemia coletiva da era industrial: a neurastenia. Enquanto a histeria externalizava conflitos internos em sintomas físicos dramáticos, a neurastenia representava um esgotamento mais silencioso, um colapso interno da energia nervosa diante dos excessos e da aceleração da civilização moderna. É assim que nossa jornada pela </w:t>
      </w:r>
      <w:proofErr w:type="spellStart"/>
      <w:r>
        <w:rPr>
          <w:rFonts w:ascii="Times New Roman" w:eastAsia="Times New Roman" w:hAnsi="Times New Roman" w:cs="Times New Roman"/>
          <w:color w:val="0F1115"/>
          <w:kern w:val="0"/>
          <w:sz w:val="24"/>
          <w:szCs w:val="24"/>
          <w:lang w:eastAsia="pt-BR"/>
          <w14:ligatures w14:val="none"/>
        </w:rPr>
        <w:t>neuroetimologia</w:t>
      </w:r>
      <w:proofErr w:type="spellEnd"/>
      <w:r>
        <w:rPr>
          <w:rFonts w:ascii="Times New Roman" w:eastAsia="Times New Roman" w:hAnsi="Times New Roman" w:cs="Times New Roman"/>
          <w:color w:val="0F1115"/>
          <w:kern w:val="0"/>
          <w:sz w:val="24"/>
          <w:szCs w:val="24"/>
          <w:lang w:eastAsia="pt-BR"/>
          <w14:ligatures w14:val="none"/>
        </w:rPr>
        <w:t xml:space="preserve"> da angústia nos transporta do palco vibrante da </w:t>
      </w:r>
      <w:proofErr w:type="spellStart"/>
      <w:r>
        <w:rPr>
          <w:rFonts w:ascii="Times New Roman" w:eastAsia="Times New Roman" w:hAnsi="Times New Roman" w:cs="Times New Roman"/>
          <w:color w:val="0F1115"/>
          <w:kern w:val="0"/>
          <w:sz w:val="24"/>
          <w:szCs w:val="24"/>
          <w:lang w:eastAsia="pt-BR"/>
          <w14:ligatures w14:val="none"/>
        </w:rPr>
        <w:t>Salpêtrière</w:t>
      </w:r>
      <w:proofErr w:type="spellEnd"/>
      <w:r>
        <w:rPr>
          <w:rFonts w:ascii="Times New Roman" w:eastAsia="Times New Roman" w:hAnsi="Times New Roman" w:cs="Times New Roman"/>
          <w:color w:val="0F1115"/>
          <w:kern w:val="0"/>
          <w:sz w:val="24"/>
          <w:szCs w:val="24"/>
          <w:lang w:eastAsia="pt-BR"/>
          <w14:ligatures w14:val="none"/>
        </w:rPr>
        <w:t xml:space="preserve"> para o consultório de Nova York, revelando de forma cada vez mais clara como o corpo humano, em suas mais diversas manifestações, absorve e expressa as tensões específicas de seu tempo histórico.</w:t>
      </w:r>
    </w:p>
    <w:p w14:paraId="633D08FF"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br w:type="page"/>
      </w:r>
    </w:p>
    <w:tbl>
      <w:tblPr>
        <w:tblStyle w:val="Tabelacomgrade"/>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085CD2C1" w14:textId="77777777">
        <w:trPr>
          <w:trHeight w:val="470"/>
        </w:trPr>
        <w:tc>
          <w:tcPr>
            <w:tcW w:w="8505" w:type="dxa"/>
            <w:gridSpan w:val="2"/>
            <w:tcBorders>
              <w:top w:val="nil"/>
              <w:left w:val="nil"/>
              <w:bottom w:val="nil"/>
              <w:right w:val="nil"/>
            </w:tcBorders>
          </w:tcPr>
          <w:p w14:paraId="378F1D1E" w14:textId="77777777" w:rsidR="0003312E" w:rsidRDefault="00000000">
            <w:pPr>
              <w:pBdr>
                <w:left w:val="single" w:sz="80" w:space="4" w:color="7F7F7F" w:themeColor="text1" w:themeTint="80"/>
                <w:bottom w:val="single" w:sz="8" w:space="4" w:color="7F7F7F" w:themeColor="text1" w:themeTint="80"/>
              </w:pBdr>
              <w:spacing w:after="0" w:line="240" w:lineRule="auto"/>
              <w:rPr>
                <w:rFonts w:ascii="Times New Roman" w:eastAsia="SimSun" w:hAnsi="Times New Roman" w:cs="Times New Roman"/>
                <w:b/>
                <w:bCs/>
                <w:sz w:val="24"/>
                <w:szCs w:val="24"/>
              </w:rPr>
            </w:pPr>
            <w:r>
              <w:rPr>
                <w:rFonts w:ascii="Times New Roman" w:hAnsi="Times New Roman" w:cs="Times New Roman"/>
                <w:b/>
                <w:bCs/>
                <w:sz w:val="24"/>
                <w:szCs w:val="24"/>
              </w:rPr>
              <w:lastRenderedPageBreak/>
              <w:t xml:space="preserve">Capítulo </w:t>
            </w:r>
            <w:proofErr w:type="gramStart"/>
            <w:r>
              <w:rPr>
                <w:rFonts w:ascii="Times New Roman" w:hAnsi="Times New Roman" w:cs="Times New Roman"/>
                <w:b/>
                <w:bCs/>
                <w:sz w:val="24"/>
                <w:szCs w:val="24"/>
              </w:rPr>
              <w:t>8  -</w:t>
            </w:r>
            <w:proofErr w:type="gramEnd"/>
            <w:r>
              <w:rPr>
                <w:rFonts w:ascii="Times New Roman" w:hAnsi="Times New Roman" w:cs="Times New Roman"/>
                <w:b/>
                <w:bCs/>
                <w:sz w:val="24"/>
                <w:szCs w:val="24"/>
              </w:rPr>
              <w:t xml:space="preserve">  </w:t>
            </w:r>
            <w:r>
              <w:rPr>
                <w:rFonts w:ascii="Times New Roman" w:eastAsiaTheme="majorEastAsia" w:hAnsi="Times New Roman" w:cs="Times New Roman"/>
                <w:b/>
                <w:bCs/>
                <w:sz w:val="24"/>
                <w:szCs w:val="24"/>
              </w:rPr>
              <w:t>Neurastenia: O Cansaço de uma Era</w:t>
            </w:r>
          </w:p>
        </w:tc>
      </w:tr>
      <w:tr w:rsidR="0003312E" w14:paraId="6781A3D0" w14:textId="77777777">
        <w:tc>
          <w:tcPr>
            <w:tcW w:w="4353" w:type="dxa"/>
            <w:tcBorders>
              <w:top w:val="nil"/>
              <w:left w:val="nil"/>
              <w:bottom w:val="nil"/>
              <w:right w:val="nil"/>
            </w:tcBorders>
          </w:tcPr>
          <w:p w14:paraId="6C0DFB32"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97E9D27" wp14:editId="395FCCFE">
                  <wp:extent cx="1932940" cy="1932940"/>
                  <wp:effectExtent l="0" t="0" r="2540" b="2540"/>
                  <wp:docPr id="7" name="Imagem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3" descr="IMG_256"/>
                          <pic:cNvPicPr>
                            <a:picLocks noChangeAspect="1"/>
                          </pic:cNvPicPr>
                        </pic:nvPicPr>
                        <pic:blipFill>
                          <a:blip r:embed="rId27"/>
                          <a:stretch>
                            <a:fillRect/>
                          </a:stretch>
                        </pic:blipFill>
                        <pic:spPr>
                          <a:xfrm>
                            <a:off x="0" y="0"/>
                            <a:ext cx="1932940" cy="1932940"/>
                          </a:xfrm>
                          <a:prstGeom prst="rect">
                            <a:avLst/>
                          </a:prstGeom>
                          <a:noFill/>
                          <a:ln w="9525">
                            <a:noFill/>
                          </a:ln>
                        </pic:spPr>
                      </pic:pic>
                    </a:graphicData>
                  </a:graphic>
                </wp:inline>
              </w:drawing>
            </w:r>
          </w:p>
        </w:tc>
        <w:tc>
          <w:tcPr>
            <w:tcW w:w="4152" w:type="dxa"/>
            <w:tcBorders>
              <w:top w:val="nil"/>
              <w:left w:val="nil"/>
              <w:bottom w:val="nil"/>
              <w:right w:val="nil"/>
            </w:tcBorders>
          </w:tcPr>
          <w:p w14:paraId="6F6A9922" w14:textId="77777777" w:rsidR="0003312E" w:rsidRDefault="00000000">
            <w:pPr>
              <w:spacing w:after="0" w:line="240" w:lineRule="auto"/>
              <w:jc w:val="center"/>
              <w:rPr>
                <w:rFonts w:ascii="Times New Roman" w:eastAsia="SimSun" w:hAnsi="Times New Roman" w:cs="Times New Roman"/>
                <w:sz w:val="24"/>
                <w:szCs w:val="24"/>
              </w:rPr>
            </w:pPr>
            <w:r>
              <w:rPr>
                <w:rFonts w:ascii="Times New Roman" w:eastAsia="SimSun" w:hAnsi="Times New Roman" w:cs="Times New Roman"/>
                <w:noProof/>
                <w:sz w:val="24"/>
                <w:szCs w:val="24"/>
              </w:rPr>
              <w:drawing>
                <wp:inline distT="0" distB="0" distL="114300" distR="114300" wp14:anchorId="2B47EE5D" wp14:editId="01902135">
                  <wp:extent cx="1401445" cy="1885950"/>
                  <wp:effectExtent l="0" t="0" r="635" b="3810"/>
                  <wp:docPr id="55" name="Imagem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24" descr="IMG_256"/>
                          <pic:cNvPicPr>
                            <a:picLocks noChangeAspect="1"/>
                          </pic:cNvPicPr>
                        </pic:nvPicPr>
                        <pic:blipFill>
                          <a:blip r:embed="rId28"/>
                          <a:stretch>
                            <a:fillRect/>
                          </a:stretch>
                        </pic:blipFill>
                        <pic:spPr>
                          <a:xfrm>
                            <a:off x="0" y="0"/>
                            <a:ext cx="1401445" cy="1885950"/>
                          </a:xfrm>
                          <a:prstGeom prst="rect">
                            <a:avLst/>
                          </a:prstGeom>
                          <a:noFill/>
                          <a:ln w="9525">
                            <a:noFill/>
                          </a:ln>
                        </pic:spPr>
                      </pic:pic>
                    </a:graphicData>
                  </a:graphic>
                </wp:inline>
              </w:drawing>
            </w:r>
          </w:p>
        </w:tc>
      </w:tr>
      <w:tr w:rsidR="0003312E" w14:paraId="20DC3EE8" w14:textId="77777777">
        <w:trPr>
          <w:trHeight w:val="476"/>
        </w:trPr>
        <w:tc>
          <w:tcPr>
            <w:tcW w:w="4353" w:type="dxa"/>
            <w:tcBorders>
              <w:top w:val="nil"/>
              <w:left w:val="nil"/>
              <w:bottom w:val="nil"/>
              <w:right w:val="nil"/>
            </w:tcBorders>
          </w:tcPr>
          <w:p w14:paraId="73764324"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8.1: O Cérebro Sobrecarregado: A Fadiga da Civilização</w:t>
            </w:r>
            <w:r>
              <w:rPr>
                <w:rFonts w:eastAsiaTheme="majorEastAsia"/>
                <w:sz w:val="24"/>
                <w:lang w:val="pt-BR"/>
              </w:rPr>
              <w:br/>
            </w:r>
          </w:p>
        </w:tc>
        <w:tc>
          <w:tcPr>
            <w:tcW w:w="4152" w:type="dxa"/>
            <w:tcBorders>
              <w:top w:val="nil"/>
              <w:left w:val="nil"/>
              <w:bottom w:val="nil"/>
              <w:right w:val="nil"/>
            </w:tcBorders>
          </w:tcPr>
          <w:p w14:paraId="1AFAC174"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 xml:space="preserve">Figura 8.2: </w:t>
            </w:r>
            <w:r>
              <w:rPr>
                <w:rFonts w:ascii="Times New Roman" w:eastAsia="Segoe UI" w:hAnsi="Times New Roman" w:cs="Times New Roman"/>
                <w:sz w:val="24"/>
                <w:szCs w:val="24"/>
                <w:shd w:val="clear" w:color="auto" w:fill="FFFFFF"/>
              </w:rPr>
              <w:t>George Miller Beard (1839 - 1883)</w:t>
            </w:r>
            <w:r>
              <w:rPr>
                <w:rFonts w:ascii="Times New Roman" w:eastAsiaTheme="majorEastAsia" w:hAnsi="Times New Roman" w:cs="Times New Roman"/>
                <w:i/>
                <w:iCs/>
                <w:sz w:val="24"/>
                <w:szCs w:val="24"/>
              </w:rPr>
              <w:t>: O Médico que Diagnosticou o Espírito de Seu Tempo</w:t>
            </w:r>
          </w:p>
        </w:tc>
      </w:tr>
    </w:tbl>
    <w:p w14:paraId="3C6613DD"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3314C700"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Neurastenia em Poucas Palavras: O Esgotamento dos Nervos</w:t>
      </w:r>
    </w:p>
    <w:p w14:paraId="3F2309F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fenômeno da neurastenia nos convida a explorar um diagnóstico que capturou como nenhum outro o mal-estar de uma era em transformação, e para compreendê-lo em toda sua riqueza, percorreremos quatro dimensões fundamentais que se entrelaçam. A primeira nos revela sua origem etimológica, que significa literalmente "fraqueza dos nervos", um termo que já carrega em si a essência do que seria descrito. A segunda nos guia por sua fascinante jornada histórica, onde veremos como esse diagnóstico soube capturar o espírito de uma época industrializada e acelerada. A terceira dimensão desvenda como a neurociência contemporânea compreende os mecanismos por trás desse esgotamento que parecia tão misterioso no século XIX. E a quarta nos leva ao plano filosófico, onde a neurastenia emerge como uma metáfora poderosa do custo humano do progresso desenfreado. São essas quatro perspectivas, integradas na seção final, que nos oferecem uma compreensão profunda desse fenômeno que, de muitas formas, antecipou questões que continuam pertinentes em nossa própria época.</w:t>
      </w:r>
    </w:p>
    <w:p w14:paraId="3E412C35"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6549B5EF"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A Jornada da Palavra: Dos Nervos ao Esgotamento</w:t>
      </w:r>
    </w:p>
    <w:p w14:paraId="57D5730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Na obra American </w:t>
      </w:r>
      <w:proofErr w:type="spellStart"/>
      <w:r>
        <w:rPr>
          <w:rFonts w:ascii="Times New Roman" w:eastAsia="Segoe UI" w:hAnsi="Times New Roman" w:cs="Times New Roman"/>
          <w:sz w:val="24"/>
          <w:szCs w:val="24"/>
          <w:shd w:val="clear" w:color="auto" w:fill="FFFFFF"/>
          <w:lang w:eastAsia="zh-CN"/>
        </w:rPr>
        <w:t>Nervousness</w:t>
      </w:r>
      <w:proofErr w:type="spellEnd"/>
      <w:r>
        <w:rPr>
          <w:rFonts w:ascii="Times New Roman" w:eastAsia="Segoe UI" w:hAnsi="Times New Roman" w:cs="Times New Roman"/>
          <w:sz w:val="24"/>
          <w:szCs w:val="24"/>
          <w:shd w:val="clear" w:color="auto" w:fill="FFFFFF"/>
          <w:lang w:eastAsia="zh-CN"/>
        </w:rPr>
        <w:t xml:space="preserve">: Its Causes </w:t>
      </w:r>
      <w:proofErr w:type="spellStart"/>
      <w:r>
        <w:rPr>
          <w:rFonts w:ascii="Times New Roman" w:eastAsia="Segoe UI" w:hAnsi="Times New Roman" w:cs="Times New Roman"/>
          <w:sz w:val="24"/>
          <w:szCs w:val="24"/>
          <w:shd w:val="clear" w:color="auto" w:fill="FFFFFF"/>
          <w:lang w:eastAsia="zh-CN"/>
        </w:rPr>
        <w:t>and</w:t>
      </w:r>
      <w:proofErr w:type="spellEnd"/>
      <w:r>
        <w:rPr>
          <w:rFonts w:ascii="Times New Roman" w:eastAsia="Segoe UI" w:hAnsi="Times New Roman" w:cs="Times New Roman"/>
          <w:sz w:val="24"/>
          <w:szCs w:val="24"/>
          <w:shd w:val="clear" w:color="auto" w:fill="FFFFFF"/>
          <w:lang w:eastAsia="zh-CN"/>
        </w:rPr>
        <w:t xml:space="preserve"> </w:t>
      </w:r>
      <w:proofErr w:type="spellStart"/>
      <w:r>
        <w:rPr>
          <w:rFonts w:ascii="Times New Roman" w:eastAsia="Segoe UI" w:hAnsi="Times New Roman" w:cs="Times New Roman"/>
          <w:sz w:val="24"/>
          <w:szCs w:val="24"/>
          <w:shd w:val="clear" w:color="auto" w:fill="FFFFFF"/>
          <w:lang w:eastAsia="zh-CN"/>
        </w:rPr>
        <w:t>Consequences</w:t>
      </w:r>
      <w:proofErr w:type="spellEnd"/>
      <w:r>
        <w:rPr>
          <w:rFonts w:ascii="Times New Roman" w:eastAsia="Segoe UI" w:hAnsi="Times New Roman" w:cs="Times New Roman"/>
          <w:sz w:val="24"/>
          <w:szCs w:val="24"/>
          <w:shd w:val="clear" w:color="auto" w:fill="FFFFFF"/>
          <w:lang w:eastAsia="zh-CN"/>
        </w:rPr>
        <w:t xml:space="preserve"> (1881), George Miller Beard não apenas descreveu uma doença, mas diagnosticou toda uma época. Para o neurologista, a neurastenia representava o custo humano da Revolução Industrial e da modernização acelerada do século XIX, um preço cobrado diretamente do sistema nervoso. Beard identificou como agentes desencadeadores a pressão das locomotivas a vapor, a avalanche informativa dos jornais, a aceleração das comunicações telegráficas, as exigências do conhecimento científico e a agitação da vida urbana que podiam 'descarrilar' o organismo, esgotando suas reservas de </w:t>
      </w:r>
      <w:r>
        <w:rPr>
          <w:rFonts w:ascii="Times New Roman" w:eastAsia="Segoe UI" w:hAnsi="Times New Roman" w:cs="Times New Roman"/>
          <w:sz w:val="24"/>
          <w:szCs w:val="24"/>
          <w:shd w:val="clear" w:color="auto" w:fill="FFFFFF"/>
          <w:lang w:eastAsia="zh-CN"/>
        </w:rPr>
        <w:lastRenderedPageBreak/>
        <w:t xml:space="preserve">'força nervosa'.  Este era um conceito fisiológico da época: o sistema nervoso era entendido como um reservatório de energia neural finita - uma força esgotável, frequentemente comparada à eletricidade ou a uma bateria que podia se descarregar por completo. Pela primeira vez, um médico propunha que o ambiente </w:t>
      </w:r>
      <w:proofErr w:type="spellStart"/>
      <w:r>
        <w:rPr>
          <w:rFonts w:ascii="Times New Roman" w:eastAsia="Segoe UI" w:hAnsi="Times New Roman" w:cs="Times New Roman"/>
          <w:sz w:val="24"/>
          <w:szCs w:val="24"/>
          <w:shd w:val="clear" w:color="auto" w:fill="FFFFFF"/>
          <w:lang w:eastAsia="zh-CN"/>
        </w:rPr>
        <w:t>sociotecnológico</w:t>
      </w:r>
      <w:proofErr w:type="spellEnd"/>
      <w:r>
        <w:rPr>
          <w:rFonts w:ascii="Times New Roman" w:eastAsia="Segoe UI" w:hAnsi="Times New Roman" w:cs="Times New Roman"/>
          <w:sz w:val="24"/>
          <w:szCs w:val="24"/>
          <w:shd w:val="clear" w:color="auto" w:fill="FFFFFF"/>
          <w:lang w:eastAsia="zh-CN"/>
        </w:rPr>
        <w:t xml:space="preserve"> podia "descarrilar" o organismo, esgotando suas reservas de "força nervosa" - um conceito fisiológico da época, que entendia o sistema nervoso como um reservatório de energia elétrica ou vital finita, semelhante a uma bateria que podia se esgotar.</w:t>
      </w:r>
    </w:p>
    <w:p w14:paraId="32A9DDC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diagnóstico rapidamente popularizou-se entre a classe média intelectual e profissional, justamente os grupos mais expostos às novas demandas da modernidade. Contudo, permanece o debate sobre se a neurastenia constituiu uma epidemia real de esgotamento ou uma construção social que refletia ansiedades culturais diante do progresso acelerado. Essa ambiguidade manifestava-se claramente nas abordagens terapêuticas: o famoso "</w:t>
      </w:r>
      <w:proofErr w:type="spellStart"/>
      <w:r>
        <w:rPr>
          <w:rFonts w:ascii="Times New Roman" w:eastAsia="Segoe UI" w:hAnsi="Times New Roman" w:cs="Times New Roman"/>
          <w:sz w:val="24"/>
          <w:szCs w:val="24"/>
          <w:shd w:val="clear" w:color="auto" w:fill="FFFFFF"/>
          <w:lang w:eastAsia="zh-CN"/>
        </w:rPr>
        <w:t>rest</w:t>
      </w:r>
      <w:proofErr w:type="spellEnd"/>
      <w:r>
        <w:rPr>
          <w:rFonts w:ascii="Times New Roman" w:eastAsia="Segoe UI" w:hAnsi="Times New Roman" w:cs="Times New Roman"/>
          <w:sz w:val="24"/>
          <w:szCs w:val="24"/>
          <w:shd w:val="clear" w:color="auto" w:fill="FFFFFF"/>
          <w:lang w:eastAsia="zh-CN"/>
        </w:rPr>
        <w:t xml:space="preserve"> cure" de Silas Weir Mitchell, embora concebido com intenção terapêutica genuína, revelava-se também como instrumento de controle social. Seu protocolo de isolamento rigoroso, repouso absoluto e alimentação forçada era aplicado predominantemente a mulheres, frequentemente confinando-as à esfera doméstica quando suas aspirações transcendiam os papéis de gênero estabelecidos.</w:t>
      </w:r>
    </w:p>
    <w:p w14:paraId="39AD20A3"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A concepção de Beard enquadrava a neurastenia como um transtorno que ele acreditava ser orgânico, mas cuja lesão era invisível aos microscópios de sua época - tangível apenas em suas consequências. Essa busca por uma base estrutural invisível o diferencia da compreensão atual dos transtornos funcionais, que são vistos como problemas na regulação e função do sistema nervoso, e não necessariamente em sua anatomia. Seu quadro sintomatológico incluía fadiga física e mental crônica, perturbações gástricas, insônia e ansiedade flutuante, sintomas que desafiavam a medicina da época por sua natureza subjetiva e não detectável por instrumentos convencionais.</w:t>
      </w:r>
    </w:p>
    <w:p w14:paraId="41C9D9CB"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O diagnóstico logo transcendeu fronteiras, alcançando notável popularidade na Europa através de figuras como Jean-Martin </w:t>
      </w:r>
      <w:proofErr w:type="spellStart"/>
      <w:r>
        <w:rPr>
          <w:rFonts w:ascii="Times New Roman" w:eastAsia="Segoe UI" w:hAnsi="Times New Roman" w:cs="Times New Roman"/>
          <w:sz w:val="24"/>
          <w:szCs w:val="24"/>
          <w:shd w:val="clear" w:color="auto" w:fill="FFFFFF"/>
          <w:lang w:eastAsia="zh-CN"/>
        </w:rPr>
        <w:t>Charcot</w:t>
      </w:r>
      <w:proofErr w:type="spellEnd"/>
      <w:r>
        <w:rPr>
          <w:rFonts w:ascii="Times New Roman" w:eastAsia="Segoe UI" w:hAnsi="Times New Roman" w:cs="Times New Roman"/>
          <w:sz w:val="24"/>
          <w:szCs w:val="24"/>
          <w:shd w:val="clear" w:color="auto" w:fill="FFFFFF"/>
          <w:lang w:eastAsia="zh-CN"/>
        </w:rPr>
        <w:t>, que chegou a propor uma forma híbrida denominada "</w:t>
      </w:r>
      <w:proofErr w:type="spellStart"/>
      <w:r>
        <w:rPr>
          <w:rFonts w:ascii="Times New Roman" w:eastAsia="Segoe UI" w:hAnsi="Times New Roman" w:cs="Times New Roman"/>
          <w:sz w:val="24"/>
          <w:szCs w:val="24"/>
          <w:shd w:val="clear" w:color="auto" w:fill="FFFFFF"/>
          <w:lang w:eastAsia="zh-CN"/>
        </w:rPr>
        <w:t>histeroneurastenia</w:t>
      </w:r>
      <w:proofErr w:type="spellEnd"/>
      <w:r>
        <w:rPr>
          <w:rFonts w:ascii="Times New Roman" w:eastAsia="Segoe UI" w:hAnsi="Times New Roman" w:cs="Times New Roman"/>
          <w:sz w:val="24"/>
          <w:szCs w:val="24"/>
          <w:shd w:val="clear" w:color="auto" w:fill="FFFFFF"/>
          <w:lang w:eastAsia="zh-CN"/>
        </w:rPr>
        <w:t>". No Brasil, médicos como Juliano Moreira e Afrânio Peixoto discutiam sua pertinência em contexto nacional, observando sua relativa raridade possivelmente devido às diferentes condições de urbanização.</w:t>
      </w:r>
    </w:p>
    <w:p w14:paraId="77B50CA5"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O declínio do conceito acentuou-se nas primeiras décadas do século XX com o advento da psicanálise e novas categorias nosológicas. Explicações somáticas deram lugar a interpretações psicogênicas, transferindo o manejo desses pacientes do neurologista para o psiquiatra. Curiosamente, enquanto desaparecia no </w:t>
      </w:r>
      <w:proofErr w:type="spellStart"/>
      <w:r>
        <w:rPr>
          <w:rFonts w:ascii="Times New Roman" w:eastAsia="Segoe UI" w:hAnsi="Times New Roman" w:cs="Times New Roman"/>
          <w:sz w:val="24"/>
          <w:szCs w:val="24"/>
          <w:shd w:val="clear" w:color="auto" w:fill="FFFFFF"/>
          <w:lang w:eastAsia="zh-CN"/>
        </w:rPr>
        <w:t>Ocente</w:t>
      </w:r>
      <w:proofErr w:type="spellEnd"/>
      <w:r>
        <w:rPr>
          <w:rFonts w:ascii="Times New Roman" w:eastAsia="Segoe UI" w:hAnsi="Times New Roman" w:cs="Times New Roman"/>
          <w:sz w:val="24"/>
          <w:szCs w:val="24"/>
          <w:shd w:val="clear" w:color="auto" w:fill="FFFFFF"/>
          <w:lang w:eastAsia="zh-CN"/>
        </w:rPr>
        <w:t>, a neurastenia mantinha vitalidade na China como "</w:t>
      </w:r>
      <w:proofErr w:type="spellStart"/>
      <w:r>
        <w:rPr>
          <w:rFonts w:ascii="Times New Roman" w:eastAsia="Segoe UI" w:hAnsi="Times New Roman" w:cs="Times New Roman"/>
          <w:sz w:val="24"/>
          <w:szCs w:val="24"/>
          <w:shd w:val="clear" w:color="auto" w:fill="FFFFFF"/>
          <w:lang w:eastAsia="zh-CN"/>
        </w:rPr>
        <w:t>shenjing</w:t>
      </w:r>
      <w:proofErr w:type="spellEnd"/>
      <w:r>
        <w:rPr>
          <w:rFonts w:ascii="Times New Roman" w:eastAsia="Segoe UI" w:hAnsi="Times New Roman" w:cs="Times New Roman"/>
          <w:sz w:val="24"/>
          <w:szCs w:val="24"/>
          <w:shd w:val="clear" w:color="auto" w:fill="FFFFFF"/>
          <w:lang w:eastAsia="zh-CN"/>
        </w:rPr>
        <w:t xml:space="preserve"> </w:t>
      </w:r>
      <w:proofErr w:type="spellStart"/>
      <w:r>
        <w:rPr>
          <w:rFonts w:ascii="Times New Roman" w:eastAsia="Segoe UI" w:hAnsi="Times New Roman" w:cs="Times New Roman"/>
          <w:sz w:val="24"/>
          <w:szCs w:val="24"/>
          <w:shd w:val="clear" w:color="auto" w:fill="FFFFFF"/>
          <w:lang w:eastAsia="zh-CN"/>
        </w:rPr>
        <w:t>shuairuo</w:t>
      </w:r>
      <w:proofErr w:type="spellEnd"/>
      <w:r>
        <w:rPr>
          <w:rFonts w:ascii="Times New Roman" w:eastAsia="Segoe UI" w:hAnsi="Times New Roman" w:cs="Times New Roman"/>
          <w:sz w:val="24"/>
          <w:szCs w:val="24"/>
          <w:shd w:val="clear" w:color="auto" w:fill="FFFFFF"/>
          <w:lang w:eastAsia="zh-CN"/>
        </w:rPr>
        <w:t xml:space="preserve">", e seu legado sintomatológico ressurgiria décadas depois </w:t>
      </w:r>
      <w:r>
        <w:rPr>
          <w:rFonts w:ascii="Times New Roman" w:eastAsia="Segoe UI" w:hAnsi="Times New Roman" w:cs="Times New Roman"/>
          <w:sz w:val="24"/>
          <w:szCs w:val="24"/>
          <w:shd w:val="clear" w:color="auto" w:fill="FFFFFF"/>
          <w:lang w:eastAsia="zh-CN"/>
        </w:rPr>
        <w:lastRenderedPageBreak/>
        <w:t>através de diagnósticos como a </w:t>
      </w:r>
      <w:r>
        <w:rPr>
          <w:rFonts w:ascii="Times New Roman" w:eastAsia="Segoe UI" w:hAnsi="Times New Roman" w:cs="Times New Roman"/>
          <w:b/>
          <w:bCs/>
          <w:sz w:val="24"/>
          <w:szCs w:val="24"/>
          <w:shd w:val="clear" w:color="auto" w:fill="FFFFFF"/>
          <w:lang w:eastAsia="zh-CN"/>
        </w:rPr>
        <w:t>síndrome da fadiga crônica</w:t>
      </w:r>
      <w:r>
        <w:rPr>
          <w:rFonts w:ascii="Times New Roman" w:eastAsia="Segoe UI" w:hAnsi="Times New Roman" w:cs="Times New Roman"/>
          <w:sz w:val="24"/>
          <w:szCs w:val="24"/>
          <w:shd w:val="clear" w:color="auto" w:fill="FFFFFF"/>
          <w:lang w:eastAsia="zh-CN"/>
        </w:rPr>
        <w:t> e, sobretudo, a </w:t>
      </w:r>
      <w:r>
        <w:rPr>
          <w:rFonts w:ascii="Times New Roman" w:eastAsia="Segoe UI" w:hAnsi="Times New Roman" w:cs="Times New Roman"/>
          <w:b/>
          <w:bCs/>
          <w:sz w:val="24"/>
          <w:szCs w:val="24"/>
          <w:shd w:val="clear" w:color="auto" w:fill="FFFFFF"/>
          <w:lang w:eastAsia="zh-CN"/>
        </w:rPr>
        <w:t xml:space="preserve">síndrome de </w:t>
      </w:r>
      <w:r>
        <w:rPr>
          <w:rFonts w:ascii="Times New Roman" w:eastAsia="Segoe UI" w:hAnsi="Times New Roman" w:cs="Times New Roman"/>
          <w:b/>
          <w:bCs/>
          <w:i/>
          <w:iCs/>
          <w:sz w:val="24"/>
          <w:szCs w:val="24"/>
          <w:shd w:val="clear" w:color="auto" w:fill="FFFFFF"/>
          <w:lang w:eastAsia="zh-CN"/>
        </w:rPr>
        <w:t>burnout</w:t>
      </w:r>
      <w:r>
        <w:rPr>
          <w:rFonts w:ascii="Times New Roman" w:eastAsia="Segoe UI" w:hAnsi="Times New Roman" w:cs="Times New Roman"/>
          <w:sz w:val="24"/>
          <w:szCs w:val="24"/>
          <w:shd w:val="clear" w:color="auto" w:fill="FFFFFF"/>
          <w:lang w:eastAsia="zh-CN"/>
        </w:rPr>
        <w:t>.</w:t>
      </w:r>
    </w:p>
    <w:p w14:paraId="77B31637"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O </w:t>
      </w:r>
      <w:r>
        <w:rPr>
          <w:rFonts w:ascii="Times New Roman" w:eastAsia="Segoe UI" w:hAnsi="Times New Roman" w:cs="Times New Roman"/>
          <w:b/>
          <w:bCs/>
          <w:i/>
          <w:iCs/>
          <w:sz w:val="24"/>
          <w:szCs w:val="24"/>
          <w:shd w:val="clear" w:color="auto" w:fill="FFFFFF"/>
          <w:lang w:eastAsia="zh-CN"/>
        </w:rPr>
        <w:t>burnout</w:t>
      </w:r>
      <w:r>
        <w:rPr>
          <w:rFonts w:ascii="Times New Roman" w:eastAsia="Segoe UI" w:hAnsi="Times New Roman" w:cs="Times New Roman"/>
          <w:sz w:val="24"/>
          <w:szCs w:val="24"/>
          <w:shd w:val="clear" w:color="auto" w:fill="FFFFFF"/>
          <w:lang w:eastAsia="zh-CN"/>
        </w:rPr>
        <w:t>, reconhecido pela OMS como um fenômeno ocupacional, pode ser lido como a neurastenia do século XXI. Enquanto Beard atribuía o esgotamento aos 'nervos' sobrecarregados pelo telégrafo e pela agitação urbana, hoje compreendemos o </w:t>
      </w:r>
      <w:r>
        <w:rPr>
          <w:rFonts w:ascii="Times New Roman" w:eastAsia="Segoe UI" w:hAnsi="Times New Roman" w:cs="Times New Roman"/>
          <w:b/>
          <w:bCs/>
          <w:sz w:val="24"/>
          <w:szCs w:val="24"/>
          <w:shd w:val="clear" w:color="auto" w:fill="FFFFFF"/>
          <w:lang w:eastAsia="zh-CN"/>
        </w:rPr>
        <w:t>estresse crônico</w:t>
      </w:r>
      <w:r>
        <w:rPr>
          <w:rFonts w:ascii="Times New Roman" w:eastAsia="Segoe UI" w:hAnsi="Times New Roman" w:cs="Times New Roman"/>
          <w:sz w:val="24"/>
          <w:szCs w:val="24"/>
          <w:shd w:val="clear" w:color="auto" w:fill="FFFFFF"/>
          <w:lang w:eastAsia="zh-CN"/>
        </w:rPr>
        <w:t> como o agente etiológico central. A fadiga mental e física, a sensação de esgotamento ('</w:t>
      </w:r>
      <w:proofErr w:type="spellStart"/>
      <w:r>
        <w:rPr>
          <w:rFonts w:ascii="Times New Roman" w:eastAsia="Segoe UI" w:hAnsi="Times New Roman" w:cs="Times New Roman"/>
          <w:sz w:val="24"/>
          <w:szCs w:val="24"/>
          <w:shd w:val="clear" w:color="auto" w:fill="FFFFFF"/>
          <w:lang w:eastAsia="zh-CN"/>
        </w:rPr>
        <w:t>exhaustion</w:t>
      </w:r>
      <w:proofErr w:type="spellEnd"/>
      <w:r>
        <w:rPr>
          <w:rFonts w:ascii="Times New Roman" w:eastAsia="Segoe UI" w:hAnsi="Times New Roman" w:cs="Times New Roman"/>
          <w:sz w:val="24"/>
          <w:szCs w:val="24"/>
          <w:shd w:val="clear" w:color="auto" w:fill="FFFFFF"/>
          <w:lang w:eastAsia="zh-CN"/>
        </w:rPr>
        <w:t>'), a despersonalização ('</w:t>
      </w:r>
      <w:proofErr w:type="spellStart"/>
      <w:r>
        <w:rPr>
          <w:rFonts w:ascii="Times New Roman" w:eastAsia="Segoe UI" w:hAnsi="Times New Roman" w:cs="Times New Roman"/>
          <w:sz w:val="24"/>
          <w:szCs w:val="24"/>
          <w:shd w:val="clear" w:color="auto" w:fill="FFFFFF"/>
          <w:lang w:eastAsia="zh-CN"/>
        </w:rPr>
        <w:t>depersonalization</w:t>
      </w:r>
      <w:proofErr w:type="spellEnd"/>
      <w:r>
        <w:rPr>
          <w:rFonts w:ascii="Times New Roman" w:eastAsia="Segoe UI" w:hAnsi="Times New Roman" w:cs="Times New Roman"/>
          <w:sz w:val="24"/>
          <w:szCs w:val="24"/>
          <w:shd w:val="clear" w:color="auto" w:fill="FFFFFF"/>
          <w:lang w:eastAsia="zh-CN"/>
        </w:rPr>
        <w:t>') e a redução da eficácia profissional ('</w:t>
      </w:r>
      <w:proofErr w:type="spellStart"/>
      <w:r>
        <w:rPr>
          <w:rFonts w:ascii="Times New Roman" w:eastAsia="Segoe UI" w:hAnsi="Times New Roman" w:cs="Times New Roman"/>
          <w:sz w:val="24"/>
          <w:szCs w:val="24"/>
          <w:shd w:val="clear" w:color="auto" w:fill="FFFFFF"/>
          <w:lang w:eastAsia="zh-CN"/>
        </w:rPr>
        <w:t>reduced</w:t>
      </w:r>
      <w:proofErr w:type="spellEnd"/>
      <w:r>
        <w:rPr>
          <w:rFonts w:ascii="Times New Roman" w:eastAsia="Segoe UI" w:hAnsi="Times New Roman" w:cs="Times New Roman"/>
          <w:sz w:val="24"/>
          <w:szCs w:val="24"/>
          <w:shd w:val="clear" w:color="auto" w:fill="FFFFFF"/>
          <w:lang w:eastAsia="zh-CN"/>
        </w:rPr>
        <w:t xml:space="preserve"> professional </w:t>
      </w:r>
      <w:proofErr w:type="spellStart"/>
      <w:r>
        <w:rPr>
          <w:rFonts w:ascii="Times New Roman" w:eastAsia="Segoe UI" w:hAnsi="Times New Roman" w:cs="Times New Roman"/>
          <w:sz w:val="24"/>
          <w:szCs w:val="24"/>
          <w:shd w:val="clear" w:color="auto" w:fill="FFFFFF"/>
          <w:lang w:eastAsia="zh-CN"/>
        </w:rPr>
        <w:t>efficacy</w:t>
      </w:r>
      <w:proofErr w:type="spellEnd"/>
      <w:r>
        <w:rPr>
          <w:rFonts w:ascii="Times New Roman" w:eastAsia="Segoe UI" w:hAnsi="Times New Roman" w:cs="Times New Roman"/>
          <w:sz w:val="24"/>
          <w:szCs w:val="24"/>
          <w:shd w:val="clear" w:color="auto" w:fill="FFFFFF"/>
          <w:lang w:eastAsia="zh-CN"/>
        </w:rPr>
        <w:t>') que definem o burnout ecoam diretamente o 'cansaço de uma era' diagnosticado por Beard. A neurobiologia moderna corrobora essa intuição: a desregulação</w:t>
      </w:r>
      <w:r>
        <w:rPr>
          <w:rFonts w:ascii="Times New Roman" w:eastAsia="Segoe UI" w:hAnsi="Times New Roman" w:cs="Times New Roman"/>
          <w:b/>
          <w:bCs/>
          <w:sz w:val="24"/>
          <w:szCs w:val="24"/>
          <w:shd w:val="clear" w:color="auto" w:fill="FFFFFF"/>
          <w:lang w:eastAsia="zh-CN"/>
        </w:rPr>
        <w:t xml:space="preserve"> </w:t>
      </w:r>
      <w:r>
        <w:rPr>
          <w:rFonts w:ascii="Times New Roman" w:eastAsia="Segoe UI" w:hAnsi="Times New Roman" w:cs="Times New Roman"/>
          <w:sz w:val="24"/>
          <w:szCs w:val="24"/>
          <w:shd w:val="clear" w:color="auto" w:fill="FFFFFF"/>
          <w:lang w:eastAsia="zh-CN"/>
        </w:rPr>
        <w:t xml:space="preserve">do eixo HPA (hipotálamo-hipófise-adrenal) e a exaustão dos sistemas neuroquímicos (especialmente </w:t>
      </w:r>
      <w:proofErr w:type="spellStart"/>
      <w:r>
        <w:rPr>
          <w:rFonts w:ascii="Times New Roman" w:eastAsia="Segoe UI" w:hAnsi="Times New Roman" w:cs="Times New Roman"/>
          <w:sz w:val="24"/>
          <w:szCs w:val="24"/>
          <w:shd w:val="clear" w:color="auto" w:fill="FFFFFF"/>
          <w:lang w:eastAsia="zh-CN"/>
        </w:rPr>
        <w:t>noradrenérgico</w:t>
      </w:r>
      <w:proofErr w:type="spellEnd"/>
      <w:r>
        <w:rPr>
          <w:rFonts w:ascii="Times New Roman" w:eastAsia="Segoe UI" w:hAnsi="Times New Roman" w:cs="Times New Roman"/>
          <w:sz w:val="24"/>
          <w:szCs w:val="24"/>
          <w:shd w:val="clear" w:color="auto" w:fill="FFFFFF"/>
          <w:lang w:eastAsia="zh-CN"/>
        </w:rPr>
        <w:t xml:space="preserve">) no </w:t>
      </w:r>
      <w:r>
        <w:rPr>
          <w:rFonts w:ascii="Times New Roman" w:eastAsia="Segoe UI" w:hAnsi="Times New Roman" w:cs="Times New Roman"/>
          <w:i/>
          <w:iCs/>
          <w:sz w:val="24"/>
          <w:szCs w:val="24"/>
          <w:shd w:val="clear" w:color="auto" w:fill="FFFFFF"/>
          <w:lang w:eastAsia="zh-CN"/>
        </w:rPr>
        <w:t>burnout</w:t>
      </w:r>
      <w:r>
        <w:rPr>
          <w:rFonts w:ascii="Times New Roman" w:eastAsia="Segoe UI" w:hAnsi="Times New Roman" w:cs="Times New Roman"/>
          <w:sz w:val="24"/>
          <w:szCs w:val="24"/>
          <w:shd w:val="clear" w:color="auto" w:fill="FFFFFF"/>
          <w:lang w:eastAsia="zh-CN"/>
        </w:rPr>
        <w:t xml:space="preserve"> e em outras síndromes de estresse crônico fornecem o substrato fisiológico para a antiga 'fraqueza dos nervos'. Dessa forma, a neurastenia não foi um equívoco diagnóstico, mas a primeira cartografia de um mal-estar civilizatório que continua a nos assombrar, agora sob novas roupagens nosológicas.</w:t>
      </w:r>
    </w:p>
    <w:p w14:paraId="2C683AFC"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Essa trajetória ilustra eloquentemente como as categorias diagnósticas são produtos de seu tempo, encapsulando não apenas compreensões médicas, mas também valores sociais e visões de mundo. A história da neurastenia revela a intrincada interação entre corpo e sociedade, demonstrando como uma condição médica pode funcionar simultaneamente como fenômeno clínico e metáfora cultural.</w:t>
      </w:r>
    </w:p>
    <w:p w14:paraId="35ABAAE4"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15C7C266"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Quadro 8.1. A Evolução da Neurastenia: Do Diagnóstico à Epidemia Moderna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4"/>
        <w:gridCol w:w="1677"/>
        <w:gridCol w:w="3023"/>
        <w:gridCol w:w="3287"/>
      </w:tblGrid>
      <w:tr w:rsidR="0003312E" w14:paraId="11AC6F85" w14:textId="77777777">
        <w:trPr>
          <w:tblHeader/>
        </w:trPr>
        <w:tc>
          <w:tcPr>
            <w:tcW w:w="0" w:type="auto"/>
            <w:tcMar>
              <w:top w:w="150" w:type="dxa"/>
              <w:left w:w="0" w:type="dxa"/>
              <w:bottom w:w="150" w:type="dxa"/>
              <w:right w:w="240" w:type="dxa"/>
            </w:tcMar>
            <w:vAlign w:val="center"/>
          </w:tcPr>
          <w:p w14:paraId="2B79872B"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Época</w:t>
            </w:r>
          </w:p>
        </w:tc>
        <w:tc>
          <w:tcPr>
            <w:tcW w:w="1608" w:type="dxa"/>
            <w:tcMar>
              <w:top w:w="150" w:type="dxa"/>
              <w:left w:w="240" w:type="dxa"/>
              <w:bottom w:w="150" w:type="dxa"/>
              <w:right w:w="240" w:type="dxa"/>
            </w:tcMar>
            <w:vAlign w:val="center"/>
          </w:tcPr>
          <w:p w14:paraId="7043345D"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Marco</w:t>
            </w:r>
          </w:p>
        </w:tc>
        <w:tc>
          <w:tcPr>
            <w:tcW w:w="3023" w:type="dxa"/>
            <w:tcMar>
              <w:top w:w="150" w:type="dxa"/>
              <w:left w:w="240" w:type="dxa"/>
              <w:bottom w:w="150" w:type="dxa"/>
              <w:right w:w="240" w:type="dxa"/>
            </w:tcMar>
            <w:vAlign w:val="center"/>
          </w:tcPr>
          <w:p w14:paraId="5D3CD961"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Contexto Social</w:t>
            </w:r>
          </w:p>
        </w:tc>
        <w:tc>
          <w:tcPr>
            <w:tcW w:w="0" w:type="auto"/>
            <w:tcMar>
              <w:top w:w="150" w:type="dxa"/>
              <w:left w:w="240" w:type="dxa"/>
              <w:bottom w:w="150" w:type="dxa"/>
              <w:right w:w="240" w:type="dxa"/>
            </w:tcMar>
            <w:vAlign w:val="center"/>
          </w:tcPr>
          <w:p w14:paraId="026C5959"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Significado e Impacto</w:t>
            </w:r>
          </w:p>
        </w:tc>
      </w:tr>
      <w:tr w:rsidR="0003312E" w14:paraId="54DA3507" w14:textId="77777777">
        <w:tc>
          <w:tcPr>
            <w:tcW w:w="0" w:type="auto"/>
            <w:tcMar>
              <w:top w:w="150" w:type="dxa"/>
              <w:left w:w="0" w:type="dxa"/>
              <w:bottom w:w="150" w:type="dxa"/>
              <w:right w:w="240" w:type="dxa"/>
            </w:tcMar>
            <w:vAlign w:val="center"/>
          </w:tcPr>
          <w:p w14:paraId="1F3F0009"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 XVIII – 1868</w:t>
            </w:r>
          </w:p>
        </w:tc>
        <w:tc>
          <w:tcPr>
            <w:tcW w:w="1608" w:type="dxa"/>
            <w:tcMar>
              <w:top w:w="150" w:type="dxa"/>
              <w:left w:w="240" w:type="dxa"/>
              <w:bottom w:w="150" w:type="dxa"/>
              <w:right w:w="240" w:type="dxa"/>
            </w:tcMar>
            <w:vAlign w:val="center"/>
          </w:tcPr>
          <w:p w14:paraId="4EF12505"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Pré-história do conceito</w:t>
            </w:r>
          </w:p>
        </w:tc>
        <w:tc>
          <w:tcPr>
            <w:tcW w:w="3023" w:type="dxa"/>
            <w:tcMar>
              <w:top w:w="150" w:type="dxa"/>
              <w:left w:w="240" w:type="dxa"/>
              <w:bottom w:w="150" w:type="dxa"/>
              <w:right w:w="240" w:type="dxa"/>
            </w:tcMar>
            <w:vAlign w:val="center"/>
          </w:tcPr>
          <w:p w14:paraId="14262329"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Sociedade pré-industrial com estratificação social rígida; surgimento das primeiras tensões da modernização</w:t>
            </w:r>
          </w:p>
        </w:tc>
        <w:tc>
          <w:tcPr>
            <w:tcW w:w="0" w:type="auto"/>
            <w:tcMar>
              <w:top w:w="150" w:type="dxa"/>
              <w:left w:w="240" w:type="dxa"/>
              <w:bottom w:w="150" w:type="dxa"/>
              <w:right w:w="0" w:type="dxa"/>
            </w:tcMar>
            <w:vAlign w:val="center"/>
          </w:tcPr>
          <w:p w14:paraId="161F966B"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Raízes em categorias como “nervosismo” e “irritabilidade espinhal”, influenciadas pelos estudos de John Brown e </w:t>
            </w:r>
            <w:proofErr w:type="spellStart"/>
            <w:r>
              <w:rPr>
                <w:rFonts w:ascii="Times New Roman" w:eastAsia="Segoe UI" w:hAnsi="Times New Roman" w:cs="Times New Roman"/>
                <w:sz w:val="20"/>
                <w:szCs w:val="20"/>
                <w:shd w:val="clear" w:color="auto" w:fill="FFFFFF"/>
                <w:lang w:eastAsia="zh-CN"/>
              </w:rPr>
              <w:t>Broussais</w:t>
            </w:r>
            <w:proofErr w:type="spellEnd"/>
            <w:r>
              <w:rPr>
                <w:rFonts w:ascii="Times New Roman" w:eastAsia="Segoe UI" w:hAnsi="Times New Roman" w:cs="Times New Roman"/>
                <w:sz w:val="20"/>
                <w:szCs w:val="20"/>
                <w:shd w:val="clear" w:color="auto" w:fill="FFFFFF"/>
                <w:lang w:eastAsia="zh-CN"/>
              </w:rPr>
              <w:t xml:space="preserve"> sobre </w:t>
            </w:r>
            <w:r>
              <w:rPr>
                <w:rFonts w:ascii="Times New Roman" w:eastAsia="Segoe UI" w:hAnsi="Times New Roman" w:cs="Times New Roman"/>
                <w:b/>
                <w:bCs/>
                <w:sz w:val="20"/>
                <w:szCs w:val="20"/>
                <w:shd w:val="clear" w:color="auto" w:fill="FFFFFF"/>
                <w:lang w:eastAsia="zh-CN"/>
              </w:rPr>
              <w:t>a irritação</w:t>
            </w:r>
            <w:r>
              <w:rPr>
                <w:rFonts w:ascii="Times New Roman" w:eastAsia="Segoe UI" w:hAnsi="Times New Roman" w:cs="Times New Roman"/>
                <w:sz w:val="20"/>
                <w:szCs w:val="20"/>
                <w:shd w:val="clear" w:color="auto" w:fill="FFFFFF"/>
                <w:lang w:eastAsia="zh-CN"/>
              </w:rPr>
              <w:t> do organismo</w:t>
            </w:r>
          </w:p>
        </w:tc>
      </w:tr>
      <w:tr w:rsidR="0003312E" w14:paraId="5B5EC70A" w14:textId="77777777">
        <w:tc>
          <w:tcPr>
            <w:tcW w:w="0" w:type="auto"/>
            <w:tcMar>
              <w:top w:w="150" w:type="dxa"/>
              <w:left w:w="0" w:type="dxa"/>
              <w:bottom w:w="150" w:type="dxa"/>
              <w:right w:w="240" w:type="dxa"/>
            </w:tcMar>
            <w:vAlign w:val="center"/>
          </w:tcPr>
          <w:p w14:paraId="5231232F"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1869</w:t>
            </w:r>
          </w:p>
        </w:tc>
        <w:tc>
          <w:tcPr>
            <w:tcW w:w="1608" w:type="dxa"/>
            <w:tcMar>
              <w:top w:w="150" w:type="dxa"/>
              <w:left w:w="240" w:type="dxa"/>
              <w:bottom w:w="150" w:type="dxa"/>
              <w:right w:w="240" w:type="dxa"/>
            </w:tcMar>
            <w:vAlign w:val="center"/>
          </w:tcPr>
          <w:p w14:paraId="421FB384"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Beard cunha “neurastenia”</w:t>
            </w:r>
          </w:p>
        </w:tc>
        <w:tc>
          <w:tcPr>
            <w:tcW w:w="3023" w:type="dxa"/>
            <w:tcMar>
              <w:top w:w="150" w:type="dxa"/>
              <w:left w:w="240" w:type="dxa"/>
              <w:bottom w:w="150" w:type="dxa"/>
              <w:right w:w="240" w:type="dxa"/>
            </w:tcMar>
            <w:vAlign w:val="center"/>
          </w:tcPr>
          <w:p w14:paraId="5536A8F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Apogeu da Revolução Industrial nos EUA; expansão urbana acelerada; emergência de profissões intelectuais</w:t>
            </w:r>
          </w:p>
        </w:tc>
        <w:tc>
          <w:tcPr>
            <w:tcW w:w="0" w:type="auto"/>
            <w:tcMar>
              <w:top w:w="150" w:type="dxa"/>
              <w:left w:w="240" w:type="dxa"/>
              <w:bottom w:w="150" w:type="dxa"/>
              <w:right w:w="0" w:type="dxa"/>
            </w:tcMar>
            <w:vAlign w:val="center"/>
          </w:tcPr>
          <w:p w14:paraId="2CFC0529"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Beard publica artigo seminal definindo a síndrome de esgotamento nervoso como “preço do progresso”, atribuindo-a às demandas da vida moderna</w:t>
            </w:r>
          </w:p>
        </w:tc>
      </w:tr>
      <w:tr w:rsidR="0003312E" w14:paraId="342204E8" w14:textId="77777777">
        <w:tc>
          <w:tcPr>
            <w:tcW w:w="0" w:type="auto"/>
            <w:tcMar>
              <w:top w:w="150" w:type="dxa"/>
              <w:left w:w="0" w:type="dxa"/>
              <w:bottom w:w="150" w:type="dxa"/>
              <w:right w:w="240" w:type="dxa"/>
            </w:tcMar>
            <w:vAlign w:val="center"/>
          </w:tcPr>
          <w:p w14:paraId="5E06BFF8"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Década de 1880</w:t>
            </w:r>
          </w:p>
        </w:tc>
        <w:tc>
          <w:tcPr>
            <w:tcW w:w="1608" w:type="dxa"/>
            <w:tcMar>
              <w:top w:w="150" w:type="dxa"/>
              <w:left w:w="240" w:type="dxa"/>
              <w:bottom w:w="150" w:type="dxa"/>
              <w:right w:w="240" w:type="dxa"/>
            </w:tcMar>
            <w:vAlign w:val="center"/>
          </w:tcPr>
          <w:p w14:paraId="43FF782B"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Consolidação teórica</w:t>
            </w:r>
          </w:p>
        </w:tc>
        <w:tc>
          <w:tcPr>
            <w:tcW w:w="3023" w:type="dxa"/>
            <w:tcMar>
              <w:top w:w="150" w:type="dxa"/>
              <w:left w:w="240" w:type="dxa"/>
              <w:bottom w:w="150" w:type="dxa"/>
              <w:right w:w="240" w:type="dxa"/>
            </w:tcMar>
            <w:vAlign w:val="center"/>
          </w:tcPr>
          <w:p w14:paraId="3AB1D2C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Intensificação da vida urbana industrial; expansão das classes médias profissionais</w:t>
            </w:r>
          </w:p>
        </w:tc>
        <w:tc>
          <w:tcPr>
            <w:tcW w:w="0" w:type="auto"/>
            <w:tcMar>
              <w:top w:w="150" w:type="dxa"/>
              <w:left w:w="240" w:type="dxa"/>
              <w:bottom w:w="150" w:type="dxa"/>
              <w:right w:w="0" w:type="dxa"/>
            </w:tcMar>
            <w:vAlign w:val="center"/>
          </w:tcPr>
          <w:p w14:paraId="52EEF46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Beard publica “A </w:t>
            </w:r>
            <w:proofErr w:type="spellStart"/>
            <w:r>
              <w:rPr>
                <w:rFonts w:ascii="Times New Roman" w:eastAsia="Segoe UI" w:hAnsi="Times New Roman" w:cs="Times New Roman"/>
                <w:sz w:val="20"/>
                <w:szCs w:val="20"/>
                <w:shd w:val="clear" w:color="auto" w:fill="FFFFFF"/>
                <w:lang w:eastAsia="zh-CN"/>
              </w:rPr>
              <w:t>Practical</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Treatise</w:t>
            </w:r>
            <w:proofErr w:type="spellEnd"/>
            <w:r>
              <w:rPr>
                <w:rFonts w:ascii="Times New Roman" w:eastAsia="Segoe UI" w:hAnsi="Times New Roman" w:cs="Times New Roman"/>
                <w:sz w:val="20"/>
                <w:szCs w:val="20"/>
                <w:shd w:val="clear" w:color="auto" w:fill="FFFFFF"/>
                <w:lang w:eastAsia="zh-CN"/>
              </w:rPr>
              <w:t xml:space="preserve">” (1880) e “American </w:t>
            </w:r>
            <w:proofErr w:type="spellStart"/>
            <w:r>
              <w:rPr>
                <w:rFonts w:ascii="Times New Roman" w:eastAsia="Segoe UI" w:hAnsi="Times New Roman" w:cs="Times New Roman"/>
                <w:sz w:val="20"/>
                <w:szCs w:val="20"/>
                <w:shd w:val="clear" w:color="auto" w:fill="FFFFFF"/>
                <w:lang w:eastAsia="zh-CN"/>
              </w:rPr>
              <w:t>Nervousness</w:t>
            </w:r>
            <w:proofErr w:type="spellEnd"/>
            <w:r>
              <w:rPr>
                <w:rFonts w:ascii="Times New Roman" w:eastAsia="Segoe UI" w:hAnsi="Times New Roman" w:cs="Times New Roman"/>
                <w:sz w:val="20"/>
                <w:szCs w:val="20"/>
                <w:shd w:val="clear" w:color="auto" w:fill="FFFFFF"/>
                <w:lang w:eastAsia="zh-CN"/>
              </w:rPr>
              <w:t>” (1881), consolidando a etiologia e terapêutica; diagnóstico ganha status médico</w:t>
            </w:r>
          </w:p>
        </w:tc>
      </w:tr>
      <w:tr w:rsidR="0003312E" w14:paraId="4E119E3C" w14:textId="77777777">
        <w:tc>
          <w:tcPr>
            <w:tcW w:w="0" w:type="auto"/>
            <w:tcMar>
              <w:top w:w="150" w:type="dxa"/>
              <w:left w:w="0" w:type="dxa"/>
              <w:bottom w:w="150" w:type="dxa"/>
              <w:right w:w="240" w:type="dxa"/>
            </w:tcMar>
            <w:vAlign w:val="center"/>
          </w:tcPr>
          <w:p w14:paraId="1822FFB1"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lastRenderedPageBreak/>
              <w:t>Final do Século XIX</w:t>
            </w:r>
          </w:p>
        </w:tc>
        <w:tc>
          <w:tcPr>
            <w:tcW w:w="1608" w:type="dxa"/>
            <w:tcMar>
              <w:top w:w="150" w:type="dxa"/>
              <w:left w:w="240" w:type="dxa"/>
              <w:bottom w:w="150" w:type="dxa"/>
              <w:right w:w="240" w:type="dxa"/>
            </w:tcMar>
            <w:vAlign w:val="center"/>
          </w:tcPr>
          <w:p w14:paraId="11B7E0C0"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Epidemia cultural e disseminação transatlântica</w:t>
            </w:r>
          </w:p>
        </w:tc>
        <w:tc>
          <w:tcPr>
            <w:tcW w:w="3023" w:type="dxa"/>
            <w:tcMar>
              <w:top w:w="150" w:type="dxa"/>
              <w:left w:w="240" w:type="dxa"/>
              <w:bottom w:w="150" w:type="dxa"/>
              <w:right w:w="240" w:type="dxa"/>
            </w:tcMar>
            <w:vAlign w:val="center"/>
          </w:tcPr>
          <w:p w14:paraId="5635E91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Sociedades industriais em crise de adaptação; ansiedades sobre modernização; distinção de classe através do diagnóstico</w:t>
            </w:r>
          </w:p>
        </w:tc>
        <w:tc>
          <w:tcPr>
            <w:tcW w:w="0" w:type="auto"/>
            <w:tcMar>
              <w:top w:w="150" w:type="dxa"/>
              <w:left w:w="240" w:type="dxa"/>
              <w:bottom w:w="150" w:type="dxa"/>
              <w:right w:w="0" w:type="dxa"/>
            </w:tcMar>
            <w:vAlign w:val="center"/>
          </w:tcPr>
          <w:p w14:paraId="6D3CBC53"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Neurastenia torna-se “doença da moda” entre elites intelectuais; </w:t>
            </w:r>
            <w:proofErr w:type="spellStart"/>
            <w:r>
              <w:rPr>
                <w:rFonts w:ascii="Times New Roman" w:eastAsia="Segoe UI" w:hAnsi="Times New Roman" w:cs="Times New Roman"/>
                <w:sz w:val="20"/>
                <w:szCs w:val="20"/>
                <w:shd w:val="clear" w:color="auto" w:fill="FFFFFF"/>
                <w:lang w:eastAsia="zh-CN"/>
              </w:rPr>
              <w:t>Charcot</w:t>
            </w:r>
            <w:proofErr w:type="spellEnd"/>
            <w:r>
              <w:rPr>
                <w:rFonts w:ascii="Times New Roman" w:eastAsia="Segoe UI" w:hAnsi="Times New Roman" w:cs="Times New Roman"/>
                <w:sz w:val="20"/>
                <w:szCs w:val="20"/>
                <w:shd w:val="clear" w:color="auto" w:fill="FFFFFF"/>
                <w:lang w:eastAsia="zh-CN"/>
              </w:rPr>
              <w:t xml:space="preserve"> na França propõe “</w:t>
            </w:r>
            <w:proofErr w:type="spellStart"/>
            <w:r>
              <w:rPr>
                <w:rFonts w:ascii="Times New Roman" w:eastAsia="Segoe UI" w:hAnsi="Times New Roman" w:cs="Times New Roman"/>
                <w:sz w:val="20"/>
                <w:szCs w:val="20"/>
                <w:shd w:val="clear" w:color="auto" w:fill="FFFFFF"/>
                <w:lang w:eastAsia="zh-CN"/>
              </w:rPr>
              <w:t>histeroneurastenia</w:t>
            </w:r>
            <w:proofErr w:type="spellEnd"/>
            <w:r>
              <w:rPr>
                <w:rFonts w:ascii="Times New Roman" w:eastAsia="Segoe UI" w:hAnsi="Times New Roman" w:cs="Times New Roman"/>
                <w:sz w:val="20"/>
                <w:szCs w:val="20"/>
                <w:shd w:val="clear" w:color="auto" w:fill="FFFFFF"/>
                <w:lang w:eastAsia="zh-CN"/>
              </w:rPr>
              <w:t>”; diagnóstico chega ao Brasil através de médicos como Juliano Moreira</w:t>
            </w:r>
          </w:p>
        </w:tc>
      </w:tr>
      <w:tr w:rsidR="0003312E" w14:paraId="20FFF062" w14:textId="77777777">
        <w:tc>
          <w:tcPr>
            <w:tcW w:w="0" w:type="auto"/>
            <w:tcMar>
              <w:top w:w="150" w:type="dxa"/>
              <w:left w:w="0" w:type="dxa"/>
              <w:bottom w:w="150" w:type="dxa"/>
              <w:right w:w="240" w:type="dxa"/>
            </w:tcMar>
            <w:vAlign w:val="center"/>
          </w:tcPr>
          <w:p w14:paraId="14F034CC"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1900-1920</w:t>
            </w:r>
          </w:p>
        </w:tc>
        <w:tc>
          <w:tcPr>
            <w:tcW w:w="1608" w:type="dxa"/>
            <w:tcMar>
              <w:top w:w="150" w:type="dxa"/>
              <w:left w:w="240" w:type="dxa"/>
              <w:bottom w:w="150" w:type="dxa"/>
              <w:right w:w="240" w:type="dxa"/>
            </w:tcMar>
            <w:vAlign w:val="center"/>
          </w:tcPr>
          <w:p w14:paraId="5E263725"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Popularização e medicalização</w:t>
            </w:r>
          </w:p>
        </w:tc>
        <w:tc>
          <w:tcPr>
            <w:tcW w:w="3023" w:type="dxa"/>
            <w:tcMar>
              <w:top w:w="150" w:type="dxa"/>
              <w:left w:w="240" w:type="dxa"/>
              <w:bottom w:w="150" w:type="dxa"/>
              <w:right w:w="240" w:type="dxa"/>
            </w:tcMar>
            <w:vAlign w:val="center"/>
          </w:tcPr>
          <w:p w14:paraId="7B1E79C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Expansão para classes trabalhadoras; crescente medicalização da vida social</w:t>
            </w:r>
          </w:p>
        </w:tc>
        <w:tc>
          <w:tcPr>
            <w:tcW w:w="0" w:type="auto"/>
            <w:tcMar>
              <w:top w:w="150" w:type="dxa"/>
              <w:left w:w="240" w:type="dxa"/>
              <w:bottom w:w="150" w:type="dxa"/>
              <w:right w:w="0" w:type="dxa"/>
            </w:tcMar>
            <w:vAlign w:val="center"/>
          </w:tcPr>
          <w:p w14:paraId="5B31CFDB"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Diagnóstico atinge operários e fazendeiros; tratamentos como o “</w:t>
            </w:r>
            <w:proofErr w:type="spellStart"/>
            <w:r>
              <w:rPr>
                <w:rFonts w:ascii="Times New Roman" w:eastAsia="Segoe UI" w:hAnsi="Times New Roman" w:cs="Times New Roman"/>
                <w:sz w:val="20"/>
                <w:szCs w:val="20"/>
                <w:shd w:val="clear" w:color="auto" w:fill="FFFFFF"/>
                <w:lang w:eastAsia="zh-CN"/>
              </w:rPr>
              <w:t>rest</w:t>
            </w:r>
            <w:proofErr w:type="spellEnd"/>
            <w:r>
              <w:rPr>
                <w:rFonts w:ascii="Times New Roman" w:eastAsia="Segoe UI" w:hAnsi="Times New Roman" w:cs="Times New Roman"/>
                <w:sz w:val="20"/>
                <w:szCs w:val="20"/>
                <w:shd w:val="clear" w:color="auto" w:fill="FFFFFF"/>
                <w:lang w:eastAsia="zh-CN"/>
              </w:rPr>
              <w:t xml:space="preserve"> cure” de Mitchell aplicados diferencialmente por gênero e classe</w:t>
            </w:r>
          </w:p>
        </w:tc>
      </w:tr>
      <w:tr w:rsidR="0003312E" w14:paraId="40C27AFB" w14:textId="77777777">
        <w:tc>
          <w:tcPr>
            <w:tcW w:w="0" w:type="auto"/>
            <w:tcMar>
              <w:top w:w="150" w:type="dxa"/>
              <w:left w:w="0" w:type="dxa"/>
              <w:bottom w:w="150" w:type="dxa"/>
              <w:right w:w="240" w:type="dxa"/>
            </w:tcMar>
            <w:vAlign w:val="center"/>
          </w:tcPr>
          <w:p w14:paraId="15B5A1B1"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Décadas de 1920-1960</w:t>
            </w:r>
          </w:p>
        </w:tc>
        <w:tc>
          <w:tcPr>
            <w:tcW w:w="1608" w:type="dxa"/>
            <w:tcMar>
              <w:top w:w="150" w:type="dxa"/>
              <w:left w:w="240" w:type="dxa"/>
              <w:bottom w:w="150" w:type="dxa"/>
              <w:right w:w="240" w:type="dxa"/>
            </w:tcMar>
            <w:vAlign w:val="center"/>
          </w:tcPr>
          <w:p w14:paraId="7408BEB7"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Declínio diagnóstico no Ocidente</w:t>
            </w:r>
          </w:p>
        </w:tc>
        <w:tc>
          <w:tcPr>
            <w:tcW w:w="3023" w:type="dxa"/>
            <w:tcMar>
              <w:top w:w="150" w:type="dxa"/>
              <w:left w:w="240" w:type="dxa"/>
              <w:bottom w:w="150" w:type="dxa"/>
              <w:right w:w="240" w:type="dxa"/>
            </w:tcMar>
            <w:vAlign w:val="center"/>
          </w:tcPr>
          <w:p w14:paraId="0E897442"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Ascensão da psicanálise; nova nosologia psiquiátrica; ceticismo médico</w:t>
            </w:r>
          </w:p>
        </w:tc>
        <w:tc>
          <w:tcPr>
            <w:tcW w:w="0" w:type="auto"/>
            <w:tcMar>
              <w:top w:w="150" w:type="dxa"/>
              <w:left w:w="240" w:type="dxa"/>
              <w:bottom w:w="150" w:type="dxa"/>
              <w:right w:w="0" w:type="dxa"/>
            </w:tcMar>
            <w:vAlign w:val="center"/>
          </w:tcPr>
          <w:p w14:paraId="4A3DD288"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Freud e Janet reinterpretam sintomas como psíquicos; categoria é substituída por “neurose de ansiedade” e “psicastenia”; manejo transfere-se do neurologista para o psiquiatra</w:t>
            </w:r>
          </w:p>
        </w:tc>
      </w:tr>
      <w:tr w:rsidR="0003312E" w14:paraId="7C66A604" w14:textId="77777777">
        <w:tc>
          <w:tcPr>
            <w:tcW w:w="0" w:type="auto"/>
            <w:tcMar>
              <w:top w:w="150" w:type="dxa"/>
              <w:left w:w="0" w:type="dxa"/>
              <w:bottom w:w="150" w:type="dxa"/>
              <w:right w:w="240" w:type="dxa"/>
            </w:tcMar>
            <w:vAlign w:val="center"/>
          </w:tcPr>
          <w:p w14:paraId="7FF4C546"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1970-2000</w:t>
            </w:r>
          </w:p>
        </w:tc>
        <w:tc>
          <w:tcPr>
            <w:tcW w:w="1608" w:type="dxa"/>
            <w:tcMar>
              <w:top w:w="150" w:type="dxa"/>
              <w:left w:w="240" w:type="dxa"/>
              <w:bottom w:w="150" w:type="dxa"/>
              <w:right w:w="240" w:type="dxa"/>
            </w:tcMar>
            <w:vAlign w:val="center"/>
          </w:tcPr>
          <w:p w14:paraId="6C410351"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Divergências nosológicas</w:t>
            </w:r>
          </w:p>
        </w:tc>
        <w:tc>
          <w:tcPr>
            <w:tcW w:w="3023" w:type="dxa"/>
            <w:tcMar>
              <w:top w:w="150" w:type="dxa"/>
              <w:left w:w="240" w:type="dxa"/>
              <w:bottom w:w="150" w:type="dxa"/>
              <w:right w:w="240" w:type="dxa"/>
            </w:tcMar>
            <w:vAlign w:val="center"/>
          </w:tcPr>
          <w:p w14:paraId="1529220E"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Globalização da psiquiatria; debates culturais sobre doença mental</w:t>
            </w:r>
          </w:p>
        </w:tc>
        <w:tc>
          <w:tcPr>
            <w:tcW w:w="0" w:type="auto"/>
            <w:tcMar>
              <w:top w:w="150" w:type="dxa"/>
              <w:left w:w="240" w:type="dxa"/>
              <w:bottom w:w="150" w:type="dxa"/>
              <w:right w:w="0" w:type="dxa"/>
            </w:tcMar>
            <w:vAlign w:val="center"/>
          </w:tcPr>
          <w:p w14:paraId="660C2EA7"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Neurastenia permanece no </w:t>
            </w:r>
            <w:proofErr w:type="gramStart"/>
            <w:r>
              <w:rPr>
                <w:rFonts w:ascii="Times New Roman" w:eastAsia="Segoe UI" w:hAnsi="Times New Roman" w:cs="Times New Roman"/>
                <w:sz w:val="20"/>
                <w:szCs w:val="20"/>
                <w:shd w:val="clear" w:color="auto" w:fill="FFFFFF"/>
                <w:lang w:eastAsia="zh-CN"/>
              </w:rPr>
              <w:t>CID</w:t>
            </w:r>
            <w:proofErr w:type="gramEnd"/>
            <w:r>
              <w:rPr>
                <w:rFonts w:ascii="Times New Roman" w:eastAsia="Segoe UI" w:hAnsi="Times New Roman" w:cs="Times New Roman"/>
                <w:sz w:val="20"/>
                <w:szCs w:val="20"/>
                <w:shd w:val="clear" w:color="auto" w:fill="FFFFFF"/>
                <w:lang w:eastAsia="zh-CN"/>
              </w:rPr>
              <w:t xml:space="preserve"> mas é removida do DSM, refletindo divergências entre abordagens médicas internacionais; mantém vitalidade na China como “</w:t>
            </w:r>
            <w:proofErr w:type="spellStart"/>
            <w:r>
              <w:rPr>
                <w:rFonts w:ascii="Times New Roman" w:eastAsia="Segoe UI" w:hAnsi="Times New Roman" w:cs="Times New Roman"/>
                <w:sz w:val="20"/>
                <w:szCs w:val="20"/>
                <w:shd w:val="clear" w:color="auto" w:fill="FFFFFF"/>
                <w:lang w:eastAsia="zh-CN"/>
              </w:rPr>
              <w:t>shenjing</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shuairuo</w:t>
            </w:r>
            <w:proofErr w:type="spellEnd"/>
            <w:r>
              <w:rPr>
                <w:rFonts w:ascii="Times New Roman" w:eastAsia="Segoe UI" w:hAnsi="Times New Roman" w:cs="Times New Roman"/>
                <w:sz w:val="20"/>
                <w:szCs w:val="20"/>
                <w:shd w:val="clear" w:color="auto" w:fill="FFFFFF"/>
                <w:lang w:eastAsia="zh-CN"/>
              </w:rPr>
              <w:t>”</w:t>
            </w:r>
          </w:p>
        </w:tc>
      </w:tr>
      <w:tr w:rsidR="0003312E" w14:paraId="3B352D31" w14:textId="77777777">
        <w:tc>
          <w:tcPr>
            <w:tcW w:w="0" w:type="auto"/>
            <w:tcMar>
              <w:top w:w="150" w:type="dxa"/>
              <w:left w:w="0" w:type="dxa"/>
              <w:bottom w:w="150" w:type="dxa"/>
              <w:right w:w="240" w:type="dxa"/>
            </w:tcMar>
            <w:vAlign w:val="center"/>
          </w:tcPr>
          <w:p w14:paraId="08FBD022" w14:textId="77777777" w:rsidR="0003312E" w:rsidRDefault="00000000">
            <w:pPr>
              <w:spacing w:after="0" w:line="240" w:lineRule="auto"/>
              <w:rPr>
                <w:rFonts w:ascii="Times New Roman" w:eastAsia="Segoe UI" w:hAnsi="Times New Roman" w:cs="Times New Roman"/>
                <w:b/>
                <w:bCs/>
                <w:sz w:val="20"/>
                <w:szCs w:val="20"/>
                <w:shd w:val="clear" w:color="auto" w:fill="FFFFFF"/>
                <w:lang w:eastAsia="zh-CN"/>
              </w:rPr>
            </w:pPr>
            <w:r>
              <w:rPr>
                <w:rFonts w:ascii="Times New Roman" w:eastAsia="Segoe UI" w:hAnsi="Times New Roman" w:cs="Times New Roman"/>
                <w:b/>
                <w:bCs/>
                <w:sz w:val="20"/>
                <w:szCs w:val="20"/>
                <w:shd w:val="clear" w:color="auto" w:fill="FFFFFF"/>
                <w:lang w:eastAsia="zh-CN"/>
              </w:rPr>
              <w:t>Século XXI</w:t>
            </w:r>
          </w:p>
        </w:tc>
        <w:tc>
          <w:tcPr>
            <w:tcW w:w="1608" w:type="dxa"/>
            <w:tcMar>
              <w:top w:w="150" w:type="dxa"/>
              <w:left w:w="240" w:type="dxa"/>
              <w:bottom w:w="150" w:type="dxa"/>
              <w:right w:w="240" w:type="dxa"/>
            </w:tcMar>
            <w:vAlign w:val="center"/>
          </w:tcPr>
          <w:p w14:paraId="3F6C5263"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Ressurgimento conceitual</w:t>
            </w:r>
          </w:p>
        </w:tc>
        <w:tc>
          <w:tcPr>
            <w:tcW w:w="3023" w:type="dxa"/>
            <w:tcMar>
              <w:top w:w="150" w:type="dxa"/>
              <w:left w:w="240" w:type="dxa"/>
              <w:bottom w:w="150" w:type="dxa"/>
              <w:right w:w="240" w:type="dxa"/>
            </w:tcMar>
            <w:vAlign w:val="center"/>
          </w:tcPr>
          <w:p w14:paraId="39A175F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Sociedade pós-industrial </w:t>
            </w:r>
            <w:proofErr w:type="spellStart"/>
            <w:r>
              <w:rPr>
                <w:rFonts w:ascii="Times New Roman" w:eastAsia="Segoe UI" w:hAnsi="Times New Roman" w:cs="Times New Roman"/>
                <w:sz w:val="20"/>
                <w:szCs w:val="20"/>
                <w:shd w:val="clear" w:color="auto" w:fill="FFFFFF"/>
                <w:lang w:eastAsia="zh-CN"/>
              </w:rPr>
              <w:t>hiperconectada</w:t>
            </w:r>
            <w:proofErr w:type="spellEnd"/>
            <w:r>
              <w:rPr>
                <w:rFonts w:ascii="Times New Roman" w:eastAsia="Segoe UI" w:hAnsi="Times New Roman" w:cs="Times New Roman"/>
                <w:sz w:val="20"/>
                <w:szCs w:val="20"/>
                <w:shd w:val="clear" w:color="auto" w:fill="FFFFFF"/>
                <w:lang w:eastAsia="zh-CN"/>
              </w:rPr>
              <w:t>; crise do burnout; medicalização do estresse</w:t>
            </w:r>
          </w:p>
        </w:tc>
        <w:tc>
          <w:tcPr>
            <w:tcW w:w="0" w:type="auto"/>
            <w:tcMar>
              <w:top w:w="150" w:type="dxa"/>
              <w:left w:w="240" w:type="dxa"/>
              <w:bottom w:w="150" w:type="dxa"/>
              <w:right w:w="0" w:type="dxa"/>
            </w:tcMar>
            <w:vAlign w:val="center"/>
          </w:tcPr>
          <w:p w14:paraId="02380C1C" w14:textId="77777777" w:rsidR="0003312E" w:rsidRDefault="00000000">
            <w:pPr>
              <w:spacing w:after="0" w:line="240" w:lineRule="auto"/>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Sintomas ressurgem em diagnósticos como síndrome de burnout e fadiga crônica; hiperconectividade digital revive metaforicamente a “sobrecarga nervosa” do século XIX</w:t>
            </w:r>
          </w:p>
        </w:tc>
      </w:tr>
    </w:tbl>
    <w:p w14:paraId="0213924A"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43DFD110"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Em Essência: as Quatro Dimensões da Neurastenia</w:t>
      </w:r>
    </w:p>
    <w:p w14:paraId="7C6424C8"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1. A Dimensão Etimológica: A Fraqueza dos Nervos</w:t>
      </w:r>
    </w:p>
    <w:p w14:paraId="28E418EC"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genialidade de Beard residia na simplicidade de seu neologismo. Ao combinar </w:t>
      </w:r>
      <w:proofErr w:type="spellStart"/>
      <w:r>
        <w:rPr>
          <w:rFonts w:ascii="Times New Roman" w:eastAsia="Segoe UI" w:hAnsi="Times New Roman" w:cs="Times New Roman"/>
          <w:sz w:val="24"/>
          <w:szCs w:val="24"/>
          <w:shd w:val="clear" w:color="auto" w:fill="FFFFFF"/>
          <w:lang w:eastAsia="zh-CN"/>
        </w:rPr>
        <w:t>neûron</w:t>
      </w:r>
      <w:proofErr w:type="spellEnd"/>
      <w:r>
        <w:rPr>
          <w:rFonts w:ascii="Times New Roman" w:eastAsia="Segoe UI" w:hAnsi="Times New Roman" w:cs="Times New Roman"/>
          <w:sz w:val="24"/>
          <w:szCs w:val="24"/>
          <w:shd w:val="clear" w:color="auto" w:fill="FFFFFF"/>
          <w:lang w:eastAsia="zh-CN"/>
        </w:rPr>
        <w:t xml:space="preserve"> (nervo) e </w:t>
      </w:r>
      <w:proofErr w:type="spellStart"/>
      <w:r>
        <w:rPr>
          <w:rFonts w:ascii="Times New Roman" w:eastAsia="Segoe UI" w:hAnsi="Times New Roman" w:cs="Times New Roman"/>
          <w:sz w:val="24"/>
          <w:szCs w:val="24"/>
          <w:shd w:val="clear" w:color="auto" w:fill="FFFFFF"/>
          <w:lang w:eastAsia="zh-CN"/>
        </w:rPr>
        <w:t>asthéneia</w:t>
      </w:r>
      <w:proofErr w:type="spellEnd"/>
      <w:r>
        <w:rPr>
          <w:rFonts w:ascii="Times New Roman" w:eastAsia="Segoe UI" w:hAnsi="Times New Roman" w:cs="Times New Roman"/>
          <w:sz w:val="24"/>
          <w:szCs w:val="24"/>
          <w:shd w:val="clear" w:color="auto" w:fill="FFFFFF"/>
          <w:lang w:eastAsia="zh-CN"/>
        </w:rPr>
        <w:t xml:space="preserve"> (fraqueza), criou um termo que soava científico, mas que, na realidade, nomeava uma experiência subjetiva: o esgotamento difuso de uma era acelerada. Esta etimologia capturava perfeitamente a sensação que muitos sentiam, mas não conseguiam explicar: a percepção de que a energia vital estava gasta e exaurida. Ao </w:t>
      </w:r>
      <w:proofErr w:type="spellStart"/>
      <w:r>
        <w:rPr>
          <w:rFonts w:ascii="Times New Roman" w:eastAsia="Segoe UI" w:hAnsi="Times New Roman" w:cs="Times New Roman"/>
          <w:sz w:val="24"/>
          <w:szCs w:val="24"/>
          <w:shd w:val="clear" w:color="auto" w:fill="FFFFFF"/>
          <w:lang w:eastAsia="zh-CN"/>
        </w:rPr>
        <w:t>medicalizar</w:t>
      </w:r>
      <w:proofErr w:type="spellEnd"/>
      <w:r>
        <w:rPr>
          <w:rFonts w:ascii="Times New Roman" w:eastAsia="Segoe UI" w:hAnsi="Times New Roman" w:cs="Times New Roman"/>
          <w:sz w:val="24"/>
          <w:szCs w:val="24"/>
          <w:shd w:val="clear" w:color="auto" w:fill="FFFFFF"/>
          <w:lang w:eastAsia="zh-CN"/>
        </w:rPr>
        <w:t xml:space="preserve"> um mal-estar cultural, Beard traduziu em palavras o que seria uma característica definidora da modernidade - a sensação de estar sobrecarregado pelo próprio progresso.</w:t>
      </w:r>
    </w:p>
    <w:p w14:paraId="519CF0C6"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0CCDAA02"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2. A Dimensão Histórico-Clínica: A Doença da Civilização</w:t>
      </w:r>
    </w:p>
    <w:p w14:paraId="48FFCC8B"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A neurastenia não se comportava como uma doença comum; era o diagnóstico de uma era inteira. Beard identificou as causas do que chamava de "esgotamento da força nervosa" nas </w:t>
      </w:r>
      <w:r>
        <w:rPr>
          <w:rFonts w:ascii="Times New Roman" w:eastAsia="Segoe UI" w:hAnsi="Times New Roman" w:cs="Times New Roman"/>
          <w:sz w:val="24"/>
          <w:szCs w:val="24"/>
          <w:shd w:val="clear" w:color="auto" w:fill="FFFFFF"/>
          <w:lang w:eastAsia="zh-CN"/>
        </w:rPr>
        <w:lastRenderedPageBreak/>
        <w:t xml:space="preserve">próprias conquistas da civilização industrial: locomotivas, telégrafos, jornais e a agitação das cidades. Pela primeira vez, um médico propunha que o ambiente </w:t>
      </w:r>
      <w:proofErr w:type="spellStart"/>
      <w:r>
        <w:rPr>
          <w:rFonts w:ascii="Times New Roman" w:eastAsia="Segoe UI" w:hAnsi="Times New Roman" w:cs="Times New Roman"/>
          <w:sz w:val="24"/>
          <w:szCs w:val="24"/>
          <w:shd w:val="clear" w:color="auto" w:fill="FFFFFF"/>
          <w:lang w:eastAsia="zh-CN"/>
        </w:rPr>
        <w:t>sociotecnológico</w:t>
      </w:r>
      <w:proofErr w:type="spellEnd"/>
      <w:r>
        <w:rPr>
          <w:rFonts w:ascii="Times New Roman" w:eastAsia="Segoe UI" w:hAnsi="Times New Roman" w:cs="Times New Roman"/>
          <w:sz w:val="24"/>
          <w:szCs w:val="24"/>
          <w:shd w:val="clear" w:color="auto" w:fill="FFFFFF"/>
          <w:lang w:eastAsia="zh-CN"/>
        </w:rPr>
        <w:t xml:space="preserve"> podia causar doença, estabelecendo uma conexão direta entre progresso e esgotamento humano. Esta concepção transformou a neurastenia tanto em sintoma de status (afetando principalmente aqueles que participavam ativamente da vida moderna) quanto em crítica social implícita ao custo humano da industrialização.</w:t>
      </w:r>
    </w:p>
    <w:p w14:paraId="1856C4B8"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53C5809D"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3. A Dimensão Neurocientífica: A Fisiologia do Esgotamento</w:t>
      </w:r>
    </w:p>
    <w:p w14:paraId="5AE3E299"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Embora o termo "neurastenia" tenha caído em desuso médico, a neurociência contemporânea oferece explicações para os fenômenos que Beard descreveu. O que ele chamava de "fraqueza nervosa" encontra paralelo na disfunção do eixo hipotálamo-hipófise-adrenal (HPA) sob carga crônica e em alterações em redes cerebrais específicas. O estresse prolongado mantém níveis elevados de cortisol, que se tornam tóxicos ao longo do tempo, podendo levar a atrofia em áreas como o hipocampo (relacionado à memória) e hiperatividade na amígdala (centro do medo), além de afetar neurotransmissores como serotonina e dopamina. Assim, a intuição de Beard sobre um "esgotamento da energia nervosa" antecipou descobertas neurocientíficas que mostram que a sobrecarga crônica altera a estrutura e a conectividade cerebral de forma mensurável.</w:t>
      </w:r>
    </w:p>
    <w:p w14:paraId="7378E012"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7F39003B"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4. A Dimensão Poético-Filosófica: O Preço do Progresso</w:t>
      </w:r>
    </w:p>
    <w:p w14:paraId="48CAD4A3"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Para além da medicina, a neurastenia funciona como uma metáfora poderosa do mal-estar da modernidade. Beard não descrevia apenas uma síndrome médica; captava o espírito de sua época. A neurastenia representava o paradoxo fundamental do progresso: mais conforto, mais conhecimento, mais conexão, mas à custa da paz interior e da energia vital. Seu legado persiste em diagnósticos contemporâneos como burnout e síndrome da fadiga crônica, lembrando-nos que a relação entre avanço tecnológico e bem-estar humano continua sendo uma questão central de nosso tempo. A neurastenia nos alerta que a saúde mental não é apenas uma questão individual, mas ecológica e cultural, dependente de como nos relacionamos com a tecnologia, o trabalho e o ritmo de vida.</w:t>
      </w:r>
    </w:p>
    <w:p w14:paraId="284C5F23" w14:textId="77777777" w:rsidR="0003312E"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14EA871A"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Próximo: Ansiedade - O Aperto que Molda a Existência</w:t>
      </w:r>
    </w:p>
    <w:p w14:paraId="044DAB91" w14:textId="77777777" w:rsidR="0003312E" w:rsidRDefault="00000000">
      <w:pPr>
        <w:spacing w:after="0" w:line="360" w:lineRule="auto"/>
        <w:ind w:firstLine="709"/>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4"/>
          <w:szCs w:val="24"/>
          <w:shd w:val="clear" w:color="auto" w:fill="FFFFFF"/>
          <w:lang w:eastAsia="zh-CN"/>
        </w:rPr>
        <w:t xml:space="preserve">Se a neurastenia representou o esgotamento físico e mental de uma era acelerada – um tempo em que os nervos, sobrecarregados pelo ritmo vertiginoso da modernidade, clamavam por repouso – a ansiedade nos conduz a um território ainda mais íntimo e universal: o aperto </w:t>
      </w:r>
      <w:r>
        <w:rPr>
          <w:rFonts w:ascii="Times New Roman" w:eastAsia="Segoe UI" w:hAnsi="Times New Roman" w:cs="Times New Roman"/>
          <w:sz w:val="24"/>
          <w:szCs w:val="24"/>
          <w:shd w:val="clear" w:color="auto" w:fill="FFFFFF"/>
          <w:lang w:eastAsia="zh-CN"/>
        </w:rPr>
        <w:lastRenderedPageBreak/>
        <w:t>existencial que molda a própria consciência humana. Enquanto a neurastenia era essencialmente o cansaço dos nervos, um colapso temporário da energia vital, a ansiedade se revela mais profunda e persistente: é a vertigem da liberdade, o medo diante do abismo das possibilidades, a tensão constante entre o finito e o infinito. Como sabiamente observou Kierkegaard, não se trata de um mero desvio patológico, mas da própria condição fundamental da existência. É assim que nossa jornada nos leva do esgotamento físico à angústia metafísica, explorando como esse aperto interno – ao mesmo tempo sufocante e impulsionador – define nossa relação mais essencial com o mundo e conosco mesmos, revelando que a ansiedade pode ser muito mais do que um estado a ser superado, mas sim a força paradoxal que nos torna profundamente humanos.</w:t>
      </w:r>
    </w:p>
    <w:p w14:paraId="32BB9937" w14:textId="77777777" w:rsidR="0003312E" w:rsidRDefault="0003312E">
      <w:pPr>
        <w:shd w:val="clear" w:color="auto" w:fill="FFFFFF"/>
        <w:spacing w:after="0" w:line="360" w:lineRule="auto"/>
        <w:ind w:firstLine="709"/>
        <w:jc w:val="both"/>
        <w:rPr>
          <w:rFonts w:ascii="Times New Roman" w:eastAsia="Times New Roman" w:hAnsi="Times New Roman" w:cs="Times New Roman"/>
          <w:color w:val="0F1115"/>
          <w:kern w:val="0"/>
          <w:sz w:val="24"/>
          <w:szCs w:val="24"/>
          <w:lang w:eastAsia="pt-BR"/>
          <w14:ligatures w14:val="none"/>
        </w:rPr>
      </w:pPr>
    </w:p>
    <w:p w14:paraId="61F1AE04"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br w:type="page"/>
      </w:r>
    </w:p>
    <w:tbl>
      <w:tblPr>
        <w:tblStyle w:val="Tabelacomgrade"/>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1840E603" w14:textId="77777777">
        <w:trPr>
          <w:trHeight w:val="284"/>
        </w:trPr>
        <w:tc>
          <w:tcPr>
            <w:tcW w:w="8505" w:type="dxa"/>
            <w:gridSpan w:val="2"/>
            <w:tcBorders>
              <w:top w:val="nil"/>
              <w:left w:val="nil"/>
              <w:bottom w:val="nil"/>
              <w:right w:val="nil"/>
            </w:tcBorders>
          </w:tcPr>
          <w:p w14:paraId="0FADC3E5" w14:textId="77777777" w:rsidR="0003312E" w:rsidRDefault="00000000">
            <w:pPr>
              <w:pStyle w:val="Ttulo1"/>
              <w:keepNext w:val="0"/>
              <w:keepLines w:val="0"/>
              <w:spacing w:before="0" w:after="0" w:line="240" w:lineRule="auto"/>
              <w:rPr>
                <w:rFonts w:ascii="Times New Roman" w:eastAsia="SimSun" w:hAnsi="Times New Roman" w:cs="Times New Roman"/>
                <w:b/>
                <w:bCs/>
                <w:color w:val="auto"/>
                <w:sz w:val="24"/>
                <w:szCs w:val="24"/>
              </w:rPr>
            </w:pPr>
            <w:r>
              <w:rPr>
                <w:rFonts w:ascii="Times New Roman" w:hAnsi="Times New Roman" w:cs="Times New Roman"/>
                <w:b/>
                <w:bCs/>
                <w:color w:val="auto"/>
                <w:sz w:val="24"/>
                <w:szCs w:val="24"/>
              </w:rPr>
              <w:lastRenderedPageBreak/>
              <w:t xml:space="preserve">Capítulo </w:t>
            </w:r>
            <w:proofErr w:type="gramStart"/>
            <w:r>
              <w:rPr>
                <w:rFonts w:ascii="Times New Roman" w:hAnsi="Times New Roman" w:cs="Times New Roman"/>
                <w:b/>
                <w:bCs/>
                <w:color w:val="auto"/>
                <w:sz w:val="24"/>
                <w:szCs w:val="24"/>
              </w:rPr>
              <w:t>9  -</w:t>
            </w:r>
            <w:proofErr w:type="gramEnd"/>
            <w:r>
              <w:rPr>
                <w:rFonts w:ascii="Times New Roman" w:hAnsi="Times New Roman" w:cs="Times New Roman"/>
                <w:b/>
                <w:bCs/>
                <w:color w:val="auto"/>
                <w:sz w:val="24"/>
                <w:szCs w:val="24"/>
              </w:rPr>
              <w:t xml:space="preserve">  Ansiedade: Do Aperto Existencial ao Diagnóstico Clínico</w:t>
            </w:r>
          </w:p>
        </w:tc>
      </w:tr>
      <w:tr w:rsidR="0003312E" w14:paraId="542359EC" w14:textId="77777777">
        <w:trPr>
          <w:trHeight w:val="3030"/>
        </w:trPr>
        <w:tc>
          <w:tcPr>
            <w:tcW w:w="4353" w:type="dxa"/>
            <w:tcBorders>
              <w:top w:val="nil"/>
              <w:left w:val="nil"/>
              <w:bottom w:val="nil"/>
              <w:right w:val="nil"/>
            </w:tcBorders>
          </w:tcPr>
          <w:p w14:paraId="0CC4AEF3" w14:textId="77777777" w:rsidR="0003312E" w:rsidRDefault="00000000">
            <w:pPr>
              <w:spacing w:after="0" w:line="240" w:lineRule="auto"/>
              <w:jc w:val="center"/>
              <w:rPr>
                <w:rFonts w:ascii="Times New Roman" w:eastAsia="SimSun" w:hAnsi="Times New Roman" w:cs="Times New Roman"/>
                <w:sz w:val="24"/>
                <w:szCs w:val="24"/>
              </w:rPr>
            </w:pPr>
            <w:r>
              <w:rPr>
                <w:rFonts w:ascii="Times New Roman" w:eastAsia="SimSun" w:hAnsi="Times New Roman" w:cs="Times New Roman"/>
                <w:noProof/>
                <w:sz w:val="24"/>
                <w:szCs w:val="24"/>
              </w:rPr>
              <w:drawing>
                <wp:inline distT="0" distB="0" distL="114300" distR="114300" wp14:anchorId="1156A34E" wp14:editId="43C3B1E4">
                  <wp:extent cx="2092960" cy="2039620"/>
                  <wp:effectExtent l="0" t="0" r="2540" b="0"/>
                  <wp:docPr id="2" name="Imagem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2" descr="IMG_256"/>
                          <pic:cNvPicPr>
                            <a:picLocks noChangeAspect="1"/>
                          </pic:cNvPicPr>
                        </pic:nvPicPr>
                        <pic:blipFill>
                          <a:blip r:embed="rId29">
                            <a:biLevel thresh="25000"/>
                          </a:blip>
                          <a:stretch>
                            <a:fillRect/>
                          </a:stretch>
                        </pic:blipFill>
                        <pic:spPr>
                          <a:xfrm>
                            <a:off x="0" y="0"/>
                            <a:ext cx="2092960" cy="2039620"/>
                          </a:xfrm>
                          <a:prstGeom prst="rect">
                            <a:avLst/>
                          </a:prstGeom>
                          <a:noFill/>
                          <a:ln w="9525">
                            <a:noFill/>
                          </a:ln>
                        </pic:spPr>
                      </pic:pic>
                    </a:graphicData>
                  </a:graphic>
                </wp:inline>
              </w:drawing>
            </w:r>
          </w:p>
        </w:tc>
        <w:tc>
          <w:tcPr>
            <w:tcW w:w="4152" w:type="dxa"/>
            <w:tcBorders>
              <w:top w:val="nil"/>
              <w:left w:val="nil"/>
              <w:bottom w:val="nil"/>
              <w:right w:val="nil"/>
            </w:tcBorders>
          </w:tcPr>
          <w:p w14:paraId="70785A0B"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458C52E7" wp14:editId="33554C9F">
                  <wp:extent cx="1366520" cy="2050415"/>
                  <wp:effectExtent l="0" t="0" r="5080" b="6985"/>
                  <wp:docPr id="15" name="Imagem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IMG_256"/>
                          <pic:cNvPicPr>
                            <a:picLocks noChangeAspect="1"/>
                          </pic:cNvPicPr>
                        </pic:nvPicPr>
                        <pic:blipFill>
                          <a:blip r:embed="rId30"/>
                          <a:stretch>
                            <a:fillRect/>
                          </a:stretch>
                        </pic:blipFill>
                        <pic:spPr>
                          <a:xfrm>
                            <a:off x="0" y="0"/>
                            <a:ext cx="1366520" cy="2050415"/>
                          </a:xfrm>
                          <a:prstGeom prst="rect">
                            <a:avLst/>
                          </a:prstGeom>
                          <a:noFill/>
                          <a:ln w="9525">
                            <a:noFill/>
                          </a:ln>
                        </pic:spPr>
                      </pic:pic>
                    </a:graphicData>
                  </a:graphic>
                </wp:inline>
              </w:drawing>
            </w:r>
          </w:p>
        </w:tc>
      </w:tr>
      <w:tr w:rsidR="0003312E" w14:paraId="5636D531" w14:textId="77777777">
        <w:trPr>
          <w:trHeight w:val="476"/>
        </w:trPr>
        <w:tc>
          <w:tcPr>
            <w:tcW w:w="4353" w:type="dxa"/>
            <w:tcBorders>
              <w:top w:val="nil"/>
              <w:left w:val="nil"/>
              <w:bottom w:val="nil"/>
              <w:right w:val="nil"/>
            </w:tcBorders>
          </w:tcPr>
          <w:p w14:paraId="6B3D8B5F"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Figura 9.1: A Fenomenologia da Ansiedade: Angústia e Aperto</w:t>
            </w:r>
          </w:p>
        </w:tc>
        <w:tc>
          <w:tcPr>
            <w:tcW w:w="4152" w:type="dxa"/>
            <w:tcBorders>
              <w:top w:val="nil"/>
              <w:left w:val="nil"/>
              <w:bottom w:val="nil"/>
              <w:right w:val="nil"/>
            </w:tcBorders>
          </w:tcPr>
          <w:p w14:paraId="3318B725" w14:textId="77777777" w:rsidR="0003312E" w:rsidRDefault="00000000">
            <w:pPr>
              <w:pStyle w:val="NormalWeb"/>
              <w:spacing w:beforeAutospacing="0" w:after="0" w:afterAutospacing="0" w:line="240" w:lineRule="auto"/>
              <w:rPr>
                <w:rStyle w:val="Forte"/>
                <w:rFonts w:eastAsia="Garamond"/>
                <w:b w:val="0"/>
                <w:bCs w:val="0"/>
                <w:sz w:val="24"/>
                <w:lang w:val="pt-BR"/>
              </w:rPr>
            </w:pPr>
            <w:r>
              <w:rPr>
                <w:rFonts w:eastAsiaTheme="majorEastAsia"/>
                <w:i/>
                <w:iCs/>
                <w:sz w:val="24"/>
                <w:lang w:val="pt-BR"/>
              </w:rPr>
              <w:t xml:space="preserve">Figura 9.2: </w:t>
            </w:r>
            <w:proofErr w:type="spellStart"/>
            <w:r>
              <w:rPr>
                <w:sz w:val="24"/>
                <w:lang w:val="pt-BR"/>
              </w:rPr>
              <w:t>Søren</w:t>
            </w:r>
            <w:proofErr w:type="spellEnd"/>
            <w:r>
              <w:rPr>
                <w:sz w:val="24"/>
                <w:lang w:val="pt-BR"/>
              </w:rPr>
              <w:t xml:space="preserve"> </w:t>
            </w:r>
            <w:proofErr w:type="spellStart"/>
            <w:r>
              <w:rPr>
                <w:sz w:val="24"/>
                <w:lang w:val="pt-BR"/>
              </w:rPr>
              <w:t>Aabye</w:t>
            </w:r>
            <w:proofErr w:type="spellEnd"/>
            <w:r>
              <w:rPr>
                <w:sz w:val="24"/>
                <w:lang w:val="pt-BR"/>
              </w:rPr>
              <w:t xml:space="preserve"> </w:t>
            </w:r>
            <w:proofErr w:type="spellStart"/>
            <w:r>
              <w:rPr>
                <w:sz w:val="24"/>
                <w:lang w:val="pt-BR"/>
              </w:rPr>
              <w:t>Kierkgaard</w:t>
            </w:r>
            <w:proofErr w:type="spellEnd"/>
            <w:r>
              <w:rPr>
                <w:sz w:val="24"/>
                <w:lang w:val="pt-BR"/>
              </w:rPr>
              <w:t xml:space="preserve"> (1813 - 1855)</w:t>
            </w:r>
            <w:r>
              <w:rPr>
                <w:rFonts w:eastAsiaTheme="majorEastAsia"/>
                <w:i/>
                <w:iCs/>
                <w:sz w:val="24"/>
                <w:lang w:val="pt-BR"/>
              </w:rPr>
              <w:t>: As Bases Filosóficas do Conceito Moderno de Ansiedade</w:t>
            </w:r>
          </w:p>
        </w:tc>
      </w:tr>
    </w:tbl>
    <w:p w14:paraId="109D8EF9" w14:textId="77777777" w:rsidR="0003312E" w:rsidRDefault="0003312E">
      <w:pPr>
        <w:spacing w:after="0" w:line="360" w:lineRule="auto"/>
        <w:ind w:firstLine="709"/>
        <w:jc w:val="both"/>
        <w:rPr>
          <w:rFonts w:ascii="Times New Roman" w:eastAsia="SimSun" w:hAnsi="Times New Roman" w:cs="Times New Roman"/>
          <w:sz w:val="24"/>
          <w:szCs w:val="24"/>
          <w:lang w:eastAsia="zh-CN"/>
        </w:rPr>
      </w:pPr>
    </w:p>
    <w:p w14:paraId="07829597"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Ansiedade em Poucas Palavras: Raízes, Definições e Manifestações</w:t>
      </w:r>
    </w:p>
    <w:p w14:paraId="37B17EFF"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O fenômeno da ansiedade nos convida a explorar um dos estados mais universais e complexos da experiência humana, e para compreendê-lo em toda sua profundidade, percorreremos quatro dimensões fundamentais que se entrelaçam. A primeira nos revela sua origem etimológica, que significa literalmente "apertar" ou "sufocar", uma imagem que já antecipa a sensação física que tantos conhecem. A segunda nos guia por sua fascinante jornada histórica, que parte das reflexões da filosofia existencial e chega à medicalização contemporânea. A terceira dimensão desvenda os mecanismos neurocientíficos por trás desse estado de alerta máximo que tanto nos consome. E a quarta nos leva ao plano filosófico, onde a ansiedade emerge não como uma simples patologia, mas como condição fundamental da liberdade humana. São essas quatro perspectivas, integradas na seção final, que nos oferecem uma compreensão profunda e multifacetada desse estado que une de forma indissociável o corpo e o espírito.</w:t>
      </w:r>
    </w:p>
    <w:p w14:paraId="2F61DEDE"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58AFC982"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 xml:space="preserve">A Jornada da Palavra: De </w:t>
      </w:r>
      <w:proofErr w:type="spellStart"/>
      <w:r>
        <w:rPr>
          <w:rFonts w:ascii="Times New Roman" w:eastAsia="SimSun" w:hAnsi="Times New Roman" w:cs="Times New Roman"/>
          <w:b/>
          <w:bCs/>
          <w:sz w:val="24"/>
          <w:szCs w:val="24"/>
          <w:lang w:eastAsia="zh-CN"/>
        </w:rPr>
        <w:t>Angere</w:t>
      </w:r>
      <w:proofErr w:type="spellEnd"/>
      <w:r>
        <w:rPr>
          <w:rFonts w:ascii="Times New Roman" w:eastAsia="SimSun" w:hAnsi="Times New Roman" w:cs="Times New Roman"/>
          <w:b/>
          <w:bCs/>
          <w:sz w:val="24"/>
          <w:szCs w:val="24"/>
          <w:lang w:eastAsia="zh-CN"/>
        </w:rPr>
        <w:t xml:space="preserve"> à Era Digital</w:t>
      </w:r>
    </w:p>
    <w:p w14:paraId="6AD2586A"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 evolução histórica do conceito de ansiedade reflete as transformações culturais, médicas e filosóficas da humanidade. Para uma visão geral desta jornada, consulte a Quadro 9.1 abaixo, antes de nos aprofundarmos em cada período.</w:t>
      </w:r>
    </w:p>
    <w:p w14:paraId="2296D2B2"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0F1DB7A1"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021A617A"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491A2B75"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0C0212CF"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Quadro 9.1. Evolução Histórica do Conceito de Ansiedade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1"/>
        <w:gridCol w:w="2107"/>
        <w:gridCol w:w="5553"/>
      </w:tblGrid>
      <w:tr w:rsidR="0003312E" w14:paraId="506A02C4" w14:textId="77777777">
        <w:trPr>
          <w:tblHeader/>
        </w:trPr>
        <w:tc>
          <w:tcPr>
            <w:tcW w:w="0" w:type="auto"/>
            <w:tcMar>
              <w:top w:w="150" w:type="dxa"/>
              <w:left w:w="0" w:type="dxa"/>
              <w:bottom w:w="150" w:type="dxa"/>
              <w:right w:w="240" w:type="dxa"/>
            </w:tcMar>
            <w:vAlign w:val="center"/>
          </w:tcPr>
          <w:p w14:paraId="46983783"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Época</w:t>
            </w:r>
          </w:p>
        </w:tc>
        <w:tc>
          <w:tcPr>
            <w:tcW w:w="0" w:type="auto"/>
            <w:tcMar>
              <w:top w:w="150" w:type="dxa"/>
              <w:left w:w="240" w:type="dxa"/>
              <w:bottom w:w="150" w:type="dxa"/>
              <w:right w:w="240" w:type="dxa"/>
            </w:tcMar>
            <w:vAlign w:val="center"/>
          </w:tcPr>
          <w:p w14:paraId="58966BCA"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Marco</w:t>
            </w:r>
          </w:p>
        </w:tc>
        <w:tc>
          <w:tcPr>
            <w:tcW w:w="0" w:type="auto"/>
            <w:tcMar>
              <w:top w:w="150" w:type="dxa"/>
              <w:left w:w="240" w:type="dxa"/>
              <w:bottom w:w="150" w:type="dxa"/>
              <w:right w:w="240" w:type="dxa"/>
            </w:tcMar>
            <w:vAlign w:val="center"/>
          </w:tcPr>
          <w:p w14:paraId="1DB1FE00"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Significado e Impacto</w:t>
            </w:r>
          </w:p>
        </w:tc>
      </w:tr>
      <w:tr w:rsidR="0003312E" w14:paraId="7C61630D" w14:textId="77777777">
        <w:tc>
          <w:tcPr>
            <w:tcW w:w="0" w:type="auto"/>
            <w:tcMar>
              <w:top w:w="150" w:type="dxa"/>
              <w:left w:w="0" w:type="dxa"/>
              <w:bottom w:w="150" w:type="dxa"/>
              <w:right w:w="240" w:type="dxa"/>
            </w:tcMar>
            <w:vAlign w:val="center"/>
          </w:tcPr>
          <w:p w14:paraId="0DF8FEF6"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Grécia Antiga</w:t>
            </w:r>
          </w:p>
        </w:tc>
        <w:tc>
          <w:tcPr>
            <w:tcW w:w="0" w:type="auto"/>
            <w:tcMar>
              <w:top w:w="150" w:type="dxa"/>
              <w:left w:w="240" w:type="dxa"/>
              <w:bottom w:w="150" w:type="dxa"/>
              <w:right w:w="240" w:type="dxa"/>
            </w:tcMar>
            <w:vAlign w:val="center"/>
          </w:tcPr>
          <w:p w14:paraId="2459CA1B" w14:textId="77777777" w:rsidR="0003312E" w:rsidRDefault="00000000">
            <w:pPr>
              <w:spacing w:after="0" w:line="240" w:lineRule="auto"/>
              <w:rPr>
                <w:rFonts w:ascii="Times New Roman" w:eastAsia="SimSun" w:hAnsi="Times New Roman" w:cs="Times New Roman"/>
                <w:sz w:val="20"/>
                <w:szCs w:val="20"/>
                <w:lang w:eastAsia="zh-CN"/>
              </w:rPr>
            </w:pPr>
            <w:proofErr w:type="spellStart"/>
            <w:r>
              <w:rPr>
                <w:rFonts w:ascii="Times New Roman" w:eastAsia="SimSun" w:hAnsi="Times New Roman" w:cs="Times New Roman"/>
                <w:sz w:val="20"/>
                <w:szCs w:val="20"/>
                <w:lang w:eastAsia="zh-CN"/>
              </w:rPr>
              <w:t>ἄγχω</w:t>
            </w:r>
            <w:proofErr w:type="spellEnd"/>
            <w:r>
              <w:rPr>
                <w:rFonts w:ascii="Times New Roman" w:eastAsia="SimSun" w:hAnsi="Times New Roman" w:cs="Times New Roman"/>
                <w:sz w:val="20"/>
                <w:szCs w:val="20"/>
                <w:lang w:eastAsia="zh-CN"/>
              </w:rPr>
              <w:t xml:space="preserve"> (</w:t>
            </w:r>
            <w:proofErr w:type="spellStart"/>
            <w:r>
              <w:rPr>
                <w:rFonts w:ascii="Times New Roman" w:eastAsia="SimSun" w:hAnsi="Times New Roman" w:cs="Times New Roman"/>
                <w:sz w:val="20"/>
                <w:szCs w:val="20"/>
                <w:lang w:eastAsia="zh-CN"/>
              </w:rPr>
              <w:t>ánkhō</w:t>
            </w:r>
            <w:proofErr w:type="spellEnd"/>
            <w:r>
              <w:rPr>
                <w:rFonts w:ascii="Times New Roman" w:eastAsia="SimSun" w:hAnsi="Times New Roman" w:cs="Times New Roman"/>
                <w:sz w:val="20"/>
                <w:szCs w:val="20"/>
                <w:lang w:eastAsia="zh-CN"/>
              </w:rPr>
              <w:t>, "estrangular")</w:t>
            </w:r>
          </w:p>
        </w:tc>
        <w:tc>
          <w:tcPr>
            <w:tcW w:w="0" w:type="auto"/>
            <w:tcMar>
              <w:top w:w="150" w:type="dxa"/>
              <w:left w:w="240" w:type="dxa"/>
              <w:bottom w:w="150" w:type="dxa"/>
              <w:right w:w="0" w:type="dxa"/>
            </w:tcMar>
            <w:vAlign w:val="center"/>
          </w:tcPr>
          <w:p w14:paraId="23AB4421"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A medicina hipocrática via a ansiedade como um desequilíbrio dos humores, especialmente da bile negra. Caso de Nicanor atribuído a "excesso de bile</w:t>
            </w:r>
            <w:proofErr w:type="gramStart"/>
            <w:r>
              <w:rPr>
                <w:rFonts w:ascii="Times New Roman" w:eastAsia="SimSun" w:hAnsi="Times New Roman" w:cs="Times New Roman"/>
                <w:sz w:val="20"/>
                <w:szCs w:val="20"/>
                <w:lang w:eastAsia="zh-CN"/>
              </w:rPr>
              <w:t>" .</w:t>
            </w:r>
            <w:proofErr w:type="gramEnd"/>
            <w:r>
              <w:rPr>
                <w:rFonts w:ascii="Times New Roman" w:eastAsia="SimSun" w:hAnsi="Times New Roman" w:cs="Times New Roman"/>
                <w:sz w:val="20"/>
                <w:szCs w:val="20"/>
                <w:lang w:eastAsia="zh-CN"/>
              </w:rPr>
              <w:t xml:space="preserve"> </w:t>
            </w:r>
          </w:p>
        </w:tc>
      </w:tr>
      <w:tr w:rsidR="0003312E" w14:paraId="1625BCDE" w14:textId="77777777">
        <w:tc>
          <w:tcPr>
            <w:tcW w:w="0" w:type="auto"/>
            <w:tcMar>
              <w:top w:w="150" w:type="dxa"/>
              <w:left w:w="0" w:type="dxa"/>
              <w:bottom w:w="150" w:type="dxa"/>
              <w:right w:w="240" w:type="dxa"/>
            </w:tcMar>
            <w:vAlign w:val="center"/>
          </w:tcPr>
          <w:p w14:paraId="3F21EB59"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Roma Antiga</w:t>
            </w:r>
          </w:p>
        </w:tc>
        <w:tc>
          <w:tcPr>
            <w:tcW w:w="0" w:type="auto"/>
            <w:tcMar>
              <w:top w:w="150" w:type="dxa"/>
              <w:left w:w="240" w:type="dxa"/>
              <w:bottom w:w="150" w:type="dxa"/>
              <w:right w:w="240" w:type="dxa"/>
            </w:tcMar>
            <w:vAlign w:val="center"/>
          </w:tcPr>
          <w:p w14:paraId="134E9877" w14:textId="77777777" w:rsidR="0003312E" w:rsidRDefault="00000000">
            <w:pPr>
              <w:spacing w:after="0" w:line="240" w:lineRule="auto"/>
              <w:rPr>
                <w:rFonts w:ascii="Times New Roman" w:eastAsia="SimSun" w:hAnsi="Times New Roman" w:cs="Times New Roman"/>
                <w:sz w:val="20"/>
                <w:szCs w:val="20"/>
                <w:lang w:eastAsia="zh-CN"/>
              </w:rPr>
            </w:pPr>
            <w:proofErr w:type="spellStart"/>
            <w:r>
              <w:rPr>
                <w:rFonts w:ascii="Times New Roman" w:eastAsia="SimSun" w:hAnsi="Times New Roman" w:cs="Times New Roman"/>
                <w:sz w:val="20"/>
                <w:szCs w:val="20"/>
                <w:lang w:eastAsia="zh-CN"/>
              </w:rPr>
              <w:t>angere</w:t>
            </w:r>
            <w:proofErr w:type="spellEnd"/>
            <w:r>
              <w:rPr>
                <w:rFonts w:ascii="Times New Roman" w:eastAsia="SimSun" w:hAnsi="Times New Roman" w:cs="Times New Roman"/>
                <w:sz w:val="20"/>
                <w:szCs w:val="20"/>
                <w:lang w:eastAsia="zh-CN"/>
              </w:rPr>
              <w:t xml:space="preserve"> ("apertar, sufocar")</w:t>
            </w:r>
          </w:p>
        </w:tc>
        <w:tc>
          <w:tcPr>
            <w:tcW w:w="0" w:type="auto"/>
            <w:tcMar>
              <w:top w:w="150" w:type="dxa"/>
              <w:left w:w="240" w:type="dxa"/>
              <w:bottom w:w="150" w:type="dxa"/>
              <w:right w:w="0" w:type="dxa"/>
            </w:tcMar>
            <w:vAlign w:val="center"/>
          </w:tcPr>
          <w:p w14:paraId="493BCC9F"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Os romanos herdaram a teoria humoral grega. Filósofos estoicos, como Sêneca, consideravam a ansiedade um obstáculo à ataraxia. Medo da morte, não a morte em si, era raiz do </w:t>
            </w:r>
            <w:proofErr w:type="gramStart"/>
            <w:r>
              <w:rPr>
                <w:rFonts w:ascii="Times New Roman" w:eastAsia="SimSun" w:hAnsi="Times New Roman" w:cs="Times New Roman"/>
                <w:sz w:val="20"/>
                <w:szCs w:val="20"/>
                <w:lang w:eastAsia="zh-CN"/>
              </w:rPr>
              <w:t>sofrimento .</w:t>
            </w:r>
            <w:proofErr w:type="gramEnd"/>
            <w:r>
              <w:rPr>
                <w:rFonts w:ascii="Times New Roman" w:eastAsia="SimSun" w:hAnsi="Times New Roman" w:cs="Times New Roman"/>
                <w:sz w:val="20"/>
                <w:szCs w:val="20"/>
                <w:lang w:eastAsia="zh-CN"/>
              </w:rPr>
              <w:t xml:space="preserve"> </w:t>
            </w:r>
          </w:p>
        </w:tc>
      </w:tr>
      <w:tr w:rsidR="0003312E" w14:paraId="72BBD6B1" w14:textId="77777777">
        <w:tc>
          <w:tcPr>
            <w:tcW w:w="0" w:type="auto"/>
            <w:tcMar>
              <w:top w:w="150" w:type="dxa"/>
              <w:left w:w="0" w:type="dxa"/>
              <w:bottom w:w="150" w:type="dxa"/>
              <w:right w:w="240" w:type="dxa"/>
            </w:tcMar>
            <w:vAlign w:val="center"/>
          </w:tcPr>
          <w:p w14:paraId="40CB409A"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Idade Média</w:t>
            </w:r>
          </w:p>
        </w:tc>
        <w:tc>
          <w:tcPr>
            <w:tcW w:w="0" w:type="auto"/>
            <w:tcMar>
              <w:top w:w="150" w:type="dxa"/>
              <w:left w:w="240" w:type="dxa"/>
              <w:bottom w:w="150" w:type="dxa"/>
              <w:right w:w="240" w:type="dxa"/>
            </w:tcMar>
            <w:vAlign w:val="center"/>
          </w:tcPr>
          <w:p w14:paraId="507A3760"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"Angústia" como pecado</w:t>
            </w:r>
          </w:p>
        </w:tc>
        <w:tc>
          <w:tcPr>
            <w:tcW w:w="0" w:type="auto"/>
            <w:tcMar>
              <w:top w:w="150" w:type="dxa"/>
              <w:left w:w="240" w:type="dxa"/>
              <w:bottom w:w="150" w:type="dxa"/>
              <w:right w:w="0" w:type="dxa"/>
            </w:tcMar>
            <w:vAlign w:val="center"/>
          </w:tcPr>
          <w:p w14:paraId="7BAB3922"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Interpretada como acedia. Santo Tomás de Aquino a associava à </w:t>
            </w:r>
            <w:proofErr w:type="spellStart"/>
            <w:r>
              <w:rPr>
                <w:rFonts w:ascii="Times New Roman" w:eastAsia="SimSun" w:hAnsi="Times New Roman" w:cs="Times New Roman"/>
                <w:sz w:val="20"/>
                <w:szCs w:val="20"/>
                <w:lang w:eastAsia="zh-CN"/>
              </w:rPr>
              <w:t>tristitia</w:t>
            </w:r>
            <w:proofErr w:type="spellEnd"/>
            <w:r>
              <w:rPr>
                <w:rFonts w:ascii="Times New Roman" w:eastAsia="SimSun" w:hAnsi="Times New Roman" w:cs="Times New Roman"/>
                <w:sz w:val="20"/>
                <w:szCs w:val="20"/>
                <w:lang w:eastAsia="zh-CN"/>
              </w:rPr>
              <w:t xml:space="preserve">, diferenciando-a do medo com objeto </w:t>
            </w:r>
            <w:proofErr w:type="gramStart"/>
            <w:r>
              <w:rPr>
                <w:rFonts w:ascii="Times New Roman" w:eastAsia="SimSun" w:hAnsi="Times New Roman" w:cs="Times New Roman"/>
                <w:sz w:val="20"/>
                <w:szCs w:val="20"/>
                <w:lang w:eastAsia="zh-CN"/>
              </w:rPr>
              <w:t>definido .</w:t>
            </w:r>
            <w:proofErr w:type="gramEnd"/>
            <w:r>
              <w:rPr>
                <w:rFonts w:ascii="Times New Roman" w:eastAsia="SimSun" w:hAnsi="Times New Roman" w:cs="Times New Roman"/>
                <w:sz w:val="20"/>
                <w:szCs w:val="20"/>
                <w:lang w:eastAsia="zh-CN"/>
              </w:rPr>
              <w:t xml:space="preserve"> </w:t>
            </w:r>
          </w:p>
        </w:tc>
      </w:tr>
      <w:tr w:rsidR="0003312E" w14:paraId="3E549EBD" w14:textId="77777777">
        <w:tc>
          <w:tcPr>
            <w:tcW w:w="0" w:type="auto"/>
            <w:tcMar>
              <w:top w:w="150" w:type="dxa"/>
              <w:left w:w="0" w:type="dxa"/>
              <w:bottom w:w="150" w:type="dxa"/>
              <w:right w:w="240" w:type="dxa"/>
            </w:tcMar>
            <w:vAlign w:val="center"/>
          </w:tcPr>
          <w:p w14:paraId="2B28428E"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Século XIX</w:t>
            </w:r>
          </w:p>
        </w:tc>
        <w:tc>
          <w:tcPr>
            <w:tcW w:w="0" w:type="auto"/>
            <w:tcMar>
              <w:top w:w="150" w:type="dxa"/>
              <w:left w:w="240" w:type="dxa"/>
              <w:bottom w:w="150" w:type="dxa"/>
              <w:right w:w="240" w:type="dxa"/>
            </w:tcMar>
            <w:vAlign w:val="center"/>
          </w:tcPr>
          <w:p w14:paraId="428E1DF9"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Kierkegaard e o existencialismo</w:t>
            </w:r>
          </w:p>
        </w:tc>
        <w:tc>
          <w:tcPr>
            <w:tcW w:w="0" w:type="auto"/>
            <w:tcMar>
              <w:top w:w="150" w:type="dxa"/>
              <w:left w:w="240" w:type="dxa"/>
              <w:bottom w:w="150" w:type="dxa"/>
              <w:right w:w="0" w:type="dxa"/>
            </w:tcMar>
            <w:vAlign w:val="center"/>
          </w:tcPr>
          <w:p w14:paraId="6120B1DF"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Ansiedade como condição para autenticidade, influenciando Sartre e a ideia de que "o homem está condenado a ser livre".</w:t>
            </w:r>
          </w:p>
        </w:tc>
      </w:tr>
      <w:tr w:rsidR="0003312E" w14:paraId="165ECB25" w14:textId="77777777">
        <w:tc>
          <w:tcPr>
            <w:tcW w:w="0" w:type="auto"/>
            <w:tcMar>
              <w:top w:w="150" w:type="dxa"/>
              <w:left w:w="0" w:type="dxa"/>
              <w:bottom w:w="150" w:type="dxa"/>
              <w:right w:w="240" w:type="dxa"/>
            </w:tcMar>
            <w:vAlign w:val="center"/>
          </w:tcPr>
          <w:p w14:paraId="4F5A939F"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Século XIX/início XX</w:t>
            </w:r>
          </w:p>
        </w:tc>
        <w:tc>
          <w:tcPr>
            <w:tcW w:w="0" w:type="auto"/>
            <w:tcMar>
              <w:top w:w="150" w:type="dxa"/>
              <w:left w:w="240" w:type="dxa"/>
              <w:bottom w:w="150" w:type="dxa"/>
              <w:right w:w="240" w:type="dxa"/>
            </w:tcMar>
            <w:vAlign w:val="center"/>
          </w:tcPr>
          <w:p w14:paraId="60DE283B"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Freud e a "neurose de angústia"</w:t>
            </w:r>
          </w:p>
        </w:tc>
        <w:tc>
          <w:tcPr>
            <w:tcW w:w="0" w:type="auto"/>
            <w:tcMar>
              <w:top w:w="150" w:type="dxa"/>
              <w:left w:w="240" w:type="dxa"/>
              <w:bottom w:w="150" w:type="dxa"/>
              <w:right w:w="0" w:type="dxa"/>
            </w:tcMar>
            <w:vAlign w:val="center"/>
          </w:tcPr>
          <w:p w14:paraId="45BA47BC"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Ansiedade como alerta do ego contra pulsões reprimidas, distinguindo ansiedade real de neurótica, influência presente no </w:t>
            </w:r>
            <w:proofErr w:type="gramStart"/>
            <w:r>
              <w:rPr>
                <w:rFonts w:ascii="Times New Roman" w:eastAsia="SimSun" w:hAnsi="Times New Roman" w:cs="Times New Roman"/>
                <w:sz w:val="20"/>
                <w:szCs w:val="20"/>
                <w:lang w:eastAsia="zh-CN"/>
              </w:rPr>
              <w:t>DSM .</w:t>
            </w:r>
            <w:proofErr w:type="gramEnd"/>
            <w:r>
              <w:rPr>
                <w:rFonts w:ascii="Times New Roman" w:eastAsia="SimSun" w:hAnsi="Times New Roman" w:cs="Times New Roman"/>
                <w:sz w:val="20"/>
                <w:szCs w:val="20"/>
                <w:lang w:eastAsia="zh-CN"/>
              </w:rPr>
              <w:t xml:space="preserve"> </w:t>
            </w:r>
          </w:p>
        </w:tc>
      </w:tr>
      <w:tr w:rsidR="0003312E" w14:paraId="757ED3C0" w14:textId="77777777">
        <w:tc>
          <w:tcPr>
            <w:tcW w:w="0" w:type="auto"/>
            <w:tcMar>
              <w:top w:w="150" w:type="dxa"/>
              <w:left w:w="0" w:type="dxa"/>
              <w:bottom w:w="150" w:type="dxa"/>
              <w:right w:w="240" w:type="dxa"/>
            </w:tcMar>
            <w:vAlign w:val="center"/>
          </w:tcPr>
          <w:p w14:paraId="4DA407BB"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Século XX</w:t>
            </w:r>
          </w:p>
        </w:tc>
        <w:tc>
          <w:tcPr>
            <w:tcW w:w="0" w:type="auto"/>
            <w:tcMar>
              <w:top w:w="150" w:type="dxa"/>
              <w:left w:w="240" w:type="dxa"/>
              <w:bottom w:w="150" w:type="dxa"/>
              <w:right w:w="240" w:type="dxa"/>
            </w:tcMar>
            <w:vAlign w:val="center"/>
          </w:tcPr>
          <w:p w14:paraId="28C9811A"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DSM e categorização clínica</w:t>
            </w:r>
          </w:p>
        </w:tc>
        <w:tc>
          <w:tcPr>
            <w:tcW w:w="0" w:type="auto"/>
            <w:tcMar>
              <w:top w:w="150" w:type="dxa"/>
              <w:left w:w="240" w:type="dxa"/>
              <w:bottom w:w="150" w:type="dxa"/>
              <w:right w:w="0" w:type="dxa"/>
            </w:tcMar>
            <w:vAlign w:val="center"/>
          </w:tcPr>
          <w:p w14:paraId="556A9910"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DSM-I (1952) classifica ansiedade como "reação psiconeurótica". DSM-III (1980) introduz critérios objetivos, como ataques de pânico </w:t>
            </w:r>
            <w:proofErr w:type="gramStart"/>
            <w:r>
              <w:rPr>
                <w:rFonts w:ascii="Times New Roman" w:eastAsia="SimSun" w:hAnsi="Times New Roman" w:cs="Times New Roman"/>
                <w:sz w:val="20"/>
                <w:szCs w:val="20"/>
                <w:lang w:eastAsia="zh-CN"/>
              </w:rPr>
              <w:t>recorrentes .</w:t>
            </w:r>
            <w:proofErr w:type="gramEnd"/>
            <w:r>
              <w:rPr>
                <w:rFonts w:ascii="Times New Roman" w:eastAsia="SimSun" w:hAnsi="Times New Roman" w:cs="Times New Roman"/>
                <w:sz w:val="20"/>
                <w:szCs w:val="20"/>
                <w:lang w:eastAsia="zh-CN"/>
              </w:rPr>
              <w:t xml:space="preserve"> </w:t>
            </w:r>
          </w:p>
        </w:tc>
      </w:tr>
      <w:tr w:rsidR="0003312E" w14:paraId="31D1D78B" w14:textId="77777777">
        <w:tc>
          <w:tcPr>
            <w:tcW w:w="0" w:type="auto"/>
            <w:tcMar>
              <w:top w:w="150" w:type="dxa"/>
              <w:left w:w="0" w:type="dxa"/>
              <w:bottom w:w="150" w:type="dxa"/>
              <w:right w:w="240" w:type="dxa"/>
            </w:tcMar>
            <w:vAlign w:val="center"/>
          </w:tcPr>
          <w:p w14:paraId="1D8E5DE5" w14:textId="77777777" w:rsidR="0003312E" w:rsidRDefault="00000000">
            <w:pPr>
              <w:spacing w:after="0" w:line="240" w:lineRule="auto"/>
              <w:rPr>
                <w:rFonts w:ascii="Times New Roman" w:eastAsia="SimSun" w:hAnsi="Times New Roman" w:cs="Times New Roman"/>
                <w:b/>
                <w:bCs/>
                <w:sz w:val="20"/>
                <w:szCs w:val="20"/>
                <w:lang w:eastAsia="zh-CN"/>
              </w:rPr>
            </w:pPr>
            <w:r>
              <w:rPr>
                <w:rFonts w:ascii="Times New Roman" w:eastAsia="SimSun" w:hAnsi="Times New Roman" w:cs="Times New Roman"/>
                <w:b/>
                <w:bCs/>
                <w:sz w:val="20"/>
                <w:szCs w:val="20"/>
                <w:lang w:eastAsia="zh-CN"/>
              </w:rPr>
              <w:t>Século XXI</w:t>
            </w:r>
          </w:p>
        </w:tc>
        <w:tc>
          <w:tcPr>
            <w:tcW w:w="0" w:type="auto"/>
            <w:tcMar>
              <w:top w:w="150" w:type="dxa"/>
              <w:left w:w="240" w:type="dxa"/>
              <w:bottom w:w="150" w:type="dxa"/>
              <w:right w:w="240" w:type="dxa"/>
            </w:tcMar>
            <w:vAlign w:val="center"/>
          </w:tcPr>
          <w:p w14:paraId="79B4D874"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Neurociência e era digital</w:t>
            </w:r>
          </w:p>
        </w:tc>
        <w:tc>
          <w:tcPr>
            <w:tcW w:w="0" w:type="auto"/>
            <w:tcMar>
              <w:top w:w="150" w:type="dxa"/>
              <w:left w:w="240" w:type="dxa"/>
              <w:bottom w:w="150" w:type="dxa"/>
              <w:right w:w="0" w:type="dxa"/>
            </w:tcMar>
            <w:vAlign w:val="center"/>
          </w:tcPr>
          <w:p w14:paraId="29E0D82C" w14:textId="77777777" w:rsidR="0003312E" w:rsidRDefault="00000000">
            <w:pPr>
              <w:spacing w:after="0" w:line="240" w:lineRule="auto"/>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Neuroimagem associa ansiedade a desregulações na rede de saliência e no córtex cingulado anterior. </w:t>
            </w:r>
          </w:p>
        </w:tc>
      </w:tr>
    </w:tbl>
    <w:p w14:paraId="5A46B4E1" w14:textId="77777777" w:rsidR="0003312E" w:rsidRDefault="0003312E">
      <w:pPr>
        <w:spacing w:after="0" w:line="360" w:lineRule="auto"/>
        <w:ind w:firstLine="709"/>
        <w:jc w:val="both"/>
        <w:rPr>
          <w:rFonts w:ascii="Times New Roman" w:eastAsia="SimSun" w:hAnsi="Times New Roman" w:cs="Times New Roman"/>
          <w:sz w:val="24"/>
          <w:szCs w:val="24"/>
          <w:lang w:eastAsia="zh-CN"/>
        </w:rPr>
      </w:pPr>
    </w:p>
    <w:p w14:paraId="6595FD38"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Na Grécia Antiga, a palavra </w:t>
      </w:r>
      <w:proofErr w:type="spellStart"/>
      <w:r>
        <w:rPr>
          <w:rFonts w:ascii="Times New Roman" w:eastAsia="SimSun" w:hAnsi="Times New Roman" w:cs="Times New Roman"/>
          <w:sz w:val="24"/>
          <w:szCs w:val="24"/>
          <w:lang w:eastAsia="zh-CN"/>
        </w:rPr>
        <w:t>ἄγχω</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ánkhō</w:t>
      </w:r>
      <w:proofErr w:type="spellEnd"/>
      <w:r>
        <w:rPr>
          <w:rFonts w:ascii="Times New Roman" w:eastAsia="SimSun" w:hAnsi="Times New Roman" w:cs="Times New Roman"/>
          <w:sz w:val="24"/>
          <w:szCs w:val="24"/>
          <w:lang w:eastAsia="zh-CN"/>
        </w:rPr>
        <w:t xml:space="preserve">) era compreendida pela medicina hipocrática como um desequilíbrio dos humores corporais, especialmente o excesso de bile negra, associado à melancolia – uma visão que ecoa em todo o Corpus </w:t>
      </w:r>
      <w:proofErr w:type="spellStart"/>
      <w:r>
        <w:rPr>
          <w:rFonts w:ascii="Times New Roman" w:eastAsia="SimSun" w:hAnsi="Times New Roman" w:cs="Times New Roman"/>
          <w:sz w:val="24"/>
          <w:szCs w:val="24"/>
          <w:lang w:eastAsia="zh-CN"/>
        </w:rPr>
        <w:t>Hippocraticum</w:t>
      </w:r>
      <w:proofErr w:type="spellEnd"/>
      <w:r>
        <w:rPr>
          <w:rFonts w:ascii="Times New Roman" w:eastAsia="SimSun" w:hAnsi="Times New Roman" w:cs="Times New Roman"/>
          <w:sz w:val="24"/>
          <w:szCs w:val="24"/>
          <w:lang w:eastAsia="zh-CN"/>
        </w:rPr>
        <w:t xml:space="preserve">. O Corpus </w:t>
      </w:r>
      <w:proofErr w:type="spellStart"/>
      <w:r>
        <w:rPr>
          <w:rFonts w:ascii="Times New Roman" w:eastAsia="SimSun" w:hAnsi="Times New Roman" w:cs="Times New Roman"/>
          <w:sz w:val="24"/>
          <w:szCs w:val="24"/>
          <w:lang w:eastAsia="zh-CN"/>
        </w:rPr>
        <w:t>Hippocraticum</w:t>
      </w:r>
      <w:proofErr w:type="spellEnd"/>
      <w:r>
        <w:rPr>
          <w:rFonts w:ascii="Times New Roman" w:eastAsia="SimSun" w:hAnsi="Times New Roman" w:cs="Times New Roman"/>
          <w:sz w:val="24"/>
          <w:szCs w:val="24"/>
          <w:lang w:eastAsia="zh-CN"/>
        </w:rPr>
        <w:t xml:space="preserve"> descreve o caso de Nicanor, que entrava em pânico ao ouvir flautas em banquetes, atribuída a um "excesso de bile</w:t>
      </w:r>
      <w:proofErr w:type="gramStart"/>
      <w:r>
        <w:rPr>
          <w:rFonts w:ascii="Times New Roman" w:eastAsia="SimSun" w:hAnsi="Times New Roman" w:cs="Times New Roman"/>
          <w:sz w:val="24"/>
          <w:szCs w:val="24"/>
          <w:lang w:eastAsia="zh-CN"/>
        </w:rPr>
        <w:t>" .</w:t>
      </w:r>
      <w:proofErr w:type="gramEnd"/>
      <w:r>
        <w:rPr>
          <w:rFonts w:ascii="Times New Roman" w:eastAsia="SimSun" w:hAnsi="Times New Roman" w:cs="Times New Roman"/>
          <w:sz w:val="24"/>
          <w:szCs w:val="24"/>
          <w:lang w:eastAsia="zh-CN"/>
        </w:rPr>
        <w:t xml:space="preserve">  Na Roma Antiga, o termo </w:t>
      </w:r>
      <w:proofErr w:type="spellStart"/>
      <w:r>
        <w:rPr>
          <w:rFonts w:ascii="Times New Roman" w:eastAsia="SimSun" w:hAnsi="Times New Roman" w:cs="Times New Roman"/>
          <w:i/>
          <w:iCs/>
          <w:sz w:val="24"/>
          <w:szCs w:val="24"/>
          <w:lang w:eastAsia="zh-CN"/>
        </w:rPr>
        <w:t>angere</w:t>
      </w:r>
      <w:proofErr w:type="spellEnd"/>
      <w:r>
        <w:rPr>
          <w:rFonts w:ascii="Times New Roman" w:eastAsia="SimSun" w:hAnsi="Times New Roman" w:cs="Times New Roman"/>
          <w:sz w:val="24"/>
          <w:szCs w:val="24"/>
          <w:lang w:eastAsia="zh-CN"/>
        </w:rPr>
        <w:t> manteve essa conotação médica, mas foi também interpretado filosoficamente pelos estoicos, como Sêneca, como obstáculo à ataraxia. Em </w:t>
      </w:r>
      <w:r>
        <w:rPr>
          <w:rFonts w:ascii="Times New Roman" w:eastAsia="SimSun" w:hAnsi="Times New Roman" w:cs="Times New Roman"/>
          <w:i/>
          <w:iCs/>
          <w:sz w:val="24"/>
          <w:szCs w:val="24"/>
          <w:lang w:eastAsia="zh-CN"/>
        </w:rPr>
        <w:t xml:space="preserve">De </w:t>
      </w:r>
      <w:proofErr w:type="spellStart"/>
      <w:r>
        <w:rPr>
          <w:rFonts w:ascii="Times New Roman" w:eastAsia="SimSun" w:hAnsi="Times New Roman" w:cs="Times New Roman"/>
          <w:i/>
          <w:iCs/>
          <w:sz w:val="24"/>
          <w:szCs w:val="24"/>
          <w:lang w:eastAsia="zh-CN"/>
        </w:rPr>
        <w:t>Tranquillitate</w:t>
      </w:r>
      <w:proofErr w:type="spellEnd"/>
      <w:r>
        <w:rPr>
          <w:rFonts w:ascii="Times New Roman" w:eastAsia="SimSun" w:hAnsi="Times New Roman" w:cs="Times New Roman"/>
          <w:i/>
          <w:iCs/>
          <w:sz w:val="24"/>
          <w:szCs w:val="24"/>
          <w:lang w:eastAsia="zh-CN"/>
        </w:rPr>
        <w:t xml:space="preserve"> Animi</w:t>
      </w:r>
      <w:r>
        <w:rPr>
          <w:rFonts w:ascii="Times New Roman" w:eastAsia="SimSun" w:hAnsi="Times New Roman" w:cs="Times New Roman"/>
          <w:sz w:val="24"/>
          <w:szCs w:val="24"/>
          <w:lang w:eastAsia="zh-CN"/>
        </w:rPr>
        <w:t>, ele argumentava que o medo da morte - e não a morte em si - era a raiz do sofrimento humano, antecipando princípios que séculos depois fundamentariam a terapia cognitivo-comportamental.</w:t>
      </w:r>
    </w:p>
    <w:p w14:paraId="4620333F"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Na Idade Média, a ansiedade foi reinterpretada pela teologia, sendo vista como </w:t>
      </w:r>
      <w:r>
        <w:rPr>
          <w:rFonts w:ascii="Times New Roman" w:eastAsia="SimSun" w:hAnsi="Times New Roman" w:cs="Times New Roman"/>
          <w:i/>
          <w:iCs/>
          <w:sz w:val="24"/>
          <w:szCs w:val="24"/>
          <w:lang w:eastAsia="zh-CN"/>
        </w:rPr>
        <w:t>acedia</w:t>
      </w:r>
      <w:r>
        <w:rPr>
          <w:rFonts w:ascii="Times New Roman" w:eastAsia="SimSun" w:hAnsi="Times New Roman" w:cs="Times New Roman"/>
          <w:sz w:val="24"/>
          <w:szCs w:val="24"/>
          <w:lang w:eastAsia="zh-CN"/>
        </w:rPr>
        <w:t>, um pecado espiritual que afastava o indivíduo de Deus. Santo Tomás de Aquino, na </w:t>
      </w:r>
      <w:r>
        <w:rPr>
          <w:rFonts w:ascii="Times New Roman" w:eastAsia="SimSun" w:hAnsi="Times New Roman" w:cs="Times New Roman"/>
          <w:i/>
          <w:iCs/>
          <w:sz w:val="24"/>
          <w:szCs w:val="24"/>
          <w:lang w:eastAsia="zh-CN"/>
        </w:rPr>
        <w:t>Suma Teológica</w:t>
      </w:r>
      <w:r>
        <w:rPr>
          <w:rFonts w:ascii="Times New Roman" w:eastAsia="SimSun" w:hAnsi="Times New Roman" w:cs="Times New Roman"/>
          <w:sz w:val="24"/>
          <w:szCs w:val="24"/>
          <w:lang w:eastAsia="zh-CN"/>
        </w:rPr>
        <w:t>, a associava à </w:t>
      </w:r>
      <w:proofErr w:type="spellStart"/>
      <w:r>
        <w:rPr>
          <w:rFonts w:ascii="Times New Roman" w:eastAsia="SimSun" w:hAnsi="Times New Roman" w:cs="Times New Roman"/>
          <w:i/>
          <w:iCs/>
          <w:sz w:val="24"/>
          <w:szCs w:val="24"/>
          <w:lang w:eastAsia="zh-CN"/>
        </w:rPr>
        <w:t>tristitia</w:t>
      </w:r>
      <w:proofErr w:type="spellEnd"/>
      <w:r>
        <w:rPr>
          <w:rFonts w:ascii="Times New Roman" w:eastAsia="SimSun" w:hAnsi="Times New Roman" w:cs="Times New Roman"/>
          <w:sz w:val="24"/>
          <w:szCs w:val="24"/>
          <w:lang w:eastAsia="zh-CN"/>
        </w:rPr>
        <w:t xml:space="preserve">, diferenciando-a do medo, que possuía um objeto definido. Tratamentos incluíam orações, jejuns e exorcismos, refletindo uma visão da ansiedade como prova divina ou possessão </w:t>
      </w:r>
      <w:proofErr w:type="gramStart"/>
      <w:r>
        <w:rPr>
          <w:rFonts w:ascii="Times New Roman" w:eastAsia="SimSun" w:hAnsi="Times New Roman" w:cs="Times New Roman"/>
          <w:sz w:val="24"/>
          <w:szCs w:val="24"/>
          <w:lang w:eastAsia="zh-CN"/>
        </w:rPr>
        <w:t>maligna .</w:t>
      </w:r>
      <w:proofErr w:type="gramEnd"/>
      <w:r>
        <w:rPr>
          <w:rFonts w:ascii="Times New Roman" w:eastAsia="SimSun" w:hAnsi="Times New Roman" w:cs="Times New Roman"/>
          <w:sz w:val="24"/>
          <w:szCs w:val="24"/>
          <w:lang w:eastAsia="zh-CN"/>
        </w:rPr>
        <w:t xml:space="preserve"> </w:t>
      </w:r>
    </w:p>
    <w:p w14:paraId="5C5AD2EC"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No século XIX, Kierkegaard promoveu uma virada conceitual, vendo a ansiedade como "possibilidade da possibilidade", condição para que o ser humano se tornasse autêntico. Já no início do século XX, Sigmund Freud, a partir da psicanálise, ofereceu outra revolução conceitual. Em </w:t>
      </w:r>
      <w:r>
        <w:rPr>
          <w:rFonts w:ascii="Times New Roman" w:eastAsia="SimSun" w:hAnsi="Times New Roman" w:cs="Times New Roman"/>
          <w:i/>
          <w:iCs/>
          <w:sz w:val="24"/>
          <w:szCs w:val="24"/>
          <w:lang w:eastAsia="zh-CN"/>
        </w:rPr>
        <w:t>Inibições, Sintomas e Ansiedade</w:t>
      </w:r>
      <w:r>
        <w:rPr>
          <w:rFonts w:ascii="Times New Roman" w:eastAsia="SimSun" w:hAnsi="Times New Roman" w:cs="Times New Roman"/>
          <w:sz w:val="24"/>
          <w:szCs w:val="24"/>
          <w:lang w:eastAsia="zh-CN"/>
        </w:rPr>
        <w:t xml:space="preserve"> (1926), identificava-a como alerta do ego contra pulsões reprimidas. Ele distinguia ansiedade real, ligada a perigo externo, da neurótica, sem objeto definido, distinção que ecoa nas classificações modernas do </w:t>
      </w:r>
      <w:proofErr w:type="gramStart"/>
      <w:r>
        <w:rPr>
          <w:rFonts w:ascii="Times New Roman" w:eastAsia="SimSun" w:hAnsi="Times New Roman" w:cs="Times New Roman"/>
          <w:sz w:val="24"/>
          <w:szCs w:val="24"/>
          <w:lang w:eastAsia="zh-CN"/>
        </w:rPr>
        <w:t>DSM .</w:t>
      </w:r>
      <w:proofErr w:type="gramEnd"/>
      <w:r>
        <w:rPr>
          <w:rFonts w:ascii="Times New Roman" w:eastAsia="SimSun" w:hAnsi="Times New Roman" w:cs="Times New Roman"/>
          <w:sz w:val="24"/>
          <w:szCs w:val="24"/>
          <w:lang w:eastAsia="zh-CN"/>
        </w:rPr>
        <w:t xml:space="preserve">  O século XX assistiu à medicalização progressiva da ansiedade, com o DSM-I (1952) classificando-a como "reação psiconeurótica", e o DSM-III (1980) introduzindo categorias específicas, como transtorno de pânico e TOC, fundamentadas em evidências </w:t>
      </w:r>
      <w:proofErr w:type="gramStart"/>
      <w:r>
        <w:rPr>
          <w:rFonts w:ascii="Times New Roman" w:eastAsia="SimSun" w:hAnsi="Times New Roman" w:cs="Times New Roman"/>
          <w:sz w:val="24"/>
          <w:szCs w:val="24"/>
          <w:lang w:eastAsia="zh-CN"/>
        </w:rPr>
        <w:t>neurobiológicas .</w:t>
      </w:r>
      <w:proofErr w:type="gramEnd"/>
      <w:r>
        <w:rPr>
          <w:rFonts w:ascii="Times New Roman" w:eastAsia="SimSun" w:hAnsi="Times New Roman" w:cs="Times New Roman"/>
          <w:sz w:val="24"/>
          <w:szCs w:val="24"/>
          <w:lang w:eastAsia="zh-CN"/>
        </w:rPr>
        <w:t xml:space="preserve">  No século XXI, a neurociência detalha os circuitos cerebrais da ansiedade e a hiperconectividade digital amplifica fenômenos como a FOMO (Fear </w:t>
      </w:r>
      <w:proofErr w:type="spellStart"/>
      <w:r>
        <w:rPr>
          <w:rFonts w:ascii="Times New Roman" w:eastAsia="SimSun" w:hAnsi="Times New Roman" w:cs="Times New Roman"/>
          <w:sz w:val="24"/>
          <w:szCs w:val="24"/>
          <w:lang w:eastAsia="zh-CN"/>
        </w:rPr>
        <w:t>Of</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Missing</w:t>
      </w:r>
      <w:proofErr w:type="spellEnd"/>
      <w:r>
        <w:rPr>
          <w:rFonts w:ascii="Times New Roman" w:eastAsia="SimSun" w:hAnsi="Times New Roman" w:cs="Times New Roman"/>
          <w:sz w:val="24"/>
          <w:szCs w:val="24"/>
          <w:lang w:eastAsia="zh-CN"/>
        </w:rPr>
        <w:t xml:space="preserve"> Out), refletindo novas formas de ansiedade social.</w:t>
      </w:r>
    </w:p>
    <w:p w14:paraId="235A9C2D"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66262829"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Em Essência: as Quatro Dimensões da Ansiedade</w:t>
      </w:r>
    </w:p>
    <w:p w14:paraId="60DFA77A"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1. A Dimensão Etimológica: O Aperto que Fala</w:t>
      </w:r>
    </w:p>
    <w:p w14:paraId="7F28D373"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 própria palavra "ansiedade" carrega em si uma violência física ancestral. Vem do latim </w:t>
      </w:r>
      <w:proofErr w:type="spellStart"/>
      <w:r>
        <w:rPr>
          <w:rFonts w:ascii="Times New Roman" w:eastAsia="SimSun" w:hAnsi="Times New Roman" w:cs="Times New Roman"/>
          <w:i/>
          <w:iCs/>
          <w:sz w:val="24"/>
          <w:szCs w:val="24"/>
          <w:lang w:eastAsia="zh-CN"/>
        </w:rPr>
        <w:t>angere</w:t>
      </w:r>
      <w:proofErr w:type="spellEnd"/>
      <w:r>
        <w:rPr>
          <w:rFonts w:ascii="Times New Roman" w:eastAsia="SimSun" w:hAnsi="Times New Roman" w:cs="Times New Roman"/>
          <w:sz w:val="24"/>
          <w:szCs w:val="24"/>
          <w:lang w:eastAsia="zh-CN"/>
        </w:rPr>
        <w:t> ("apertar", "sufocar") e do grego </w:t>
      </w:r>
      <w:proofErr w:type="spellStart"/>
      <w:r>
        <w:rPr>
          <w:rFonts w:ascii="Times New Roman" w:eastAsia="SimSun" w:hAnsi="Times New Roman" w:cs="Times New Roman"/>
          <w:i/>
          <w:iCs/>
          <w:sz w:val="24"/>
          <w:szCs w:val="24"/>
          <w:lang w:eastAsia="zh-CN"/>
        </w:rPr>
        <w:t>ánkhō</w:t>
      </w:r>
      <w:proofErr w:type="spellEnd"/>
      <w:r>
        <w:rPr>
          <w:rFonts w:ascii="Times New Roman" w:eastAsia="SimSun" w:hAnsi="Times New Roman" w:cs="Times New Roman"/>
          <w:sz w:val="24"/>
          <w:szCs w:val="24"/>
          <w:lang w:eastAsia="zh-CN"/>
        </w:rPr>
        <w:t> ("estrangular"), revelando uma profunda conexão entre opressão corporal e sofrimento existencial. Esta etimologia explica por que tantas línguas descrevem a ansiedade como sensação de constrição - do hebraico bíblico </w:t>
      </w:r>
      <w:proofErr w:type="spellStart"/>
      <w:r>
        <w:rPr>
          <w:rFonts w:ascii="Times New Roman" w:eastAsia="SimSun" w:hAnsi="Times New Roman" w:cs="Times New Roman"/>
          <w:i/>
          <w:iCs/>
          <w:sz w:val="24"/>
          <w:szCs w:val="24"/>
          <w:lang w:eastAsia="zh-CN"/>
        </w:rPr>
        <w:t>tsar</w:t>
      </w:r>
      <w:proofErr w:type="spellEnd"/>
      <w:r>
        <w:rPr>
          <w:rFonts w:ascii="Times New Roman" w:eastAsia="SimSun" w:hAnsi="Times New Roman" w:cs="Times New Roman"/>
          <w:sz w:val="24"/>
          <w:szCs w:val="24"/>
          <w:lang w:eastAsia="zh-CN"/>
        </w:rPr>
        <w:t> ("estreiteza") ao alemão </w:t>
      </w:r>
      <w:proofErr w:type="spellStart"/>
      <w:r>
        <w:rPr>
          <w:rFonts w:ascii="Times New Roman" w:eastAsia="SimSun" w:hAnsi="Times New Roman" w:cs="Times New Roman"/>
          <w:i/>
          <w:iCs/>
          <w:sz w:val="24"/>
          <w:szCs w:val="24"/>
          <w:lang w:eastAsia="zh-CN"/>
        </w:rPr>
        <w:t>Angst</w:t>
      </w:r>
      <w:proofErr w:type="spellEnd"/>
      <w:r>
        <w:rPr>
          <w:rFonts w:ascii="Times New Roman" w:eastAsia="SimSun" w:hAnsi="Times New Roman" w:cs="Times New Roman"/>
          <w:sz w:val="24"/>
          <w:szCs w:val="24"/>
          <w:lang w:eastAsia="zh-CN"/>
        </w:rPr>
        <w:t>, que abrange tanto medo existencial quanto terror físico. A imagem universal do aperto no peito, da garganta fechada, mostra como a linguagem capturou com precisão a experiência visceral deste estado.</w:t>
      </w:r>
    </w:p>
    <w:p w14:paraId="5C44E4B4"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5A06A608"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2. A Dimensão Histórico-Clínica: Da Filosofia à Medicalização</w:t>
      </w:r>
    </w:p>
    <w:p w14:paraId="4C1C562D"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A compreensão da ansiedade percorreu um caminho extraordinário: começou como desequilíbrio humoral na medicina grega, transformou-se em pecado espiritual na Idade Média, foi elevada a condição existencial por Kierkegaard no século XIX, e finalmente foi </w:t>
      </w:r>
      <w:proofErr w:type="spellStart"/>
      <w:r>
        <w:rPr>
          <w:rFonts w:ascii="Times New Roman" w:eastAsia="SimSun" w:hAnsi="Times New Roman" w:cs="Times New Roman"/>
          <w:sz w:val="24"/>
          <w:szCs w:val="24"/>
          <w:lang w:eastAsia="zh-CN"/>
        </w:rPr>
        <w:t>medicalizada</w:t>
      </w:r>
      <w:proofErr w:type="spellEnd"/>
      <w:r>
        <w:rPr>
          <w:rFonts w:ascii="Times New Roman" w:eastAsia="SimSun" w:hAnsi="Times New Roman" w:cs="Times New Roman"/>
          <w:sz w:val="24"/>
          <w:szCs w:val="24"/>
          <w:lang w:eastAsia="zh-CN"/>
        </w:rPr>
        <w:t xml:space="preserve"> no século XX através de classificações como o DSM. Uma análise aprofundada do termo latino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(LEWIS; SHORT, 1879) revela um conceito psicológico complexo já bem estabelecido no pensamento clássico. Os romanos faziam distinções precisas: Cícero, nas </w:t>
      </w:r>
      <w:proofErr w:type="spellStart"/>
      <w:r>
        <w:rPr>
          <w:rFonts w:ascii="Times New Roman" w:eastAsia="SimSun" w:hAnsi="Times New Roman" w:cs="Times New Roman"/>
          <w:i/>
          <w:iCs/>
          <w:sz w:val="24"/>
          <w:szCs w:val="24"/>
          <w:lang w:eastAsia="zh-CN"/>
        </w:rPr>
        <w:t>Tusculanas</w:t>
      </w:r>
      <w:proofErr w:type="spellEnd"/>
      <w:r>
        <w:rPr>
          <w:rFonts w:ascii="Times New Roman" w:eastAsia="SimSun" w:hAnsi="Times New Roman" w:cs="Times New Roman"/>
          <w:sz w:val="24"/>
          <w:szCs w:val="24"/>
          <w:lang w:eastAsia="zh-CN"/>
        </w:rPr>
        <w:t>, estabelecia uma nuançada diferença entre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(ansiedade persistente) e "</w:t>
      </w:r>
      <w:proofErr w:type="spellStart"/>
      <w:r>
        <w:rPr>
          <w:rFonts w:ascii="Times New Roman" w:eastAsia="SimSun" w:hAnsi="Times New Roman" w:cs="Times New Roman"/>
          <w:sz w:val="24"/>
          <w:szCs w:val="24"/>
          <w:lang w:eastAsia="zh-CN"/>
        </w:rPr>
        <w:t>angor</w:t>
      </w:r>
      <w:proofErr w:type="spellEnd"/>
      <w:r>
        <w:rPr>
          <w:rFonts w:ascii="Times New Roman" w:eastAsia="SimSun" w:hAnsi="Times New Roman" w:cs="Times New Roman"/>
          <w:sz w:val="24"/>
          <w:szCs w:val="24"/>
          <w:lang w:eastAsia="zh-CN"/>
        </w:rPr>
        <w:t>" (angústia momentânea), enquanto Sêneca, em </w:t>
      </w:r>
      <w:r>
        <w:rPr>
          <w:rFonts w:ascii="Times New Roman" w:eastAsia="SimSun" w:hAnsi="Times New Roman" w:cs="Times New Roman"/>
          <w:i/>
          <w:iCs/>
          <w:sz w:val="24"/>
          <w:szCs w:val="24"/>
          <w:lang w:eastAsia="zh-CN"/>
        </w:rPr>
        <w:t xml:space="preserve">De </w:t>
      </w:r>
      <w:proofErr w:type="spellStart"/>
      <w:r>
        <w:rPr>
          <w:rFonts w:ascii="Times New Roman" w:eastAsia="SimSun" w:hAnsi="Times New Roman" w:cs="Times New Roman"/>
          <w:i/>
          <w:iCs/>
          <w:sz w:val="24"/>
          <w:szCs w:val="24"/>
          <w:lang w:eastAsia="zh-CN"/>
        </w:rPr>
        <w:t>Beneficiis</w:t>
      </w:r>
      <w:proofErr w:type="spellEnd"/>
      <w:r>
        <w:rPr>
          <w:rFonts w:ascii="Times New Roman" w:eastAsia="SimSun" w:hAnsi="Times New Roman" w:cs="Times New Roman"/>
          <w:sz w:val="24"/>
          <w:szCs w:val="24"/>
          <w:lang w:eastAsia="zh-CN"/>
        </w:rPr>
        <w:t>, contrastava a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com a tranquilidade que emana da consciência de um amor verdadeiro.</w:t>
      </w:r>
    </w:p>
    <w:p w14:paraId="7622CAF2"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Kierkegaard representou uma virada crucial ao ver a ansiedade não como patologia, mas como "vertigem da liberdade" - a consciência angustiante das infinitas possibilidades que se abrem diante de nós. Os autores clássicos já haviam captado essa dimensão existencial: Ovídio, nos </w:t>
      </w:r>
      <w:r>
        <w:rPr>
          <w:rFonts w:ascii="Times New Roman" w:eastAsia="SimSun" w:hAnsi="Times New Roman" w:cs="Times New Roman"/>
          <w:i/>
          <w:iCs/>
          <w:sz w:val="24"/>
          <w:szCs w:val="24"/>
          <w:lang w:eastAsia="zh-CN"/>
        </w:rPr>
        <w:t>Tristes</w:t>
      </w:r>
      <w:r>
        <w:rPr>
          <w:rFonts w:ascii="Times New Roman" w:eastAsia="SimSun" w:hAnsi="Times New Roman" w:cs="Times New Roman"/>
          <w:sz w:val="24"/>
          <w:szCs w:val="24"/>
          <w:lang w:eastAsia="zh-CN"/>
        </w:rPr>
        <w:t>, atribuía sua condição à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xml:space="preserve"> animi </w:t>
      </w:r>
      <w:proofErr w:type="spellStart"/>
      <w:r>
        <w:rPr>
          <w:rFonts w:ascii="Times New Roman" w:eastAsia="SimSun" w:hAnsi="Times New Roman" w:cs="Times New Roman"/>
          <w:sz w:val="24"/>
          <w:szCs w:val="24"/>
          <w:lang w:eastAsia="zh-CN"/>
        </w:rPr>
        <w:t>continuusque</w:t>
      </w:r>
      <w:proofErr w:type="spellEnd"/>
      <w:r>
        <w:rPr>
          <w:rFonts w:ascii="Times New Roman" w:eastAsia="SimSun" w:hAnsi="Times New Roman" w:cs="Times New Roman"/>
          <w:sz w:val="24"/>
          <w:szCs w:val="24"/>
          <w:lang w:eastAsia="zh-CN"/>
        </w:rPr>
        <w:t xml:space="preserve"> labor" (ansiedade da alma e trabalho contínuo), e Juvenal, nas </w:t>
      </w:r>
      <w:r>
        <w:rPr>
          <w:rFonts w:ascii="Times New Roman" w:eastAsia="SimSun" w:hAnsi="Times New Roman" w:cs="Times New Roman"/>
          <w:i/>
          <w:iCs/>
          <w:sz w:val="24"/>
          <w:szCs w:val="24"/>
          <w:lang w:eastAsia="zh-CN"/>
        </w:rPr>
        <w:t>Sátiras</w:t>
      </w:r>
      <w:r>
        <w:rPr>
          <w:rFonts w:ascii="Times New Roman" w:eastAsia="SimSun" w:hAnsi="Times New Roman" w:cs="Times New Roman"/>
          <w:sz w:val="24"/>
          <w:szCs w:val="24"/>
          <w:lang w:eastAsia="zh-CN"/>
        </w:rPr>
        <w:t xml:space="preserve">, retratava a "perpetua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(ansiedade perpétua) que persiste mesmo durante as refeições. Esta visão filosófica contrastava radicalmente com a abordagem médica de sua época e antecipou em mais de um século a compreensão contemporânea da ansiedade como parte fundamental da condição humana.</w:t>
      </w:r>
    </w:p>
    <w:p w14:paraId="2FD09482"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Notavelmente, o conceito transcende o âmbito individual: em Prudêncio,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aparece personificada entre outros vícios na </w:t>
      </w:r>
      <w:proofErr w:type="spellStart"/>
      <w:r>
        <w:rPr>
          <w:rFonts w:ascii="Times New Roman" w:eastAsia="SimSun" w:hAnsi="Times New Roman" w:cs="Times New Roman"/>
          <w:i/>
          <w:iCs/>
          <w:sz w:val="24"/>
          <w:szCs w:val="24"/>
          <w:lang w:eastAsia="zh-CN"/>
        </w:rPr>
        <w:t>Psychomachia</w:t>
      </w:r>
      <w:proofErr w:type="spellEnd"/>
      <w:r>
        <w:rPr>
          <w:rFonts w:ascii="Times New Roman" w:eastAsia="SimSun" w:hAnsi="Times New Roman" w:cs="Times New Roman"/>
          <w:sz w:val="24"/>
          <w:szCs w:val="24"/>
          <w:lang w:eastAsia="zh-CN"/>
        </w:rPr>
        <w:t xml:space="preserve">, e em textos medievais como o de </w:t>
      </w:r>
      <w:proofErr w:type="spellStart"/>
      <w:r>
        <w:rPr>
          <w:rFonts w:ascii="Times New Roman" w:eastAsia="SimSun" w:hAnsi="Times New Roman" w:cs="Times New Roman"/>
          <w:sz w:val="24"/>
          <w:szCs w:val="24"/>
          <w:lang w:eastAsia="zh-CN"/>
        </w:rPr>
        <w:t>Bongiovanni</w:t>
      </w:r>
      <w:proofErr w:type="spellEnd"/>
      <w:r>
        <w:rPr>
          <w:rFonts w:ascii="Times New Roman" w:eastAsia="SimSun" w:hAnsi="Times New Roman" w:cs="Times New Roman"/>
          <w:sz w:val="24"/>
          <w:szCs w:val="24"/>
          <w:lang w:eastAsia="zh-CN"/>
        </w:rPr>
        <w:t xml:space="preserve"> da </w:t>
      </w:r>
      <w:proofErr w:type="spellStart"/>
      <w:r>
        <w:rPr>
          <w:rFonts w:ascii="Times New Roman" w:eastAsia="SimSun" w:hAnsi="Times New Roman" w:cs="Times New Roman"/>
          <w:sz w:val="24"/>
          <w:szCs w:val="24"/>
          <w:lang w:eastAsia="zh-CN"/>
        </w:rPr>
        <w:t>Cavriana</w:t>
      </w:r>
      <w:proofErr w:type="spellEnd"/>
      <w:r>
        <w:rPr>
          <w:rFonts w:ascii="Times New Roman" w:eastAsia="SimSun" w:hAnsi="Times New Roman" w:cs="Times New Roman"/>
          <w:sz w:val="24"/>
          <w:szCs w:val="24"/>
          <w:lang w:eastAsia="zh-CN"/>
        </w:rPr>
        <w:t xml:space="preserve">, adquire uma dimensão quase existencial, onde "est </w:t>
      </w:r>
      <w:proofErr w:type="spellStart"/>
      <w:r>
        <w:rPr>
          <w:rFonts w:ascii="Times New Roman" w:eastAsia="SimSun" w:hAnsi="Times New Roman" w:cs="Times New Roman"/>
          <w:sz w:val="24"/>
          <w:szCs w:val="24"/>
          <w:lang w:eastAsia="zh-CN"/>
        </w:rPr>
        <w:t>cibus</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(a ansiedade é [meu] alimento), descrevendo uma condição de profundo desespero. Esta análise demonstra que a "</w:t>
      </w:r>
      <w:proofErr w:type="spellStart"/>
      <w:r>
        <w:rPr>
          <w:rFonts w:ascii="Times New Roman" w:eastAsia="SimSun" w:hAnsi="Times New Roman" w:cs="Times New Roman"/>
          <w:sz w:val="24"/>
          <w:szCs w:val="24"/>
          <w:lang w:eastAsia="zh-CN"/>
        </w:rPr>
        <w:t>anxietas</w:t>
      </w:r>
      <w:proofErr w:type="spellEnd"/>
      <w:r>
        <w:rPr>
          <w:rFonts w:ascii="Times New Roman" w:eastAsia="SimSun" w:hAnsi="Times New Roman" w:cs="Times New Roman"/>
          <w:sz w:val="24"/>
          <w:szCs w:val="24"/>
          <w:lang w:eastAsia="zh-CN"/>
        </w:rPr>
        <w:t>" latina abarcava desde uma perturbação circunstancial até um estado patológico persistente, configurando-se como um conceito complexo na psicologia antiga que prenunciava tanto as abordagens clínicas modernas quanto as reflexões filosóficas existenciais.</w:t>
      </w:r>
    </w:p>
    <w:p w14:paraId="6FDE1CF6" w14:textId="77777777" w:rsidR="0003312E" w:rsidRDefault="0003312E">
      <w:pPr>
        <w:spacing w:after="0" w:line="360" w:lineRule="auto"/>
        <w:ind w:firstLine="709"/>
        <w:jc w:val="both"/>
        <w:rPr>
          <w:rFonts w:ascii="Times New Roman" w:eastAsia="SimSun" w:hAnsi="Times New Roman" w:cs="Times New Roman"/>
          <w:sz w:val="24"/>
          <w:szCs w:val="24"/>
          <w:lang w:eastAsia="zh-CN"/>
        </w:rPr>
      </w:pPr>
    </w:p>
    <w:p w14:paraId="3709EC20"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3. A Dimensão Neurocientífica: O Cérebro em Alerta Máximo</w:t>
      </w:r>
    </w:p>
    <w:p w14:paraId="12B44AB0"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 neurociência contemporânea revela que a ansiedade é um sistema de alarme evolutivo que, em excesso, entra em curto-circuito. A amígdala cerebral apresenta hiperatividade mesmo a estímulos neutros, sequestrando recursos do córtex pré-frontal e dificultando a regulação emocional. Sob estresse crônico, o eixo HPA mantém níveis elevados de cortisol, o que pode levar a alterações na plasticidade sináptica e até a uma redução no volume do hipocampo, prejudicando a memória e alimentando a ruminação mental. Estes mecanismos explicam por que a ansiedade não é apenas uma experiência subjetiva, mas tem bases neurobiológicas mensuráveis que unem mente e corpo de forma inseparável.</w:t>
      </w:r>
    </w:p>
    <w:p w14:paraId="29A20B38"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48952F8C"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4. A Dimensão Poético-Filosófica: A Vertigem da Liberdade</w:t>
      </w:r>
    </w:p>
    <w:p w14:paraId="1E4DDD49"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Para além da neurociência e da clínica, a ansiedade permanece uma das metáforas mais poderosas da condição humana moderna. Kierkegaard via nela não uma patologia a ser eliminada, mas a "possibilidade da possibilidade" - o reconhecimento angustiante de que somos livres para escolher nosso destino. Esta visão foi radicalizada por Sartre com sua famosa afirmação de que "o homem está condenado a ser livre", mostrando que até a não-escolha é uma forma de escolha. Na cultura contemporânea, da pintura expressionista de Munch aos memes sobre crise existencial, a ansiedade tornou-se símbolo da pós-modernidade - o preço </w:t>
      </w:r>
      <w:r>
        <w:rPr>
          <w:rFonts w:ascii="Times New Roman" w:eastAsia="SimSun" w:hAnsi="Times New Roman" w:cs="Times New Roman"/>
          <w:sz w:val="24"/>
          <w:szCs w:val="24"/>
          <w:lang w:eastAsia="zh-CN"/>
        </w:rPr>
        <w:lastRenderedPageBreak/>
        <w:t>que pagamos pela consciência de nossa própria liberdade em um mundo de possibilidades infinitas.</w:t>
      </w:r>
    </w:p>
    <w:p w14:paraId="2C2F01AD" w14:textId="77777777" w:rsidR="0003312E" w:rsidRDefault="0003312E">
      <w:pPr>
        <w:spacing w:after="0" w:line="360" w:lineRule="auto"/>
        <w:ind w:firstLine="709"/>
        <w:jc w:val="both"/>
        <w:rPr>
          <w:rFonts w:ascii="Times New Roman" w:eastAsia="SimSun" w:hAnsi="Times New Roman" w:cs="Times New Roman"/>
          <w:b/>
          <w:bCs/>
          <w:sz w:val="24"/>
          <w:szCs w:val="24"/>
          <w:lang w:eastAsia="zh-CN"/>
        </w:rPr>
      </w:pPr>
    </w:p>
    <w:p w14:paraId="2260209E"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Do Aperto ao Abismo: Rumo à Ordem</w:t>
      </w:r>
    </w:p>
    <w:p w14:paraId="5CD00DE9"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Se a ansiedade, com seu aperto existencial e sua vertigem da liberdade, representa o sistema de alarme da consciência – aquela vigilância constante diante do abismo das possibilidades – seu colapso total nos leva ao pânico: não mais o medo diante do nada, mas o terror diante do tudo. Trata-se de uma verdadeira tempestade neuroquímica que dissolve as fronteiras entre percepção e realidade, paralisando nossa capacidade de raciocinar e nos subjugando completamente ao medo. Mas e se a consciência, em vez de se render a esse caos, pudesse realizar uma revolução interna, transformando a constrição em expansão? É precisamente essa possibilidade que nos aguarda no próximo capítulo, onde deixamos para trás a angústia para adentrar um território em que a luz da consciência irradia uma clareza soberana. Assim, do aperto que sufoca à expansão serena, seguimos em direção à eutimia, explorando como a mente pode encontrar seu equilíbrio ideal mesmo em meio às tempestades da existência.</w:t>
      </w:r>
    </w:p>
    <w:p w14:paraId="34B28C8C" w14:textId="77777777" w:rsidR="0003312E" w:rsidRDefault="0003312E">
      <w:pPr>
        <w:spacing w:after="0" w:line="360" w:lineRule="auto"/>
        <w:ind w:firstLine="709"/>
        <w:jc w:val="both"/>
        <w:rPr>
          <w:rFonts w:ascii="Times New Roman" w:eastAsia="SimSun" w:hAnsi="Times New Roman" w:cs="Times New Roman"/>
          <w:sz w:val="24"/>
          <w:szCs w:val="24"/>
          <w:lang w:eastAsia="zh-CN"/>
        </w:rPr>
      </w:pPr>
    </w:p>
    <w:p w14:paraId="40C695B9" w14:textId="77777777" w:rsidR="0003312E" w:rsidRDefault="0003312E">
      <w:pPr>
        <w:pStyle w:val="PargrafodaLista"/>
        <w:spacing w:after="0" w:line="360" w:lineRule="auto"/>
        <w:ind w:left="0" w:firstLine="709"/>
        <w:jc w:val="both"/>
        <w:rPr>
          <w:rFonts w:ascii="Times New Roman" w:eastAsia="SimSun" w:hAnsi="Times New Roman" w:cs="Times New Roman"/>
          <w:sz w:val="24"/>
          <w:szCs w:val="24"/>
          <w:lang w:eastAsia="zh-CN"/>
        </w:rPr>
      </w:pPr>
    </w:p>
    <w:p w14:paraId="1D6AC342" w14:textId="77777777" w:rsidR="0003312E" w:rsidRDefault="00000000">
      <w:pPr>
        <w:spacing w:after="0" w:line="360"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br w:type="page"/>
      </w:r>
    </w:p>
    <w:tbl>
      <w:tblPr>
        <w:tblStyle w:val="Tabelacomgrade"/>
        <w:tblW w:w="85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3852BE1A" w14:textId="77777777">
        <w:trPr>
          <w:trHeight w:val="365"/>
          <w:jc w:val="center"/>
        </w:trPr>
        <w:tc>
          <w:tcPr>
            <w:tcW w:w="8505" w:type="dxa"/>
            <w:gridSpan w:val="2"/>
            <w:tcBorders>
              <w:top w:val="nil"/>
              <w:left w:val="single" w:sz="4" w:space="0" w:color="auto"/>
              <w:bottom w:val="single" w:sz="4" w:space="0" w:color="auto"/>
              <w:right w:val="nil"/>
            </w:tcBorders>
          </w:tcPr>
          <w:p w14:paraId="23D187C8" w14:textId="77777777" w:rsidR="0003312E" w:rsidRDefault="00000000">
            <w:pPr>
              <w:pStyle w:val="Ttulo3"/>
              <w:keepNext w:val="0"/>
              <w:keepLines w:val="0"/>
              <w:shd w:val="clear" w:color="auto" w:fill="FFFFFF"/>
              <w:spacing w:before="0" w:after="0" w:line="240" w:lineRule="auto"/>
              <w:rPr>
                <w:rFonts w:ascii="Times New Roman" w:eastAsia="SimSun" w:hAnsi="Times New Roman" w:cs="Times New Roman"/>
                <w:color w:val="auto"/>
                <w:sz w:val="24"/>
                <w:szCs w:val="24"/>
              </w:rPr>
            </w:pPr>
            <w:r>
              <w:rPr>
                <w:rStyle w:val="Forte"/>
                <w:rFonts w:ascii="Times New Roman" w:eastAsia="Segoe UI" w:hAnsi="Times New Roman" w:cs="Times New Roman"/>
                <w:color w:val="auto"/>
                <w:sz w:val="24"/>
                <w:szCs w:val="24"/>
                <w:shd w:val="clear" w:color="auto" w:fill="FFFFFF"/>
              </w:rPr>
              <w:lastRenderedPageBreak/>
              <w:t xml:space="preserve">Capítulo 10 - </w:t>
            </w:r>
            <w:r>
              <w:rPr>
                <w:rFonts w:ascii="Times New Roman" w:hAnsi="Times New Roman" w:cs="Times New Roman"/>
                <w:b/>
                <w:bCs/>
                <w:color w:val="auto"/>
                <w:sz w:val="24"/>
                <w:szCs w:val="24"/>
              </w:rPr>
              <w:t>Eutimia: Da Serenidade Grega ao Equilíbrio Clínico</w:t>
            </w:r>
          </w:p>
        </w:tc>
      </w:tr>
      <w:tr w:rsidR="0003312E" w14:paraId="4A9C821F" w14:textId="77777777">
        <w:trPr>
          <w:trHeight w:val="2249"/>
          <w:jc w:val="center"/>
        </w:trPr>
        <w:tc>
          <w:tcPr>
            <w:tcW w:w="4353" w:type="dxa"/>
            <w:tcBorders>
              <w:top w:val="single" w:sz="4" w:space="0" w:color="auto"/>
              <w:left w:val="nil"/>
              <w:bottom w:val="nil"/>
              <w:right w:val="nil"/>
            </w:tcBorders>
          </w:tcPr>
          <w:p w14:paraId="5953B8FF"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6A694E65" wp14:editId="64F16257">
                  <wp:extent cx="1641475" cy="2462530"/>
                  <wp:effectExtent l="0" t="0" r="4445" b="6350"/>
                  <wp:docPr id="4" name="Imagem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 descr="IMG_256"/>
                          <pic:cNvPicPr>
                            <a:picLocks noChangeAspect="1"/>
                          </pic:cNvPicPr>
                        </pic:nvPicPr>
                        <pic:blipFill>
                          <a:blip r:embed="rId31"/>
                          <a:stretch>
                            <a:fillRect/>
                          </a:stretch>
                        </pic:blipFill>
                        <pic:spPr>
                          <a:xfrm>
                            <a:off x="0" y="0"/>
                            <a:ext cx="1641475" cy="2462530"/>
                          </a:xfrm>
                          <a:prstGeom prst="rect">
                            <a:avLst/>
                          </a:prstGeom>
                          <a:noFill/>
                          <a:ln w="9525">
                            <a:noFill/>
                          </a:ln>
                        </pic:spPr>
                      </pic:pic>
                    </a:graphicData>
                  </a:graphic>
                </wp:inline>
              </w:drawing>
            </w:r>
          </w:p>
        </w:tc>
        <w:tc>
          <w:tcPr>
            <w:tcW w:w="4152" w:type="dxa"/>
            <w:tcBorders>
              <w:top w:val="single" w:sz="4" w:space="0" w:color="auto"/>
              <w:left w:val="nil"/>
              <w:bottom w:val="nil"/>
              <w:right w:val="nil"/>
            </w:tcBorders>
          </w:tcPr>
          <w:p w14:paraId="7BECE866" w14:textId="77777777" w:rsidR="0003312E" w:rsidRDefault="00000000">
            <w:pPr>
              <w:spacing w:after="0" w:line="240" w:lineRule="auto"/>
              <w:jc w:val="center"/>
              <w:rPr>
                <w:rStyle w:val="Forte"/>
                <w:rFonts w:ascii="Times New Roman" w:eastAsia="Garamond" w:hAnsi="Times New Roman" w:cs="Times New Roman"/>
                <w:b w:val="0"/>
                <w:bCs w:val="0"/>
                <w:sz w:val="24"/>
                <w:szCs w:val="24"/>
              </w:rPr>
            </w:pPr>
            <w:r>
              <w:rPr>
                <w:rFonts w:ascii="Times New Roman" w:eastAsia="SimSun" w:hAnsi="Times New Roman" w:cs="Times New Roman"/>
                <w:noProof/>
                <w:sz w:val="24"/>
                <w:szCs w:val="24"/>
              </w:rPr>
              <w:drawing>
                <wp:inline distT="0" distB="0" distL="114300" distR="114300" wp14:anchorId="1B5681CB" wp14:editId="60BE0895">
                  <wp:extent cx="1602740" cy="2405380"/>
                  <wp:effectExtent l="0" t="0" r="12700" b="2540"/>
                  <wp:docPr id="9" name="Imagem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3" descr="IMG_256"/>
                          <pic:cNvPicPr>
                            <a:picLocks noChangeAspect="1"/>
                          </pic:cNvPicPr>
                        </pic:nvPicPr>
                        <pic:blipFill>
                          <a:blip r:embed="rId32"/>
                          <a:stretch>
                            <a:fillRect/>
                          </a:stretch>
                        </pic:blipFill>
                        <pic:spPr>
                          <a:xfrm>
                            <a:off x="0" y="0"/>
                            <a:ext cx="1602740" cy="2405380"/>
                          </a:xfrm>
                          <a:prstGeom prst="rect">
                            <a:avLst/>
                          </a:prstGeom>
                          <a:noFill/>
                          <a:ln w="9525">
                            <a:noFill/>
                          </a:ln>
                        </pic:spPr>
                      </pic:pic>
                    </a:graphicData>
                  </a:graphic>
                </wp:inline>
              </w:drawing>
            </w:r>
          </w:p>
        </w:tc>
      </w:tr>
      <w:tr w:rsidR="0003312E" w14:paraId="422CC2D2" w14:textId="77777777">
        <w:trPr>
          <w:trHeight w:val="476"/>
          <w:jc w:val="center"/>
        </w:trPr>
        <w:tc>
          <w:tcPr>
            <w:tcW w:w="4353" w:type="dxa"/>
            <w:tcBorders>
              <w:top w:val="nil"/>
              <w:left w:val="nil"/>
              <w:bottom w:val="nil"/>
              <w:right w:val="nil"/>
            </w:tcBorders>
          </w:tcPr>
          <w:p w14:paraId="7138BCD8" w14:textId="77777777" w:rsidR="0003312E" w:rsidRDefault="00000000">
            <w:pPr>
              <w:pStyle w:val="NormalWeb"/>
              <w:shd w:val="clear" w:color="auto" w:fill="FFFFFF"/>
              <w:spacing w:beforeAutospacing="0" w:after="0" w:afterAutospacing="0" w:line="240" w:lineRule="auto"/>
              <w:rPr>
                <w:rStyle w:val="Forte"/>
                <w:rFonts w:eastAsia="Garamond"/>
                <w:b w:val="0"/>
                <w:bCs w:val="0"/>
                <w:sz w:val="24"/>
                <w:lang w:val="pt-BR"/>
              </w:rPr>
            </w:pPr>
            <w:r>
              <w:rPr>
                <w:rFonts w:eastAsiaTheme="majorEastAsia"/>
                <w:i/>
                <w:iCs/>
                <w:sz w:val="24"/>
                <w:lang w:val="pt-BR"/>
              </w:rPr>
              <w:t>Figura 10.1: A Árvore da Mente Equilibrada: Raízes Antigas, Flores Modernas</w:t>
            </w:r>
          </w:p>
        </w:tc>
        <w:tc>
          <w:tcPr>
            <w:tcW w:w="4152" w:type="dxa"/>
            <w:tcBorders>
              <w:top w:val="nil"/>
              <w:left w:val="nil"/>
              <w:bottom w:val="nil"/>
              <w:right w:val="nil"/>
            </w:tcBorders>
          </w:tcPr>
          <w:p w14:paraId="28B1A5A7" w14:textId="77777777" w:rsidR="0003312E" w:rsidRDefault="00000000">
            <w:pPr>
              <w:spacing w:after="0" w:line="240" w:lineRule="auto"/>
              <w:rPr>
                <w:rStyle w:val="Forte"/>
                <w:rFonts w:ascii="Times New Roman" w:eastAsia="Garamond" w:hAnsi="Times New Roman" w:cs="Times New Roman"/>
                <w:b w:val="0"/>
                <w:bCs w:val="0"/>
                <w:sz w:val="24"/>
                <w:szCs w:val="24"/>
              </w:rPr>
            </w:pPr>
            <w:r>
              <w:rPr>
                <w:rFonts w:ascii="Times New Roman" w:eastAsiaTheme="majorEastAsia" w:hAnsi="Times New Roman" w:cs="Times New Roman"/>
                <w:i/>
                <w:iCs/>
                <w:sz w:val="24"/>
                <w:szCs w:val="24"/>
              </w:rPr>
              <w:t xml:space="preserve">Figura 10.2: </w:t>
            </w:r>
            <w:r>
              <w:rPr>
                <w:rFonts w:ascii="Times New Roman" w:hAnsi="Times New Roman" w:cs="Times New Roman"/>
                <w:i/>
                <w:iCs/>
                <w:sz w:val="24"/>
                <w:szCs w:val="24"/>
              </w:rPr>
              <w:t xml:space="preserve">Demócrito de </w:t>
            </w:r>
            <w:proofErr w:type="spellStart"/>
            <w:r>
              <w:rPr>
                <w:rFonts w:ascii="Times New Roman" w:hAnsi="Times New Roman" w:cs="Times New Roman"/>
                <w:i/>
                <w:iCs/>
                <w:sz w:val="24"/>
                <w:szCs w:val="24"/>
              </w:rPr>
              <w:t>Abdera</w:t>
            </w:r>
            <w:proofErr w:type="spellEnd"/>
            <w:r>
              <w:rPr>
                <w:rFonts w:ascii="Times New Roman" w:hAnsi="Times New Roman" w:cs="Times New Roman"/>
                <w:i/>
                <w:iCs/>
                <w:sz w:val="24"/>
                <w:szCs w:val="24"/>
              </w:rPr>
              <w:t xml:space="preserve"> (c. </w:t>
            </w:r>
            <w:proofErr w:type="gramStart"/>
            <w:r>
              <w:rPr>
                <w:rFonts w:ascii="Times New Roman" w:hAnsi="Times New Roman" w:cs="Times New Roman"/>
                <w:i/>
                <w:iCs/>
                <w:sz w:val="24"/>
                <w:szCs w:val="24"/>
              </w:rPr>
              <w:t>460  -</w:t>
            </w:r>
            <w:proofErr w:type="gramEnd"/>
            <w:r>
              <w:rPr>
                <w:rFonts w:ascii="Times New Roman" w:hAnsi="Times New Roman" w:cs="Times New Roman"/>
                <w:i/>
                <w:iCs/>
                <w:sz w:val="24"/>
                <w:szCs w:val="24"/>
              </w:rPr>
              <w:t xml:space="preserve">  370 a.C.)</w:t>
            </w:r>
            <w:r>
              <w:rPr>
                <w:rFonts w:ascii="Times New Roman" w:eastAsiaTheme="majorEastAsia" w:hAnsi="Times New Roman" w:cs="Times New Roman"/>
                <w:i/>
                <w:iCs/>
                <w:sz w:val="24"/>
                <w:szCs w:val="24"/>
              </w:rPr>
              <w:t>: O Filósofo do Bom Ânimo</w:t>
            </w:r>
          </w:p>
        </w:tc>
      </w:tr>
    </w:tbl>
    <w:p w14:paraId="4A3AD33F" w14:textId="77777777" w:rsidR="0003312E" w:rsidRDefault="0003312E">
      <w:pPr>
        <w:pStyle w:val="NormalWeb"/>
        <w:spacing w:beforeAutospacing="0" w:after="0" w:afterAutospacing="0" w:line="360" w:lineRule="auto"/>
        <w:ind w:firstLine="709"/>
        <w:jc w:val="both"/>
        <w:rPr>
          <w:rFonts w:eastAsia="Segoe UI"/>
          <w:sz w:val="24"/>
          <w:lang w:val="pt-BR"/>
        </w:rPr>
      </w:pPr>
    </w:p>
    <w:p w14:paraId="4DC6F360"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Eutimia em Poucas Palavras</w:t>
      </w:r>
    </w:p>
    <w:p w14:paraId="64737B65"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O conceito de eutimia nos convida a explorar uma ideia tão antiga quanto fundamental para o bem-estar humano. Para compreendê-la em toda a sua riqueza, percorreremos quatro dimensões interligadas que, juntas, revelam a profundidade e a atualidade deste construto.</w:t>
      </w:r>
      <w:r>
        <w:rPr>
          <w:rFonts w:eastAsia="Segoe UI"/>
          <w:sz w:val="24"/>
          <w:shd w:val="clear" w:color="auto" w:fill="FFFFFF"/>
          <w:lang w:val="pt-BR"/>
        </w:rPr>
        <w:br/>
        <w:t xml:space="preserve">A jornada inicia-se pela origem etimológica, onde descobrimos que o termo grego </w:t>
      </w:r>
      <w:proofErr w:type="spellStart"/>
      <w:r>
        <w:rPr>
          <w:rFonts w:eastAsia="Segoe UI"/>
          <w:sz w:val="24"/>
          <w:shd w:val="clear" w:color="auto" w:fill="FFFFFF"/>
        </w:rPr>
        <w:t>εὐθυμί</w:t>
      </w:r>
      <w:proofErr w:type="spellEnd"/>
      <w:r>
        <w:rPr>
          <w:rFonts w:eastAsia="Segoe UI"/>
          <w:sz w:val="24"/>
          <w:shd w:val="clear" w:color="auto" w:fill="FFFFFF"/>
        </w:rPr>
        <w:t>α</w:t>
      </w:r>
      <w:r>
        <w:rPr>
          <w:rFonts w:eastAsia="Segoe UI"/>
          <w:sz w:val="24"/>
          <w:shd w:val="clear" w:color="auto" w:fill="FFFFFF"/>
          <w:lang w:val="pt-BR"/>
        </w:rPr>
        <w:t xml:space="preserve"> (</w:t>
      </w:r>
      <w:proofErr w:type="spellStart"/>
      <w:r>
        <w:rPr>
          <w:rFonts w:eastAsia="Segoe UI"/>
          <w:sz w:val="24"/>
          <w:shd w:val="clear" w:color="auto" w:fill="FFFFFF"/>
          <w:lang w:val="pt-BR"/>
        </w:rPr>
        <w:t>euthymia</w:t>
      </w:r>
      <w:proofErr w:type="spellEnd"/>
      <w:r>
        <w:rPr>
          <w:rFonts w:eastAsia="Segoe UI"/>
          <w:sz w:val="24"/>
          <w:shd w:val="clear" w:color="auto" w:fill="FFFFFF"/>
          <w:lang w:val="pt-BR"/>
        </w:rPr>
        <w:t>) significa literalmente "bom estado da alma" - uma definição que já carrega em si uma sabedoria profunda sobre o equilíbrio interior. Em seguida, a jornada histórica nos guia desde as reflexões dos filósofos gregos, como Demócrito, até os avanços da psicologia contemporânea, mostrando como este conceito foi redescoberto e reformulado pela ciência moderna. A terceira dimensão desvenda os fundamentos neurocientíficos por trás desse estado de equilíbrio, explicando as bases cerebrais do bem-estar. Por fim, a dimensão filosófica nos apresenta a eutimia não como um conceito abstrato, mas como um ideal tangível de vida plena e serena.</w:t>
      </w:r>
    </w:p>
    <w:p w14:paraId="3D51C382"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Esta visão integrada é perfeitamente capturada pela imagem que abre este capítulo. Como uma árvore que brota de um antigo vaso grego - ostentando a palavra </w:t>
      </w:r>
      <w:r>
        <w:rPr>
          <w:rFonts w:eastAsia="Segoe UI"/>
          <w:sz w:val="24"/>
          <w:shd w:val="clear" w:color="auto" w:fill="FFFFFF"/>
        </w:rPr>
        <w:t>ΕΥΘΥΜΙΑ</w:t>
      </w:r>
      <w:r>
        <w:rPr>
          <w:rFonts w:eastAsia="Segoe UI"/>
          <w:sz w:val="24"/>
          <w:shd w:val="clear" w:color="auto" w:fill="FFFFFF"/>
          <w:lang w:val="pt-BR"/>
        </w:rPr>
        <w:t xml:space="preserve"> -, suas raízes mergulham no solo fértil da filosofia antiga. Seu tronco entrelaça-se com os critérios de saúde mental positiva de Marie </w:t>
      </w:r>
      <w:proofErr w:type="spellStart"/>
      <w:r>
        <w:rPr>
          <w:rFonts w:eastAsia="Segoe UI"/>
          <w:sz w:val="24"/>
          <w:shd w:val="clear" w:color="auto" w:fill="FFFFFF"/>
          <w:lang w:val="pt-BR"/>
        </w:rPr>
        <w:t>Jahoda</w:t>
      </w:r>
      <w:proofErr w:type="spellEnd"/>
      <w:r>
        <w:rPr>
          <w:rFonts w:eastAsia="Segoe UI"/>
          <w:sz w:val="24"/>
          <w:shd w:val="clear" w:color="auto" w:fill="FFFFFF"/>
          <w:lang w:val="pt-BR"/>
        </w:rPr>
        <w:t xml:space="preserve">, e sua copa frondosa e equilibrada representa os três pilares modernos da eutimia clínica: flexibilidade, consistência e resiliência. Esta metáfora visual encapsula perfeitamente a trajetória que exploraremos - das origens filosóficas mais profundas à sua expressão como um alvo científico na saúde mental contemporânea, </w:t>
      </w:r>
      <w:r>
        <w:rPr>
          <w:rFonts w:eastAsia="Segoe UI"/>
          <w:sz w:val="24"/>
          <w:shd w:val="clear" w:color="auto" w:fill="FFFFFF"/>
          <w:lang w:val="pt-BR"/>
        </w:rPr>
        <w:lastRenderedPageBreak/>
        <w:t>demonstrando como a eutimia consegue a proeza de unir a sabedoria antiga com os conhecimentos da ciência moderna.</w:t>
      </w:r>
    </w:p>
    <w:p w14:paraId="04C628B3"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4113FFAB"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As Dimensões da Eutimia: Uma Visão Integrada</w:t>
      </w:r>
    </w:p>
    <w:p w14:paraId="37441624"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1. Gênese e Jornada Histórica: A Dimensão Etimológica e Semântica</w:t>
      </w:r>
      <w:r>
        <w:rPr>
          <w:rFonts w:eastAsia="Segoe UI"/>
          <w:sz w:val="24"/>
          <w:shd w:val="clear" w:color="auto" w:fill="FFFFFF"/>
          <w:lang w:val="pt-BR"/>
        </w:rPr>
        <w:br/>
        <w:t xml:space="preserve">Compreender a eutimia exige uma análise etimológica profunda, que revele a riqueza semântica perdida em sua tradução clínica superficial. A palavra deriva do grego </w:t>
      </w:r>
      <w:proofErr w:type="spellStart"/>
      <w:r>
        <w:rPr>
          <w:rFonts w:eastAsia="Segoe UI"/>
          <w:sz w:val="24"/>
          <w:shd w:val="clear" w:color="auto" w:fill="FFFFFF"/>
        </w:rPr>
        <w:t>εὐθυμί</w:t>
      </w:r>
      <w:proofErr w:type="spellEnd"/>
      <w:r>
        <w:rPr>
          <w:rFonts w:eastAsia="Segoe UI"/>
          <w:sz w:val="24"/>
          <w:shd w:val="clear" w:color="auto" w:fill="FFFFFF"/>
        </w:rPr>
        <w:t>α</w:t>
      </w:r>
      <w:r>
        <w:rPr>
          <w:rFonts w:eastAsia="Segoe UI"/>
          <w:sz w:val="24"/>
          <w:shd w:val="clear" w:color="auto" w:fill="FFFFFF"/>
          <w:lang w:val="pt-BR"/>
        </w:rPr>
        <w:t xml:space="preserve"> (</w:t>
      </w:r>
      <w:proofErr w:type="spellStart"/>
      <w:r>
        <w:rPr>
          <w:rFonts w:eastAsia="Segoe UI"/>
          <w:sz w:val="24"/>
          <w:shd w:val="clear" w:color="auto" w:fill="FFFFFF"/>
          <w:lang w:val="pt-BR"/>
        </w:rPr>
        <w:t>euthymia</w:t>
      </w:r>
      <w:proofErr w:type="spellEnd"/>
      <w:r>
        <w:rPr>
          <w:rFonts w:eastAsia="Segoe UI"/>
          <w:sz w:val="24"/>
          <w:shd w:val="clear" w:color="auto" w:fill="FFFFFF"/>
          <w:lang w:val="pt-BR"/>
        </w:rPr>
        <w:t>), composta por dois elementos fundamentais: o prefixo eu- (</w:t>
      </w:r>
      <w:proofErr w:type="spellStart"/>
      <w:r>
        <w:rPr>
          <w:rFonts w:eastAsia="Segoe UI"/>
          <w:sz w:val="24"/>
          <w:shd w:val="clear" w:color="auto" w:fill="FFFFFF"/>
        </w:rPr>
        <w:t>εὖ</w:t>
      </w:r>
      <w:proofErr w:type="spellEnd"/>
      <w:r>
        <w:rPr>
          <w:rFonts w:eastAsia="Segoe UI"/>
          <w:sz w:val="24"/>
          <w:shd w:val="clear" w:color="auto" w:fill="FFFFFF"/>
          <w:lang w:val="pt-BR"/>
        </w:rPr>
        <w:t>), que significa "bom", "bem", "ideal", "próspero"; e o radical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w:t>
      </w:r>
      <w:proofErr w:type="spellStart"/>
      <w:r>
        <w:rPr>
          <w:rFonts w:eastAsia="Segoe UI"/>
          <w:sz w:val="24"/>
          <w:shd w:val="clear" w:color="auto" w:fill="FFFFFF"/>
        </w:rPr>
        <w:t>θυμός</w:t>
      </w:r>
      <w:proofErr w:type="spellEnd"/>
      <w:r>
        <w:rPr>
          <w:rFonts w:eastAsia="Segoe UI"/>
          <w:sz w:val="24"/>
          <w:shd w:val="clear" w:color="auto" w:fill="FFFFFF"/>
          <w:lang w:val="pt-BR"/>
        </w:rPr>
        <w:t xml:space="preserve">), um termo de complexidade vasta que abrange a alma como sede da vida, o mundo das emoções e paixões, a força motriz da vontade e aspectos que podemos considerar </w:t>
      </w:r>
      <w:proofErr w:type="spellStart"/>
      <w:r>
        <w:rPr>
          <w:rFonts w:eastAsia="Segoe UI"/>
          <w:sz w:val="24"/>
          <w:shd w:val="clear" w:color="auto" w:fill="FFFFFF"/>
          <w:lang w:val="pt-BR"/>
        </w:rPr>
        <w:t>proto-cognitivos</w:t>
      </w:r>
      <w:proofErr w:type="spellEnd"/>
      <w:r>
        <w:rPr>
          <w:rFonts w:eastAsia="Segoe UI"/>
          <w:sz w:val="24"/>
          <w:shd w:val="clear" w:color="auto" w:fill="FFFFFF"/>
          <w:lang w:val="pt-BR"/>
        </w:rPr>
        <w:t xml:space="preserve">, como intenção e propósito. Literalmente, </w:t>
      </w:r>
      <w:proofErr w:type="spellStart"/>
      <w:r>
        <w:rPr>
          <w:rFonts w:eastAsia="Segoe UI"/>
          <w:sz w:val="24"/>
          <w:shd w:val="clear" w:color="auto" w:fill="FFFFFF"/>
          <w:lang w:val="pt-BR"/>
        </w:rPr>
        <w:t>euthymia</w:t>
      </w:r>
      <w:proofErr w:type="spellEnd"/>
      <w:r>
        <w:rPr>
          <w:rFonts w:eastAsia="Segoe UI"/>
          <w:sz w:val="24"/>
          <w:shd w:val="clear" w:color="auto" w:fill="FFFFFF"/>
          <w:lang w:val="pt-BR"/>
        </w:rPr>
        <w:t xml:space="preserve"> significa "um bom estado de todo o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 um bem-estar integral que abrange as dimensões emocional, volitiva e cognitiva. O verbo </w:t>
      </w:r>
      <w:proofErr w:type="spellStart"/>
      <w:r>
        <w:rPr>
          <w:rFonts w:eastAsia="Segoe UI"/>
          <w:sz w:val="24"/>
          <w:shd w:val="clear" w:color="auto" w:fill="FFFFFF"/>
          <w:lang w:val="pt-BR"/>
        </w:rPr>
        <w:t>euthymeo</w:t>
      </w:r>
      <w:proofErr w:type="spellEnd"/>
      <w:r>
        <w:rPr>
          <w:rFonts w:eastAsia="Segoe UI"/>
          <w:sz w:val="24"/>
          <w:shd w:val="clear" w:color="auto" w:fill="FFFFFF"/>
          <w:lang w:val="pt-BR"/>
        </w:rPr>
        <w:t xml:space="preserve"> revela ainda mais sua profundidade, significando tanto "estar de bom humor, alegre" quanto "encorajar, tranquilizar alguém".</w:t>
      </w:r>
      <w:r>
        <w:rPr>
          <w:rFonts w:eastAsia="Segoe UI"/>
          <w:sz w:val="24"/>
          <w:shd w:val="clear" w:color="auto" w:fill="FFFFFF"/>
          <w:lang w:val="pt-BR"/>
        </w:rPr>
        <w:br/>
        <w:t xml:space="preserve">O conceito de </w:t>
      </w:r>
      <w:proofErr w:type="spellStart"/>
      <w:r>
        <w:rPr>
          <w:rFonts w:eastAsia="Segoe UI"/>
          <w:sz w:val="24"/>
          <w:shd w:val="clear" w:color="auto" w:fill="FFFFFF"/>
          <w:lang w:val="pt-BR"/>
        </w:rPr>
        <w:t>euthymía</w:t>
      </w:r>
      <w:proofErr w:type="spellEnd"/>
      <w:r>
        <w:rPr>
          <w:rFonts w:eastAsia="Segoe UI"/>
          <w:sz w:val="24"/>
          <w:shd w:val="clear" w:color="auto" w:fill="FFFFFF"/>
          <w:lang w:val="pt-BR"/>
        </w:rPr>
        <w:t xml:space="preserve"> (</w:t>
      </w:r>
      <w:proofErr w:type="spellStart"/>
      <w:r>
        <w:rPr>
          <w:rFonts w:eastAsia="Segoe UI"/>
          <w:sz w:val="24"/>
          <w:shd w:val="clear" w:color="auto" w:fill="FFFFFF"/>
        </w:rPr>
        <w:t>εὐθυμί</w:t>
      </w:r>
      <w:proofErr w:type="spellEnd"/>
      <w:r>
        <w:rPr>
          <w:rFonts w:eastAsia="Segoe UI"/>
          <w:sz w:val="24"/>
          <w:shd w:val="clear" w:color="auto" w:fill="FFFFFF"/>
        </w:rPr>
        <w:t>α</w:t>
      </w:r>
      <w:r>
        <w:rPr>
          <w:rFonts w:eastAsia="Segoe UI"/>
          <w:sz w:val="24"/>
          <w:shd w:val="clear" w:color="auto" w:fill="FFFFFF"/>
          <w:lang w:val="pt-BR"/>
        </w:rPr>
        <w:t xml:space="preserve">) enraíza-se numa visão integral grega que unia corpo, mente e espírito. Seu significado transcende a noção simplista de "bom humor", emergindo da síntese entre </w:t>
      </w:r>
      <w:proofErr w:type="gramStart"/>
      <w:r>
        <w:rPr>
          <w:rFonts w:eastAsia="Segoe UI"/>
          <w:sz w:val="24"/>
          <w:shd w:val="clear" w:color="auto" w:fill="FFFFFF"/>
          <w:lang w:val="pt-BR"/>
        </w:rPr>
        <w:t>eu</w:t>
      </w:r>
      <w:proofErr w:type="gramEnd"/>
      <w:r>
        <w:rPr>
          <w:rFonts w:eastAsia="Segoe UI"/>
          <w:sz w:val="24"/>
          <w:shd w:val="clear" w:color="auto" w:fill="FFFFFF"/>
          <w:lang w:val="pt-BR"/>
        </w:rPr>
        <w:t>- (</w:t>
      </w:r>
      <w:proofErr w:type="spellStart"/>
      <w:r>
        <w:rPr>
          <w:rFonts w:eastAsia="Segoe UI"/>
          <w:sz w:val="24"/>
          <w:shd w:val="clear" w:color="auto" w:fill="FFFFFF"/>
        </w:rPr>
        <w:t>εὖ</w:t>
      </w:r>
      <w:proofErr w:type="spellEnd"/>
      <w:r>
        <w:rPr>
          <w:rFonts w:eastAsia="Segoe UI"/>
          <w:sz w:val="24"/>
          <w:shd w:val="clear" w:color="auto" w:fill="FFFFFF"/>
          <w:lang w:val="pt-BR"/>
        </w:rPr>
        <w:t>), que evoca uma ideia de bem, equilíbrio e plenitude, e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w:t>
      </w:r>
      <w:proofErr w:type="spellStart"/>
      <w:r>
        <w:rPr>
          <w:rFonts w:eastAsia="Segoe UI"/>
          <w:sz w:val="24"/>
          <w:shd w:val="clear" w:color="auto" w:fill="FFFFFF"/>
        </w:rPr>
        <w:t>θυμός</w:t>
      </w:r>
      <w:proofErr w:type="spellEnd"/>
      <w:r>
        <w:rPr>
          <w:rFonts w:eastAsia="Segoe UI"/>
          <w:sz w:val="24"/>
          <w:shd w:val="clear" w:color="auto" w:fill="FFFFFF"/>
          <w:lang w:val="pt-BR"/>
        </w:rPr>
        <w:t>), termo de profunda ressonância fisiológica e psíquica.</w:t>
      </w:r>
      <w:r>
        <w:rPr>
          <w:rFonts w:eastAsia="Segoe UI"/>
          <w:sz w:val="24"/>
          <w:shd w:val="clear" w:color="auto" w:fill="FFFFFF"/>
          <w:lang w:val="pt-BR"/>
        </w:rPr>
        <w:br/>
        <w:t xml:space="preserve">Crucialmente,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não era uma abstração. Referia-se à força vital palpável que se manifestava no peito - a sede das emoções fervorosas, da coragem e do ânimo. É desta concepção que deriva o nome da glândula timo (</w:t>
      </w:r>
      <w:proofErr w:type="spellStart"/>
      <w:r>
        <w:rPr>
          <w:rFonts w:eastAsia="Segoe UI"/>
          <w:sz w:val="24"/>
          <w:shd w:val="clear" w:color="auto" w:fill="FFFFFF"/>
        </w:rPr>
        <w:t>θύμος</w:t>
      </w:r>
      <w:proofErr w:type="spellEnd"/>
      <w:r>
        <w:rPr>
          <w:rFonts w:eastAsia="Segoe UI"/>
          <w:sz w:val="24"/>
          <w:shd w:val="clear" w:color="auto" w:fill="FFFFFF"/>
          <w:lang w:val="pt-BR"/>
        </w:rPr>
        <w:t xml:space="preserve">), situada anatomicamente nessa região, outrora considerada o </w:t>
      </w:r>
      <w:proofErr w:type="spellStart"/>
      <w:r>
        <w:rPr>
          <w:rFonts w:eastAsia="Segoe UI"/>
          <w:sz w:val="24"/>
          <w:shd w:val="clear" w:color="auto" w:fill="FFFFFF"/>
          <w:lang w:val="pt-BR"/>
        </w:rPr>
        <w:t>locus</w:t>
      </w:r>
      <w:proofErr w:type="spellEnd"/>
      <w:r>
        <w:rPr>
          <w:rFonts w:eastAsia="Segoe UI"/>
          <w:sz w:val="24"/>
          <w:shd w:val="clear" w:color="auto" w:fill="FFFFFF"/>
          <w:lang w:val="pt-BR"/>
        </w:rPr>
        <w:t xml:space="preserve"> físico onde residiam a paixão e a coragem.</w:t>
      </w:r>
      <w:r>
        <w:rPr>
          <w:rFonts w:eastAsia="Segoe UI"/>
          <w:sz w:val="24"/>
          <w:shd w:val="clear" w:color="auto" w:fill="FFFFFF"/>
          <w:lang w:val="pt-BR"/>
        </w:rPr>
        <w:br/>
        <w:t xml:space="preserve">Desse modo, a </w:t>
      </w:r>
      <w:proofErr w:type="spellStart"/>
      <w:r>
        <w:rPr>
          <w:rFonts w:eastAsia="Segoe UI"/>
          <w:sz w:val="24"/>
          <w:shd w:val="clear" w:color="auto" w:fill="FFFFFF"/>
          <w:lang w:val="pt-BR"/>
        </w:rPr>
        <w:t>euthymía</w:t>
      </w:r>
      <w:proofErr w:type="spellEnd"/>
      <w:r>
        <w:rPr>
          <w:rFonts w:eastAsia="Segoe UI"/>
          <w:sz w:val="24"/>
          <w:shd w:val="clear" w:color="auto" w:fill="FFFFFF"/>
          <w:lang w:val="pt-BR"/>
        </w:rPr>
        <w:t xml:space="preserve"> designava, originalmente, muito mais que um estado emocional passageiro. Ela representava a qualidade de um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bem-regulado - um equilíbrio vigoroso e harmonioso da vitalidade interior, no qual o indivíduo experimentava serenidade, fortaleza de espírito e uma conexão íntima com seu próprio sopro vital. O sufixo -ia consolida essa condição como uma qualidade duradoura da alma.</w:t>
      </w:r>
    </w:p>
    <w:p w14:paraId="4A1246CF"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Para compreender plenamente o significado do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é essencial contextualizá-lo na concepção grega da alma. Do ponto de vista filológico, o termo </w:t>
      </w:r>
      <w:proofErr w:type="spellStart"/>
      <w:r>
        <w:rPr>
          <w:rFonts w:eastAsia="Segoe UI"/>
          <w:sz w:val="24"/>
          <w:shd w:val="clear" w:color="auto" w:fill="FFFFFF"/>
          <w:lang w:val="pt-BR"/>
        </w:rPr>
        <w:t>thymós</w:t>
      </w:r>
      <w:proofErr w:type="spellEnd"/>
      <w:r>
        <w:rPr>
          <w:rFonts w:eastAsia="Segoe UI"/>
          <w:sz w:val="24"/>
          <w:shd w:val="clear" w:color="auto" w:fill="FFFFFF"/>
          <w:lang w:val="pt-BR"/>
        </w:rPr>
        <w:t xml:space="preserve"> está tradicionalmente associado ao ânimo, às emoções e à força vital, distinguindo-se da cognição racional, que os gregos atribuíam ao </w:t>
      </w:r>
      <w:proofErr w:type="spellStart"/>
      <w:r>
        <w:rPr>
          <w:rFonts w:eastAsia="Segoe UI"/>
          <w:sz w:val="24"/>
          <w:shd w:val="clear" w:color="auto" w:fill="FFFFFF"/>
          <w:lang w:val="pt-BR"/>
        </w:rPr>
        <w:t>nous</w:t>
      </w:r>
      <w:proofErr w:type="spellEnd"/>
      <w:r>
        <w:rPr>
          <w:rFonts w:eastAsia="Segoe UI"/>
          <w:sz w:val="24"/>
          <w:shd w:val="clear" w:color="auto" w:fill="FFFFFF"/>
          <w:lang w:val="pt-BR"/>
        </w:rPr>
        <w:t xml:space="preserve"> - a mente ou intelecto. Essa separação conceitual é fundamental para compreender a estrutura da alma na filosofia de Platão, especialmente em A República e </w:t>
      </w:r>
      <w:proofErr w:type="spellStart"/>
      <w:r>
        <w:rPr>
          <w:rFonts w:eastAsia="Segoe UI"/>
          <w:sz w:val="24"/>
          <w:shd w:val="clear" w:color="auto" w:fill="FFFFFF"/>
          <w:lang w:val="pt-BR"/>
        </w:rPr>
        <w:t>Fedro</w:t>
      </w:r>
      <w:proofErr w:type="spellEnd"/>
      <w:r>
        <w:rPr>
          <w:rFonts w:eastAsia="Segoe UI"/>
          <w:sz w:val="24"/>
          <w:shd w:val="clear" w:color="auto" w:fill="FFFFFF"/>
          <w:lang w:val="pt-BR"/>
        </w:rPr>
        <w:t xml:space="preserve">. Em A República, Platão apresenta a psique como composta por três partes: o </w:t>
      </w:r>
      <w:proofErr w:type="spellStart"/>
      <w:r>
        <w:rPr>
          <w:rFonts w:eastAsia="Segoe UI"/>
          <w:sz w:val="24"/>
          <w:shd w:val="clear" w:color="auto" w:fill="FFFFFF"/>
          <w:lang w:val="pt-BR"/>
        </w:rPr>
        <w:t>logistikon</w:t>
      </w:r>
      <w:proofErr w:type="spellEnd"/>
      <w:r>
        <w:rPr>
          <w:rFonts w:eastAsia="Segoe UI"/>
          <w:sz w:val="24"/>
          <w:shd w:val="clear" w:color="auto" w:fill="FFFFFF"/>
          <w:lang w:val="pt-BR"/>
        </w:rPr>
        <w:t xml:space="preserve">, </w:t>
      </w:r>
      <w:r>
        <w:rPr>
          <w:rFonts w:eastAsia="Segoe UI"/>
          <w:sz w:val="24"/>
          <w:shd w:val="clear" w:color="auto" w:fill="FFFFFF"/>
          <w:lang w:val="pt-BR"/>
        </w:rPr>
        <w:lastRenderedPageBreak/>
        <w:t xml:space="preserve">responsável pela razão e pelo discernimento; o </w:t>
      </w:r>
      <w:proofErr w:type="spellStart"/>
      <w:r>
        <w:rPr>
          <w:rFonts w:eastAsia="Segoe UI"/>
          <w:sz w:val="24"/>
          <w:shd w:val="clear" w:color="auto" w:fill="FFFFFF"/>
          <w:lang w:val="pt-BR"/>
        </w:rPr>
        <w:t>thymós</w:t>
      </w:r>
      <w:proofErr w:type="spellEnd"/>
      <w:r>
        <w:rPr>
          <w:rFonts w:eastAsia="Segoe UI"/>
          <w:sz w:val="24"/>
          <w:shd w:val="clear" w:color="auto" w:fill="FFFFFF"/>
          <w:lang w:val="pt-BR"/>
        </w:rPr>
        <w:t xml:space="preserve">, ligado à coragem, à indignação justa e à energia emocional; e a </w:t>
      </w:r>
      <w:proofErr w:type="spellStart"/>
      <w:r>
        <w:rPr>
          <w:rFonts w:eastAsia="Segoe UI"/>
          <w:sz w:val="24"/>
          <w:shd w:val="clear" w:color="auto" w:fill="FFFFFF"/>
          <w:lang w:val="pt-BR"/>
        </w:rPr>
        <w:t>epithymía</w:t>
      </w:r>
      <w:proofErr w:type="spellEnd"/>
      <w:r>
        <w:rPr>
          <w:rFonts w:eastAsia="Segoe UI"/>
          <w:sz w:val="24"/>
          <w:shd w:val="clear" w:color="auto" w:fill="FFFFFF"/>
          <w:lang w:val="pt-BR"/>
        </w:rPr>
        <w:t>, que governa os desejos e apetites sensíveis.</w:t>
      </w:r>
    </w:p>
    <w:p w14:paraId="3A3343F9"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Giovanni </w:t>
      </w:r>
      <w:proofErr w:type="spellStart"/>
      <w:r>
        <w:rPr>
          <w:rFonts w:eastAsia="Segoe UI"/>
          <w:sz w:val="24"/>
          <w:shd w:val="clear" w:color="auto" w:fill="FFFFFF"/>
          <w:lang w:val="pt-BR"/>
        </w:rPr>
        <w:t>Casertano</w:t>
      </w:r>
      <w:proofErr w:type="spellEnd"/>
      <w:r>
        <w:rPr>
          <w:rFonts w:eastAsia="Segoe UI"/>
          <w:sz w:val="24"/>
          <w:shd w:val="clear" w:color="auto" w:fill="FFFFFF"/>
          <w:lang w:val="pt-BR"/>
        </w:rPr>
        <w:t xml:space="preserve"> (2022), em estudo dedicado aos pré-socráticos, argumenta que essa tripartição não surgiu com Platão, mas já se esboçaria em pensadores como Heráclito, Empédocles e os pitagóricos. Segundo </w:t>
      </w:r>
      <w:proofErr w:type="spellStart"/>
      <w:r>
        <w:rPr>
          <w:rFonts w:eastAsia="Segoe UI"/>
          <w:sz w:val="24"/>
          <w:shd w:val="clear" w:color="auto" w:fill="FFFFFF"/>
          <w:lang w:val="pt-BR"/>
        </w:rPr>
        <w:t>Casertano</w:t>
      </w:r>
      <w:proofErr w:type="spellEnd"/>
      <w:r>
        <w:rPr>
          <w:rFonts w:eastAsia="Segoe UI"/>
          <w:sz w:val="24"/>
          <w:shd w:val="clear" w:color="auto" w:fill="FFFFFF"/>
          <w:lang w:val="pt-BR"/>
        </w:rPr>
        <w:t xml:space="preserve">, esses autores reconheciam uma diferenciação funcional na alma: o </w:t>
      </w:r>
      <w:proofErr w:type="spellStart"/>
      <w:r>
        <w:rPr>
          <w:rFonts w:eastAsia="Segoe UI"/>
          <w:sz w:val="24"/>
          <w:shd w:val="clear" w:color="auto" w:fill="FFFFFF"/>
          <w:lang w:val="pt-BR"/>
        </w:rPr>
        <w:t>thymós</w:t>
      </w:r>
      <w:proofErr w:type="spellEnd"/>
      <w:r>
        <w:rPr>
          <w:rFonts w:eastAsia="Segoe UI"/>
          <w:sz w:val="24"/>
          <w:shd w:val="clear" w:color="auto" w:fill="FFFFFF"/>
          <w:lang w:val="pt-BR"/>
        </w:rPr>
        <w:t xml:space="preserve"> como força volitiva e emocional, o </w:t>
      </w:r>
      <w:proofErr w:type="spellStart"/>
      <w:r>
        <w:rPr>
          <w:rFonts w:eastAsia="Segoe UI"/>
          <w:sz w:val="24"/>
          <w:shd w:val="clear" w:color="auto" w:fill="FFFFFF"/>
          <w:lang w:val="pt-BR"/>
        </w:rPr>
        <w:t>logistikon</w:t>
      </w:r>
      <w:proofErr w:type="spellEnd"/>
      <w:r>
        <w:rPr>
          <w:rFonts w:eastAsia="Segoe UI"/>
          <w:sz w:val="24"/>
          <w:shd w:val="clear" w:color="auto" w:fill="FFFFFF"/>
          <w:lang w:val="pt-BR"/>
        </w:rPr>
        <w:t xml:space="preserve"> - equivalente ao </w:t>
      </w:r>
      <w:proofErr w:type="spellStart"/>
      <w:r>
        <w:rPr>
          <w:rFonts w:eastAsia="Segoe UI"/>
          <w:sz w:val="24"/>
          <w:shd w:val="clear" w:color="auto" w:fill="FFFFFF"/>
          <w:lang w:val="pt-BR"/>
        </w:rPr>
        <w:t>nous</w:t>
      </w:r>
      <w:proofErr w:type="spellEnd"/>
      <w:r>
        <w:rPr>
          <w:rFonts w:eastAsia="Segoe UI"/>
          <w:sz w:val="24"/>
          <w:shd w:val="clear" w:color="auto" w:fill="FFFFFF"/>
          <w:lang w:val="pt-BR"/>
        </w:rPr>
        <w:t xml:space="preserve"> - como sede da razão, e a </w:t>
      </w:r>
      <w:proofErr w:type="spellStart"/>
      <w:r>
        <w:rPr>
          <w:rFonts w:eastAsia="Segoe UI"/>
          <w:sz w:val="24"/>
          <w:shd w:val="clear" w:color="auto" w:fill="FFFFFF"/>
          <w:lang w:val="pt-BR"/>
        </w:rPr>
        <w:t>epithymía</w:t>
      </w:r>
      <w:proofErr w:type="spellEnd"/>
      <w:r>
        <w:rPr>
          <w:rFonts w:eastAsia="Segoe UI"/>
          <w:sz w:val="24"/>
          <w:shd w:val="clear" w:color="auto" w:fill="FFFFFF"/>
          <w:lang w:val="pt-BR"/>
        </w:rPr>
        <w:t xml:space="preserve"> como expressão dos apetites corporais. Vale notar que esta interpretação é debatida entre especialistas, pois a evidência de uma teoria formalmente tripartite antes de Platão não é consensual. Platão, ao formalizar essa estrutura, dialoga com uma tradição filosófica anterior que já intuía a complexidade da vida psíquica (CASERTANO, 2022).</w:t>
      </w:r>
    </w:p>
    <w:p w14:paraId="5BC379F4"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A leitura contemporânea que atribui ao </w:t>
      </w:r>
      <w:proofErr w:type="spellStart"/>
      <w:r>
        <w:rPr>
          <w:rFonts w:eastAsia="Segoe UI"/>
          <w:sz w:val="24"/>
          <w:shd w:val="clear" w:color="auto" w:fill="FFFFFF"/>
          <w:lang w:val="pt-BR"/>
        </w:rPr>
        <w:t>thymós</w:t>
      </w:r>
      <w:proofErr w:type="spellEnd"/>
      <w:r>
        <w:rPr>
          <w:rFonts w:eastAsia="Segoe UI"/>
          <w:sz w:val="24"/>
          <w:shd w:val="clear" w:color="auto" w:fill="FFFFFF"/>
          <w:lang w:val="pt-BR"/>
        </w:rPr>
        <w:t xml:space="preserve"> uma dimensão cognitiva pode ser válida como ampliação interpretativa, embora deva ser reconhecido que o </w:t>
      </w:r>
      <w:proofErr w:type="spellStart"/>
      <w:r>
        <w:rPr>
          <w:rFonts w:eastAsia="Segoe UI"/>
          <w:sz w:val="24"/>
          <w:shd w:val="clear" w:color="auto" w:fill="FFFFFF"/>
          <w:lang w:val="pt-BR"/>
        </w:rPr>
        <w:t>thymós</w:t>
      </w:r>
      <w:proofErr w:type="spellEnd"/>
      <w:r>
        <w:rPr>
          <w:rFonts w:eastAsia="Segoe UI"/>
          <w:sz w:val="24"/>
          <w:shd w:val="clear" w:color="auto" w:fill="FFFFFF"/>
          <w:lang w:val="pt-BR"/>
        </w:rPr>
        <w:t xml:space="preserve"> não se reduz à racionalidade do </w:t>
      </w:r>
      <w:proofErr w:type="spellStart"/>
      <w:r>
        <w:rPr>
          <w:rFonts w:eastAsia="Segoe UI"/>
          <w:sz w:val="24"/>
          <w:shd w:val="clear" w:color="auto" w:fill="FFFFFF"/>
          <w:lang w:val="pt-BR"/>
        </w:rPr>
        <w:t>nous</w:t>
      </w:r>
      <w:proofErr w:type="spellEnd"/>
      <w:r>
        <w:rPr>
          <w:rFonts w:eastAsia="Segoe UI"/>
          <w:sz w:val="24"/>
          <w:shd w:val="clear" w:color="auto" w:fill="FFFFFF"/>
          <w:lang w:val="pt-BR"/>
        </w:rPr>
        <w:t>, possuindo antes aspectos que envolvem processos mentais mais básicos.</w:t>
      </w:r>
    </w:p>
    <w:p w14:paraId="752A5EF4"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Este significado primordial, porém, foi empobrecido ao longo do século XX, quando a psiquiatria reduziu o termo a uma mera definição negativa: a simples ausência de sintomas de humor. Este capítulo, no entanto, advoga pelo resgate dessa concepção original, como veremos na seção a seguir.</w:t>
      </w:r>
    </w:p>
    <w:p w14:paraId="7589A442"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59E1C342" w14:textId="450CA3B0" w:rsidR="00327D76" w:rsidRDefault="00000000" w:rsidP="00860E9E">
      <w:pPr>
        <w:pStyle w:val="NormalWeb"/>
        <w:numPr>
          <w:ilvl w:val="0"/>
          <w:numId w:val="3"/>
        </w:numPr>
        <w:spacing w:beforeAutospacing="0" w:after="0" w:afterAutospacing="0" w:line="360" w:lineRule="auto"/>
        <w:ind w:left="0" w:firstLine="709"/>
        <w:jc w:val="both"/>
        <w:rPr>
          <w:rFonts w:eastAsia="Segoe UI"/>
          <w:sz w:val="24"/>
          <w:shd w:val="clear" w:color="auto" w:fill="FFFFFF"/>
          <w:lang w:val="pt-BR"/>
        </w:rPr>
      </w:pPr>
      <w:r>
        <w:rPr>
          <w:rFonts w:eastAsia="Segoe UI"/>
          <w:b/>
          <w:bCs/>
          <w:sz w:val="24"/>
          <w:shd w:val="clear" w:color="auto" w:fill="FFFFFF"/>
          <w:lang w:val="pt-BR"/>
        </w:rPr>
        <w:t xml:space="preserve">Da </w:t>
      </w:r>
      <w:proofErr w:type="spellStart"/>
      <w:r w:rsidRPr="00327D76">
        <w:rPr>
          <w:rFonts w:eastAsia="Segoe UI"/>
          <w:b/>
          <w:bCs/>
          <w:i/>
          <w:iCs/>
          <w:sz w:val="24"/>
          <w:shd w:val="clear" w:color="auto" w:fill="FFFFFF"/>
          <w:lang w:val="pt-BR"/>
        </w:rPr>
        <w:t>Tranquillitas</w:t>
      </w:r>
      <w:proofErr w:type="spellEnd"/>
      <w:r w:rsidRPr="00327D76">
        <w:rPr>
          <w:rFonts w:eastAsia="Segoe UI"/>
          <w:b/>
          <w:bCs/>
          <w:i/>
          <w:iCs/>
          <w:sz w:val="24"/>
          <w:shd w:val="clear" w:color="auto" w:fill="FFFFFF"/>
          <w:lang w:val="pt-BR"/>
        </w:rPr>
        <w:t xml:space="preserve"> Animi</w:t>
      </w:r>
      <w:r>
        <w:rPr>
          <w:rFonts w:eastAsia="Segoe UI"/>
          <w:b/>
          <w:bCs/>
          <w:sz w:val="24"/>
          <w:shd w:val="clear" w:color="auto" w:fill="FFFFFF"/>
          <w:lang w:val="pt-BR"/>
        </w:rPr>
        <w:t xml:space="preserve"> à Ciência Clínica: A Dimensão Histórica</w:t>
      </w:r>
    </w:p>
    <w:p w14:paraId="77CCA36F" w14:textId="77777777" w:rsidR="00860E9E" w:rsidRDefault="00000000" w:rsidP="00860E9E">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A trajetória do conceito de eutimia é uma fascinante história de renascimento, uma ponte entre a sabedoria antiga e a precisão da ciência moderna. Tudo começou na Grécia Antiga, com Demócrito, que via a eutimia não como uma euforia passageira, mas como uma serenidade profunda, uma "quieta satisfação" conquistada através do autoconhecimento, da moderação e da libertação de temores infundados. Séculos mais tarde, em Roma, Sêneca traduziu essa ideia para o latim como </w:t>
      </w:r>
      <w:proofErr w:type="spellStart"/>
      <w:r>
        <w:rPr>
          <w:rFonts w:eastAsia="Segoe UI"/>
          <w:sz w:val="24"/>
          <w:shd w:val="clear" w:color="auto" w:fill="FFFFFF"/>
          <w:lang w:val="pt-BR"/>
        </w:rPr>
        <w:t>tranquillitas</w:t>
      </w:r>
      <w:proofErr w:type="spellEnd"/>
      <w:r>
        <w:rPr>
          <w:rFonts w:eastAsia="Segoe UI"/>
          <w:sz w:val="24"/>
          <w:shd w:val="clear" w:color="auto" w:fill="FFFFFF"/>
          <w:lang w:val="pt-BR"/>
        </w:rPr>
        <w:t xml:space="preserve"> animi – a tranquilidade da alma –, enfatizando que se tratava de um processo ativo de aprendizado e sabedoria prática, uma noção também explorada pelos estoicos com seus ideais de ataraxia.</w:t>
      </w:r>
    </w:p>
    <w:p w14:paraId="3C6F6E4A" w14:textId="668E2FCC" w:rsidR="0003312E" w:rsidRDefault="00000000" w:rsidP="00860E9E">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No entanto, após esse florescimento inicial, a eutimia praticamente desapareceu do vocabulário filosófico. Enquanto a medicina avançava, seu foco era quase exclusivamente a patologia, o que deixou o conceito de bem-estar positivo em segundo plano. Foi somente em 1958 que a psicóloga Marie </w:t>
      </w:r>
      <w:proofErr w:type="spellStart"/>
      <w:r>
        <w:rPr>
          <w:rFonts w:eastAsia="Segoe UI"/>
          <w:sz w:val="24"/>
          <w:shd w:val="clear" w:color="auto" w:fill="FFFFFF"/>
          <w:lang w:val="pt-BR"/>
        </w:rPr>
        <w:t>Jahoda</w:t>
      </w:r>
      <w:proofErr w:type="spellEnd"/>
      <w:r>
        <w:rPr>
          <w:rFonts w:eastAsia="Segoe UI"/>
          <w:sz w:val="24"/>
          <w:shd w:val="clear" w:color="auto" w:fill="FFFFFF"/>
          <w:lang w:val="pt-BR"/>
        </w:rPr>
        <w:t xml:space="preserve"> reacendeu a chama. Sem usar diretamente o termo "eutimia", ela argumentou, de forma revolucionária, que a saúde mental não podia ser definida apenas pela </w:t>
      </w:r>
      <w:r>
        <w:rPr>
          <w:rFonts w:eastAsia="Segoe UI"/>
          <w:sz w:val="24"/>
          <w:shd w:val="clear" w:color="auto" w:fill="FFFFFF"/>
          <w:lang w:val="pt-BR"/>
        </w:rPr>
        <w:lastRenderedPageBreak/>
        <w:t>ausência de doença, mas devia incluir elementos positivos como autonomia, propósito de vida e crescimento pessoal.</w:t>
      </w:r>
    </w:p>
    <w:p w14:paraId="19E6DF88" w14:textId="77777777" w:rsidR="0003312E" w:rsidRDefault="00000000" w:rsidP="00860E9E">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Esta visão pioneira, porém, esbarrava na prática clínica tradicional, que definia a eutimia de forma muito restrita, como a simples ausência de sintomas de transtornos de humor. Era uma definição insuficiente, pois muitos pacientes considerados "curados" ainda não conseguiam experimentar um bem-estar psicológico pleno. Para superar essa limitação, Carol Ryff, no final da década de 1980, criou as escalas de Bem-Estar Psicológico, transformando os critérios teóricos de </w:t>
      </w:r>
      <w:proofErr w:type="spellStart"/>
      <w:r>
        <w:rPr>
          <w:rFonts w:eastAsia="Segoe UI"/>
          <w:sz w:val="24"/>
          <w:shd w:val="clear" w:color="auto" w:fill="FFFFFF"/>
          <w:lang w:val="pt-BR"/>
        </w:rPr>
        <w:t>Jahoda</w:t>
      </w:r>
      <w:proofErr w:type="spellEnd"/>
      <w:r>
        <w:rPr>
          <w:rFonts w:eastAsia="Segoe UI"/>
          <w:sz w:val="24"/>
          <w:shd w:val="clear" w:color="auto" w:fill="FFFFFF"/>
          <w:lang w:val="pt-BR"/>
        </w:rPr>
        <w:t xml:space="preserve"> em uma ferramenta mensurável. Paralelamente, pesquisadores como </w:t>
      </w:r>
      <w:proofErr w:type="spellStart"/>
      <w:r>
        <w:rPr>
          <w:rFonts w:eastAsia="Segoe UI"/>
          <w:sz w:val="24"/>
          <w:shd w:val="clear" w:color="auto" w:fill="FFFFFF"/>
          <w:lang w:val="pt-BR"/>
        </w:rPr>
        <w:t>Garamoni</w:t>
      </w:r>
      <w:proofErr w:type="spellEnd"/>
      <w:r>
        <w:rPr>
          <w:rFonts w:eastAsia="Segoe UI"/>
          <w:sz w:val="24"/>
          <w:shd w:val="clear" w:color="auto" w:fill="FFFFFF"/>
          <w:lang w:val="pt-BR"/>
        </w:rPr>
        <w:t xml:space="preserve"> refinavam a ideia, propondo que a eutimia era um equilíbrio dinâmico entre experiências positivas e negativas, e não uma positividade excessiva e irreal.</w:t>
      </w:r>
      <w:r>
        <w:rPr>
          <w:rFonts w:eastAsia="Segoe UI"/>
          <w:sz w:val="24"/>
          <w:shd w:val="clear" w:color="auto" w:fill="FFFFFF"/>
          <w:lang w:val="pt-BR"/>
        </w:rPr>
        <w:br/>
        <w:t xml:space="preserve">O marco decisivo para a </w:t>
      </w:r>
      <w:proofErr w:type="spellStart"/>
      <w:r>
        <w:rPr>
          <w:rFonts w:eastAsia="Segoe UI"/>
          <w:sz w:val="24"/>
          <w:shd w:val="clear" w:color="auto" w:fill="FFFFFF"/>
          <w:lang w:val="pt-BR"/>
        </w:rPr>
        <w:t>reconceitualização</w:t>
      </w:r>
      <w:proofErr w:type="spellEnd"/>
      <w:r>
        <w:rPr>
          <w:rFonts w:eastAsia="Segoe UI"/>
          <w:sz w:val="24"/>
          <w:shd w:val="clear" w:color="auto" w:fill="FFFFFF"/>
          <w:lang w:val="pt-BR"/>
        </w:rPr>
        <w:t xml:space="preserve"> moderna veio em 2016, com Fava e Bech. Eles declararam formalmente a insuficiência da definição puramente negativa e propuseram uma visão tripartite para a eutimia clínica. Segundo eles, o estado eutímico vai além da remissão de sintomas; ele incorpora a presença de afetos positivos (como alegria e interesse) e um bem-estar psicológico caracterizado por flexibilidade, consistência e, crucialmente, resiliência – a capacidade de resistir ao estresse. Esta visão consolidou-se como um mapa conceitual completo, liderado por Guidi e Fava em 2022, solidificando a eutimia como um alvo terapêutico tangível, conectando a filosofia ancestral aos mecanismos neurobiológicos e às intervenções clínicas do século </w:t>
      </w:r>
      <w:proofErr w:type="spellStart"/>
      <w:r>
        <w:rPr>
          <w:rFonts w:eastAsia="Segoe UI"/>
          <w:sz w:val="24"/>
          <w:shd w:val="clear" w:color="auto" w:fill="FFFFFF"/>
          <w:lang w:val="pt-BR"/>
        </w:rPr>
        <w:t>XXI.Como</w:t>
      </w:r>
      <w:proofErr w:type="spellEnd"/>
      <w:r>
        <w:rPr>
          <w:rFonts w:eastAsia="Segoe UI"/>
          <w:sz w:val="24"/>
          <w:shd w:val="clear" w:color="auto" w:fill="FFFFFF"/>
          <w:lang w:val="pt-BR"/>
        </w:rPr>
        <w:t xml:space="preserve"> sintetizam Fava e colaboradores (2021), a eutimia deve abandonar sua antiga condição de sinónimo de "humor normal". Em seu lugar, propõe-se uma visão expandida e ambiciosa, que incorpora o bem-estar psicológico, a resiliência emocional e a remissão completa de sintomas. Já não se trata apenas de não estar doente, mas de cultivar ativamente a saúde mental - transformando a eutimia na expressão tangível de uma vida psíquica plena e afirmativa.</w:t>
      </w:r>
    </w:p>
    <w:p w14:paraId="491A254B" w14:textId="77777777" w:rsidR="0003312E" w:rsidRDefault="0003312E" w:rsidP="00860E9E">
      <w:pPr>
        <w:pStyle w:val="NormalWeb"/>
        <w:spacing w:beforeAutospacing="0" w:after="0" w:afterAutospacing="0" w:line="360" w:lineRule="auto"/>
        <w:ind w:firstLine="709"/>
        <w:jc w:val="both"/>
        <w:rPr>
          <w:rFonts w:eastAsia="Segoe UI"/>
          <w:sz w:val="24"/>
          <w:shd w:val="clear" w:color="auto" w:fill="FFFFFF"/>
          <w:lang w:val="pt-BR"/>
        </w:rPr>
      </w:pPr>
    </w:p>
    <w:p w14:paraId="0B1593A1"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55CD31BF"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3BFA574F"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0DF45342"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712AD17B"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12B358F7"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0568CA2F"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2021275F"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lastRenderedPageBreak/>
        <w:t>Quadro 10.1 - Evolução Histórica do Conceito de Eutimia: Da Filosofia à Ciência Clínica</w:t>
      </w:r>
      <w:r>
        <w:rPr>
          <w:rFonts w:eastAsia="Segoe UI"/>
          <w:sz w:val="24"/>
          <w:shd w:val="clear" w:color="auto" w:fill="FFFFFF"/>
          <w:lang w:val="pt-BR"/>
        </w:rPr>
        <w:br/>
        <w:t xml:space="preserve">(Baseada na revisão de Fava &amp; Guidi (2020) - "The </w:t>
      </w:r>
      <w:proofErr w:type="spellStart"/>
      <w:r>
        <w:rPr>
          <w:rFonts w:eastAsia="Segoe UI"/>
          <w:sz w:val="24"/>
          <w:shd w:val="clear" w:color="auto" w:fill="FFFFFF"/>
          <w:lang w:val="pt-BR"/>
        </w:rPr>
        <w:t>Evolving</w:t>
      </w:r>
      <w:proofErr w:type="spellEnd"/>
      <w:r>
        <w:rPr>
          <w:rFonts w:eastAsia="Segoe UI"/>
          <w:sz w:val="24"/>
          <w:shd w:val="clear" w:color="auto" w:fill="FFFFFF"/>
          <w:lang w:val="pt-BR"/>
        </w:rPr>
        <w:t xml:space="preserve"> Science </w:t>
      </w:r>
      <w:proofErr w:type="spellStart"/>
      <w:r>
        <w:rPr>
          <w:rFonts w:eastAsia="Segoe UI"/>
          <w:sz w:val="24"/>
          <w:shd w:val="clear" w:color="auto" w:fill="FFFFFF"/>
          <w:lang w:val="pt-BR"/>
        </w:rPr>
        <w:t>of</w:t>
      </w:r>
      <w:proofErr w:type="spellEnd"/>
      <w:r>
        <w:rPr>
          <w:rFonts w:eastAsia="Segoe UI"/>
          <w:sz w:val="24"/>
          <w:shd w:val="clear" w:color="auto" w:fill="FFFFFF"/>
          <w:lang w:val="pt-BR"/>
        </w:rPr>
        <w:t xml:space="preserve"> </w:t>
      </w:r>
      <w:proofErr w:type="spellStart"/>
      <w:r>
        <w:rPr>
          <w:rFonts w:eastAsia="Segoe UI"/>
          <w:sz w:val="24"/>
          <w:shd w:val="clear" w:color="auto" w:fill="FFFFFF"/>
          <w:lang w:val="pt-BR"/>
        </w:rPr>
        <w:t>Euthymia</w:t>
      </w:r>
      <w:proofErr w:type="spellEnd"/>
      <w:r>
        <w:rPr>
          <w:rFonts w:eastAsia="Segoe UI"/>
          <w:sz w:val="24"/>
          <w:shd w:val="clear" w:color="auto" w:fill="FFFFFF"/>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04"/>
        <w:gridCol w:w="2331"/>
        <w:gridCol w:w="4526"/>
      </w:tblGrid>
      <w:tr w:rsidR="0003312E" w14:paraId="1AC52B64" w14:textId="77777777">
        <w:trPr>
          <w:tblHeader/>
        </w:trPr>
        <w:tc>
          <w:tcPr>
            <w:tcW w:w="0" w:type="auto"/>
            <w:tcMar>
              <w:top w:w="150" w:type="dxa"/>
              <w:left w:w="0" w:type="dxa"/>
              <w:bottom w:w="150" w:type="dxa"/>
              <w:right w:w="240" w:type="dxa"/>
            </w:tcMar>
            <w:vAlign w:val="center"/>
          </w:tcPr>
          <w:p w14:paraId="32F02721" w14:textId="77777777" w:rsidR="0003312E" w:rsidRDefault="00000000">
            <w:pPr>
              <w:pStyle w:val="NormalWeb"/>
              <w:spacing w:beforeAutospacing="0" w:after="0" w:afterAutospacing="0" w:line="240" w:lineRule="auto"/>
              <w:rPr>
                <w:rFonts w:eastAsia="Segoe UI"/>
                <w:b/>
                <w:bCs/>
                <w:sz w:val="20"/>
                <w:szCs w:val="20"/>
                <w:shd w:val="clear" w:color="auto" w:fill="FFFFFF"/>
              </w:rPr>
            </w:pPr>
            <w:proofErr w:type="spellStart"/>
            <w:r>
              <w:rPr>
                <w:rFonts w:eastAsia="Segoe UI"/>
                <w:b/>
                <w:bCs/>
                <w:sz w:val="20"/>
                <w:szCs w:val="20"/>
                <w:shd w:val="clear" w:color="auto" w:fill="FFFFFF"/>
              </w:rPr>
              <w:t>Época</w:t>
            </w:r>
            <w:proofErr w:type="spellEnd"/>
          </w:p>
        </w:tc>
        <w:tc>
          <w:tcPr>
            <w:tcW w:w="0" w:type="auto"/>
            <w:tcMar>
              <w:top w:w="150" w:type="dxa"/>
              <w:left w:w="240" w:type="dxa"/>
              <w:bottom w:w="150" w:type="dxa"/>
              <w:right w:w="240" w:type="dxa"/>
            </w:tcMar>
            <w:vAlign w:val="center"/>
          </w:tcPr>
          <w:p w14:paraId="4219D8A2" w14:textId="77777777" w:rsidR="0003312E" w:rsidRDefault="00000000">
            <w:pPr>
              <w:pStyle w:val="NormalWeb"/>
              <w:spacing w:beforeAutospacing="0" w:after="0" w:afterAutospacing="0" w:line="240" w:lineRule="auto"/>
              <w:rPr>
                <w:rFonts w:eastAsia="Segoe UI"/>
                <w:b/>
                <w:bCs/>
                <w:sz w:val="20"/>
                <w:szCs w:val="20"/>
                <w:shd w:val="clear" w:color="auto" w:fill="FFFFFF"/>
              </w:rPr>
            </w:pPr>
            <w:r>
              <w:rPr>
                <w:rFonts w:eastAsia="Segoe UI"/>
                <w:b/>
                <w:bCs/>
                <w:sz w:val="20"/>
                <w:szCs w:val="20"/>
                <w:shd w:val="clear" w:color="auto" w:fill="FFFFFF"/>
              </w:rPr>
              <w:t>Marco Histórico</w:t>
            </w:r>
          </w:p>
        </w:tc>
        <w:tc>
          <w:tcPr>
            <w:tcW w:w="0" w:type="auto"/>
            <w:tcMar>
              <w:top w:w="150" w:type="dxa"/>
              <w:left w:w="240" w:type="dxa"/>
              <w:bottom w:w="150" w:type="dxa"/>
              <w:right w:w="240" w:type="dxa"/>
            </w:tcMar>
            <w:vAlign w:val="center"/>
          </w:tcPr>
          <w:p w14:paraId="749888CE" w14:textId="77777777" w:rsidR="0003312E" w:rsidRDefault="00000000">
            <w:pPr>
              <w:pStyle w:val="NormalWeb"/>
              <w:spacing w:beforeAutospacing="0" w:after="0" w:afterAutospacing="0" w:line="240" w:lineRule="auto"/>
              <w:rPr>
                <w:rFonts w:eastAsia="Segoe UI"/>
                <w:b/>
                <w:bCs/>
                <w:sz w:val="20"/>
                <w:szCs w:val="20"/>
                <w:shd w:val="clear" w:color="auto" w:fill="FFFFFF"/>
                <w:lang w:val="pt-BR"/>
              </w:rPr>
            </w:pPr>
            <w:r>
              <w:rPr>
                <w:rFonts w:eastAsia="Segoe UI"/>
                <w:b/>
                <w:bCs/>
                <w:sz w:val="20"/>
                <w:szCs w:val="20"/>
                <w:shd w:val="clear" w:color="auto" w:fill="FFFFFF"/>
                <w:lang w:val="pt-BR"/>
              </w:rPr>
              <w:t>Contribuição para o Conceito de Eutimia</w:t>
            </w:r>
          </w:p>
        </w:tc>
      </w:tr>
      <w:tr w:rsidR="0003312E" w14:paraId="29FA851C" w14:textId="77777777">
        <w:tc>
          <w:tcPr>
            <w:tcW w:w="0" w:type="auto"/>
            <w:tcMar>
              <w:top w:w="150" w:type="dxa"/>
              <w:left w:w="0" w:type="dxa"/>
              <w:bottom w:w="150" w:type="dxa"/>
              <w:right w:w="240" w:type="dxa"/>
            </w:tcMar>
            <w:vAlign w:val="center"/>
          </w:tcPr>
          <w:p w14:paraId="191E6C2E" w14:textId="77777777" w:rsidR="0003312E" w:rsidRDefault="00000000">
            <w:pPr>
              <w:pStyle w:val="NormalWeb"/>
              <w:spacing w:beforeAutospacing="0" w:after="0" w:afterAutospacing="0" w:line="240" w:lineRule="auto"/>
              <w:rPr>
                <w:rFonts w:eastAsia="Segoe UI"/>
                <w:b/>
                <w:bCs/>
                <w:sz w:val="20"/>
                <w:szCs w:val="20"/>
                <w:shd w:val="clear" w:color="auto" w:fill="FFFFFF"/>
                <w:lang w:val="pt-BR"/>
              </w:rPr>
            </w:pPr>
            <w:r>
              <w:rPr>
                <w:rFonts w:eastAsia="Segoe UI"/>
                <w:b/>
                <w:bCs/>
                <w:sz w:val="20"/>
                <w:szCs w:val="20"/>
                <w:shd w:val="clear" w:color="auto" w:fill="FFFFFF"/>
                <w:lang w:val="pt-BR"/>
              </w:rPr>
              <w:t>Grécia Antiga (século V AEC)</w:t>
            </w:r>
          </w:p>
        </w:tc>
        <w:tc>
          <w:tcPr>
            <w:tcW w:w="0" w:type="auto"/>
            <w:tcMar>
              <w:top w:w="150" w:type="dxa"/>
              <w:left w:w="240" w:type="dxa"/>
              <w:bottom w:w="150" w:type="dxa"/>
              <w:right w:w="240" w:type="dxa"/>
            </w:tcMar>
            <w:vAlign w:val="center"/>
          </w:tcPr>
          <w:p w14:paraId="3F28D3D0" w14:textId="77777777" w:rsidR="0003312E" w:rsidRDefault="00000000">
            <w:pPr>
              <w:pStyle w:val="NormalWeb"/>
              <w:spacing w:beforeAutospacing="0" w:after="0" w:afterAutospacing="0" w:line="240" w:lineRule="auto"/>
              <w:rPr>
                <w:rFonts w:eastAsia="Segoe UI"/>
                <w:sz w:val="20"/>
                <w:szCs w:val="20"/>
                <w:shd w:val="clear" w:color="auto" w:fill="FFFFFF"/>
              </w:rPr>
            </w:pPr>
            <w:proofErr w:type="spellStart"/>
            <w:r>
              <w:rPr>
                <w:rFonts w:eastAsia="Segoe UI"/>
                <w:sz w:val="20"/>
                <w:szCs w:val="20"/>
                <w:shd w:val="clear" w:color="auto" w:fill="FFFFFF"/>
              </w:rPr>
              <w:t>Demócrito</w:t>
            </w:r>
            <w:proofErr w:type="spellEnd"/>
            <w:r>
              <w:rPr>
                <w:rFonts w:eastAsia="Segoe UI"/>
                <w:sz w:val="20"/>
                <w:szCs w:val="20"/>
                <w:shd w:val="clear" w:color="auto" w:fill="FFFFFF"/>
              </w:rPr>
              <w:t xml:space="preserve"> (c. 460-370 AEC)</w:t>
            </w:r>
          </w:p>
        </w:tc>
        <w:tc>
          <w:tcPr>
            <w:tcW w:w="0" w:type="auto"/>
            <w:tcMar>
              <w:top w:w="150" w:type="dxa"/>
              <w:left w:w="240" w:type="dxa"/>
              <w:bottom w:w="150" w:type="dxa"/>
              <w:right w:w="0" w:type="dxa"/>
            </w:tcMar>
            <w:vAlign w:val="center"/>
          </w:tcPr>
          <w:p w14:paraId="1C52A7C2" w14:textId="77777777" w:rsidR="0003312E" w:rsidRDefault="00000000">
            <w:pPr>
              <w:pStyle w:val="NormalWeb"/>
              <w:spacing w:beforeAutospacing="0" w:after="0" w:afterAutospacing="0" w:line="240" w:lineRule="auto"/>
              <w:rPr>
                <w:rFonts w:eastAsia="Segoe UI"/>
                <w:sz w:val="20"/>
                <w:szCs w:val="20"/>
                <w:shd w:val="clear" w:color="auto" w:fill="FFFFFF"/>
              </w:rPr>
            </w:pPr>
            <w:r>
              <w:rPr>
                <w:rFonts w:eastAsia="Segoe UI"/>
                <w:sz w:val="20"/>
                <w:szCs w:val="20"/>
                <w:shd w:val="clear" w:color="auto" w:fill="FFFFFF"/>
                <w:lang w:val="pt-BR"/>
              </w:rPr>
              <w:t xml:space="preserve">Estabeleceu as bases filosóficas: satisfação com o presente, evitando comparações sociais negativas. </w:t>
            </w:r>
            <w:proofErr w:type="spellStart"/>
            <w:r>
              <w:rPr>
                <w:rFonts w:eastAsia="Segoe UI"/>
                <w:sz w:val="20"/>
                <w:szCs w:val="20"/>
                <w:shd w:val="clear" w:color="auto" w:fill="FFFFFF"/>
              </w:rPr>
              <w:t>Conceito</w:t>
            </w:r>
            <w:proofErr w:type="spellEnd"/>
            <w:r>
              <w:rPr>
                <w:rFonts w:eastAsia="Segoe UI"/>
                <w:sz w:val="20"/>
                <w:szCs w:val="20"/>
                <w:shd w:val="clear" w:color="auto" w:fill="FFFFFF"/>
              </w:rPr>
              <w:t xml:space="preserve"> de </w:t>
            </w:r>
            <w:proofErr w:type="spellStart"/>
            <w:r>
              <w:rPr>
                <w:rFonts w:eastAsia="Segoe UI"/>
                <w:sz w:val="20"/>
                <w:szCs w:val="20"/>
                <w:shd w:val="clear" w:color="auto" w:fill="FFFFFF"/>
              </w:rPr>
              <w:t>equilíbrio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interno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como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fundamento</w:t>
            </w:r>
            <w:proofErr w:type="spellEnd"/>
            <w:r>
              <w:rPr>
                <w:rFonts w:eastAsia="Segoe UI"/>
                <w:sz w:val="20"/>
                <w:szCs w:val="20"/>
                <w:shd w:val="clear" w:color="auto" w:fill="FFFFFF"/>
              </w:rPr>
              <w:t xml:space="preserve"> do </w:t>
            </w:r>
            <w:proofErr w:type="spellStart"/>
            <w:r>
              <w:rPr>
                <w:rFonts w:eastAsia="Segoe UI"/>
                <w:sz w:val="20"/>
                <w:szCs w:val="20"/>
                <w:shd w:val="clear" w:color="auto" w:fill="FFFFFF"/>
              </w:rPr>
              <w:t>bem-estar</w:t>
            </w:r>
            <w:proofErr w:type="spellEnd"/>
            <w:r>
              <w:rPr>
                <w:rFonts w:eastAsia="Segoe UI"/>
                <w:sz w:val="20"/>
                <w:szCs w:val="20"/>
                <w:shd w:val="clear" w:color="auto" w:fill="FFFFFF"/>
              </w:rPr>
              <w:t>.</w:t>
            </w:r>
          </w:p>
        </w:tc>
      </w:tr>
      <w:tr w:rsidR="0003312E" w14:paraId="18BF002A" w14:textId="77777777">
        <w:tc>
          <w:tcPr>
            <w:tcW w:w="0" w:type="auto"/>
            <w:tcMar>
              <w:top w:w="150" w:type="dxa"/>
              <w:left w:w="0" w:type="dxa"/>
              <w:bottom w:w="150" w:type="dxa"/>
              <w:right w:w="240" w:type="dxa"/>
            </w:tcMar>
            <w:vAlign w:val="center"/>
          </w:tcPr>
          <w:p w14:paraId="0AD14F87" w14:textId="77777777" w:rsidR="0003312E" w:rsidRDefault="00000000">
            <w:pPr>
              <w:pStyle w:val="NormalWeb"/>
              <w:spacing w:beforeAutospacing="0" w:after="0" w:afterAutospacing="0" w:line="240" w:lineRule="auto"/>
              <w:rPr>
                <w:rFonts w:eastAsia="Segoe UI"/>
                <w:b/>
                <w:bCs/>
                <w:sz w:val="20"/>
                <w:szCs w:val="20"/>
                <w:shd w:val="clear" w:color="auto" w:fill="FFFFFF"/>
                <w:lang w:val="pt-BR"/>
              </w:rPr>
            </w:pPr>
            <w:r>
              <w:rPr>
                <w:rFonts w:eastAsia="Segoe UI"/>
                <w:b/>
                <w:bCs/>
                <w:sz w:val="20"/>
                <w:szCs w:val="20"/>
                <w:shd w:val="clear" w:color="auto" w:fill="FFFFFF"/>
                <w:lang w:val="pt-BR"/>
              </w:rPr>
              <w:t>Período Helenístico e Romano (séculos IV AEC - II EC)</w:t>
            </w:r>
          </w:p>
        </w:tc>
        <w:tc>
          <w:tcPr>
            <w:tcW w:w="0" w:type="auto"/>
            <w:tcMar>
              <w:top w:w="150" w:type="dxa"/>
              <w:left w:w="240" w:type="dxa"/>
              <w:bottom w:w="150" w:type="dxa"/>
              <w:right w:w="240" w:type="dxa"/>
            </w:tcMar>
            <w:vAlign w:val="center"/>
          </w:tcPr>
          <w:p w14:paraId="1AE4A50B"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r>
              <w:rPr>
                <w:rFonts w:eastAsia="Segoe UI"/>
                <w:sz w:val="20"/>
                <w:szCs w:val="20"/>
                <w:shd w:val="clear" w:color="auto" w:fill="FFFFFF"/>
                <w:lang w:val="pt-BR"/>
              </w:rPr>
              <w:t>Sêneca (4 AEC-65 EC) Plutarco (46-120 EC)</w:t>
            </w:r>
          </w:p>
        </w:tc>
        <w:tc>
          <w:tcPr>
            <w:tcW w:w="0" w:type="auto"/>
            <w:tcMar>
              <w:top w:w="150" w:type="dxa"/>
              <w:left w:w="240" w:type="dxa"/>
              <w:bottom w:w="150" w:type="dxa"/>
              <w:right w:w="0" w:type="dxa"/>
            </w:tcMar>
            <w:vAlign w:val="center"/>
          </w:tcPr>
          <w:p w14:paraId="509C56E9"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r>
              <w:rPr>
                <w:rFonts w:eastAsia="Segoe UI"/>
                <w:sz w:val="20"/>
                <w:szCs w:val="20"/>
                <w:shd w:val="clear" w:color="auto" w:fill="FFFFFF"/>
                <w:lang w:val="pt-BR"/>
              </w:rPr>
              <w:t>Sêneca: Aproximou o conceito a "</w:t>
            </w:r>
            <w:proofErr w:type="spellStart"/>
            <w:r>
              <w:rPr>
                <w:rFonts w:eastAsia="Segoe UI"/>
                <w:sz w:val="20"/>
                <w:szCs w:val="20"/>
                <w:shd w:val="clear" w:color="auto" w:fill="FFFFFF"/>
                <w:lang w:val="pt-BR"/>
              </w:rPr>
              <w:t>tranquillitas</w:t>
            </w:r>
            <w:proofErr w:type="spellEnd"/>
            <w:r>
              <w:rPr>
                <w:rFonts w:eastAsia="Segoe UI"/>
                <w:sz w:val="20"/>
                <w:szCs w:val="20"/>
                <w:shd w:val="clear" w:color="auto" w:fill="FFFFFF"/>
                <w:lang w:val="pt-BR"/>
              </w:rPr>
              <w:t xml:space="preserve"> animi", vinculando à consciência do bem-estar como processo ativo. Plutarco: Defendeu que a verdadeira eutimia emerge do aprendizado com adversidades, não da evasão.</w:t>
            </w:r>
          </w:p>
        </w:tc>
      </w:tr>
      <w:tr w:rsidR="0003312E" w14:paraId="0E50E53D" w14:textId="77777777">
        <w:tc>
          <w:tcPr>
            <w:tcW w:w="0" w:type="auto"/>
            <w:tcMar>
              <w:top w:w="150" w:type="dxa"/>
              <w:left w:w="0" w:type="dxa"/>
              <w:bottom w:w="150" w:type="dxa"/>
              <w:right w:w="240" w:type="dxa"/>
            </w:tcMar>
            <w:vAlign w:val="center"/>
          </w:tcPr>
          <w:p w14:paraId="727604BA" w14:textId="77777777" w:rsidR="0003312E" w:rsidRDefault="00000000">
            <w:pPr>
              <w:pStyle w:val="NormalWeb"/>
              <w:spacing w:beforeAutospacing="0" w:after="0" w:afterAutospacing="0" w:line="240" w:lineRule="auto"/>
              <w:rPr>
                <w:rFonts w:eastAsia="Segoe UI"/>
                <w:b/>
                <w:bCs/>
                <w:sz w:val="20"/>
                <w:szCs w:val="20"/>
                <w:shd w:val="clear" w:color="auto" w:fill="FFFFFF"/>
                <w:lang w:val="pt-BR"/>
              </w:rPr>
            </w:pPr>
            <w:r>
              <w:rPr>
                <w:rFonts w:eastAsia="Segoe UI"/>
                <w:b/>
                <w:bCs/>
                <w:sz w:val="20"/>
                <w:szCs w:val="20"/>
                <w:shd w:val="clear" w:color="auto" w:fill="FFFFFF"/>
                <w:lang w:val="pt-BR"/>
              </w:rPr>
              <w:t>Psiquiatria Tradicional (séculos XIX-XX)</w:t>
            </w:r>
          </w:p>
        </w:tc>
        <w:tc>
          <w:tcPr>
            <w:tcW w:w="0" w:type="auto"/>
            <w:tcMar>
              <w:top w:w="150" w:type="dxa"/>
              <w:left w:w="240" w:type="dxa"/>
              <w:bottom w:w="150" w:type="dxa"/>
              <w:right w:w="240" w:type="dxa"/>
            </w:tcMar>
            <w:vAlign w:val="center"/>
          </w:tcPr>
          <w:p w14:paraId="34A039A0" w14:textId="77777777" w:rsidR="0003312E" w:rsidRDefault="00000000">
            <w:pPr>
              <w:pStyle w:val="NormalWeb"/>
              <w:spacing w:beforeAutospacing="0" w:after="0" w:afterAutospacing="0" w:line="240" w:lineRule="auto"/>
              <w:rPr>
                <w:rFonts w:eastAsia="Segoe UI"/>
                <w:sz w:val="20"/>
                <w:szCs w:val="20"/>
                <w:shd w:val="clear" w:color="auto" w:fill="FFFFFF"/>
              </w:rPr>
            </w:pPr>
            <w:r>
              <w:rPr>
                <w:rFonts w:eastAsia="Segoe UI"/>
                <w:sz w:val="20"/>
                <w:szCs w:val="20"/>
                <w:shd w:val="clear" w:color="auto" w:fill="FFFFFF"/>
              </w:rPr>
              <w:t xml:space="preserve">Uso </w:t>
            </w:r>
            <w:proofErr w:type="spellStart"/>
            <w:r>
              <w:rPr>
                <w:rFonts w:eastAsia="Segoe UI"/>
                <w:sz w:val="20"/>
                <w:szCs w:val="20"/>
                <w:shd w:val="clear" w:color="auto" w:fill="FFFFFF"/>
              </w:rPr>
              <w:t>Psiquiátrico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Convencional</w:t>
            </w:r>
            <w:proofErr w:type="spellEnd"/>
          </w:p>
        </w:tc>
        <w:tc>
          <w:tcPr>
            <w:tcW w:w="0" w:type="auto"/>
            <w:tcMar>
              <w:top w:w="150" w:type="dxa"/>
              <w:left w:w="240" w:type="dxa"/>
              <w:bottom w:w="150" w:type="dxa"/>
              <w:right w:w="0" w:type="dxa"/>
            </w:tcMar>
            <w:vAlign w:val="center"/>
          </w:tcPr>
          <w:p w14:paraId="01CF71E4"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r>
              <w:rPr>
                <w:rFonts w:eastAsia="Segoe UI"/>
                <w:sz w:val="20"/>
                <w:szCs w:val="20"/>
                <w:shd w:val="clear" w:color="auto" w:fill="FFFFFF"/>
                <w:lang w:val="pt-BR"/>
              </w:rPr>
              <w:t>Redução a um conceito puramente negativo: definida apenas como ausência de sintomas de transtornos de humor, ignorando completamente componentes positivos.</w:t>
            </w:r>
          </w:p>
        </w:tc>
      </w:tr>
      <w:tr w:rsidR="0003312E" w14:paraId="655DA2EC" w14:textId="77777777">
        <w:tc>
          <w:tcPr>
            <w:tcW w:w="0" w:type="auto"/>
            <w:tcMar>
              <w:top w:w="150" w:type="dxa"/>
              <w:left w:w="0" w:type="dxa"/>
              <w:bottom w:w="150" w:type="dxa"/>
              <w:right w:w="240" w:type="dxa"/>
            </w:tcMar>
            <w:vAlign w:val="center"/>
          </w:tcPr>
          <w:p w14:paraId="50770B7C" w14:textId="77777777" w:rsidR="0003312E" w:rsidRDefault="00000000">
            <w:pPr>
              <w:pStyle w:val="NormalWeb"/>
              <w:spacing w:beforeAutospacing="0" w:after="0" w:afterAutospacing="0" w:line="240" w:lineRule="auto"/>
              <w:rPr>
                <w:rFonts w:eastAsia="Segoe UI"/>
                <w:b/>
                <w:bCs/>
                <w:sz w:val="20"/>
                <w:szCs w:val="20"/>
                <w:shd w:val="clear" w:color="auto" w:fill="FFFFFF"/>
              </w:rPr>
            </w:pPr>
            <w:proofErr w:type="spellStart"/>
            <w:r>
              <w:rPr>
                <w:rFonts w:eastAsia="Segoe UI"/>
                <w:b/>
                <w:bCs/>
                <w:sz w:val="20"/>
                <w:szCs w:val="20"/>
                <w:shd w:val="clear" w:color="auto" w:fill="FFFFFF"/>
              </w:rPr>
              <w:t>Virada</w:t>
            </w:r>
            <w:proofErr w:type="spellEnd"/>
            <w:r>
              <w:rPr>
                <w:rFonts w:eastAsia="Segoe UI"/>
                <w:b/>
                <w:bCs/>
                <w:sz w:val="20"/>
                <w:szCs w:val="20"/>
                <w:shd w:val="clear" w:color="auto" w:fill="FFFFFF"/>
              </w:rPr>
              <w:t xml:space="preserve"> </w:t>
            </w:r>
            <w:proofErr w:type="spellStart"/>
            <w:r>
              <w:rPr>
                <w:rFonts w:eastAsia="Segoe UI"/>
                <w:b/>
                <w:bCs/>
                <w:sz w:val="20"/>
                <w:szCs w:val="20"/>
                <w:shd w:val="clear" w:color="auto" w:fill="FFFFFF"/>
              </w:rPr>
              <w:t>Conceitual</w:t>
            </w:r>
            <w:proofErr w:type="spellEnd"/>
            <w:r>
              <w:rPr>
                <w:rFonts w:eastAsia="Segoe UI"/>
                <w:b/>
                <w:bCs/>
                <w:sz w:val="20"/>
                <w:szCs w:val="20"/>
                <w:shd w:val="clear" w:color="auto" w:fill="FFFFFF"/>
              </w:rPr>
              <w:t xml:space="preserve"> (</w:t>
            </w:r>
            <w:proofErr w:type="spellStart"/>
            <w:r>
              <w:rPr>
                <w:rFonts w:eastAsia="Segoe UI"/>
                <w:b/>
                <w:bCs/>
                <w:sz w:val="20"/>
                <w:szCs w:val="20"/>
                <w:shd w:val="clear" w:color="auto" w:fill="FFFFFF"/>
              </w:rPr>
              <w:t>Década</w:t>
            </w:r>
            <w:proofErr w:type="spellEnd"/>
            <w:r>
              <w:rPr>
                <w:rFonts w:eastAsia="Segoe UI"/>
                <w:b/>
                <w:bCs/>
                <w:sz w:val="20"/>
                <w:szCs w:val="20"/>
                <w:shd w:val="clear" w:color="auto" w:fill="FFFFFF"/>
              </w:rPr>
              <w:t xml:space="preserve"> de 1990)</w:t>
            </w:r>
          </w:p>
        </w:tc>
        <w:tc>
          <w:tcPr>
            <w:tcW w:w="0" w:type="auto"/>
            <w:tcMar>
              <w:top w:w="150" w:type="dxa"/>
              <w:left w:w="240" w:type="dxa"/>
              <w:bottom w:w="150" w:type="dxa"/>
              <w:right w:w="240" w:type="dxa"/>
            </w:tcMar>
            <w:vAlign w:val="center"/>
          </w:tcPr>
          <w:p w14:paraId="020078FB"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proofErr w:type="spellStart"/>
            <w:r>
              <w:rPr>
                <w:rFonts w:eastAsia="Segoe UI"/>
                <w:sz w:val="20"/>
                <w:szCs w:val="20"/>
                <w:shd w:val="clear" w:color="auto" w:fill="FFFFFF"/>
                <w:lang w:val="pt-BR"/>
              </w:rPr>
              <w:t>Garamoni</w:t>
            </w:r>
            <w:proofErr w:type="spellEnd"/>
            <w:r>
              <w:rPr>
                <w:rFonts w:eastAsia="Segoe UI"/>
                <w:sz w:val="20"/>
                <w:szCs w:val="20"/>
                <w:shd w:val="clear" w:color="auto" w:fill="FFFFFF"/>
                <w:lang w:val="pt-BR"/>
              </w:rPr>
              <w:t xml:space="preserve"> et al. (1991). Retomada dos conceitos de </w:t>
            </w:r>
            <w:proofErr w:type="spellStart"/>
            <w:r>
              <w:rPr>
                <w:rFonts w:eastAsia="Segoe UI"/>
                <w:sz w:val="20"/>
                <w:szCs w:val="20"/>
                <w:shd w:val="clear" w:color="auto" w:fill="FFFFFF"/>
                <w:lang w:val="pt-BR"/>
              </w:rPr>
              <w:t>Jahoda</w:t>
            </w:r>
            <w:proofErr w:type="spellEnd"/>
            <w:r>
              <w:rPr>
                <w:rFonts w:eastAsia="Segoe UI"/>
                <w:sz w:val="20"/>
                <w:szCs w:val="20"/>
                <w:shd w:val="clear" w:color="auto" w:fill="FFFFFF"/>
                <w:lang w:val="pt-BR"/>
              </w:rPr>
              <w:t xml:space="preserve"> (1958).</w:t>
            </w:r>
          </w:p>
        </w:tc>
        <w:tc>
          <w:tcPr>
            <w:tcW w:w="0" w:type="auto"/>
            <w:tcMar>
              <w:top w:w="150" w:type="dxa"/>
              <w:left w:w="240" w:type="dxa"/>
              <w:bottom w:w="150" w:type="dxa"/>
              <w:right w:w="0" w:type="dxa"/>
            </w:tcMar>
            <w:vAlign w:val="center"/>
          </w:tcPr>
          <w:p w14:paraId="672DDBFF"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proofErr w:type="spellStart"/>
            <w:r>
              <w:rPr>
                <w:rFonts w:eastAsia="Segoe UI"/>
                <w:sz w:val="20"/>
                <w:szCs w:val="20"/>
                <w:shd w:val="clear" w:color="auto" w:fill="FFFFFF"/>
                <w:lang w:val="pt-BR"/>
              </w:rPr>
              <w:t>Garamoni</w:t>
            </w:r>
            <w:proofErr w:type="spellEnd"/>
            <w:r>
              <w:rPr>
                <w:rFonts w:eastAsia="Segoe UI"/>
                <w:sz w:val="20"/>
                <w:szCs w:val="20"/>
                <w:shd w:val="clear" w:color="auto" w:fill="FFFFFF"/>
                <w:lang w:val="pt-BR"/>
              </w:rPr>
              <w:t xml:space="preserve">: Propôs o modelo do equilíbrio ótimo entre experiências positivas e negativas. Influência de </w:t>
            </w:r>
            <w:proofErr w:type="spellStart"/>
            <w:r>
              <w:rPr>
                <w:rFonts w:eastAsia="Segoe UI"/>
                <w:sz w:val="20"/>
                <w:szCs w:val="20"/>
                <w:shd w:val="clear" w:color="auto" w:fill="FFFFFF"/>
                <w:lang w:val="pt-BR"/>
              </w:rPr>
              <w:t>Jahoda</w:t>
            </w:r>
            <w:proofErr w:type="spellEnd"/>
            <w:r>
              <w:rPr>
                <w:rFonts w:eastAsia="Segoe UI"/>
                <w:sz w:val="20"/>
                <w:szCs w:val="20"/>
                <w:shd w:val="clear" w:color="auto" w:fill="FFFFFF"/>
                <w:lang w:val="pt-BR"/>
              </w:rPr>
              <w:t>: Recuperou os pilares da saúde mental positiva - integração (flexibilidade), consistência e resiliência.</w:t>
            </w:r>
          </w:p>
        </w:tc>
      </w:tr>
      <w:tr w:rsidR="0003312E" w14:paraId="4E987886" w14:textId="77777777">
        <w:tc>
          <w:tcPr>
            <w:tcW w:w="0" w:type="auto"/>
            <w:tcMar>
              <w:top w:w="150" w:type="dxa"/>
              <w:left w:w="0" w:type="dxa"/>
              <w:bottom w:w="150" w:type="dxa"/>
              <w:right w:w="240" w:type="dxa"/>
            </w:tcMar>
            <w:vAlign w:val="center"/>
          </w:tcPr>
          <w:p w14:paraId="54402E0C" w14:textId="77777777" w:rsidR="0003312E" w:rsidRDefault="00000000">
            <w:pPr>
              <w:pStyle w:val="NormalWeb"/>
              <w:spacing w:beforeAutospacing="0" w:after="0" w:afterAutospacing="0" w:line="240" w:lineRule="auto"/>
              <w:rPr>
                <w:rFonts w:eastAsia="Segoe UI"/>
                <w:b/>
                <w:bCs/>
                <w:sz w:val="20"/>
                <w:szCs w:val="20"/>
                <w:shd w:val="clear" w:color="auto" w:fill="FFFFFF"/>
              </w:rPr>
            </w:pPr>
            <w:proofErr w:type="spellStart"/>
            <w:r>
              <w:rPr>
                <w:rFonts w:eastAsia="Segoe UI"/>
                <w:b/>
                <w:bCs/>
                <w:sz w:val="20"/>
                <w:szCs w:val="20"/>
                <w:shd w:val="clear" w:color="auto" w:fill="FFFFFF"/>
              </w:rPr>
              <w:t>Definição</w:t>
            </w:r>
            <w:proofErr w:type="spellEnd"/>
            <w:r>
              <w:rPr>
                <w:rFonts w:eastAsia="Segoe UI"/>
                <w:b/>
                <w:bCs/>
                <w:sz w:val="20"/>
                <w:szCs w:val="20"/>
                <w:shd w:val="clear" w:color="auto" w:fill="FFFFFF"/>
              </w:rPr>
              <w:t xml:space="preserve"> </w:t>
            </w:r>
            <w:proofErr w:type="spellStart"/>
            <w:r>
              <w:rPr>
                <w:rFonts w:eastAsia="Segoe UI"/>
                <w:b/>
                <w:bCs/>
                <w:sz w:val="20"/>
                <w:szCs w:val="20"/>
                <w:shd w:val="clear" w:color="auto" w:fill="FFFFFF"/>
              </w:rPr>
              <w:t>Contemporânea</w:t>
            </w:r>
            <w:proofErr w:type="spellEnd"/>
            <w:r>
              <w:rPr>
                <w:rFonts w:eastAsia="Segoe UI"/>
                <w:b/>
                <w:bCs/>
                <w:sz w:val="20"/>
                <w:szCs w:val="20"/>
                <w:shd w:val="clear" w:color="auto" w:fill="FFFFFF"/>
              </w:rPr>
              <w:t xml:space="preserve"> (2016)</w:t>
            </w:r>
          </w:p>
        </w:tc>
        <w:tc>
          <w:tcPr>
            <w:tcW w:w="0" w:type="auto"/>
            <w:tcMar>
              <w:top w:w="150" w:type="dxa"/>
              <w:left w:w="240" w:type="dxa"/>
              <w:bottom w:w="150" w:type="dxa"/>
              <w:right w:w="240" w:type="dxa"/>
            </w:tcMar>
            <w:vAlign w:val="center"/>
          </w:tcPr>
          <w:p w14:paraId="3D3354EE" w14:textId="77777777" w:rsidR="0003312E" w:rsidRDefault="00000000">
            <w:pPr>
              <w:pStyle w:val="NormalWeb"/>
              <w:spacing w:beforeAutospacing="0" w:after="0" w:afterAutospacing="0" w:line="240" w:lineRule="auto"/>
              <w:rPr>
                <w:rFonts w:eastAsia="Segoe UI"/>
                <w:sz w:val="20"/>
                <w:szCs w:val="20"/>
                <w:shd w:val="clear" w:color="auto" w:fill="FFFFFF"/>
              </w:rPr>
            </w:pPr>
            <w:r>
              <w:rPr>
                <w:rFonts w:eastAsia="Segoe UI"/>
                <w:sz w:val="20"/>
                <w:szCs w:val="20"/>
                <w:shd w:val="clear" w:color="auto" w:fill="FFFFFF"/>
              </w:rPr>
              <w:t>Fava &amp; Bech</w:t>
            </w:r>
          </w:p>
        </w:tc>
        <w:tc>
          <w:tcPr>
            <w:tcW w:w="0" w:type="auto"/>
            <w:tcMar>
              <w:top w:w="150" w:type="dxa"/>
              <w:left w:w="240" w:type="dxa"/>
              <w:bottom w:w="150" w:type="dxa"/>
              <w:right w:w="0" w:type="dxa"/>
            </w:tcMar>
            <w:vAlign w:val="center"/>
          </w:tcPr>
          <w:p w14:paraId="754E0EBE"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r>
              <w:rPr>
                <w:rFonts w:eastAsia="Segoe UI"/>
                <w:sz w:val="20"/>
                <w:szCs w:val="20"/>
                <w:shd w:val="clear" w:color="auto" w:fill="FFFFFF"/>
                <w:lang w:val="pt-BR"/>
              </w:rPr>
              <w:t xml:space="preserve">Síntese moderna: conceito </w:t>
            </w:r>
            <w:proofErr w:type="spellStart"/>
            <w:r>
              <w:rPr>
                <w:rFonts w:eastAsia="Segoe UI"/>
                <w:sz w:val="20"/>
                <w:szCs w:val="20"/>
                <w:shd w:val="clear" w:color="auto" w:fill="FFFFFF"/>
                <w:lang w:val="pt-BR"/>
              </w:rPr>
              <w:t>transdiagnóstico</w:t>
            </w:r>
            <w:proofErr w:type="spellEnd"/>
            <w:r>
              <w:rPr>
                <w:rFonts w:eastAsia="Segoe UI"/>
                <w:sz w:val="20"/>
                <w:szCs w:val="20"/>
                <w:shd w:val="clear" w:color="auto" w:fill="FFFFFF"/>
                <w:lang w:val="pt-BR"/>
              </w:rPr>
              <w:t xml:space="preserve"> com três componentes - 1) Ausência de transtornos; 2) Afetos positivos; 3) Bem-estar psicológico (flexibilidade, consistência, resiliência).</w:t>
            </w:r>
          </w:p>
        </w:tc>
      </w:tr>
      <w:tr w:rsidR="0003312E" w14:paraId="4862AA3E" w14:textId="77777777">
        <w:tc>
          <w:tcPr>
            <w:tcW w:w="0" w:type="auto"/>
            <w:tcMar>
              <w:top w:w="150" w:type="dxa"/>
              <w:left w:w="0" w:type="dxa"/>
              <w:bottom w:w="150" w:type="dxa"/>
              <w:right w:w="240" w:type="dxa"/>
            </w:tcMar>
            <w:vAlign w:val="center"/>
          </w:tcPr>
          <w:p w14:paraId="4A547CED" w14:textId="77777777" w:rsidR="0003312E" w:rsidRDefault="00000000">
            <w:pPr>
              <w:pStyle w:val="NormalWeb"/>
              <w:spacing w:beforeAutospacing="0" w:after="0" w:afterAutospacing="0" w:line="240" w:lineRule="auto"/>
              <w:rPr>
                <w:rFonts w:eastAsia="Segoe UI"/>
                <w:b/>
                <w:bCs/>
                <w:sz w:val="20"/>
                <w:szCs w:val="20"/>
                <w:shd w:val="clear" w:color="auto" w:fill="FFFFFF"/>
                <w:lang w:val="pt-BR"/>
              </w:rPr>
            </w:pPr>
            <w:r>
              <w:rPr>
                <w:rFonts w:eastAsia="Segoe UI"/>
                <w:b/>
                <w:bCs/>
                <w:sz w:val="20"/>
                <w:szCs w:val="20"/>
                <w:shd w:val="clear" w:color="auto" w:fill="FFFFFF"/>
                <w:lang w:val="pt-BR"/>
              </w:rPr>
              <w:t>Século XXI (Abordagens Baseadas em Evidências)</w:t>
            </w:r>
          </w:p>
        </w:tc>
        <w:tc>
          <w:tcPr>
            <w:tcW w:w="0" w:type="auto"/>
            <w:tcMar>
              <w:top w:w="150" w:type="dxa"/>
              <w:left w:w="240" w:type="dxa"/>
              <w:bottom w:w="150" w:type="dxa"/>
              <w:right w:w="240" w:type="dxa"/>
            </w:tcMar>
            <w:vAlign w:val="center"/>
          </w:tcPr>
          <w:p w14:paraId="26497E8B"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r>
              <w:rPr>
                <w:rFonts w:eastAsia="Segoe UI"/>
                <w:sz w:val="20"/>
                <w:szCs w:val="20"/>
                <w:shd w:val="clear" w:color="auto" w:fill="FFFFFF"/>
                <w:lang w:val="pt-BR"/>
              </w:rPr>
              <w:t>Psicoterapias Focadas no Bem-Estar</w:t>
            </w:r>
          </w:p>
        </w:tc>
        <w:tc>
          <w:tcPr>
            <w:tcW w:w="0" w:type="auto"/>
            <w:tcMar>
              <w:top w:w="150" w:type="dxa"/>
              <w:left w:w="240" w:type="dxa"/>
              <w:bottom w:w="150" w:type="dxa"/>
              <w:right w:w="0" w:type="dxa"/>
            </w:tcMar>
            <w:vAlign w:val="center"/>
          </w:tcPr>
          <w:p w14:paraId="6C886A4B" w14:textId="77777777" w:rsidR="0003312E" w:rsidRDefault="00000000">
            <w:pPr>
              <w:pStyle w:val="NormalWeb"/>
              <w:spacing w:beforeAutospacing="0" w:after="0" w:afterAutospacing="0" w:line="240" w:lineRule="auto"/>
              <w:rPr>
                <w:rFonts w:eastAsia="Segoe UI"/>
                <w:sz w:val="20"/>
                <w:szCs w:val="20"/>
                <w:shd w:val="clear" w:color="auto" w:fill="FFFFFF"/>
                <w:lang w:val="pt-BR"/>
              </w:rPr>
            </w:pPr>
            <w:r>
              <w:rPr>
                <w:rFonts w:eastAsia="Segoe UI"/>
                <w:sz w:val="20"/>
                <w:szCs w:val="20"/>
                <w:shd w:val="clear" w:color="auto" w:fill="FFFFFF"/>
                <w:lang w:val="pt-BR"/>
              </w:rPr>
              <w:t>Operacionalização clínica: intervenções específicas para promover equilíbrio psicológico, prevenir recaídas e aumentar a recuperação sustentada em transtornos mentais.</w:t>
            </w:r>
          </w:p>
        </w:tc>
      </w:tr>
    </w:tbl>
    <w:p w14:paraId="0C29F50D"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 xml:space="preserve">Nota: </w:t>
      </w:r>
      <w:r>
        <w:rPr>
          <w:rFonts w:eastAsia="Segoe UI"/>
          <w:sz w:val="24"/>
          <w:shd w:val="clear" w:color="auto" w:fill="FFFFFF"/>
          <w:lang w:val="pt-BR"/>
        </w:rPr>
        <w:t xml:space="preserve">Síntese da Evolução Conceitual da Eutimia: Antiguidade (Conceito filosófico) → Psiquiatria Clássica (Reducionismo sintomático) → Virada Moderna (Retomada multidimensional) → Atualidade (Construto </w:t>
      </w:r>
      <w:proofErr w:type="spellStart"/>
      <w:r>
        <w:rPr>
          <w:rFonts w:eastAsia="Segoe UI"/>
          <w:sz w:val="24"/>
          <w:shd w:val="clear" w:color="auto" w:fill="FFFFFF"/>
          <w:lang w:val="pt-BR"/>
        </w:rPr>
        <w:t>transdiagnóstico</w:t>
      </w:r>
      <w:proofErr w:type="spellEnd"/>
      <w:r>
        <w:rPr>
          <w:rFonts w:eastAsia="Segoe UI"/>
          <w:sz w:val="24"/>
          <w:shd w:val="clear" w:color="auto" w:fill="FFFFFF"/>
          <w:lang w:val="pt-BR"/>
        </w:rPr>
        <w:t xml:space="preserve"> intervencionista)</w:t>
      </w:r>
    </w:p>
    <w:p w14:paraId="40AAB61C"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70192776"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O Quadro demonstra claramente a transição de um ideal filosófico para um construto clínico mensurável, </w:t>
      </w:r>
      <w:proofErr w:type="gramStart"/>
      <w:r>
        <w:rPr>
          <w:rFonts w:eastAsia="Segoe UI"/>
          <w:sz w:val="24"/>
          <w:shd w:val="clear" w:color="auto" w:fill="FFFFFF"/>
          <w:lang w:val="pt-BR"/>
        </w:rPr>
        <w:t>mantendo porém</w:t>
      </w:r>
      <w:proofErr w:type="gramEnd"/>
      <w:r>
        <w:rPr>
          <w:rFonts w:eastAsia="Segoe UI"/>
          <w:sz w:val="24"/>
          <w:shd w:val="clear" w:color="auto" w:fill="FFFFFF"/>
          <w:lang w:val="pt-BR"/>
        </w:rPr>
        <w:t xml:space="preserve"> sua essência original de equilíbrio e contentamento, agora com aplicabilidade terapêutica concreta.</w:t>
      </w:r>
    </w:p>
    <w:p w14:paraId="100BCB29"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2F7DAFF3"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b/>
          <w:bCs/>
          <w:sz w:val="24"/>
          <w:shd w:val="clear" w:color="auto" w:fill="FFFFFF"/>
          <w:lang w:val="pt-BR"/>
        </w:rPr>
        <w:t>3. Os Fundamentos do Equilíbrio: A Dimensão Neurocientífica</w:t>
      </w:r>
      <w:r>
        <w:rPr>
          <w:rFonts w:eastAsia="Segoe UI"/>
          <w:sz w:val="24"/>
          <w:shd w:val="clear" w:color="auto" w:fill="FFFFFF"/>
          <w:lang w:val="pt-BR"/>
        </w:rPr>
        <w:br/>
        <w:t xml:space="preserve">A neurociência nos revela que a eutimia é muito mais que um conceito filosófico - ela encontra </w:t>
      </w:r>
      <w:r>
        <w:rPr>
          <w:rFonts w:eastAsia="Segoe UI"/>
          <w:sz w:val="24"/>
          <w:shd w:val="clear" w:color="auto" w:fill="FFFFFF"/>
          <w:lang w:val="pt-BR"/>
        </w:rPr>
        <w:lastRenderedPageBreak/>
        <w:t>bases concretas na arquitetura de nosso cérebro. Esse estado de equilíbrio emocional surge de uma delicada dança entre diferentes regiões cerebrais. De um lado, o sistema límbico - incluindo a amígdala e o hipocampo - que é responsável pela geração de nossas emoções. Do outro, o córtex pré-frontal atua como um regulador sofisticado, atribuindo significado e exercendo controle sobre essas emoções. Quando essa comunicação funciona harmonicamente, temos a base neural para a estabilidade afetiva.</w:t>
      </w:r>
    </w:p>
    <w:p w14:paraId="03D3BEC5"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Esta sintonia cerebral é sustentada por um equilíbrio químico preciso, onde neurotransmissores como a serotonina e a dopamina desempenham um papel fundamental na modulação do humor. Porém, o que a ciência moderna nos mostra é que a eutimia vai além da simples ausência de desequilíbrios. Ela representa a presença ativa de qualidades mentais positivas, como a resiliência neural e a flexibilidade adaptativa - capacidades que se refletem na plasticidade sináptica, ou seja, na capacidade do cérebro de se reorganizar e adaptar frente aos desafios.</w:t>
      </w:r>
    </w:p>
    <w:p w14:paraId="6D4A3599"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O que torna essa descoberta especialmente significativa é como ela valida, através da linguagem da ciência, uma intuição milenar da filosofia. A antiga noção grega de um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bem-regulado" - essa ideia de uma alma equilibrada - encontra agora seu respaldo empírico na dança harmoniosa entre nossas estruturas cerebrais emocionais e reguladoras. A neurociência contemporânea, portanto, não contradiz a sabedoria antiga, mas sim lhe oferece uma fundamentação biológica, mostrando que o equilíbrio entre razão e emoção é tanto uma aspiração filosófica quanto uma realidade neuroquímica.</w:t>
      </w:r>
    </w:p>
    <w:p w14:paraId="52F72AF6"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6F380D49" w14:textId="77777777" w:rsidR="0003312E" w:rsidRDefault="00000000">
      <w:pPr>
        <w:pStyle w:val="NormalWeb"/>
        <w:spacing w:beforeAutospacing="0" w:after="0" w:afterAutospacing="0" w:line="360" w:lineRule="auto"/>
        <w:ind w:firstLine="709"/>
        <w:jc w:val="both"/>
        <w:rPr>
          <w:rFonts w:eastAsia="Segoe UI"/>
          <w:b/>
          <w:bCs/>
          <w:sz w:val="24"/>
          <w:shd w:val="clear" w:color="auto" w:fill="FFFFFF"/>
          <w:lang w:val="pt-BR"/>
        </w:rPr>
      </w:pPr>
      <w:r>
        <w:rPr>
          <w:rFonts w:eastAsia="Segoe UI"/>
          <w:b/>
          <w:bCs/>
          <w:sz w:val="24"/>
          <w:shd w:val="clear" w:color="auto" w:fill="FFFFFF"/>
          <w:lang w:val="pt-BR"/>
        </w:rPr>
        <w:t>4. A Arte da Serenidade: A Dimensão Filosófica e um Caso de Estudo</w:t>
      </w:r>
    </w:p>
    <w:p w14:paraId="54629544"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Mergulhar nas origens filosóficas do conceito com Demócrito, o "filósofo risonho", ilustra como a intuição antiga antecipou descobertas da psicologia moderna. Sua ética era centrada na conquista da </w:t>
      </w:r>
      <w:proofErr w:type="spellStart"/>
      <w:r>
        <w:rPr>
          <w:rFonts w:eastAsia="Segoe UI"/>
          <w:sz w:val="24"/>
          <w:shd w:val="clear" w:color="auto" w:fill="FFFFFF"/>
          <w:lang w:val="pt-BR"/>
        </w:rPr>
        <w:t>euthymia</w:t>
      </w:r>
      <w:proofErr w:type="spellEnd"/>
      <w:r>
        <w:rPr>
          <w:rFonts w:eastAsia="Segoe UI"/>
          <w:sz w:val="24"/>
          <w:shd w:val="clear" w:color="auto" w:fill="FFFFFF"/>
          <w:lang w:val="pt-BR"/>
        </w:rPr>
        <w:t xml:space="preserve"> como </w:t>
      </w:r>
      <w:proofErr w:type="spellStart"/>
      <w:r>
        <w:rPr>
          <w:rFonts w:eastAsia="Segoe UI"/>
          <w:sz w:val="24"/>
          <w:shd w:val="clear" w:color="auto" w:fill="FFFFFF"/>
          <w:lang w:val="pt-BR"/>
        </w:rPr>
        <w:t>telos</w:t>
      </w:r>
      <w:proofErr w:type="spellEnd"/>
      <w:r>
        <w:rPr>
          <w:rFonts w:eastAsia="Segoe UI"/>
          <w:sz w:val="24"/>
          <w:shd w:val="clear" w:color="auto" w:fill="FFFFFF"/>
          <w:lang w:val="pt-BR"/>
        </w:rPr>
        <w:t>, ou fim último. Para alcançá-la, ele pregava a autarquia (autossuficiência) - buscar a satisfação dentro de si mesmo; a moderação (</w:t>
      </w:r>
      <w:proofErr w:type="spellStart"/>
      <w:r>
        <w:rPr>
          <w:rFonts w:eastAsia="Segoe UI"/>
          <w:sz w:val="24"/>
          <w:shd w:val="clear" w:color="auto" w:fill="FFFFFF"/>
          <w:lang w:val="pt-BR"/>
        </w:rPr>
        <w:t>metron</w:t>
      </w:r>
      <w:proofErr w:type="spellEnd"/>
      <w:r>
        <w:rPr>
          <w:rFonts w:eastAsia="Segoe UI"/>
          <w:sz w:val="24"/>
          <w:shd w:val="clear" w:color="auto" w:fill="FFFFFF"/>
          <w:lang w:val="pt-BR"/>
        </w:rPr>
        <w:t>) - cultivar o equilíbrio em todos os aspectos da vida, evitando tanto o excesso quanto a carência; e a libertação dos medos - superar, através do conhecimento e do discernimento (</w:t>
      </w:r>
      <w:proofErr w:type="spellStart"/>
      <w:r>
        <w:rPr>
          <w:rFonts w:eastAsia="Segoe UI"/>
          <w:sz w:val="24"/>
          <w:shd w:val="clear" w:color="auto" w:fill="FFFFFF"/>
          <w:lang w:val="pt-BR"/>
        </w:rPr>
        <w:t>phronesis</w:t>
      </w:r>
      <w:proofErr w:type="spellEnd"/>
      <w:r>
        <w:rPr>
          <w:rFonts w:eastAsia="Segoe UI"/>
          <w:sz w:val="24"/>
          <w:shd w:val="clear" w:color="auto" w:fill="FFFFFF"/>
          <w:lang w:val="pt-BR"/>
        </w:rPr>
        <w:t>), os temores que paralisam, como o medo dos deuses ou da morte.</w:t>
      </w:r>
      <w:r>
        <w:rPr>
          <w:rFonts w:eastAsia="Segoe UI"/>
          <w:sz w:val="24"/>
          <w:shd w:val="clear" w:color="auto" w:fill="FFFFFF"/>
          <w:lang w:val="pt-BR"/>
        </w:rPr>
        <w:br/>
        <w:t xml:space="preserve">Esta visão não era um mero exercício de abstinência, mas uma arte de viver positiva. Sua eutimia era um estado de paz ativa e claridade mental conquistada, que ecoa diretamente nos conceitos modernos de autonomia (de </w:t>
      </w:r>
      <w:proofErr w:type="spellStart"/>
      <w:r>
        <w:rPr>
          <w:rFonts w:eastAsia="Segoe UI"/>
          <w:sz w:val="24"/>
          <w:shd w:val="clear" w:color="auto" w:fill="FFFFFF"/>
          <w:lang w:val="pt-BR"/>
        </w:rPr>
        <w:t>Jahoda</w:t>
      </w:r>
      <w:proofErr w:type="spellEnd"/>
      <w:r>
        <w:rPr>
          <w:rFonts w:eastAsia="Segoe UI"/>
          <w:sz w:val="24"/>
          <w:shd w:val="clear" w:color="auto" w:fill="FFFFFF"/>
          <w:lang w:val="pt-BR"/>
        </w:rPr>
        <w:t xml:space="preserve">), flexibilidade psicológica (de Fava &amp; Bech) e regulação emocional. Esta visão </w:t>
      </w:r>
      <w:proofErr w:type="spellStart"/>
      <w:r>
        <w:rPr>
          <w:rFonts w:eastAsia="Segoe UI"/>
          <w:sz w:val="24"/>
          <w:shd w:val="clear" w:color="auto" w:fill="FFFFFF"/>
          <w:lang w:val="pt-BR"/>
        </w:rPr>
        <w:t>democriteana</w:t>
      </w:r>
      <w:proofErr w:type="spellEnd"/>
      <w:r>
        <w:rPr>
          <w:rFonts w:eastAsia="Segoe UI"/>
          <w:sz w:val="24"/>
          <w:shd w:val="clear" w:color="auto" w:fill="FFFFFF"/>
          <w:lang w:val="pt-BR"/>
        </w:rPr>
        <w:t xml:space="preserve"> antecipa em séculos a compreensão contemporânea de que o bem-estar envolve não a supressão emocional, mas a regulação </w:t>
      </w:r>
      <w:r>
        <w:rPr>
          <w:rFonts w:eastAsia="Segoe UI"/>
          <w:sz w:val="24"/>
          <w:shd w:val="clear" w:color="auto" w:fill="FFFFFF"/>
          <w:lang w:val="pt-BR"/>
        </w:rPr>
        <w:lastRenderedPageBreak/>
        <w:t>adaptativa. Demócrito já entendia, intuitivamente, que o caminho para o bem-estar não era a eliminação das emoções, mas o seu governo sábio - uma ideia que a neurociência contemporânea só agora começa a mapear com precisão, validando a profundidade de seu insight. Mais do que conceito clínico, a eutimia é metáfora existencial. Para Demócrito, traduzia a serenidade diante da incerteza; para Sêneca, um convite à tranquilidade moral; na tradição literária, inspira imagens de harmonia entre desejo e limite. Em termos arquetípicos, exprime a busca pela "justa medida", o equilíbrio entre excesso e carência que atravessa toda a filosofia ocidental. Assim, a palavra não apenas nomeia um estado mental, mas evoca um ideal estético e ético de vida vivida com dignidade, autocontrole e leveza.</w:t>
      </w:r>
    </w:p>
    <w:p w14:paraId="65053355" w14:textId="77777777" w:rsidR="0003312E" w:rsidRDefault="0003312E">
      <w:pPr>
        <w:pStyle w:val="NormalWeb"/>
        <w:spacing w:beforeAutospacing="0" w:after="0" w:afterAutospacing="0" w:line="360" w:lineRule="auto"/>
        <w:ind w:firstLine="709"/>
        <w:jc w:val="both"/>
        <w:rPr>
          <w:rFonts w:eastAsia="Segoe UI"/>
          <w:b/>
          <w:bCs/>
          <w:sz w:val="24"/>
          <w:shd w:val="clear" w:color="auto" w:fill="FFFFFF"/>
          <w:lang w:val="pt-BR"/>
        </w:rPr>
      </w:pPr>
    </w:p>
    <w:p w14:paraId="138F37B9" w14:textId="77777777" w:rsidR="0003312E" w:rsidRDefault="00000000">
      <w:pPr>
        <w:pStyle w:val="NormalWeb"/>
        <w:spacing w:beforeAutospacing="0" w:after="0" w:afterAutospacing="0" w:line="360" w:lineRule="auto"/>
        <w:ind w:firstLine="709"/>
        <w:jc w:val="both"/>
        <w:rPr>
          <w:rFonts w:eastAsia="Segoe UI"/>
          <w:b/>
          <w:bCs/>
          <w:sz w:val="24"/>
          <w:shd w:val="clear" w:color="auto" w:fill="FFFFFF"/>
          <w:lang w:val="pt-BR"/>
        </w:rPr>
      </w:pPr>
      <w:r>
        <w:rPr>
          <w:rFonts w:eastAsia="Segoe UI"/>
          <w:b/>
          <w:bCs/>
          <w:sz w:val="24"/>
          <w:shd w:val="clear" w:color="auto" w:fill="FFFFFF"/>
          <w:lang w:val="pt-BR"/>
        </w:rPr>
        <w:t>Conclusão: A Síntese Moderna de um Ideal Antigo</w:t>
      </w:r>
    </w:p>
    <w:p w14:paraId="785960A3" w14:textId="77777777" w:rsidR="0003312E" w:rsidRDefault="00000000">
      <w:pPr>
        <w:pStyle w:val="NormalWeb"/>
        <w:spacing w:beforeAutospacing="0" w:after="0" w:afterAutospacing="0" w:line="360" w:lineRule="auto"/>
        <w:ind w:firstLine="709"/>
        <w:jc w:val="both"/>
        <w:rPr>
          <w:rFonts w:eastAsia="Segoe UI"/>
          <w:sz w:val="24"/>
          <w:shd w:val="clear" w:color="auto" w:fill="FFFFFF"/>
          <w:lang w:val="pt-BR"/>
        </w:rPr>
      </w:pPr>
      <w:r>
        <w:rPr>
          <w:rFonts w:eastAsia="Segoe UI"/>
          <w:sz w:val="24"/>
          <w:shd w:val="clear" w:color="auto" w:fill="FFFFFF"/>
          <w:lang w:val="pt-BR"/>
        </w:rPr>
        <w:t xml:space="preserve">A jornada pelos estados da mente, da hipnose à ansiedade, encontra sua culminância natural na eutimia. Ela representa o ponto de chegada: não a mera ausência de desordem, mas a presença positiva de um funcionamento integrado - a realização plena do potencial do </w:t>
      </w:r>
      <w:proofErr w:type="spellStart"/>
      <w:r>
        <w:rPr>
          <w:rFonts w:eastAsia="Segoe UI"/>
          <w:sz w:val="24"/>
          <w:shd w:val="clear" w:color="auto" w:fill="FFFFFF"/>
          <w:lang w:val="pt-BR"/>
        </w:rPr>
        <w:t>thymos</w:t>
      </w:r>
      <w:proofErr w:type="spellEnd"/>
      <w:r>
        <w:rPr>
          <w:rFonts w:eastAsia="Segoe UI"/>
          <w:sz w:val="24"/>
          <w:shd w:val="clear" w:color="auto" w:fill="FFFFFF"/>
          <w:lang w:val="pt-BR"/>
        </w:rPr>
        <w:t xml:space="preserve">. Este capítulo mostrou como uma palavra grega antiga carregava, em sua própria etimologia, um mapa para a saúde mental que a ciência contemporânea está apenas redescobrindo e validando. Introduzimos o "Cérebro Etimológico" como conceito unificador, ligando a linguagem (a palavra </w:t>
      </w:r>
      <w:proofErr w:type="spellStart"/>
      <w:r>
        <w:rPr>
          <w:rFonts w:eastAsia="Segoe UI"/>
          <w:sz w:val="24"/>
          <w:shd w:val="clear" w:color="auto" w:fill="FFFFFF"/>
          <w:lang w:val="pt-BR"/>
        </w:rPr>
        <w:t>euthymia</w:t>
      </w:r>
      <w:proofErr w:type="spellEnd"/>
      <w:r>
        <w:rPr>
          <w:rFonts w:eastAsia="Segoe UI"/>
          <w:sz w:val="24"/>
          <w:shd w:val="clear" w:color="auto" w:fill="FFFFFF"/>
          <w:lang w:val="pt-BR"/>
        </w:rPr>
        <w:t xml:space="preserve">), a história das ideias (de Demócrito a </w:t>
      </w:r>
      <w:proofErr w:type="spellStart"/>
      <w:r>
        <w:rPr>
          <w:rFonts w:eastAsia="Segoe UI"/>
          <w:sz w:val="24"/>
          <w:shd w:val="clear" w:color="auto" w:fill="FFFFFF"/>
          <w:lang w:val="pt-BR"/>
        </w:rPr>
        <w:t>Jahoda</w:t>
      </w:r>
      <w:proofErr w:type="spellEnd"/>
      <w:r>
        <w:rPr>
          <w:rFonts w:eastAsia="Segoe UI"/>
          <w:sz w:val="24"/>
          <w:shd w:val="clear" w:color="auto" w:fill="FFFFFF"/>
          <w:lang w:val="pt-BR"/>
        </w:rPr>
        <w:t xml:space="preserve"> e Fava) e a prática clínica (as intervenções que visam cultivá-la). A eutimia clínica contemporânea, portanto, representa uma síntese entre a sabedoria filosófica antiga e o rigor científico moderno, e nos lembra que o objetivo final não é apenas curar a mente doente, mas nutrir e fazer florescer a mente sã, numa releitura moderna e científica do mais antigo e sábio ideal filosófico.</w:t>
      </w:r>
    </w:p>
    <w:p w14:paraId="17DD4268"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1E49468E" w14:textId="77777777" w:rsidR="0003312E" w:rsidRPr="000D7094" w:rsidRDefault="0003312E">
      <w:pPr>
        <w:pStyle w:val="PargrafodaLista"/>
        <w:spacing w:after="0" w:line="360" w:lineRule="auto"/>
        <w:ind w:left="0" w:firstLine="709"/>
        <w:jc w:val="both"/>
        <w:rPr>
          <w:rFonts w:ascii="Times New Roman" w:eastAsiaTheme="majorEastAsia" w:hAnsi="Times New Roman" w:cs="Times New Roman"/>
          <w:i/>
          <w:iCs/>
          <w:sz w:val="24"/>
          <w:szCs w:val="24"/>
        </w:rPr>
      </w:pPr>
    </w:p>
    <w:p w14:paraId="7C2486F4" w14:textId="77777777" w:rsidR="0003312E" w:rsidRPr="000D7094" w:rsidRDefault="00000000">
      <w:pPr>
        <w:spacing w:after="0" w:line="360" w:lineRule="auto"/>
        <w:ind w:firstLine="709"/>
        <w:jc w:val="both"/>
        <w:rPr>
          <w:rFonts w:ascii="Times New Roman" w:eastAsia="Segoe UI" w:hAnsi="Times New Roman" w:cs="Times New Roman"/>
          <w:sz w:val="24"/>
          <w:szCs w:val="24"/>
          <w:lang w:eastAsia="zh-CN"/>
        </w:rPr>
      </w:pPr>
      <w:r w:rsidRPr="000D7094">
        <w:rPr>
          <w:rFonts w:ascii="Times New Roman" w:eastAsia="Segoe UI" w:hAnsi="Times New Roman" w:cs="Times New Roman"/>
          <w:sz w:val="24"/>
          <w:szCs w:val="24"/>
        </w:rPr>
        <w:br w:type="page"/>
      </w:r>
    </w:p>
    <w:tbl>
      <w:tblPr>
        <w:tblStyle w:val="Tabelacomgrade"/>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353"/>
        <w:gridCol w:w="4152"/>
      </w:tblGrid>
      <w:tr w:rsidR="0003312E" w14:paraId="42AAE4E3" w14:textId="77777777">
        <w:trPr>
          <w:trHeight w:val="470"/>
        </w:trPr>
        <w:tc>
          <w:tcPr>
            <w:tcW w:w="8505" w:type="dxa"/>
            <w:gridSpan w:val="2"/>
            <w:tcBorders>
              <w:top w:val="nil"/>
              <w:left w:val="nil"/>
              <w:bottom w:val="nil"/>
              <w:right w:val="nil"/>
            </w:tcBorders>
          </w:tcPr>
          <w:p w14:paraId="205A48E3" w14:textId="77777777" w:rsidR="0003312E" w:rsidRDefault="00000000">
            <w:pPr>
              <w:pBdr>
                <w:left w:val="single" w:sz="80" w:space="4" w:color="7F7F7F" w:themeColor="text1" w:themeTint="80"/>
                <w:bottom w:val="single" w:sz="8" w:space="4" w:color="7F7F7F" w:themeColor="text1" w:themeTint="80"/>
              </w:pBdr>
              <w:spacing w:after="0" w:line="240" w:lineRule="auto"/>
              <w:jc w:val="both"/>
              <w:rPr>
                <w:rFonts w:ascii="Times New Roman" w:eastAsia="SimSun" w:hAnsi="Times New Roman" w:cs="Times New Roman"/>
                <w:b/>
                <w:bCs/>
                <w:sz w:val="20"/>
                <w:szCs w:val="20"/>
              </w:rPr>
            </w:pPr>
            <w:r>
              <w:rPr>
                <w:rFonts w:ascii="Times New Roman" w:eastAsiaTheme="majorEastAsia" w:hAnsi="Times New Roman" w:cs="Times New Roman"/>
                <w:b/>
                <w:bCs/>
              </w:rPr>
              <w:lastRenderedPageBreak/>
              <w:t>Epílogo: O Cérebro Etimológico: Palavras como Fósseis Vivos</w:t>
            </w:r>
          </w:p>
        </w:tc>
      </w:tr>
      <w:tr w:rsidR="0003312E" w14:paraId="0D499AE2" w14:textId="77777777">
        <w:trPr>
          <w:trHeight w:val="675"/>
        </w:trPr>
        <w:tc>
          <w:tcPr>
            <w:tcW w:w="8505" w:type="dxa"/>
            <w:gridSpan w:val="2"/>
            <w:tcBorders>
              <w:top w:val="nil"/>
              <w:left w:val="nil"/>
              <w:bottom w:val="nil"/>
              <w:right w:val="nil"/>
            </w:tcBorders>
          </w:tcPr>
          <w:p w14:paraId="311BA9B0" w14:textId="77777777" w:rsidR="0003312E" w:rsidRDefault="00000000">
            <w:pPr>
              <w:pStyle w:val="NormalWeb"/>
              <w:shd w:val="clear" w:color="auto" w:fill="FFFFFF"/>
              <w:spacing w:beforeAutospacing="0" w:after="0" w:afterAutospacing="0" w:line="240" w:lineRule="auto"/>
              <w:jc w:val="both"/>
              <w:rPr>
                <w:sz w:val="20"/>
                <w:szCs w:val="20"/>
                <w:lang w:val="pt-BR"/>
              </w:rPr>
            </w:pPr>
            <w:r>
              <w:rPr>
                <w:rStyle w:val="Forte"/>
                <w:rFonts w:eastAsia="Segoe UI"/>
                <w:b w:val="0"/>
                <w:bCs w:val="0"/>
                <w:i/>
                <w:iCs/>
                <w:sz w:val="20"/>
                <w:szCs w:val="20"/>
                <w:shd w:val="clear" w:color="auto" w:fill="FFFFFF"/>
                <w:lang w:val="pt-BR"/>
              </w:rPr>
              <w:t>“A história das ideias não é a história das palavras, mas se reflete, muitas vezes, na história das palavras.”</w:t>
            </w:r>
            <w:r>
              <w:rPr>
                <w:rStyle w:val="Forte"/>
                <w:rFonts w:eastAsia="Segoe UI"/>
                <w:sz w:val="20"/>
                <w:szCs w:val="20"/>
                <w:shd w:val="clear" w:color="auto" w:fill="FFFFFF"/>
                <w:lang w:val="pt-BR"/>
              </w:rPr>
              <w:t xml:space="preserve"> </w:t>
            </w:r>
            <w:proofErr w:type="spellStart"/>
            <w:r>
              <w:rPr>
                <w:rFonts w:eastAsia="Segoe UI"/>
                <w:sz w:val="20"/>
                <w:szCs w:val="20"/>
                <w:shd w:val="clear" w:color="auto" w:fill="FFFFFF"/>
                <w:lang w:val="pt-BR"/>
              </w:rPr>
              <w:t>Owsei</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Temkin</w:t>
            </w:r>
            <w:proofErr w:type="spellEnd"/>
            <w:r>
              <w:rPr>
                <w:rFonts w:eastAsia="Segoe UI"/>
                <w:sz w:val="20"/>
                <w:szCs w:val="20"/>
                <w:shd w:val="clear" w:color="auto" w:fill="FFFFFF"/>
                <w:lang w:val="pt-BR"/>
              </w:rPr>
              <w:t xml:space="preserve">, </w:t>
            </w:r>
            <w:r>
              <w:rPr>
                <w:rStyle w:val="nfase"/>
                <w:rFonts w:eastAsia="Segoe UI"/>
                <w:i w:val="0"/>
                <w:iCs w:val="0"/>
                <w:sz w:val="20"/>
                <w:szCs w:val="20"/>
                <w:shd w:val="clear" w:color="auto" w:fill="FFFFFF"/>
                <w:lang w:val="pt-BR"/>
              </w:rPr>
              <w:t>A Face Dupla de Jano e Outros Ensaios na História da Medicina</w:t>
            </w:r>
            <w:r>
              <w:rPr>
                <w:rFonts w:eastAsia="Segoe UI"/>
                <w:sz w:val="20"/>
                <w:szCs w:val="20"/>
                <w:shd w:val="clear" w:color="auto" w:fill="FFFFFF"/>
                <w:lang w:val="pt-BR"/>
              </w:rPr>
              <w:t> </w:t>
            </w:r>
          </w:p>
        </w:tc>
      </w:tr>
      <w:tr w:rsidR="0003312E" w14:paraId="232D82F2" w14:textId="77777777">
        <w:tc>
          <w:tcPr>
            <w:tcW w:w="4353" w:type="dxa"/>
            <w:tcBorders>
              <w:top w:val="nil"/>
              <w:left w:val="nil"/>
              <w:bottom w:val="nil"/>
              <w:right w:val="nil"/>
            </w:tcBorders>
          </w:tcPr>
          <w:p w14:paraId="5BC790B0" w14:textId="77777777" w:rsidR="0003312E" w:rsidRDefault="00000000">
            <w:pPr>
              <w:spacing w:after="0" w:line="240" w:lineRule="auto"/>
              <w:jc w:val="center"/>
              <w:rPr>
                <w:rFonts w:ascii="Times New Roman" w:eastAsia="SimSun" w:hAnsi="Times New Roman" w:cs="Times New Roman"/>
                <w:sz w:val="20"/>
                <w:szCs w:val="20"/>
              </w:rPr>
            </w:pPr>
            <w:r>
              <w:rPr>
                <w:rFonts w:ascii="Times New Roman" w:eastAsia="SimSun" w:hAnsi="Times New Roman" w:cs="Times New Roman"/>
                <w:noProof/>
                <w:sz w:val="20"/>
                <w:szCs w:val="20"/>
              </w:rPr>
              <w:drawing>
                <wp:inline distT="0" distB="0" distL="114300" distR="114300" wp14:anchorId="755C330A" wp14:editId="6D1EEA96">
                  <wp:extent cx="1760220" cy="1587500"/>
                  <wp:effectExtent l="0" t="0" r="7620" b="12700"/>
                  <wp:docPr id="10" name="Imagem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3" descr="IMG_256"/>
                          <pic:cNvPicPr>
                            <a:picLocks noChangeAspect="1"/>
                          </pic:cNvPicPr>
                        </pic:nvPicPr>
                        <pic:blipFill>
                          <a:blip r:embed="rId33"/>
                          <a:stretch>
                            <a:fillRect/>
                          </a:stretch>
                        </pic:blipFill>
                        <pic:spPr>
                          <a:xfrm>
                            <a:off x="0" y="0"/>
                            <a:ext cx="1760220" cy="1587500"/>
                          </a:xfrm>
                          <a:prstGeom prst="rect">
                            <a:avLst/>
                          </a:prstGeom>
                          <a:noFill/>
                          <a:ln w="9525">
                            <a:noFill/>
                          </a:ln>
                        </pic:spPr>
                      </pic:pic>
                    </a:graphicData>
                  </a:graphic>
                </wp:inline>
              </w:drawing>
            </w:r>
          </w:p>
        </w:tc>
        <w:tc>
          <w:tcPr>
            <w:tcW w:w="4152" w:type="dxa"/>
            <w:tcBorders>
              <w:top w:val="nil"/>
              <w:left w:val="nil"/>
              <w:bottom w:val="nil"/>
              <w:right w:val="nil"/>
            </w:tcBorders>
          </w:tcPr>
          <w:p w14:paraId="12069FCF" w14:textId="77777777" w:rsidR="0003312E" w:rsidRDefault="00000000">
            <w:pPr>
              <w:spacing w:after="0" w:line="240" w:lineRule="auto"/>
              <w:jc w:val="both"/>
              <w:rPr>
                <w:rStyle w:val="Forte"/>
                <w:rFonts w:ascii="Times New Roman" w:eastAsia="Garamond"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114300" distR="114300" wp14:anchorId="561A6252" wp14:editId="4D3AB7EF">
                  <wp:extent cx="1176020" cy="1539240"/>
                  <wp:effectExtent l="0" t="0" r="5080" b="3810"/>
                  <wp:docPr id="1127496858" name="Imagem 1127496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496858" name="Imagem 1127496858"/>
                          <pic:cNvPicPr>
                            <a:picLocks noChangeAspect="1"/>
                          </pic:cNvPicPr>
                        </pic:nvPicPr>
                        <pic:blipFill>
                          <a:blip r:embed="rId34">
                            <a:extLst>
                              <a:ext uri="{BEBA8EAE-BF5A-486C-A8C5-ECC9F3942E4B}">
                                <a14:imgProps xmlns:a14="http://schemas.microsoft.com/office/drawing/2010/main">
                                  <a14:imgLayer r:embed="rId35">
                                    <a14:imgEffect>
                                      <a14:saturation sat="400000"/>
                                    </a14:imgEffect>
                                  </a14:imgLayer>
                                </a14:imgProps>
                              </a:ext>
                            </a:extLst>
                          </a:blip>
                          <a:stretch>
                            <a:fillRect/>
                          </a:stretch>
                        </pic:blipFill>
                        <pic:spPr>
                          <a:xfrm>
                            <a:off x="0" y="0"/>
                            <a:ext cx="1187063" cy="1553742"/>
                          </a:xfrm>
                          <a:prstGeom prst="rect">
                            <a:avLst/>
                          </a:prstGeom>
                          <a:noFill/>
                          <a:ln>
                            <a:noFill/>
                          </a:ln>
                        </pic:spPr>
                      </pic:pic>
                    </a:graphicData>
                  </a:graphic>
                </wp:inline>
              </w:drawing>
            </w:r>
            <w:r>
              <w:rPr>
                <w:rFonts w:ascii="Times New Roman" w:eastAsia="SimSun" w:hAnsi="Times New Roman" w:cs="Times New Roman"/>
                <w:noProof/>
                <w:sz w:val="20"/>
                <w:szCs w:val="20"/>
              </w:rPr>
              <w:drawing>
                <wp:inline distT="0" distB="0" distL="114300" distR="114300" wp14:anchorId="60AF24FD" wp14:editId="3A2ADD98">
                  <wp:extent cx="1188720" cy="1461770"/>
                  <wp:effectExtent l="0" t="0" r="0" b="5080"/>
                  <wp:docPr id="1" name="Imagem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MG_256"/>
                          <pic:cNvPicPr>
                            <a:picLocks noChangeAspect="1"/>
                          </pic:cNvPicPr>
                        </pic:nvPicPr>
                        <pic:blipFill>
                          <a:blip r:embed="rId36"/>
                          <a:srcRect b="13738"/>
                          <a:stretch>
                            <a:fillRect/>
                          </a:stretch>
                        </pic:blipFill>
                        <pic:spPr>
                          <a:xfrm>
                            <a:off x="0" y="0"/>
                            <a:ext cx="1191869" cy="1466080"/>
                          </a:xfrm>
                          <a:prstGeom prst="rect">
                            <a:avLst/>
                          </a:prstGeom>
                          <a:noFill/>
                          <a:ln>
                            <a:noFill/>
                          </a:ln>
                        </pic:spPr>
                      </pic:pic>
                    </a:graphicData>
                  </a:graphic>
                </wp:inline>
              </w:drawing>
            </w:r>
          </w:p>
        </w:tc>
      </w:tr>
      <w:tr w:rsidR="0003312E" w14:paraId="5A3131A5" w14:textId="77777777">
        <w:trPr>
          <w:trHeight w:val="476"/>
        </w:trPr>
        <w:tc>
          <w:tcPr>
            <w:tcW w:w="4353" w:type="dxa"/>
            <w:tcBorders>
              <w:top w:val="nil"/>
              <w:left w:val="nil"/>
              <w:bottom w:val="nil"/>
              <w:right w:val="nil"/>
            </w:tcBorders>
          </w:tcPr>
          <w:p w14:paraId="240540FA" w14:textId="77777777" w:rsidR="0003312E" w:rsidRDefault="00000000">
            <w:pPr>
              <w:pStyle w:val="NormalWeb"/>
              <w:shd w:val="clear" w:color="auto" w:fill="FFFFFF"/>
              <w:spacing w:beforeAutospacing="0" w:after="0" w:afterAutospacing="0" w:line="240" w:lineRule="auto"/>
              <w:jc w:val="both"/>
              <w:rPr>
                <w:rStyle w:val="Forte"/>
                <w:rFonts w:eastAsia="Garamond"/>
                <w:sz w:val="20"/>
                <w:szCs w:val="20"/>
                <w:lang w:val="pt-BR"/>
              </w:rPr>
            </w:pPr>
            <w:r>
              <w:rPr>
                <w:rFonts w:eastAsiaTheme="majorEastAsia"/>
                <w:i/>
                <w:iCs/>
                <w:lang w:val="pt-BR"/>
              </w:rPr>
              <w:t>Figura E.1: O Cérebro como Arquivo Vivo de Significados</w:t>
            </w:r>
            <w:r>
              <w:rPr>
                <w:rFonts w:eastAsiaTheme="majorEastAsia"/>
                <w:lang w:val="pt-BR"/>
              </w:rPr>
              <w:br/>
            </w:r>
          </w:p>
        </w:tc>
        <w:tc>
          <w:tcPr>
            <w:tcW w:w="4152" w:type="dxa"/>
            <w:tcBorders>
              <w:top w:val="nil"/>
              <w:left w:val="nil"/>
              <w:bottom w:val="nil"/>
              <w:right w:val="nil"/>
            </w:tcBorders>
          </w:tcPr>
          <w:p w14:paraId="789A8019" w14:textId="77777777" w:rsidR="0003312E" w:rsidRDefault="00000000">
            <w:pPr>
              <w:pStyle w:val="PargrafodaLista"/>
              <w:shd w:val="clear" w:color="auto" w:fill="FFFFFF"/>
              <w:spacing w:after="0" w:line="240" w:lineRule="auto"/>
              <w:ind w:left="360"/>
              <w:jc w:val="both"/>
              <w:rPr>
                <w:rStyle w:val="Forte"/>
                <w:rFonts w:ascii="Times New Roman" w:eastAsia="Garamond" w:hAnsi="Times New Roman" w:cs="Times New Roman"/>
                <w:sz w:val="20"/>
                <w:szCs w:val="20"/>
              </w:rPr>
            </w:pPr>
            <w:r>
              <w:rPr>
                <w:rFonts w:ascii="Times New Roman" w:eastAsiaTheme="majorEastAsia" w:hAnsi="Times New Roman" w:cs="Times New Roman"/>
                <w:i/>
                <w:iCs/>
                <w:sz w:val="20"/>
                <w:szCs w:val="20"/>
              </w:rPr>
              <w:t xml:space="preserve">Figura E.2: </w:t>
            </w:r>
            <w:proofErr w:type="spellStart"/>
            <w:r>
              <w:rPr>
                <w:rFonts w:ascii="Times New Roman" w:eastAsia="Segoe UI" w:hAnsi="Times New Roman" w:cs="Times New Roman"/>
                <w:i/>
                <w:iCs/>
                <w:sz w:val="20"/>
                <w:szCs w:val="20"/>
                <w:shd w:val="clear" w:color="auto" w:fill="FFFFFF"/>
              </w:rPr>
              <w:t>Owsei</w:t>
            </w:r>
            <w:proofErr w:type="spellEnd"/>
            <w:r>
              <w:rPr>
                <w:rFonts w:ascii="Times New Roman" w:eastAsia="Segoe UI" w:hAnsi="Times New Roman" w:cs="Times New Roman"/>
                <w:i/>
                <w:iCs/>
                <w:sz w:val="20"/>
                <w:szCs w:val="20"/>
                <w:shd w:val="clear" w:color="auto" w:fill="FFFFFF"/>
              </w:rPr>
              <w:t xml:space="preserve"> </w:t>
            </w:r>
            <w:proofErr w:type="spellStart"/>
            <w:r>
              <w:rPr>
                <w:rFonts w:ascii="Times New Roman" w:eastAsia="Segoe UI" w:hAnsi="Times New Roman" w:cs="Times New Roman"/>
                <w:i/>
                <w:iCs/>
                <w:sz w:val="20"/>
                <w:szCs w:val="20"/>
                <w:shd w:val="clear" w:color="auto" w:fill="FFFFFF"/>
              </w:rPr>
              <w:t>Temkin</w:t>
            </w:r>
            <w:proofErr w:type="spellEnd"/>
            <w:r>
              <w:rPr>
                <w:rFonts w:ascii="Times New Roman" w:eastAsia="Segoe UI" w:hAnsi="Times New Roman" w:cs="Times New Roman"/>
                <w:i/>
                <w:iCs/>
                <w:sz w:val="20"/>
                <w:szCs w:val="20"/>
                <w:shd w:val="clear" w:color="auto" w:fill="FFFFFF"/>
              </w:rPr>
              <w:t xml:space="preserve"> (1902 - 2002) e Oliver Sacks (1933 - 2015)</w:t>
            </w:r>
            <w:r>
              <w:rPr>
                <w:rFonts w:ascii="Times New Roman" w:eastAsiaTheme="majorEastAsia" w:hAnsi="Times New Roman" w:cs="Times New Roman"/>
                <w:i/>
                <w:iCs/>
                <w:sz w:val="20"/>
                <w:szCs w:val="20"/>
              </w:rPr>
              <w:t xml:space="preserve">: </w:t>
            </w:r>
            <w:r>
              <w:rPr>
                <w:rStyle w:val="Forte"/>
                <w:rFonts w:ascii="Times New Roman" w:hAnsi="Times New Roman" w:cs="Times New Roman"/>
                <w:b w:val="0"/>
                <w:bCs w:val="0"/>
                <w:i/>
                <w:iCs/>
                <w:color w:val="0F1115"/>
                <w:sz w:val="20"/>
                <w:szCs w:val="20"/>
              </w:rPr>
              <w:t>A História das Palavras e as Narrativas da Doença</w:t>
            </w:r>
          </w:p>
        </w:tc>
      </w:tr>
    </w:tbl>
    <w:p w14:paraId="2C4A7CCE" w14:textId="77777777" w:rsidR="0003312E" w:rsidRDefault="0003312E">
      <w:pPr>
        <w:spacing w:after="0" w:line="360" w:lineRule="auto"/>
        <w:ind w:firstLine="709"/>
        <w:jc w:val="both"/>
        <w:rPr>
          <w:rFonts w:ascii="Times New Roman" w:hAnsi="Times New Roman" w:cs="Times New Roman"/>
          <w:b/>
          <w:bCs/>
          <w:sz w:val="24"/>
        </w:rPr>
      </w:pPr>
    </w:p>
    <w:p w14:paraId="40A2B9F6" w14:textId="77777777" w:rsidR="0003312E" w:rsidRDefault="00000000">
      <w:pPr>
        <w:spacing w:after="0" w:line="360" w:lineRule="auto"/>
        <w:ind w:firstLine="709"/>
        <w:jc w:val="both"/>
        <w:rPr>
          <w:rFonts w:ascii="Times New Roman" w:hAnsi="Times New Roman" w:cs="Times New Roman"/>
          <w:b/>
          <w:bCs/>
          <w:sz w:val="24"/>
        </w:rPr>
      </w:pPr>
      <w:proofErr w:type="gramStart"/>
      <w:r>
        <w:rPr>
          <w:rFonts w:ascii="Times New Roman" w:hAnsi="Times New Roman" w:cs="Times New Roman"/>
          <w:b/>
          <w:bCs/>
          <w:sz w:val="24"/>
        </w:rPr>
        <w:t>As  figuras</w:t>
      </w:r>
      <w:proofErr w:type="gramEnd"/>
      <w:r>
        <w:rPr>
          <w:rFonts w:ascii="Times New Roman" w:hAnsi="Times New Roman" w:cs="Times New Roman"/>
          <w:b/>
          <w:bCs/>
          <w:sz w:val="24"/>
        </w:rPr>
        <w:t xml:space="preserve">  de Abertura</w:t>
      </w:r>
    </w:p>
    <w:p w14:paraId="3DC4E503"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Imagine um cérebro humano estilizado, pulsante, onde cada sulco e giro transcende a anatomia neural para converter-se em um palimpsesto de significados. Nele, as palavras que nomeiam a mente não se limitam a categorias clínicas: são, nas palavras de </w:t>
      </w:r>
      <w:proofErr w:type="spellStart"/>
      <w:r>
        <w:rPr>
          <w:rFonts w:ascii="Times New Roman" w:hAnsi="Times New Roman" w:cs="Times New Roman"/>
          <w:sz w:val="24"/>
        </w:rPr>
        <w:t>Owsei</w:t>
      </w:r>
      <w:proofErr w:type="spellEnd"/>
      <w:r>
        <w:rPr>
          <w:rFonts w:ascii="Times New Roman" w:hAnsi="Times New Roman" w:cs="Times New Roman"/>
          <w:sz w:val="24"/>
        </w:rPr>
        <w:t xml:space="preserve">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verdadeiros fósseis do </w:t>
      </w:r>
      <w:proofErr w:type="gramStart"/>
      <w:r>
        <w:rPr>
          <w:rFonts w:ascii="Times New Roman" w:hAnsi="Times New Roman" w:cs="Times New Roman"/>
          <w:sz w:val="24"/>
        </w:rPr>
        <w:t>pensamento  -</w:t>
      </w:r>
      <w:proofErr w:type="gramEnd"/>
      <w:r>
        <w:rPr>
          <w:rFonts w:ascii="Times New Roman" w:hAnsi="Times New Roman" w:cs="Times New Roman"/>
          <w:sz w:val="24"/>
        </w:rPr>
        <w:t xml:space="preserve">  estratos linguísticos que preservam camadas sucessivas de mitos, equívocos, descobertas e reinvenções. Funcionam como um museu vivo, onde a histeria sussurra segredos hipocráticos, a melancolia carrega o peso dos humores antigos e a ansiedade, essa inquieta </w:t>
      </w:r>
      <w:r>
        <w:rPr>
          <w:rFonts w:ascii="Times New Roman" w:hAnsi="Times New Roman" w:cs="Times New Roman"/>
          <w:sz w:val="24"/>
          <w:szCs w:val="24"/>
        </w:rPr>
        <w:t xml:space="preserve">companheira da contemporaneidade, ainda ressoa os temores de uma humanidade anterior à ciência. </w:t>
      </w:r>
      <w:proofErr w:type="spellStart"/>
      <w:r>
        <w:rPr>
          <w:rFonts w:ascii="Times New Roman" w:eastAsia="Segoe UI" w:hAnsi="Times New Roman" w:cs="Times New Roman"/>
          <w:sz w:val="24"/>
          <w:szCs w:val="24"/>
          <w:shd w:val="clear" w:color="auto" w:fill="FFFFFF"/>
        </w:rPr>
        <w:t>Owsei</w:t>
      </w:r>
      <w:proofErr w:type="spellEnd"/>
      <w:r>
        <w:rPr>
          <w:rFonts w:ascii="Times New Roman" w:eastAsia="Segoe UI" w:hAnsi="Times New Roman" w:cs="Times New Roman"/>
          <w:sz w:val="24"/>
          <w:szCs w:val="24"/>
          <w:shd w:val="clear" w:color="auto" w:fill="FFFFFF"/>
        </w:rPr>
        <w:t xml:space="preserve"> </w:t>
      </w:r>
      <w:proofErr w:type="spellStart"/>
      <w:r>
        <w:rPr>
          <w:rFonts w:ascii="Times New Roman" w:eastAsia="Segoe UI" w:hAnsi="Times New Roman" w:cs="Times New Roman"/>
          <w:sz w:val="24"/>
          <w:szCs w:val="24"/>
          <w:shd w:val="clear" w:color="auto" w:fill="FFFFFF"/>
        </w:rPr>
        <w:t>Temkin</w:t>
      </w:r>
      <w:proofErr w:type="spellEnd"/>
      <w:r>
        <w:rPr>
          <w:rFonts w:ascii="Times New Roman" w:eastAsia="Segoe UI" w:hAnsi="Times New Roman" w:cs="Times New Roman"/>
          <w:sz w:val="24"/>
          <w:szCs w:val="24"/>
          <w:shd w:val="clear" w:color="auto" w:fill="FFFFFF"/>
        </w:rPr>
        <w:t xml:space="preserve"> (1902 - 2002) e Oliver Sacks (1933 - 2015), d</w:t>
      </w:r>
      <w:r>
        <w:rPr>
          <w:rFonts w:ascii="Times New Roman" w:hAnsi="Times New Roman" w:cs="Times New Roman"/>
          <w:sz w:val="24"/>
          <w:szCs w:val="24"/>
        </w:rPr>
        <w:t>ois grandes intelectuais, separados por uma geração, uniram-se pela convicção de que a medicina não se reduz à ciência</w:t>
      </w:r>
      <w:r>
        <w:rPr>
          <w:rFonts w:ascii="Times New Roman" w:hAnsi="Times New Roman" w:cs="Times New Roman"/>
          <w:sz w:val="24"/>
        </w:rPr>
        <w:t>: é também história viva, e suas palavras testemunham essa trajetória. Eles nos mostram que as palavras são como sinapses, pois conectam não só neurônios, mas épocas, culturas e almas.</w:t>
      </w:r>
    </w:p>
    <w:p w14:paraId="45928B57" w14:textId="77777777" w:rsidR="0003312E" w:rsidRDefault="0003312E">
      <w:pPr>
        <w:spacing w:after="0" w:line="360" w:lineRule="auto"/>
        <w:ind w:firstLine="709"/>
        <w:jc w:val="both"/>
        <w:rPr>
          <w:rFonts w:ascii="Times New Roman" w:hAnsi="Times New Roman" w:cs="Times New Roman"/>
          <w:sz w:val="24"/>
        </w:rPr>
      </w:pPr>
    </w:p>
    <w:p w14:paraId="21F86DFC" w14:textId="77777777" w:rsidR="0003312E" w:rsidRDefault="00000000">
      <w:pPr>
        <w:spacing w:after="0" w:line="360" w:lineRule="auto"/>
        <w:ind w:firstLine="709"/>
        <w:jc w:val="both"/>
        <w:rPr>
          <w:rFonts w:ascii="Times New Roman" w:hAnsi="Times New Roman" w:cs="Times New Roman"/>
          <w:b/>
          <w:bCs/>
          <w:sz w:val="24"/>
        </w:rPr>
      </w:pPr>
      <w:r>
        <w:rPr>
          <w:rFonts w:ascii="Times New Roman" w:hAnsi="Times New Roman" w:cs="Times New Roman"/>
          <w:b/>
          <w:bCs/>
          <w:sz w:val="24"/>
        </w:rPr>
        <w:t>O Museu Vivo da Mente</w:t>
      </w:r>
    </w:p>
    <w:p w14:paraId="52A02D2B"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Ao longo deste livro, percorremos uma jornada singular por dez conceitos fundamentais que moldaram nossa compreensão da mente </w:t>
      </w:r>
      <w:proofErr w:type="gramStart"/>
      <w:r>
        <w:rPr>
          <w:rFonts w:ascii="Times New Roman" w:hAnsi="Times New Roman" w:cs="Times New Roman"/>
          <w:sz w:val="24"/>
        </w:rPr>
        <w:t>humana  -</w:t>
      </w:r>
      <w:proofErr w:type="gramEnd"/>
      <w:r>
        <w:rPr>
          <w:rFonts w:ascii="Times New Roman" w:hAnsi="Times New Roman" w:cs="Times New Roman"/>
          <w:sz w:val="24"/>
        </w:rPr>
        <w:t xml:space="preserve">  da hipnose e do coma ao frenesi, da melancolia ao êxtase, do delírio à histeria, da neurastenia à ansiedade e à eutimia. Cada capítulo desvendou a história etimológica desses termos, revelando como evoluíram de suas origens mitológicas e culturais até os significados que hoje povoam os manuais de neurociência. Vimos, assim, que as palavras que nomeiam estados mentais carregam consigo séculos de </w:t>
      </w:r>
      <w:r>
        <w:rPr>
          <w:rFonts w:ascii="Times New Roman" w:hAnsi="Times New Roman" w:cs="Times New Roman"/>
          <w:sz w:val="24"/>
        </w:rPr>
        <w:lastRenderedPageBreak/>
        <w:t>transformações culturais, científicas e filosóficas. Elas não apenas descrevem a realidade, mas também a conformam, influenciando profundamente o modo como entendemos a nós mesmos.</w:t>
      </w:r>
    </w:p>
    <w:p w14:paraId="65F1B58B"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Imagine adentrar uma galeria onde cada peça não se apresenta estática, mas respira. A histeria, por exemplo, não é apenas um diagnóstico obsoleto: é um espelho das obsessões de cada época. No século XIX, a histeria era ainda vista como a 'doença das mulheres', sintoma de uma suposta fragilidade feminina - uma crença que resgatava a antiga e milenar teoria do útero errante. Hoje, seus ecos persistem no transtorno de conversão, em que o corpo traduz conflitos psíquicos em sintomas físicos - um conceito que, embora tenha surgido para superar o modelo preconceituoso da histeria, ainda carrega o desafio de dissociar-se completamente do estigma histórico que </w:t>
      </w:r>
      <w:proofErr w:type="spellStart"/>
      <w:r>
        <w:rPr>
          <w:rFonts w:ascii="Times New Roman" w:hAnsi="Times New Roman" w:cs="Times New Roman"/>
          <w:sz w:val="24"/>
        </w:rPr>
        <w:t>patologizou</w:t>
      </w:r>
      <w:proofErr w:type="spellEnd"/>
      <w:r>
        <w:rPr>
          <w:rFonts w:ascii="Times New Roman" w:hAnsi="Times New Roman" w:cs="Times New Roman"/>
          <w:sz w:val="24"/>
        </w:rPr>
        <w:t xml:space="preserve"> o corpo feminino.</w:t>
      </w:r>
    </w:p>
    <w:p w14:paraId="04CE770F"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Tomemos ainda a neurastenia, o "cansaço dos nervos" que assombrou a era industrial. Cunhada pelo neurologista George Beard em 1869, capturava o esgotamento de uma sociedade em acelerada transformação. Seu equivalente contemporâneo talvez seja a síndrome de burnout - outro termo que, como observaria </w:t>
      </w:r>
      <w:proofErr w:type="spellStart"/>
      <w:r>
        <w:rPr>
          <w:rFonts w:ascii="Times New Roman" w:hAnsi="Times New Roman" w:cs="Times New Roman"/>
          <w:sz w:val="24"/>
        </w:rPr>
        <w:t>Temkin</w:t>
      </w:r>
      <w:proofErr w:type="spellEnd"/>
      <w:r>
        <w:rPr>
          <w:rFonts w:ascii="Times New Roman" w:hAnsi="Times New Roman" w:cs="Times New Roman"/>
          <w:sz w:val="24"/>
        </w:rPr>
        <w:t>, carrega consigo o peso do seu tempo.</w:t>
      </w:r>
    </w:p>
    <w:p w14:paraId="7FBA1A97"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Até a eutimia, estado de equilíbrio emocional almejado pela psiquiatria moderna, enraíza-se em origens surpreendentes. O termo, ressignificado e adotado pela psiquiatria no século XX, evoca a </w:t>
      </w:r>
      <w:proofErr w:type="spellStart"/>
      <w:r>
        <w:rPr>
          <w:rFonts w:ascii="Times New Roman" w:hAnsi="Times New Roman" w:cs="Times New Roman"/>
          <w:sz w:val="24"/>
        </w:rPr>
        <w:t>euthymia</w:t>
      </w:r>
      <w:proofErr w:type="spellEnd"/>
      <w:r>
        <w:rPr>
          <w:rFonts w:ascii="Times New Roman" w:hAnsi="Times New Roman" w:cs="Times New Roman"/>
          <w:sz w:val="24"/>
        </w:rPr>
        <w:t xml:space="preserve"> grega, a "boa alma" dos estoicos - um ideal filosófico que, séculos depois, </w:t>
      </w:r>
      <w:proofErr w:type="spellStart"/>
      <w:r>
        <w:rPr>
          <w:rFonts w:ascii="Times New Roman" w:hAnsi="Times New Roman" w:cs="Times New Roman"/>
          <w:sz w:val="24"/>
        </w:rPr>
        <w:t>converteria-se</w:t>
      </w:r>
      <w:proofErr w:type="spellEnd"/>
      <w:r>
        <w:rPr>
          <w:rFonts w:ascii="Times New Roman" w:hAnsi="Times New Roman" w:cs="Times New Roman"/>
          <w:sz w:val="24"/>
        </w:rPr>
        <w:t xml:space="preserve"> em objetivo clínico. Como assinalou </w:t>
      </w:r>
      <w:proofErr w:type="spellStart"/>
      <w:r>
        <w:rPr>
          <w:rFonts w:ascii="Times New Roman" w:hAnsi="Times New Roman" w:cs="Times New Roman"/>
          <w:sz w:val="24"/>
        </w:rPr>
        <w:t>Temkin</w:t>
      </w:r>
      <w:proofErr w:type="spellEnd"/>
      <w:r>
        <w:rPr>
          <w:rFonts w:ascii="Times New Roman" w:hAnsi="Times New Roman" w:cs="Times New Roman"/>
          <w:sz w:val="24"/>
        </w:rPr>
        <w:t>, "as palavras não morrem; metamorfoseiam-se".</w:t>
      </w:r>
    </w:p>
    <w:p w14:paraId="219B1023" w14:textId="77777777" w:rsidR="0003312E" w:rsidRDefault="0003312E">
      <w:pPr>
        <w:spacing w:after="0" w:line="360" w:lineRule="auto"/>
        <w:ind w:firstLine="709"/>
        <w:jc w:val="both"/>
        <w:rPr>
          <w:rFonts w:ascii="Times New Roman" w:hAnsi="Times New Roman" w:cs="Times New Roman"/>
          <w:sz w:val="24"/>
        </w:rPr>
      </w:pPr>
    </w:p>
    <w:p w14:paraId="54C6DD2A" w14:textId="77777777" w:rsidR="0003312E" w:rsidRDefault="00000000">
      <w:pPr>
        <w:spacing w:after="0" w:line="360" w:lineRule="auto"/>
        <w:ind w:firstLine="709"/>
        <w:jc w:val="both"/>
        <w:rPr>
          <w:rFonts w:ascii="Times New Roman" w:hAnsi="Times New Roman" w:cs="Times New Roman"/>
          <w:b/>
          <w:bCs/>
          <w:sz w:val="24"/>
        </w:rPr>
      </w:pPr>
      <w:r>
        <w:rPr>
          <w:rFonts w:ascii="Times New Roman" w:hAnsi="Times New Roman" w:cs="Times New Roman"/>
          <w:b/>
          <w:bCs/>
          <w:sz w:val="24"/>
        </w:rPr>
        <w:t xml:space="preserve">A Voz de </w:t>
      </w:r>
      <w:proofErr w:type="spellStart"/>
      <w:r>
        <w:rPr>
          <w:rFonts w:ascii="Times New Roman" w:hAnsi="Times New Roman" w:cs="Times New Roman"/>
          <w:b/>
          <w:bCs/>
          <w:sz w:val="24"/>
        </w:rPr>
        <w:t>Temkin</w:t>
      </w:r>
      <w:proofErr w:type="spellEnd"/>
      <w:r>
        <w:rPr>
          <w:rFonts w:ascii="Times New Roman" w:hAnsi="Times New Roman" w:cs="Times New Roman"/>
          <w:b/>
          <w:bCs/>
          <w:sz w:val="24"/>
        </w:rPr>
        <w:t xml:space="preserve"> e a Narrativa de Sacks</w:t>
      </w:r>
    </w:p>
    <w:p w14:paraId="6C1F74EA" w14:textId="77777777" w:rsidR="0003312E" w:rsidRDefault="00000000">
      <w:pPr>
        <w:spacing w:after="0" w:line="360" w:lineRule="auto"/>
        <w:ind w:firstLine="709"/>
        <w:jc w:val="both"/>
        <w:rPr>
          <w:rFonts w:ascii="Times New Roman" w:hAnsi="Times New Roman" w:cs="Times New Roman"/>
          <w:sz w:val="24"/>
        </w:rPr>
      </w:pPr>
      <w:proofErr w:type="spellStart"/>
      <w:r>
        <w:rPr>
          <w:rFonts w:ascii="Times New Roman" w:hAnsi="Times New Roman" w:cs="Times New Roman"/>
          <w:sz w:val="24"/>
        </w:rPr>
        <w:t>Temkin</w:t>
      </w:r>
      <w:proofErr w:type="spellEnd"/>
      <w:r>
        <w:rPr>
          <w:rFonts w:ascii="Times New Roman" w:hAnsi="Times New Roman" w:cs="Times New Roman"/>
          <w:sz w:val="24"/>
        </w:rPr>
        <w:t xml:space="preserve">, historiador meticuloso nascido em Minsk e formado em Leipzig, dedicou-se a desvendar como os termos </w:t>
      </w:r>
      <w:proofErr w:type="gramStart"/>
      <w:r>
        <w:rPr>
          <w:rFonts w:ascii="Times New Roman" w:hAnsi="Times New Roman" w:cs="Times New Roman"/>
          <w:sz w:val="24"/>
        </w:rPr>
        <w:t>médicos  -</w:t>
      </w:r>
      <w:proofErr w:type="gramEnd"/>
      <w:r>
        <w:rPr>
          <w:rFonts w:ascii="Times New Roman" w:hAnsi="Times New Roman" w:cs="Times New Roman"/>
          <w:sz w:val="24"/>
        </w:rPr>
        <w:t xml:space="preserve">  da epilepsia (do grego </w:t>
      </w:r>
      <w:proofErr w:type="spellStart"/>
      <w:r>
        <w:rPr>
          <w:rFonts w:ascii="Times New Roman" w:hAnsi="Times New Roman" w:cs="Times New Roman"/>
          <w:i/>
          <w:iCs/>
          <w:sz w:val="24"/>
        </w:rPr>
        <w:t>epilambanein</w:t>
      </w:r>
      <w:proofErr w:type="spellEnd"/>
      <w:r>
        <w:rPr>
          <w:rFonts w:ascii="Times New Roman" w:hAnsi="Times New Roman" w:cs="Times New Roman"/>
          <w:sz w:val="24"/>
        </w:rPr>
        <w:t xml:space="preserve">, "aquilo que se apodera") à melancolia (o "humor negro" da </w:t>
      </w:r>
      <w:proofErr w:type="gramStart"/>
      <w:r>
        <w:rPr>
          <w:rFonts w:ascii="Times New Roman" w:hAnsi="Times New Roman" w:cs="Times New Roman"/>
          <w:sz w:val="24"/>
        </w:rPr>
        <w:t>Antiguidade)  -</w:t>
      </w:r>
      <w:proofErr w:type="gramEnd"/>
      <w:r>
        <w:rPr>
          <w:rFonts w:ascii="Times New Roman" w:hAnsi="Times New Roman" w:cs="Times New Roman"/>
          <w:sz w:val="24"/>
        </w:rPr>
        <w:t xml:space="preserve">  constituem artefatos culturais, e não meras descrições nosológicas. Em </w:t>
      </w:r>
      <w:r>
        <w:rPr>
          <w:rFonts w:ascii="Times New Roman" w:hAnsi="Times New Roman" w:cs="Times New Roman"/>
          <w:i/>
          <w:iCs/>
          <w:sz w:val="24"/>
        </w:rPr>
        <w:t xml:space="preserve">The </w:t>
      </w:r>
      <w:proofErr w:type="spellStart"/>
      <w:r>
        <w:rPr>
          <w:rFonts w:ascii="Times New Roman" w:hAnsi="Times New Roman" w:cs="Times New Roman"/>
          <w:i/>
          <w:iCs/>
          <w:sz w:val="24"/>
        </w:rPr>
        <w:t>Falling</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Sickness</w:t>
      </w:r>
      <w:proofErr w:type="spellEnd"/>
      <w:r>
        <w:rPr>
          <w:rFonts w:ascii="Times New Roman" w:hAnsi="Times New Roman" w:cs="Times New Roman"/>
          <w:sz w:val="24"/>
        </w:rPr>
        <w:t xml:space="preserve"> (1945), demonstrou como uma mesma condição foi interpretada como possessão divina, desequilíbrio humoral e, posteriormente, disfunção </w:t>
      </w:r>
      <w:proofErr w:type="gramStart"/>
      <w:r>
        <w:rPr>
          <w:rFonts w:ascii="Times New Roman" w:hAnsi="Times New Roman" w:cs="Times New Roman"/>
          <w:sz w:val="24"/>
        </w:rPr>
        <w:t>neural  -</w:t>
      </w:r>
      <w:proofErr w:type="gramEnd"/>
      <w:r>
        <w:rPr>
          <w:rFonts w:ascii="Times New Roman" w:hAnsi="Times New Roman" w:cs="Times New Roman"/>
          <w:sz w:val="24"/>
        </w:rPr>
        <w:t xml:space="preserve">  sem que nenhuma dessas camadas fosse completamente apagada. Para </w:t>
      </w:r>
      <w:proofErr w:type="spellStart"/>
      <w:r>
        <w:rPr>
          <w:rFonts w:ascii="Times New Roman" w:hAnsi="Times New Roman" w:cs="Times New Roman"/>
          <w:sz w:val="24"/>
        </w:rPr>
        <w:t>Temkin</w:t>
      </w:r>
      <w:proofErr w:type="spellEnd"/>
      <w:r>
        <w:rPr>
          <w:rFonts w:ascii="Times New Roman" w:hAnsi="Times New Roman" w:cs="Times New Roman"/>
          <w:sz w:val="24"/>
        </w:rPr>
        <w:t>, cada vocábulo médico é como um estrato arqueológico: sua escavação revela não apenas o passado científico, mas também os medos, esperanças e preconceitos das sociedades que o forjaram.</w:t>
      </w:r>
    </w:p>
    <w:p w14:paraId="0DD51AFD"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Oliver Sacks, por sua vez, neurologista e contador de histórias, transportou essa compreensão para a beira do leito. Se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desvendava a historicidade das palavras, Sacks devolvia-lhes a voz. Em obras como </w:t>
      </w:r>
      <w:r>
        <w:rPr>
          <w:rFonts w:ascii="Times New Roman" w:hAnsi="Times New Roman" w:cs="Times New Roman"/>
          <w:i/>
          <w:iCs/>
          <w:sz w:val="24"/>
        </w:rPr>
        <w:t>O Homem que Confundiu Sua Mulher com um Chapéu</w:t>
      </w:r>
      <w:r>
        <w:rPr>
          <w:rFonts w:ascii="Times New Roman" w:hAnsi="Times New Roman" w:cs="Times New Roman"/>
          <w:sz w:val="24"/>
        </w:rPr>
        <w:t> ou </w:t>
      </w:r>
      <w:proofErr w:type="spellStart"/>
      <w:r>
        <w:rPr>
          <w:rFonts w:ascii="Times New Roman" w:hAnsi="Times New Roman" w:cs="Times New Roman"/>
          <w:i/>
          <w:iCs/>
          <w:sz w:val="24"/>
        </w:rPr>
        <w:t>Awakenings</w:t>
      </w:r>
      <w:proofErr w:type="spellEnd"/>
      <w:r>
        <w:rPr>
          <w:rFonts w:ascii="Times New Roman" w:hAnsi="Times New Roman" w:cs="Times New Roman"/>
          <w:sz w:val="24"/>
        </w:rPr>
        <w:t xml:space="preserve">, mostrou que por trás de cada </w:t>
      </w:r>
      <w:proofErr w:type="gramStart"/>
      <w:r>
        <w:rPr>
          <w:rFonts w:ascii="Times New Roman" w:hAnsi="Times New Roman" w:cs="Times New Roman"/>
          <w:sz w:val="24"/>
        </w:rPr>
        <w:t>diagnóstico  -</w:t>
      </w:r>
      <w:proofErr w:type="gramEnd"/>
      <w:r>
        <w:rPr>
          <w:rFonts w:ascii="Times New Roman" w:hAnsi="Times New Roman" w:cs="Times New Roman"/>
          <w:sz w:val="24"/>
        </w:rPr>
        <w:t xml:space="preserve">  um "parkinsoniano", um </w:t>
      </w:r>
      <w:r>
        <w:rPr>
          <w:rFonts w:ascii="Times New Roman" w:hAnsi="Times New Roman" w:cs="Times New Roman"/>
          <w:sz w:val="24"/>
        </w:rPr>
        <w:lastRenderedPageBreak/>
        <w:t>"autista", um "amnésico</w:t>
      </w:r>
      <w:proofErr w:type="gramStart"/>
      <w:r>
        <w:rPr>
          <w:rFonts w:ascii="Times New Roman" w:hAnsi="Times New Roman" w:cs="Times New Roman"/>
          <w:sz w:val="24"/>
        </w:rPr>
        <w:t>"  -</w:t>
      </w:r>
      <w:proofErr w:type="gramEnd"/>
      <w:r>
        <w:rPr>
          <w:rFonts w:ascii="Times New Roman" w:hAnsi="Times New Roman" w:cs="Times New Roman"/>
          <w:sz w:val="24"/>
        </w:rPr>
        <w:t xml:space="preserve">  habita uma subjetividade singular, que desafia as categorias impessoais dos manuais. Onde um </w:t>
      </w:r>
      <w:proofErr w:type="gramStart"/>
      <w:r>
        <w:rPr>
          <w:rFonts w:ascii="Times New Roman" w:hAnsi="Times New Roman" w:cs="Times New Roman"/>
          <w:sz w:val="24"/>
        </w:rPr>
        <w:t>via fósseis linguísticos</w:t>
      </w:r>
      <w:proofErr w:type="gramEnd"/>
      <w:r>
        <w:rPr>
          <w:rFonts w:ascii="Times New Roman" w:hAnsi="Times New Roman" w:cs="Times New Roman"/>
          <w:sz w:val="24"/>
        </w:rPr>
        <w:t>, o outro via pessoas.</w:t>
      </w:r>
    </w:p>
    <w:p w14:paraId="437917A1" w14:textId="77777777" w:rsidR="0003312E" w:rsidRDefault="00000000">
      <w:pPr>
        <w:spacing w:after="0" w:line="360" w:lineRule="auto"/>
        <w:ind w:firstLine="709"/>
        <w:jc w:val="both"/>
        <w:rPr>
          <w:rFonts w:ascii="Times New Roman" w:hAnsi="Times New Roman" w:cs="Times New Roman"/>
          <w:sz w:val="24"/>
        </w:rPr>
      </w:pPr>
      <w:proofErr w:type="spellStart"/>
      <w:r>
        <w:rPr>
          <w:rFonts w:ascii="Times New Roman" w:hAnsi="Times New Roman" w:cs="Times New Roman"/>
          <w:sz w:val="24"/>
        </w:rPr>
        <w:t>Owsei</w:t>
      </w:r>
      <w:proofErr w:type="spellEnd"/>
      <w:r>
        <w:rPr>
          <w:rFonts w:ascii="Times New Roman" w:hAnsi="Times New Roman" w:cs="Times New Roman"/>
          <w:sz w:val="24"/>
        </w:rPr>
        <w:t xml:space="preserve">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consagrou-se a rastrear o modo como as ideias médicas se cristalizam na </w:t>
      </w:r>
      <w:proofErr w:type="gramStart"/>
      <w:r>
        <w:rPr>
          <w:rFonts w:ascii="Times New Roman" w:hAnsi="Times New Roman" w:cs="Times New Roman"/>
          <w:sz w:val="24"/>
        </w:rPr>
        <w:t>linguagem  -</w:t>
      </w:r>
      <w:proofErr w:type="gramEnd"/>
      <w:r>
        <w:rPr>
          <w:rFonts w:ascii="Times New Roman" w:hAnsi="Times New Roman" w:cs="Times New Roman"/>
          <w:sz w:val="24"/>
        </w:rPr>
        <w:t xml:space="preserve">  e como esta, por sua vez, modela a prática clínica. Em </w:t>
      </w:r>
      <w:r>
        <w:rPr>
          <w:rFonts w:ascii="Times New Roman" w:hAnsi="Times New Roman" w:cs="Times New Roman"/>
          <w:i/>
          <w:iCs/>
          <w:sz w:val="24"/>
        </w:rPr>
        <w:t xml:space="preserve">The Double Face </w:t>
      </w:r>
      <w:proofErr w:type="spellStart"/>
      <w:r>
        <w:rPr>
          <w:rFonts w:ascii="Times New Roman" w:hAnsi="Times New Roman" w:cs="Times New Roman"/>
          <w:i/>
          <w:iCs/>
          <w:sz w:val="24"/>
        </w:rPr>
        <w:t>of</w:t>
      </w:r>
      <w:proofErr w:type="spellEnd"/>
      <w:r>
        <w:rPr>
          <w:rFonts w:ascii="Times New Roman" w:hAnsi="Times New Roman" w:cs="Times New Roman"/>
          <w:i/>
          <w:iCs/>
          <w:sz w:val="24"/>
        </w:rPr>
        <w:t xml:space="preserve"> Janus</w:t>
      </w:r>
      <w:r>
        <w:rPr>
          <w:rFonts w:ascii="Times New Roman" w:hAnsi="Times New Roman" w:cs="Times New Roman"/>
          <w:sz w:val="24"/>
        </w:rPr>
        <w:t xml:space="preserve"> (1977), argumentou que a medicina oscila permanentemente entre dois polos: a doença como entidade específica (um tumor, uma bactéria, um </w:t>
      </w:r>
      <w:proofErr w:type="gramStart"/>
      <w:r>
        <w:rPr>
          <w:rFonts w:ascii="Times New Roman" w:hAnsi="Times New Roman" w:cs="Times New Roman"/>
          <w:sz w:val="24"/>
        </w:rPr>
        <w:t>gene)  -</w:t>
      </w:r>
      <w:proofErr w:type="gramEnd"/>
      <w:r>
        <w:rPr>
          <w:rFonts w:ascii="Times New Roman" w:hAnsi="Times New Roman" w:cs="Times New Roman"/>
          <w:sz w:val="24"/>
        </w:rPr>
        <w:t xml:space="preserve">  objetiva, mensurável; e a doença como experiência </w:t>
      </w:r>
      <w:proofErr w:type="gramStart"/>
      <w:r>
        <w:rPr>
          <w:rFonts w:ascii="Times New Roman" w:hAnsi="Times New Roman" w:cs="Times New Roman"/>
          <w:sz w:val="24"/>
        </w:rPr>
        <w:t>individual  -</w:t>
      </w:r>
      <w:proofErr w:type="gramEnd"/>
      <w:r>
        <w:rPr>
          <w:rFonts w:ascii="Times New Roman" w:hAnsi="Times New Roman" w:cs="Times New Roman"/>
          <w:sz w:val="24"/>
        </w:rPr>
        <w:t xml:space="preserve">  subjetiva, impregnada de significado. O perigo, alertava, reside em esquecer que ambas as dimensões são válidas. Um diagnóstico não é apenas um código na CID-11; é uma narrativa compactada. Quando um médico pronuncia "depressão", invoca não só critérios do DSM, mas séculos de associações: da </w:t>
      </w:r>
      <w:r>
        <w:rPr>
          <w:rFonts w:ascii="Times New Roman" w:hAnsi="Times New Roman" w:cs="Times New Roman"/>
          <w:i/>
          <w:iCs/>
          <w:sz w:val="24"/>
        </w:rPr>
        <w:t>acedia</w:t>
      </w:r>
      <w:r>
        <w:rPr>
          <w:rFonts w:ascii="Times New Roman" w:hAnsi="Times New Roman" w:cs="Times New Roman"/>
          <w:sz w:val="24"/>
        </w:rPr>
        <w:t xml:space="preserve"> medieval (a preguiça espiritual) à tristeza patológica de </w:t>
      </w:r>
      <w:proofErr w:type="spellStart"/>
      <w:r>
        <w:rPr>
          <w:rFonts w:ascii="Times New Roman" w:hAnsi="Times New Roman" w:cs="Times New Roman"/>
          <w:sz w:val="24"/>
        </w:rPr>
        <w:t>Kraepelin</w:t>
      </w:r>
      <w:proofErr w:type="spellEnd"/>
      <w:r>
        <w:rPr>
          <w:rFonts w:ascii="Times New Roman" w:hAnsi="Times New Roman" w:cs="Times New Roman"/>
          <w:sz w:val="24"/>
        </w:rPr>
        <w:t>, passando pelo baixo-astral do imaginário popular.</w:t>
      </w:r>
    </w:p>
    <w:p w14:paraId="178C4C6A"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Sua análise da epilepsia é paradigmática. Para os gregos, era a "doença sagrada", castigo ou bênção divina. Para os médicos setecentistas, um distúrbio dos "espíritos animais". Hoje, compreendemo-la como descarga neuronal </w:t>
      </w:r>
      <w:proofErr w:type="gramStart"/>
      <w:r>
        <w:rPr>
          <w:rFonts w:ascii="Times New Roman" w:hAnsi="Times New Roman" w:cs="Times New Roman"/>
          <w:sz w:val="24"/>
        </w:rPr>
        <w:t>anômala  -</w:t>
      </w:r>
      <w:proofErr w:type="gramEnd"/>
      <w:r>
        <w:rPr>
          <w:rFonts w:ascii="Times New Roman" w:hAnsi="Times New Roman" w:cs="Times New Roman"/>
          <w:sz w:val="24"/>
        </w:rPr>
        <w:t xml:space="preserve">  mas o estigma persiste, porque vocábulos antigos (como "lunático" ou "possesso") continuam a assombrar o imaginário coletivo.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recorda-nos: "A história da medicina não é uma marcha linear do erro à verdade, mas um diálogo contínuo entre o antigo e o novo."</w:t>
      </w:r>
    </w:p>
    <w:p w14:paraId="7C5C3893"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Oliver Sacks (1933 - 2015) foi um neurologista e escritor britânico, formado em medicina pela Universidade de Oxford. Emigrou para os Estados Unidos em 1960, onde se especializou em neurologia e integrou o corpo docente da Faculdade de Medicina Albert Einstein por mais de quatro décadas (1965 - 2007). Notabilizou-se por seus best-sellers que relatam casos neurológicos com rara sensibilidade literária, como </w:t>
      </w:r>
      <w:proofErr w:type="spellStart"/>
      <w:r>
        <w:rPr>
          <w:rFonts w:ascii="Times New Roman" w:hAnsi="Times New Roman" w:cs="Times New Roman"/>
          <w:i/>
          <w:iCs/>
          <w:sz w:val="24"/>
        </w:rPr>
        <w:t>Awakenings</w:t>
      </w:r>
      <w:proofErr w:type="spellEnd"/>
      <w:r>
        <w:rPr>
          <w:rFonts w:ascii="Times New Roman" w:hAnsi="Times New Roman" w:cs="Times New Roman"/>
          <w:sz w:val="24"/>
        </w:rPr>
        <w:t> (1973), </w:t>
      </w:r>
      <w:r>
        <w:rPr>
          <w:rFonts w:ascii="Times New Roman" w:hAnsi="Times New Roman" w:cs="Times New Roman"/>
          <w:i/>
          <w:iCs/>
          <w:sz w:val="24"/>
        </w:rPr>
        <w:t>O Homem que Confundiu Sua Mulher com um Chapéu</w:t>
      </w:r>
      <w:r>
        <w:rPr>
          <w:rFonts w:ascii="Times New Roman" w:hAnsi="Times New Roman" w:cs="Times New Roman"/>
          <w:sz w:val="24"/>
        </w:rPr>
        <w:t> (1986) e </w:t>
      </w:r>
      <w:r>
        <w:rPr>
          <w:rFonts w:ascii="Times New Roman" w:hAnsi="Times New Roman" w:cs="Times New Roman"/>
          <w:i/>
          <w:iCs/>
          <w:sz w:val="24"/>
        </w:rPr>
        <w:t>Um Antropólogo em Marte</w:t>
      </w:r>
      <w:r>
        <w:rPr>
          <w:rFonts w:ascii="Times New Roman" w:hAnsi="Times New Roman" w:cs="Times New Roman"/>
          <w:sz w:val="24"/>
        </w:rPr>
        <w:t> (1995). Sua obra explora condições como autismo, síndrome de Tourette e encefalite letárgica com profunda empatia científica.</w:t>
      </w:r>
    </w:p>
    <w:p w14:paraId="78F356D6"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Sacks ensinou-nos algo fundamental: por trás de cada diagnóstico, há uma narrativa única. Sua abordagem humanizadora mostrou que a doença não é apenas uma disfunção biológica, mas uma experiência </w:t>
      </w:r>
      <w:proofErr w:type="gramStart"/>
      <w:r>
        <w:rPr>
          <w:rFonts w:ascii="Times New Roman" w:hAnsi="Times New Roman" w:cs="Times New Roman"/>
          <w:sz w:val="24"/>
        </w:rPr>
        <w:t>vivida  -</w:t>
      </w:r>
      <w:proofErr w:type="gramEnd"/>
      <w:r>
        <w:rPr>
          <w:rFonts w:ascii="Times New Roman" w:hAnsi="Times New Roman" w:cs="Times New Roman"/>
          <w:sz w:val="24"/>
        </w:rPr>
        <w:t xml:space="preserve">  e, como tal, merece ser escutada e compreendida em toda a sua complexidade. Foi Sacks quem nos lembrou que a ciência, para ser verdadeiramente significativa, precisa da linguagem, da empatia e da escuta atenta. Seu legado nos convida a integrar rigor e sensibilidade, unindo a precisão do laboratório à riqueza da experiência humana.</w:t>
      </w:r>
    </w:p>
    <w:p w14:paraId="2A573E43"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Juntos,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e Sacks legaram-nos uma lição fundamental: a medicina não se esgota na cura, mas exige </w:t>
      </w:r>
      <w:proofErr w:type="gramStart"/>
      <w:r>
        <w:rPr>
          <w:rFonts w:ascii="Times New Roman" w:hAnsi="Times New Roman" w:cs="Times New Roman"/>
          <w:sz w:val="24"/>
        </w:rPr>
        <w:t>compreensão  -</w:t>
      </w:r>
      <w:proofErr w:type="gramEnd"/>
      <w:r>
        <w:rPr>
          <w:rFonts w:ascii="Times New Roman" w:hAnsi="Times New Roman" w:cs="Times New Roman"/>
          <w:sz w:val="24"/>
        </w:rPr>
        <w:t xml:space="preserve">  e esta, por sua vez, demanda que saibamos escutar tanto as palavras quanto aqueles a quem elas procuram descrever.</w:t>
      </w:r>
    </w:p>
    <w:p w14:paraId="6FFC672E" w14:textId="77777777" w:rsidR="0003312E" w:rsidRDefault="00000000">
      <w:pPr>
        <w:spacing w:after="0" w:line="360" w:lineRule="auto"/>
        <w:ind w:firstLine="709"/>
        <w:jc w:val="both"/>
        <w:rPr>
          <w:rFonts w:ascii="Times New Roman" w:hAnsi="Times New Roman" w:cs="Times New Roman"/>
          <w:b/>
          <w:bCs/>
          <w:sz w:val="24"/>
        </w:rPr>
      </w:pPr>
      <w:r>
        <w:rPr>
          <w:rFonts w:ascii="Times New Roman" w:hAnsi="Times New Roman" w:cs="Times New Roman"/>
          <w:b/>
          <w:bCs/>
          <w:sz w:val="24"/>
        </w:rPr>
        <w:lastRenderedPageBreak/>
        <w:t>A Jornada das Palavras: Do Mito à Neurociência</w:t>
      </w:r>
    </w:p>
    <w:p w14:paraId="410F3D8E"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Cada termo explorado ao longo desta obra funciona como ponte entre eras. A hipnose (do grego </w:t>
      </w:r>
      <w:proofErr w:type="spellStart"/>
      <w:r>
        <w:rPr>
          <w:rFonts w:ascii="Times New Roman" w:hAnsi="Times New Roman" w:cs="Times New Roman"/>
          <w:i/>
          <w:iCs/>
          <w:sz w:val="24"/>
        </w:rPr>
        <w:t>hýpnos</w:t>
      </w:r>
      <w:proofErr w:type="spellEnd"/>
      <w:r>
        <w:rPr>
          <w:rFonts w:ascii="Times New Roman" w:hAnsi="Times New Roman" w:cs="Times New Roman"/>
          <w:sz w:val="24"/>
        </w:rPr>
        <w:t xml:space="preserve">, "sono"), por exemplo, evoluiu de ritual xamânico a ferramenta terapêutica, passando pelo mesmerismo e o teatro de </w:t>
      </w:r>
      <w:proofErr w:type="spellStart"/>
      <w:r>
        <w:rPr>
          <w:rFonts w:ascii="Times New Roman" w:hAnsi="Times New Roman" w:cs="Times New Roman"/>
          <w:sz w:val="24"/>
        </w:rPr>
        <w:t>Charcot</w:t>
      </w:r>
      <w:proofErr w:type="spellEnd"/>
      <w:r>
        <w:rPr>
          <w:rFonts w:ascii="Times New Roman" w:hAnsi="Times New Roman" w:cs="Times New Roman"/>
          <w:sz w:val="24"/>
        </w:rPr>
        <w:t xml:space="preserve">. Hoje, a neuroimagem revela que o "transe" hipnótico ativa redes cerebrais </w:t>
      </w:r>
      <w:proofErr w:type="gramStart"/>
      <w:r>
        <w:rPr>
          <w:rFonts w:ascii="Times New Roman" w:hAnsi="Times New Roman" w:cs="Times New Roman"/>
          <w:sz w:val="24"/>
        </w:rPr>
        <w:t>específicas  -</w:t>
      </w:r>
      <w:proofErr w:type="gramEnd"/>
      <w:r>
        <w:rPr>
          <w:rFonts w:ascii="Times New Roman" w:hAnsi="Times New Roman" w:cs="Times New Roman"/>
          <w:sz w:val="24"/>
        </w:rPr>
        <w:t xml:space="preserve">  sem, contudo, esvaziar o termo da sua carga histórica. O delírio (do latim </w:t>
      </w:r>
      <w:proofErr w:type="spellStart"/>
      <w:r>
        <w:rPr>
          <w:rFonts w:ascii="Times New Roman" w:hAnsi="Times New Roman" w:cs="Times New Roman"/>
          <w:i/>
          <w:iCs/>
          <w:sz w:val="24"/>
        </w:rPr>
        <w:t>delirare</w:t>
      </w:r>
      <w:proofErr w:type="spellEnd"/>
      <w:r>
        <w:rPr>
          <w:rFonts w:ascii="Times New Roman" w:hAnsi="Times New Roman" w:cs="Times New Roman"/>
          <w:sz w:val="24"/>
        </w:rPr>
        <w:t xml:space="preserve">, "sair do sulco"), outrora a loucura dos oráculos na Grécia antiga, é hoje sintoma de demência ou psicose. Mas e os delírios criativos, como os de Van Gogh ou Nietzsche?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lembraria que até a "irracionalidade" possui uma </w:t>
      </w:r>
      <w:proofErr w:type="gramStart"/>
      <w:r>
        <w:rPr>
          <w:rFonts w:ascii="Times New Roman" w:hAnsi="Times New Roman" w:cs="Times New Roman"/>
          <w:sz w:val="24"/>
        </w:rPr>
        <w:t>lógica  -</w:t>
      </w:r>
      <w:proofErr w:type="gramEnd"/>
      <w:r>
        <w:rPr>
          <w:rFonts w:ascii="Times New Roman" w:hAnsi="Times New Roman" w:cs="Times New Roman"/>
          <w:sz w:val="24"/>
        </w:rPr>
        <w:t xml:space="preserve">  desde que saibamos escutá-la. O êxtase (do grego </w:t>
      </w:r>
      <w:proofErr w:type="spellStart"/>
      <w:r>
        <w:rPr>
          <w:rFonts w:ascii="Times New Roman" w:hAnsi="Times New Roman" w:cs="Times New Roman"/>
          <w:i/>
          <w:iCs/>
          <w:sz w:val="24"/>
        </w:rPr>
        <w:t>ékstasis</w:t>
      </w:r>
      <w:proofErr w:type="spellEnd"/>
      <w:r>
        <w:rPr>
          <w:rFonts w:ascii="Times New Roman" w:hAnsi="Times New Roman" w:cs="Times New Roman"/>
          <w:sz w:val="24"/>
        </w:rPr>
        <w:t xml:space="preserve">, "estar fora de si"), dos mistérios dionisíacos às experiências místicas de Santa Teresa, até as pesquisas contemporâneas com </w:t>
      </w:r>
      <w:proofErr w:type="spellStart"/>
      <w:r>
        <w:rPr>
          <w:rFonts w:ascii="Times New Roman" w:hAnsi="Times New Roman" w:cs="Times New Roman"/>
          <w:sz w:val="24"/>
        </w:rPr>
        <w:t>psilocibina</w:t>
      </w:r>
      <w:proofErr w:type="spellEnd"/>
      <w:r>
        <w:rPr>
          <w:rFonts w:ascii="Times New Roman" w:hAnsi="Times New Roman" w:cs="Times New Roman"/>
          <w:sz w:val="24"/>
        </w:rPr>
        <w:t xml:space="preserve">, mostra como a neurociência confirma o que os místicos sempre souberam: a transcendência tem morada </w:t>
      </w:r>
      <w:proofErr w:type="gramStart"/>
      <w:r>
        <w:rPr>
          <w:rFonts w:ascii="Times New Roman" w:hAnsi="Times New Roman" w:cs="Times New Roman"/>
          <w:sz w:val="24"/>
        </w:rPr>
        <w:t>neural  -</w:t>
      </w:r>
      <w:proofErr w:type="gramEnd"/>
      <w:r>
        <w:rPr>
          <w:rFonts w:ascii="Times New Roman" w:hAnsi="Times New Roman" w:cs="Times New Roman"/>
          <w:sz w:val="24"/>
        </w:rPr>
        <w:t xml:space="preserve">  o que não a torna menos sagrada. Como observou </w:t>
      </w:r>
      <w:proofErr w:type="spellStart"/>
      <w:r>
        <w:rPr>
          <w:rFonts w:ascii="Times New Roman" w:hAnsi="Times New Roman" w:cs="Times New Roman"/>
          <w:sz w:val="24"/>
        </w:rPr>
        <w:t>Temkin</w:t>
      </w:r>
      <w:proofErr w:type="spellEnd"/>
      <w:r>
        <w:rPr>
          <w:rFonts w:ascii="Times New Roman" w:hAnsi="Times New Roman" w:cs="Times New Roman"/>
          <w:sz w:val="24"/>
        </w:rPr>
        <w:t>, "as palavras médicas são janelas não só para o corpo, mas para a alma de uma cultura".</w:t>
      </w:r>
    </w:p>
    <w:p w14:paraId="00B95585" w14:textId="77777777" w:rsidR="0003312E" w:rsidRDefault="0003312E">
      <w:pPr>
        <w:spacing w:after="0" w:line="360" w:lineRule="auto"/>
        <w:ind w:firstLine="709"/>
        <w:jc w:val="both"/>
        <w:rPr>
          <w:rFonts w:ascii="Times New Roman" w:hAnsi="Times New Roman" w:cs="Times New Roman"/>
          <w:sz w:val="24"/>
        </w:rPr>
      </w:pPr>
    </w:p>
    <w:p w14:paraId="61127621" w14:textId="77777777" w:rsidR="0003312E" w:rsidRDefault="00000000">
      <w:pPr>
        <w:spacing w:after="0" w:line="360" w:lineRule="auto"/>
        <w:ind w:firstLine="709"/>
        <w:jc w:val="both"/>
        <w:rPr>
          <w:rFonts w:ascii="Times New Roman" w:hAnsi="Times New Roman" w:cs="Times New Roman"/>
          <w:b/>
          <w:bCs/>
          <w:sz w:val="24"/>
        </w:rPr>
      </w:pPr>
      <w:r>
        <w:rPr>
          <w:rFonts w:ascii="Times New Roman" w:hAnsi="Times New Roman" w:cs="Times New Roman"/>
          <w:b/>
          <w:bCs/>
          <w:sz w:val="24"/>
        </w:rPr>
        <w:t xml:space="preserve">Um Convite à </w:t>
      </w:r>
      <w:proofErr w:type="spellStart"/>
      <w:r>
        <w:rPr>
          <w:rFonts w:ascii="Times New Roman" w:hAnsi="Times New Roman" w:cs="Times New Roman"/>
          <w:b/>
          <w:bCs/>
          <w:sz w:val="24"/>
        </w:rPr>
        <w:t>Neuroetimologia</w:t>
      </w:r>
      <w:proofErr w:type="spellEnd"/>
      <w:r>
        <w:rPr>
          <w:rFonts w:ascii="Times New Roman" w:hAnsi="Times New Roman" w:cs="Times New Roman"/>
          <w:b/>
          <w:bCs/>
          <w:sz w:val="24"/>
        </w:rPr>
        <w:t xml:space="preserve"> Aplicada</w:t>
      </w:r>
    </w:p>
    <w:p w14:paraId="1C4AAD47" w14:textId="77777777" w:rsidR="0003312E" w:rsidRDefault="000000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Este epílogo não se oferece como conclusão, mas como convite à ação.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e Sacks legaram-nos a noção de que a medicina é tão humana quanto científica, e que suas palavras são, também, instrumentos éticos. Que tal, então, cultivarmos o hábito da </w:t>
      </w:r>
      <w:proofErr w:type="spellStart"/>
      <w:r>
        <w:rPr>
          <w:rFonts w:ascii="Times New Roman" w:hAnsi="Times New Roman" w:cs="Times New Roman"/>
          <w:sz w:val="24"/>
        </w:rPr>
        <w:t>neuroetimologia</w:t>
      </w:r>
      <w:proofErr w:type="spellEnd"/>
      <w:r>
        <w:rPr>
          <w:rFonts w:ascii="Times New Roman" w:hAnsi="Times New Roman" w:cs="Times New Roman"/>
          <w:sz w:val="24"/>
        </w:rPr>
        <w:t xml:space="preserve"> crítica? Em cada consulta, cada aula, cada conversa, poderíamos indagar: De onde vem esta palavra? (e.g., "psicopata" transporta o peso da </w:t>
      </w:r>
      <w:r>
        <w:rPr>
          <w:rFonts w:ascii="Times New Roman" w:hAnsi="Times New Roman" w:cs="Times New Roman"/>
          <w:i/>
          <w:iCs/>
          <w:sz w:val="24"/>
        </w:rPr>
        <w:t>psique</w:t>
      </w:r>
      <w:r>
        <w:rPr>
          <w:rFonts w:ascii="Times New Roman" w:hAnsi="Times New Roman" w:cs="Times New Roman"/>
          <w:sz w:val="24"/>
        </w:rPr>
        <w:t> grega e do </w:t>
      </w:r>
      <w:proofErr w:type="spellStart"/>
      <w:proofErr w:type="gramStart"/>
      <w:r>
        <w:rPr>
          <w:rFonts w:ascii="Times New Roman" w:hAnsi="Times New Roman" w:cs="Times New Roman"/>
          <w:i/>
          <w:iCs/>
          <w:sz w:val="24"/>
        </w:rPr>
        <w:t>pathos</w:t>
      </w:r>
      <w:proofErr w:type="spellEnd"/>
      <w:r>
        <w:rPr>
          <w:rFonts w:ascii="Times New Roman" w:hAnsi="Times New Roman" w:cs="Times New Roman"/>
          <w:sz w:val="24"/>
        </w:rPr>
        <w:t>  -</w:t>
      </w:r>
      <w:proofErr w:type="gramEnd"/>
      <w:r>
        <w:rPr>
          <w:rFonts w:ascii="Times New Roman" w:hAnsi="Times New Roman" w:cs="Times New Roman"/>
          <w:sz w:val="24"/>
        </w:rPr>
        <w:t xml:space="preserve">  a paixão-doença. Usá-la sem cuidado é perpetuar estigmas.); </w:t>
      </w:r>
      <w:proofErr w:type="gramStart"/>
      <w:r>
        <w:rPr>
          <w:rFonts w:ascii="Times New Roman" w:hAnsi="Times New Roman" w:cs="Times New Roman"/>
          <w:sz w:val="24"/>
        </w:rPr>
        <w:t>Que</w:t>
      </w:r>
      <w:proofErr w:type="gramEnd"/>
      <w:r>
        <w:rPr>
          <w:rFonts w:ascii="Times New Roman" w:hAnsi="Times New Roman" w:cs="Times New Roman"/>
          <w:sz w:val="24"/>
        </w:rPr>
        <w:t xml:space="preserve"> histórias ela oculta? (e.g., "histeria" não é um termo ingênuo; lembra-nos como a medicina </w:t>
      </w:r>
      <w:proofErr w:type="spellStart"/>
      <w:r>
        <w:rPr>
          <w:rFonts w:ascii="Times New Roman" w:hAnsi="Times New Roman" w:cs="Times New Roman"/>
          <w:sz w:val="24"/>
        </w:rPr>
        <w:t>patologizou</w:t>
      </w:r>
      <w:proofErr w:type="spellEnd"/>
      <w:r>
        <w:rPr>
          <w:rFonts w:ascii="Times New Roman" w:hAnsi="Times New Roman" w:cs="Times New Roman"/>
          <w:sz w:val="24"/>
        </w:rPr>
        <w:t xml:space="preserve"> o corpo feminino.); </w:t>
      </w:r>
      <w:proofErr w:type="gramStart"/>
      <w:r>
        <w:rPr>
          <w:rFonts w:ascii="Times New Roman" w:hAnsi="Times New Roman" w:cs="Times New Roman"/>
          <w:sz w:val="24"/>
        </w:rPr>
        <w:t>Como</w:t>
      </w:r>
      <w:proofErr w:type="gramEnd"/>
      <w:r>
        <w:rPr>
          <w:rFonts w:ascii="Times New Roman" w:hAnsi="Times New Roman" w:cs="Times New Roman"/>
          <w:sz w:val="24"/>
        </w:rPr>
        <w:t xml:space="preserve"> posso empregá-la com maior consciência? (e.g., substituir "depressivo" por "pessoa em sofrimento psíquico" pode restituir dignidade.). Nas palavras de </w:t>
      </w:r>
      <w:proofErr w:type="spellStart"/>
      <w:r>
        <w:rPr>
          <w:rFonts w:ascii="Times New Roman" w:hAnsi="Times New Roman" w:cs="Times New Roman"/>
          <w:sz w:val="24"/>
        </w:rPr>
        <w:t>Temkin</w:t>
      </w:r>
      <w:proofErr w:type="spellEnd"/>
      <w:r>
        <w:rPr>
          <w:rFonts w:ascii="Times New Roman" w:hAnsi="Times New Roman" w:cs="Times New Roman"/>
          <w:sz w:val="24"/>
        </w:rPr>
        <w:t xml:space="preserve">, "as palavras não são neutras; carregam o peso das escolhas </w:t>
      </w:r>
      <w:proofErr w:type="gramStart"/>
      <w:r>
        <w:rPr>
          <w:rFonts w:ascii="Times New Roman" w:hAnsi="Times New Roman" w:cs="Times New Roman"/>
          <w:sz w:val="24"/>
        </w:rPr>
        <w:t>passadas  -</w:t>
      </w:r>
      <w:proofErr w:type="gramEnd"/>
      <w:r>
        <w:rPr>
          <w:rFonts w:ascii="Times New Roman" w:hAnsi="Times New Roman" w:cs="Times New Roman"/>
          <w:sz w:val="24"/>
        </w:rPr>
        <w:t xml:space="preserve">  e das nossas".</w:t>
      </w:r>
    </w:p>
    <w:p w14:paraId="77E64133" w14:textId="77777777" w:rsidR="0003312E" w:rsidRDefault="0003312E">
      <w:pPr>
        <w:spacing w:after="0" w:line="360" w:lineRule="auto"/>
        <w:ind w:firstLine="709"/>
        <w:jc w:val="both"/>
        <w:rPr>
          <w:rFonts w:ascii="Times New Roman" w:hAnsi="Times New Roman" w:cs="Times New Roman"/>
          <w:sz w:val="24"/>
        </w:rPr>
      </w:pPr>
    </w:p>
    <w:p w14:paraId="57603B82" w14:textId="77777777" w:rsidR="0003312E" w:rsidRDefault="00000000">
      <w:pPr>
        <w:pStyle w:val="NormalWeb"/>
        <w:shd w:val="clear" w:color="auto" w:fill="FFFFFF"/>
        <w:spacing w:beforeAutospacing="0" w:after="0" w:afterAutospacing="0" w:line="360" w:lineRule="auto"/>
        <w:ind w:firstLineChars="125" w:firstLine="301"/>
        <w:jc w:val="both"/>
        <w:rPr>
          <w:rFonts w:eastAsia="Segoe UI"/>
          <w:color w:val="0F1115"/>
          <w:sz w:val="24"/>
          <w:lang w:val="pt-BR"/>
        </w:rPr>
      </w:pPr>
      <w:r>
        <w:rPr>
          <w:rStyle w:val="Forte"/>
          <w:rFonts w:eastAsia="Segoe UI"/>
          <w:color w:val="0F1115"/>
          <w:sz w:val="24"/>
          <w:shd w:val="clear" w:color="auto" w:fill="FFFFFF"/>
          <w:lang w:val="pt-BR"/>
        </w:rPr>
        <w:t>O Início da Jornada</w:t>
      </w:r>
    </w:p>
    <w:p w14:paraId="21D7DF57" w14:textId="77777777" w:rsidR="0003312E" w:rsidRDefault="00000000">
      <w:pPr>
        <w:pStyle w:val="NormalWeb"/>
        <w:shd w:val="clear" w:color="auto" w:fill="FFFFFF"/>
        <w:spacing w:beforeAutospacing="0" w:after="0" w:afterAutospacing="0" w:line="360" w:lineRule="auto"/>
        <w:ind w:firstLineChars="125" w:firstLine="300"/>
        <w:jc w:val="both"/>
        <w:rPr>
          <w:rFonts w:eastAsia="Segoe UI"/>
          <w:color w:val="0F1115"/>
          <w:sz w:val="24"/>
          <w:lang w:val="pt-BR"/>
        </w:rPr>
      </w:pPr>
      <w:r>
        <w:rPr>
          <w:rFonts w:eastAsia="Segoe UI"/>
          <w:color w:val="0F1115"/>
          <w:sz w:val="24"/>
          <w:shd w:val="clear" w:color="auto" w:fill="FFFFFF"/>
          <w:lang w:val="pt-BR"/>
        </w:rPr>
        <w:t xml:space="preserve">Se imaginarmos este livro como um mapa, é importante lembrar que estamos apenas cruzando seus primeiros contornos. A </w:t>
      </w:r>
      <w:proofErr w:type="spellStart"/>
      <w:r>
        <w:rPr>
          <w:rFonts w:eastAsia="Segoe UI"/>
          <w:color w:val="0F1115"/>
          <w:sz w:val="24"/>
          <w:shd w:val="clear" w:color="auto" w:fill="FFFFFF"/>
          <w:lang w:val="pt-BR"/>
        </w:rPr>
        <w:t>neuroetimologia</w:t>
      </w:r>
      <w:proofErr w:type="spellEnd"/>
      <w:r>
        <w:rPr>
          <w:rFonts w:eastAsia="Segoe UI"/>
          <w:color w:val="0F1115"/>
          <w:sz w:val="24"/>
          <w:shd w:val="clear" w:color="auto" w:fill="FFFFFF"/>
          <w:lang w:val="pt-BR"/>
        </w:rPr>
        <w:t xml:space="preserve"> nos convida a um exercício singular: ser investigadores do tempo, ao desvendar as camadas históricas das palavras; ser poetas sensíveis, ao reconhecer sua beleza e seus perigos; e, finalmente, ser clínicos éticos, ao utilizá-las não para rotular, mas para compreender e curar.</w:t>
      </w:r>
    </w:p>
    <w:p w14:paraId="719FE2C5" w14:textId="77777777" w:rsidR="0003312E" w:rsidRDefault="00000000">
      <w:pPr>
        <w:pStyle w:val="NormalWeb"/>
        <w:shd w:val="clear" w:color="auto" w:fill="FFFFFF"/>
        <w:spacing w:beforeAutospacing="0" w:after="0" w:afterAutospacing="0" w:line="360" w:lineRule="auto"/>
        <w:ind w:firstLineChars="125" w:firstLine="300"/>
        <w:jc w:val="both"/>
        <w:rPr>
          <w:rFonts w:eastAsia="Segoe UI"/>
          <w:color w:val="0F1115"/>
          <w:sz w:val="24"/>
          <w:lang w:val="pt-BR"/>
        </w:rPr>
      </w:pPr>
      <w:r>
        <w:rPr>
          <w:rFonts w:eastAsia="Segoe UI"/>
          <w:color w:val="0F1115"/>
          <w:sz w:val="24"/>
          <w:shd w:val="clear" w:color="auto" w:fill="FFFFFF"/>
          <w:lang w:val="pt-BR"/>
        </w:rPr>
        <w:lastRenderedPageBreak/>
        <w:t>Como bem observou Edmundo Pellegrino, "a medicina é a mais humana das ciências e a mais científica das humanidades". A este pensamento, ousamos acrescentar: é também uma das disciplinas mais profundamente marcadas pela linguagem.</w:t>
      </w:r>
    </w:p>
    <w:p w14:paraId="1DCB9B6D" w14:textId="77777777" w:rsidR="0003312E" w:rsidRDefault="00000000">
      <w:pPr>
        <w:pStyle w:val="NormalWeb"/>
        <w:shd w:val="clear" w:color="auto" w:fill="FFFFFF"/>
        <w:spacing w:beforeAutospacing="0" w:after="0" w:afterAutospacing="0" w:line="360" w:lineRule="auto"/>
        <w:ind w:firstLineChars="125" w:firstLine="300"/>
        <w:jc w:val="both"/>
        <w:rPr>
          <w:rFonts w:eastAsia="Segoe UI"/>
          <w:color w:val="0F1115"/>
          <w:sz w:val="24"/>
          <w:shd w:val="clear" w:color="auto" w:fill="FFFFFF"/>
          <w:lang w:val="pt-BR"/>
        </w:rPr>
      </w:pPr>
      <w:r>
        <w:rPr>
          <w:rFonts w:eastAsia="Segoe UI"/>
          <w:color w:val="0F1115"/>
          <w:sz w:val="24"/>
          <w:shd w:val="clear" w:color="auto" w:fill="FFFFFF"/>
          <w:lang w:val="pt-BR"/>
        </w:rPr>
        <w:t>Que possamos, portanto, honrar este duplo legado: escutar atentamente as palavras, para assim escutar verdadeiramente as pessoas que buscam, através delas, nomear seu sofrimento e sua história.</w:t>
      </w:r>
    </w:p>
    <w:p w14:paraId="271661D1" w14:textId="77777777" w:rsidR="0003312E" w:rsidRPr="000D7094"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20B351C4" w14:textId="77777777" w:rsidR="0003312E" w:rsidRPr="000D7094"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1A548095" w14:textId="77777777" w:rsidR="0003312E" w:rsidRPr="000D7094"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36D58655" w14:textId="77777777" w:rsidR="0003312E" w:rsidRPr="000D7094"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388F392E" w14:textId="77777777" w:rsidR="0003312E" w:rsidRDefault="00000000">
      <w:pPr>
        <w:rPr>
          <w:rFonts w:eastAsia="Segoe UI"/>
          <w:b/>
          <w:bCs/>
          <w:sz w:val="20"/>
          <w:szCs w:val="20"/>
        </w:rPr>
      </w:pPr>
      <w:r>
        <w:rPr>
          <w:rFonts w:eastAsia="Segoe UI"/>
          <w:b/>
          <w:bCs/>
          <w:sz w:val="20"/>
          <w:szCs w:val="20"/>
        </w:rPr>
        <w:br w:type="page"/>
      </w:r>
    </w:p>
    <w:p w14:paraId="69916C6E" w14:textId="77777777" w:rsidR="0003312E" w:rsidRDefault="00000000">
      <w:pPr>
        <w:pStyle w:val="NormalWeb"/>
        <w:shd w:val="clear" w:color="auto" w:fill="FFFFFF"/>
        <w:tabs>
          <w:tab w:val="left" w:pos="425"/>
        </w:tabs>
        <w:spacing w:beforeAutospacing="0" w:after="0" w:afterAutospacing="0" w:line="360" w:lineRule="auto"/>
        <w:jc w:val="both"/>
        <w:rPr>
          <w:rFonts w:eastAsia="Segoe UI"/>
          <w:b/>
          <w:bCs/>
          <w:sz w:val="20"/>
          <w:szCs w:val="20"/>
          <w:lang w:val="pt-BR"/>
        </w:rPr>
      </w:pPr>
      <w:r>
        <w:rPr>
          <w:rFonts w:eastAsia="Segoe UI"/>
          <w:b/>
          <w:bCs/>
          <w:sz w:val="20"/>
          <w:szCs w:val="20"/>
          <w:lang w:val="pt-BR"/>
        </w:rPr>
        <w:lastRenderedPageBreak/>
        <w:t>REFERÊNCIAS</w:t>
      </w:r>
    </w:p>
    <w:p w14:paraId="0AF9A62F" w14:textId="77777777" w:rsidR="0003312E" w:rsidRDefault="00000000">
      <w:pPr>
        <w:pStyle w:val="NormalWeb"/>
        <w:shd w:val="clear" w:color="auto" w:fill="FFFFFF"/>
        <w:spacing w:beforeAutospacing="0" w:after="0" w:afterAutospacing="0" w:line="360" w:lineRule="auto"/>
        <w:ind w:firstLine="709"/>
        <w:jc w:val="both"/>
        <w:rPr>
          <w:b/>
          <w:bCs/>
          <w:sz w:val="24"/>
          <w:lang w:val="pt-BR"/>
        </w:rPr>
      </w:pPr>
      <w:r>
        <w:rPr>
          <w:b/>
          <w:bCs/>
          <w:sz w:val="24"/>
          <w:lang w:val="pt-BR"/>
        </w:rPr>
        <w:t>Capitulo 0</w:t>
      </w:r>
    </w:p>
    <w:p w14:paraId="266913F8"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lang w:val="pt-BR"/>
        </w:rPr>
        <w:t>AGUIAR, Thiago Borges de; PETERLEVITZ, Augusto. As etimologias de Isidoro de Sevilha e a transmissão da cultura greco-romana na Espanha Visigoda. Acta Educ., Maringá, v. 41, e48139, jan. 2019. Disponível em: </w:t>
      </w:r>
      <w:hyperlink r:id="rId37" w:tgtFrame="_blank" w:history="1">
        <w:r>
          <w:rPr>
            <w:rStyle w:val="Hyperlink"/>
            <w:color w:val="auto"/>
            <w:sz w:val="20"/>
            <w:szCs w:val="20"/>
            <w:lang w:val="pt-BR"/>
          </w:rPr>
          <w:t>http://educa.fcc.org.br/scielo.php?script=sci_arttext&amp;pid=S2178-52012019000100127&amp;lng=pt&amp;nrm=iso</w:t>
        </w:r>
      </w:hyperlink>
      <w:r>
        <w:rPr>
          <w:sz w:val="20"/>
          <w:szCs w:val="20"/>
          <w:lang w:val="pt-BR"/>
        </w:rPr>
        <w:t xml:space="preserve">.  Acesso em: 1o out. 2025. </w:t>
      </w:r>
    </w:p>
    <w:p w14:paraId="282FE218"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ATHANASIADIS, Leonidas. Greek mythology and medical and psychiatric terminology. Psychiatric Bulletin, v. 18, n. 12, p. 779 - 781, 1994. </w:t>
      </w:r>
      <w:proofErr w:type="spellStart"/>
      <w:r>
        <w:rPr>
          <w:sz w:val="20"/>
          <w:szCs w:val="20"/>
        </w:rPr>
        <w:t>Disponível</w:t>
      </w:r>
      <w:proofErr w:type="spellEnd"/>
      <w:r>
        <w:rPr>
          <w:sz w:val="20"/>
          <w:szCs w:val="20"/>
        </w:rPr>
        <w:t xml:space="preserve"> em: </w:t>
      </w:r>
      <w:hyperlink r:id="rId38" w:tgtFrame="_blank" w:history="1">
        <w:r>
          <w:rPr>
            <w:rStyle w:val="Hyperlink"/>
            <w:color w:val="auto"/>
            <w:sz w:val="20"/>
            <w:szCs w:val="20"/>
          </w:rPr>
          <w:t>https://pdfs.semanticscholar.org/69d8/280764c91ce1d4c793a57fd505c22d2eccde.pdf</w:t>
        </w:r>
      </w:hyperlink>
      <w:r>
        <w:rPr>
          <w:sz w:val="20"/>
          <w:szCs w:val="20"/>
        </w:rPr>
        <w:t xml:space="preserve">.  </w:t>
      </w:r>
      <w:r>
        <w:rPr>
          <w:sz w:val="20"/>
          <w:szCs w:val="20"/>
          <w:lang w:val="pt-BR"/>
        </w:rPr>
        <w:t xml:space="preserve">Acesso em: 1o out. 2025. </w:t>
      </w:r>
    </w:p>
    <w:p w14:paraId="500173C1"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BUJALKOVÁ, Mária. Are the methods to use historical lexicology (etymology) in contemporary medical terminology teaching reasonable? </w:t>
      </w:r>
      <w:r>
        <w:rPr>
          <w:sz w:val="20"/>
          <w:szCs w:val="20"/>
          <w:lang w:val="pt-BR"/>
        </w:rPr>
        <w:t xml:space="preserve">JAHR, v. 4, n. 1, p. 469 - 478, 2013. Disponível em: </w:t>
      </w:r>
      <w:hyperlink r:id="rId39" w:history="1">
        <w:r>
          <w:rPr>
            <w:rStyle w:val="Hyperlink"/>
            <w:color w:val="auto"/>
            <w:sz w:val="20"/>
            <w:szCs w:val="20"/>
            <w:lang w:val="pt-BR"/>
          </w:rPr>
          <w:t>https://doi.org/10.21860/J.10.1.7</w:t>
        </w:r>
      </w:hyperlink>
      <w:r>
        <w:rPr>
          <w:sz w:val="20"/>
          <w:szCs w:val="20"/>
          <w:lang w:val="pt-BR"/>
        </w:rPr>
        <w:t xml:space="preserve">. </w:t>
      </w:r>
      <w:proofErr w:type="spellStart"/>
      <w:r>
        <w:rPr>
          <w:sz w:val="20"/>
          <w:szCs w:val="20"/>
        </w:rPr>
        <w:t>Acesso</w:t>
      </w:r>
      <w:proofErr w:type="spellEnd"/>
      <w:r>
        <w:rPr>
          <w:sz w:val="20"/>
          <w:szCs w:val="20"/>
        </w:rPr>
        <w:t xml:space="preserve"> </w:t>
      </w:r>
      <w:proofErr w:type="spellStart"/>
      <w:r>
        <w:rPr>
          <w:sz w:val="20"/>
          <w:szCs w:val="20"/>
        </w:rPr>
        <w:t>em</w:t>
      </w:r>
      <w:proofErr w:type="spellEnd"/>
      <w:r>
        <w:rPr>
          <w:sz w:val="20"/>
          <w:szCs w:val="20"/>
        </w:rPr>
        <w:t>: 17 set. 2025.</w:t>
      </w:r>
    </w:p>
    <w:p w14:paraId="62C2A66D"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t xml:space="preserve">CNRTL-CENTRE NATIONAL DE RESSOURCES TEXTUELLES ET LEXICALES. </w:t>
      </w:r>
      <w:proofErr w:type="spellStart"/>
      <w:r>
        <w:rPr>
          <w:sz w:val="20"/>
          <w:szCs w:val="20"/>
          <w:lang w:val="pt-BR"/>
        </w:rPr>
        <w:t>Trésor</w:t>
      </w:r>
      <w:proofErr w:type="spellEnd"/>
      <w:r>
        <w:rPr>
          <w:sz w:val="20"/>
          <w:szCs w:val="20"/>
          <w:lang w:val="pt-BR"/>
        </w:rPr>
        <w:t xml:space="preserve"> de </w:t>
      </w:r>
      <w:proofErr w:type="spellStart"/>
      <w:r>
        <w:rPr>
          <w:sz w:val="20"/>
          <w:szCs w:val="20"/>
          <w:lang w:val="pt-BR"/>
        </w:rPr>
        <w:t>la</w:t>
      </w:r>
      <w:proofErr w:type="spellEnd"/>
      <w:r>
        <w:rPr>
          <w:sz w:val="20"/>
          <w:szCs w:val="20"/>
          <w:lang w:val="pt-BR"/>
        </w:rPr>
        <w:t xml:space="preserve"> Langue Française </w:t>
      </w:r>
      <w:proofErr w:type="spellStart"/>
      <w:r>
        <w:rPr>
          <w:sz w:val="20"/>
          <w:szCs w:val="20"/>
          <w:lang w:val="pt-BR"/>
        </w:rPr>
        <w:t>informatisé</w:t>
      </w:r>
      <w:proofErr w:type="spellEnd"/>
      <w:r>
        <w:rPr>
          <w:sz w:val="20"/>
          <w:szCs w:val="20"/>
          <w:lang w:val="pt-BR"/>
        </w:rPr>
        <w:t>. Nancy: CNRS, 2012. Disponível em: </w:t>
      </w:r>
      <w:hyperlink r:id="rId40" w:tgtFrame="_blank" w:history="1">
        <w:r>
          <w:rPr>
            <w:rStyle w:val="Hyperlink"/>
            <w:color w:val="auto"/>
            <w:sz w:val="20"/>
            <w:szCs w:val="20"/>
            <w:lang w:val="pt-BR"/>
          </w:rPr>
          <w:t>https://www.cnrtl.fr/etymologie</w:t>
        </w:r>
      </w:hyperlink>
      <w:r>
        <w:rPr>
          <w:sz w:val="20"/>
          <w:szCs w:val="20"/>
          <w:lang w:val="pt-BR"/>
        </w:rPr>
        <w:t xml:space="preserve">.  Acesso em: 1o out. 2025. </w:t>
      </w:r>
    </w:p>
    <w:p w14:paraId="60779257"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t>CUNHA, Antônio Geraldo da. Dicionário etimológico da língua portuguesa. 4. ed. Rio de Janeiro: Lexikon, 2010. Disponível em: </w:t>
      </w:r>
      <w:hyperlink r:id="rId41" w:tgtFrame="_blank" w:history="1">
        <w:r>
          <w:rPr>
            <w:rStyle w:val="Hyperlink"/>
            <w:color w:val="auto"/>
            <w:sz w:val="20"/>
            <w:szCs w:val="20"/>
            <w:lang w:val="pt-BR"/>
          </w:rPr>
          <w:t>https://www.dicionarioetimologico.com.br/</w:t>
        </w:r>
      </w:hyperlink>
      <w:r>
        <w:rPr>
          <w:sz w:val="20"/>
          <w:szCs w:val="20"/>
          <w:lang w:val="pt-BR"/>
        </w:rPr>
        <w:t xml:space="preserve">.  Acesso em: 1o out. 2025. </w:t>
      </w:r>
    </w:p>
    <w:p w14:paraId="6635FF47" w14:textId="77777777" w:rsidR="0003312E" w:rsidRDefault="00000000">
      <w:pPr>
        <w:pStyle w:val="NormalWeb"/>
        <w:numPr>
          <w:ilvl w:val="0"/>
          <w:numId w:val="4"/>
        </w:numPr>
        <w:spacing w:beforeAutospacing="0" w:after="0" w:afterAutospacing="0" w:line="240" w:lineRule="auto"/>
        <w:jc w:val="both"/>
        <w:rPr>
          <w:sz w:val="20"/>
          <w:szCs w:val="20"/>
          <w:lang w:val="pt-BR"/>
        </w:rPr>
      </w:pPr>
      <w:r>
        <w:rPr>
          <w:rFonts w:eastAsia="Times New Roman"/>
          <w:kern w:val="0"/>
          <w:sz w:val="20"/>
          <w:szCs w:val="20"/>
          <w:lang w:val="pt-BR" w:eastAsia="pt-BR"/>
          <w14:ligatures w14:val="none"/>
        </w:rPr>
        <w:t xml:space="preserve">DECEL - </w:t>
      </w:r>
      <w:proofErr w:type="spellStart"/>
      <w:r>
        <w:rPr>
          <w:rFonts w:eastAsia="Times New Roman"/>
          <w:kern w:val="0"/>
          <w:sz w:val="20"/>
          <w:szCs w:val="20"/>
          <w:lang w:val="pt-BR" w:eastAsia="pt-BR"/>
          <w14:ligatures w14:val="none"/>
        </w:rPr>
        <w:t>Diccionario</w:t>
      </w:r>
      <w:proofErr w:type="spellEnd"/>
      <w:r>
        <w:rPr>
          <w:rFonts w:eastAsia="Times New Roman"/>
          <w:kern w:val="0"/>
          <w:sz w:val="20"/>
          <w:szCs w:val="20"/>
          <w:lang w:val="pt-BR" w:eastAsia="pt-BR"/>
          <w14:ligatures w14:val="none"/>
        </w:rPr>
        <w:t xml:space="preserve"> Etimológico Castellano </w:t>
      </w:r>
      <w:proofErr w:type="spellStart"/>
      <w:r>
        <w:rPr>
          <w:rFonts w:eastAsia="Times New Roman"/>
          <w:kern w:val="0"/>
          <w:sz w:val="20"/>
          <w:szCs w:val="20"/>
          <w:lang w:val="pt-BR" w:eastAsia="pt-BR"/>
          <w14:ligatures w14:val="none"/>
        </w:rPr>
        <w:t>En</w:t>
      </w:r>
      <w:proofErr w:type="spellEnd"/>
      <w:r>
        <w:rPr>
          <w:rFonts w:eastAsia="Times New Roman"/>
          <w:kern w:val="0"/>
          <w:sz w:val="20"/>
          <w:szCs w:val="20"/>
          <w:lang w:val="pt-BR" w:eastAsia="pt-BR"/>
          <w14:ligatures w14:val="none"/>
        </w:rPr>
        <w:t xml:space="preserve"> Línea. Disponível em: &lt;https://etimologias.dechile.net&gt;.  Acesso em: 1o out. 2025. </w:t>
      </w:r>
    </w:p>
    <w:p w14:paraId="408F214E" w14:textId="77777777" w:rsidR="0003312E" w:rsidRDefault="00000000">
      <w:pPr>
        <w:pStyle w:val="PargrafodaLista"/>
        <w:numPr>
          <w:ilvl w:val="0"/>
          <w:numId w:val="4"/>
        </w:numPr>
        <w:spacing w:before="100" w:after="0" w:line="240" w:lineRule="auto"/>
        <w:jc w:val="both"/>
        <w:rPr>
          <w:rFonts w:ascii="Times New Roman" w:hAnsi="Times New Roman" w:cs="Times New Roman"/>
          <w:sz w:val="20"/>
          <w:szCs w:val="20"/>
        </w:rPr>
      </w:pPr>
      <w:r>
        <w:rPr>
          <w:rFonts w:ascii="Times New Roman" w:eastAsia="Times New Roman" w:hAnsi="Times New Roman" w:cs="Times New Roman"/>
          <w:kern w:val="0"/>
          <w:sz w:val="20"/>
          <w:szCs w:val="20"/>
          <w:lang w:val="en-US" w:eastAsia="pt-BR"/>
          <w14:ligatures w14:val="none"/>
        </w:rPr>
        <w:t>‌</w:t>
      </w:r>
      <w:r>
        <w:rPr>
          <w:rFonts w:ascii="Times New Roman" w:hAnsi="Times New Roman" w:cs="Times New Roman"/>
          <w:sz w:val="20"/>
          <w:szCs w:val="20"/>
          <w:lang w:val="en-US"/>
        </w:rPr>
        <w:t xml:space="preserve">DURKIN, Philip. </w:t>
      </w:r>
      <w:r>
        <w:rPr>
          <w:rStyle w:val="nfase"/>
          <w:rFonts w:ascii="Times New Roman" w:hAnsi="Times New Roman" w:cs="Times New Roman"/>
          <w:sz w:val="20"/>
          <w:szCs w:val="20"/>
          <w:lang w:val="en-US"/>
        </w:rPr>
        <w:t>Etymology</w:t>
      </w:r>
      <w:r>
        <w:rPr>
          <w:rFonts w:ascii="Times New Roman" w:hAnsi="Times New Roman" w:cs="Times New Roman"/>
          <w:sz w:val="20"/>
          <w:szCs w:val="20"/>
          <w:lang w:val="en-US"/>
        </w:rPr>
        <w:t xml:space="preserve">. In: </w:t>
      </w:r>
      <w:r>
        <w:rPr>
          <w:rStyle w:val="nfase"/>
          <w:rFonts w:ascii="Times New Roman" w:hAnsi="Times New Roman" w:cs="Times New Roman"/>
          <w:sz w:val="20"/>
          <w:szCs w:val="20"/>
          <w:lang w:val="en-US"/>
        </w:rPr>
        <w:t>The Oxford Handbook of the Word</w:t>
      </w:r>
      <w:r>
        <w:rPr>
          <w:rFonts w:ascii="Times New Roman" w:hAnsi="Times New Roman" w:cs="Times New Roman"/>
          <w:sz w:val="20"/>
          <w:szCs w:val="20"/>
          <w:lang w:val="en-US"/>
        </w:rPr>
        <w:t xml:space="preserve">. </w:t>
      </w:r>
      <w:r>
        <w:rPr>
          <w:rFonts w:ascii="Times New Roman" w:hAnsi="Times New Roman" w:cs="Times New Roman"/>
          <w:sz w:val="20"/>
          <w:szCs w:val="20"/>
        </w:rPr>
        <w:t xml:space="preserve">Oxford: Oxford </w:t>
      </w:r>
      <w:proofErr w:type="spellStart"/>
      <w:r>
        <w:rPr>
          <w:rFonts w:ascii="Times New Roman" w:hAnsi="Times New Roman" w:cs="Times New Roman"/>
          <w:sz w:val="20"/>
          <w:szCs w:val="20"/>
        </w:rPr>
        <w:t>University</w:t>
      </w:r>
      <w:proofErr w:type="spellEnd"/>
      <w:r>
        <w:rPr>
          <w:rFonts w:ascii="Times New Roman" w:hAnsi="Times New Roman" w:cs="Times New Roman"/>
          <w:sz w:val="20"/>
          <w:szCs w:val="20"/>
        </w:rPr>
        <w:t xml:space="preserve"> Press, 2015. Capítulo “</w:t>
      </w:r>
      <w:proofErr w:type="spellStart"/>
      <w:r>
        <w:rPr>
          <w:rFonts w:ascii="Times New Roman" w:hAnsi="Times New Roman" w:cs="Times New Roman"/>
          <w:sz w:val="20"/>
          <w:szCs w:val="20"/>
        </w:rPr>
        <w:t>Etymology</w:t>
      </w:r>
      <w:proofErr w:type="spellEnd"/>
      <w:r>
        <w:rPr>
          <w:rFonts w:ascii="Times New Roman" w:hAnsi="Times New Roman" w:cs="Times New Roman"/>
          <w:sz w:val="20"/>
          <w:szCs w:val="20"/>
        </w:rPr>
        <w:t>”. Disponível em: https://academic.oup.com/edited-volume/38609/chapter-abstract/334736505?redirectedFrom=fulltext. Acesso em: 17 set. 2025.</w:t>
      </w:r>
    </w:p>
    <w:p w14:paraId="4DFD975C"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DURKIN, Philip. The Oxford Guide to Etymology. Oxford: Oxford University Press, 2009. </w:t>
      </w:r>
      <w:proofErr w:type="spellStart"/>
      <w:r>
        <w:rPr>
          <w:sz w:val="20"/>
          <w:szCs w:val="20"/>
        </w:rPr>
        <w:t>Disponível</w:t>
      </w:r>
      <w:proofErr w:type="spellEnd"/>
      <w:r>
        <w:rPr>
          <w:sz w:val="20"/>
          <w:szCs w:val="20"/>
        </w:rPr>
        <w:t xml:space="preserve"> </w:t>
      </w:r>
      <w:proofErr w:type="spellStart"/>
      <w:r>
        <w:rPr>
          <w:sz w:val="20"/>
          <w:szCs w:val="20"/>
        </w:rPr>
        <w:t>em</w:t>
      </w:r>
      <w:proofErr w:type="spellEnd"/>
      <w:r>
        <w:rPr>
          <w:sz w:val="20"/>
          <w:szCs w:val="20"/>
        </w:rPr>
        <w:t>: </w:t>
      </w:r>
      <w:hyperlink r:id="rId42" w:tgtFrame="_blank" w:history="1">
        <w:r>
          <w:rPr>
            <w:rStyle w:val="Hyperlink"/>
            <w:color w:val="auto"/>
            <w:sz w:val="20"/>
            <w:szCs w:val="20"/>
          </w:rPr>
          <w:t>https://archive.org/details/oxfordguidetoety0000durk</w:t>
        </w:r>
      </w:hyperlink>
      <w:r>
        <w:rPr>
          <w:sz w:val="20"/>
          <w:szCs w:val="20"/>
        </w:rPr>
        <w:t xml:space="preserve">. </w:t>
      </w:r>
      <w:proofErr w:type="spellStart"/>
      <w:r>
        <w:rPr>
          <w:sz w:val="20"/>
          <w:szCs w:val="20"/>
        </w:rPr>
        <w:t>Acesso</w:t>
      </w:r>
      <w:proofErr w:type="spellEnd"/>
      <w:r>
        <w:rPr>
          <w:sz w:val="20"/>
          <w:szCs w:val="20"/>
        </w:rPr>
        <w:t xml:space="preserve"> </w:t>
      </w:r>
      <w:proofErr w:type="spellStart"/>
      <w:r>
        <w:rPr>
          <w:sz w:val="20"/>
          <w:szCs w:val="20"/>
        </w:rPr>
        <w:t>em</w:t>
      </w:r>
      <w:proofErr w:type="spellEnd"/>
      <w:r>
        <w:rPr>
          <w:sz w:val="20"/>
          <w:szCs w:val="20"/>
        </w:rPr>
        <w:t>: 25 ago.2025.</w:t>
      </w:r>
    </w:p>
    <w:p w14:paraId="14A47F17"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t xml:space="preserve">EBENEZER, David A.; MOHANRAJ, </w:t>
      </w:r>
      <w:proofErr w:type="spellStart"/>
      <w:r>
        <w:rPr>
          <w:sz w:val="20"/>
          <w:szCs w:val="20"/>
          <w:lang w:val="pt-BR"/>
        </w:rPr>
        <w:t>Saravanan</w:t>
      </w:r>
      <w:proofErr w:type="spellEnd"/>
      <w:r>
        <w:rPr>
          <w:sz w:val="20"/>
          <w:szCs w:val="20"/>
          <w:lang w:val="pt-BR"/>
        </w:rPr>
        <w:t xml:space="preserve">. </w:t>
      </w:r>
      <w:r>
        <w:rPr>
          <w:sz w:val="20"/>
          <w:szCs w:val="20"/>
        </w:rPr>
        <w:t>Understanding etymology: awareness among doctors and a tool in successful medical education. International Journal of Medical Science and Education, [</w:t>
      </w:r>
      <w:proofErr w:type="spellStart"/>
      <w:r>
        <w:rPr>
          <w:sz w:val="20"/>
          <w:szCs w:val="20"/>
        </w:rPr>
        <w:t>S.l.</w:t>
      </w:r>
      <w:proofErr w:type="spellEnd"/>
      <w:r>
        <w:rPr>
          <w:sz w:val="20"/>
          <w:szCs w:val="20"/>
        </w:rPr>
        <w:t xml:space="preserve">], v. 7, n. 1, p. 8 - 11, </w:t>
      </w:r>
      <w:proofErr w:type="spellStart"/>
      <w:r>
        <w:rPr>
          <w:sz w:val="20"/>
          <w:szCs w:val="20"/>
        </w:rPr>
        <w:t>jan.</w:t>
      </w:r>
      <w:proofErr w:type="spellEnd"/>
      <w:r>
        <w:rPr>
          <w:sz w:val="20"/>
          <w:szCs w:val="20"/>
        </w:rPr>
        <w:t xml:space="preserve"> 2020. </w:t>
      </w:r>
      <w:r>
        <w:rPr>
          <w:sz w:val="20"/>
          <w:szCs w:val="20"/>
          <w:lang w:val="pt-BR"/>
        </w:rPr>
        <w:t>Disponível em: </w:t>
      </w:r>
      <w:hyperlink r:id="rId43" w:tgtFrame="_blank" w:history="1">
        <w:r>
          <w:rPr>
            <w:rStyle w:val="Hyperlink"/>
            <w:color w:val="auto"/>
            <w:sz w:val="20"/>
            <w:szCs w:val="20"/>
            <w:lang w:val="pt-BR"/>
          </w:rPr>
          <w:t>http://www.ijmse.com/uploads/1/4/0/3/14032141/ijmse2020_7_1_._8-11.pdf</w:t>
        </w:r>
      </w:hyperlink>
      <w:r>
        <w:rPr>
          <w:sz w:val="20"/>
          <w:szCs w:val="20"/>
          <w:lang w:val="pt-BR"/>
        </w:rPr>
        <w:t xml:space="preserve">.  Acesso em: 1o out. 2025. </w:t>
      </w:r>
    </w:p>
    <w:p w14:paraId="05AC4098"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rPr>
        <w:t xml:space="preserve">HALLOCK, R. Mark; BRAND, Elizabeth C.; MIHALIC, Thomas B. Word Origins of Common Neuroscience Terms for Use in an Undergraduate Classroom. Journal of Undergraduate Neuroscience Education, v. 15, n. 1, p. A76 - 84, 15 abr. 2016. </w:t>
      </w:r>
      <w:r>
        <w:rPr>
          <w:sz w:val="20"/>
          <w:szCs w:val="20"/>
          <w:lang w:val="pt-BR"/>
        </w:rPr>
        <w:t>Disponível em: https://pmc.ncbi.nlm.nih.gov/</w:t>
      </w:r>
      <w:proofErr w:type="spellStart"/>
      <w:r>
        <w:rPr>
          <w:sz w:val="20"/>
          <w:szCs w:val="20"/>
          <w:lang w:val="pt-BR"/>
        </w:rPr>
        <w:t>articles</w:t>
      </w:r>
      <w:proofErr w:type="spellEnd"/>
      <w:r>
        <w:rPr>
          <w:sz w:val="20"/>
          <w:szCs w:val="20"/>
          <w:lang w:val="pt-BR"/>
        </w:rPr>
        <w:t xml:space="preserve">/PMC5105969.  Acesso em: 1o out. 2025. </w:t>
      </w:r>
    </w:p>
    <w:p w14:paraId="3C36B347"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HARPER, Douglas. Online Etymology Dictionary. </w:t>
      </w:r>
      <w:r>
        <w:rPr>
          <w:sz w:val="20"/>
          <w:szCs w:val="20"/>
          <w:lang w:val="pt-BR"/>
        </w:rPr>
        <w:t>2001-2024. Disponível em: </w:t>
      </w:r>
      <w:hyperlink r:id="rId44" w:tgtFrame="_blank" w:history="1">
        <w:r>
          <w:rPr>
            <w:rStyle w:val="Hyperlink"/>
            <w:color w:val="auto"/>
            <w:sz w:val="20"/>
            <w:szCs w:val="20"/>
            <w:lang w:val="pt-BR"/>
          </w:rPr>
          <w:t>https://www.etymonline.com/</w:t>
        </w:r>
      </w:hyperlink>
      <w:r>
        <w:rPr>
          <w:sz w:val="20"/>
          <w:szCs w:val="20"/>
          <w:lang w:val="pt-BR"/>
        </w:rPr>
        <w:t xml:space="preserve">.  Acesso em: 1o out. 2025. </w:t>
      </w:r>
    </w:p>
    <w:p w14:paraId="19887D24" w14:textId="77777777" w:rsidR="0003312E" w:rsidRDefault="00000000">
      <w:pPr>
        <w:pStyle w:val="NormalWeb"/>
        <w:numPr>
          <w:ilvl w:val="0"/>
          <w:numId w:val="4"/>
        </w:numPr>
        <w:spacing w:beforeAutospacing="0" w:after="0" w:afterAutospacing="0" w:line="240" w:lineRule="auto"/>
        <w:jc w:val="both"/>
        <w:rPr>
          <w:sz w:val="20"/>
          <w:szCs w:val="20"/>
          <w:lang w:val="pt-BR"/>
        </w:rPr>
      </w:pPr>
      <w:r>
        <w:rPr>
          <w:rStyle w:val="Forte"/>
          <w:rFonts w:eastAsia="Segoe UI"/>
          <w:b w:val="0"/>
          <w:bCs w:val="0"/>
          <w:sz w:val="20"/>
          <w:szCs w:val="20"/>
          <w:shd w:val="clear" w:color="auto" w:fill="FFFFFF"/>
        </w:rPr>
        <w:t>LEWIS, Charlton T.; SHORT, Charles.</w:t>
      </w:r>
      <w:r>
        <w:rPr>
          <w:rFonts w:eastAsia="Segoe UI"/>
          <w:sz w:val="20"/>
          <w:szCs w:val="20"/>
          <w:shd w:val="clear" w:color="auto" w:fill="FFFFFF"/>
        </w:rPr>
        <w:t> </w:t>
      </w:r>
      <w:r>
        <w:rPr>
          <w:rStyle w:val="nfase"/>
          <w:rFonts w:eastAsia="Segoe UI"/>
          <w:sz w:val="20"/>
          <w:szCs w:val="20"/>
          <w:shd w:val="clear" w:color="auto" w:fill="FFFFFF"/>
        </w:rPr>
        <w:t>A Latin Dictionary.</w:t>
      </w:r>
      <w:r>
        <w:rPr>
          <w:rFonts w:eastAsia="Segoe UI"/>
          <w:sz w:val="20"/>
          <w:szCs w:val="20"/>
          <w:shd w:val="clear" w:color="auto" w:fill="FFFFFF"/>
        </w:rPr>
        <w:t xml:space="preserve"> Oxford: Clarendon Press, 1879. </w:t>
      </w:r>
      <w:r>
        <w:rPr>
          <w:rFonts w:eastAsia="Segoe UI"/>
          <w:sz w:val="20"/>
          <w:szCs w:val="20"/>
          <w:shd w:val="clear" w:color="auto" w:fill="FFFFFF"/>
          <w:lang w:val="pt-BR"/>
        </w:rPr>
        <w:t>Disponível em: </w:t>
      </w:r>
      <w:hyperlink r:id="rId45" w:tgtFrame="https://chat.deepseek.com/a/chat/s/_blank" w:history="1">
        <w:r>
          <w:rPr>
            <w:rStyle w:val="Hyperlink"/>
            <w:rFonts w:eastAsia="Segoe UI"/>
            <w:color w:val="auto"/>
            <w:sz w:val="20"/>
            <w:szCs w:val="20"/>
            <w:u w:val="none"/>
            <w:shd w:val="clear" w:color="auto" w:fill="FFFFFF"/>
            <w:lang w:val="pt-BR"/>
          </w:rPr>
          <w:t>https://www.perseus.tufts.edu/hopper/text?doc=Perseus%3Atext%3A1999.04.0059</w:t>
        </w:r>
      </w:hyperlink>
      <w:r>
        <w:rPr>
          <w:rFonts w:eastAsia="Segoe UI"/>
          <w:sz w:val="20"/>
          <w:szCs w:val="20"/>
          <w:shd w:val="clear" w:color="auto" w:fill="FFFFFF"/>
          <w:lang w:val="pt-BR"/>
        </w:rPr>
        <w:t xml:space="preserve">. </w:t>
      </w:r>
      <w:r>
        <w:rPr>
          <w:sz w:val="20"/>
          <w:szCs w:val="20"/>
          <w:lang w:val="pt-BR"/>
        </w:rPr>
        <w:t xml:space="preserve">Acesso em: 1o out. 2025. </w:t>
      </w:r>
    </w:p>
    <w:p w14:paraId="24359975"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t xml:space="preserve">MAREČKOVÁ, Elena; ŠIMON, </w:t>
      </w:r>
      <w:proofErr w:type="spellStart"/>
      <w:r>
        <w:rPr>
          <w:sz w:val="20"/>
          <w:szCs w:val="20"/>
          <w:lang w:val="pt-BR"/>
        </w:rPr>
        <w:t>František</w:t>
      </w:r>
      <w:proofErr w:type="spellEnd"/>
      <w:r>
        <w:rPr>
          <w:sz w:val="20"/>
          <w:szCs w:val="20"/>
          <w:lang w:val="pt-BR"/>
        </w:rPr>
        <w:t xml:space="preserve">; ČERVENÝ, Ladislav. </w:t>
      </w:r>
      <w:r>
        <w:rPr>
          <w:sz w:val="20"/>
          <w:szCs w:val="20"/>
        </w:rPr>
        <w:t>Latin as the language of medical terminology: some remarks on its role and prospects. Swiss Medical Weekly, [</w:t>
      </w:r>
      <w:proofErr w:type="spellStart"/>
      <w:r>
        <w:rPr>
          <w:sz w:val="20"/>
          <w:szCs w:val="20"/>
        </w:rPr>
        <w:t>s.l.</w:t>
      </w:r>
      <w:proofErr w:type="spellEnd"/>
      <w:r>
        <w:rPr>
          <w:sz w:val="20"/>
          <w:szCs w:val="20"/>
        </w:rPr>
        <w:t>], [</w:t>
      </w:r>
      <w:proofErr w:type="spellStart"/>
      <w:r>
        <w:rPr>
          <w:sz w:val="20"/>
          <w:szCs w:val="20"/>
        </w:rPr>
        <w:t>s.n</w:t>
      </w:r>
      <w:proofErr w:type="spellEnd"/>
      <w:r>
        <w:rPr>
          <w:sz w:val="20"/>
          <w:szCs w:val="20"/>
        </w:rPr>
        <w:t>.], [</w:t>
      </w:r>
      <w:proofErr w:type="spellStart"/>
      <w:r>
        <w:rPr>
          <w:sz w:val="20"/>
          <w:szCs w:val="20"/>
        </w:rPr>
        <w:t>s.d.</w:t>
      </w:r>
      <w:proofErr w:type="spellEnd"/>
      <w:r>
        <w:rPr>
          <w:sz w:val="20"/>
          <w:szCs w:val="20"/>
        </w:rPr>
        <w:t xml:space="preserve">]. </w:t>
      </w:r>
      <w:proofErr w:type="spellStart"/>
      <w:r>
        <w:rPr>
          <w:sz w:val="20"/>
          <w:szCs w:val="20"/>
        </w:rPr>
        <w:t>Disponível</w:t>
      </w:r>
      <w:proofErr w:type="spellEnd"/>
      <w:r>
        <w:rPr>
          <w:sz w:val="20"/>
          <w:szCs w:val="20"/>
        </w:rPr>
        <w:t xml:space="preserve"> </w:t>
      </w:r>
      <w:proofErr w:type="spellStart"/>
      <w:r>
        <w:rPr>
          <w:sz w:val="20"/>
          <w:szCs w:val="20"/>
        </w:rPr>
        <w:t>em</w:t>
      </w:r>
      <w:proofErr w:type="spellEnd"/>
      <w:r>
        <w:rPr>
          <w:sz w:val="20"/>
          <w:szCs w:val="20"/>
        </w:rPr>
        <w:t xml:space="preserve">: https://www.academia.edu/123658258/Latin_as_the_language_of_medical_terminology_some_remarks_on_its_role_and_prospects.  </w:t>
      </w:r>
      <w:r>
        <w:rPr>
          <w:sz w:val="20"/>
          <w:szCs w:val="20"/>
          <w:lang w:val="pt-BR"/>
        </w:rPr>
        <w:t xml:space="preserve">Acesso em: 1o out. 2025. </w:t>
      </w:r>
    </w:p>
    <w:p w14:paraId="374CED01"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MEHTA, Arpan R.; CHANDRAN, Siddharth; HUNT, David P. J. Grey Matter Etymology and the neuron(e). </w:t>
      </w:r>
      <w:proofErr w:type="spellStart"/>
      <w:r>
        <w:rPr>
          <w:sz w:val="20"/>
          <w:szCs w:val="20"/>
          <w:lang w:val="pt-BR"/>
        </w:rPr>
        <w:t>Brain</w:t>
      </w:r>
      <w:proofErr w:type="spellEnd"/>
      <w:r>
        <w:rPr>
          <w:sz w:val="20"/>
          <w:szCs w:val="20"/>
          <w:lang w:val="pt-BR"/>
        </w:rPr>
        <w:t>, v. 143, n. 1, p. 374 - 379, 2020. Disponível em: </w:t>
      </w:r>
      <w:hyperlink r:id="rId46" w:tgtFrame="_blank" w:history="1">
        <w:r>
          <w:rPr>
            <w:rStyle w:val="Hyperlink"/>
            <w:color w:val="auto"/>
            <w:sz w:val="20"/>
            <w:szCs w:val="20"/>
            <w:lang w:val="pt-BR"/>
          </w:rPr>
          <w:t>https://academic.oup.com/brain/article/143/1/374/5679563</w:t>
        </w:r>
      </w:hyperlink>
      <w:r>
        <w:rPr>
          <w:sz w:val="20"/>
          <w:szCs w:val="20"/>
          <w:lang w:val="pt-BR"/>
        </w:rPr>
        <w:t xml:space="preserve">.  Acesso em: 1o out. 2025. </w:t>
      </w:r>
    </w:p>
    <w:p w14:paraId="1D2D0E7D"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rPr>
        <w:t xml:space="preserve">MOSENTHAL, William T. Etymology-anatomy-history-culture. </w:t>
      </w:r>
      <w:r>
        <w:rPr>
          <w:sz w:val="20"/>
          <w:szCs w:val="20"/>
          <w:lang w:val="pt-BR"/>
        </w:rPr>
        <w:t xml:space="preserve">Clinical </w:t>
      </w:r>
      <w:proofErr w:type="spellStart"/>
      <w:r>
        <w:rPr>
          <w:sz w:val="20"/>
          <w:szCs w:val="20"/>
          <w:lang w:val="pt-BR"/>
        </w:rPr>
        <w:t>Anatomy</w:t>
      </w:r>
      <w:proofErr w:type="spellEnd"/>
      <w:r>
        <w:rPr>
          <w:sz w:val="20"/>
          <w:szCs w:val="20"/>
          <w:lang w:val="pt-BR"/>
        </w:rPr>
        <w:t xml:space="preserve">, v. 14, n. 1, p. 92, 2001. Disponível em: https://onlinelibrary.wiley.com/doi/epdf/10.1002/1098-2353%28200101%2914%3A1&lt;92%3A%3AAID-CA1015&gt;3.0.CO%3B2-O.  Acesso em: 1o out. 2025. </w:t>
      </w:r>
    </w:p>
    <w:p w14:paraId="6491A40E"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rPr>
        <w:t xml:space="preserve">PAPOULAS, Michail; DOUVETZEMIS, Stergios. Ancient Greek terminology in </w:t>
      </w:r>
      <w:proofErr w:type="spellStart"/>
      <w:r>
        <w:rPr>
          <w:sz w:val="20"/>
          <w:szCs w:val="20"/>
        </w:rPr>
        <w:t>hepatopancreatobiliary</w:t>
      </w:r>
      <w:proofErr w:type="spellEnd"/>
      <w:r>
        <w:rPr>
          <w:sz w:val="20"/>
          <w:szCs w:val="20"/>
        </w:rPr>
        <w:t xml:space="preserve"> anatomy and surgery. </w:t>
      </w:r>
      <w:r>
        <w:rPr>
          <w:sz w:val="20"/>
          <w:szCs w:val="20"/>
          <w:lang w:val="pt-BR"/>
        </w:rPr>
        <w:t xml:space="preserve">Israel Medical </w:t>
      </w:r>
      <w:proofErr w:type="spellStart"/>
      <w:r>
        <w:rPr>
          <w:sz w:val="20"/>
          <w:szCs w:val="20"/>
          <w:lang w:val="pt-BR"/>
        </w:rPr>
        <w:t>Association</w:t>
      </w:r>
      <w:proofErr w:type="spellEnd"/>
      <w:r>
        <w:rPr>
          <w:sz w:val="20"/>
          <w:szCs w:val="20"/>
          <w:lang w:val="pt-BR"/>
        </w:rPr>
        <w:t xml:space="preserve"> </w:t>
      </w:r>
      <w:proofErr w:type="spellStart"/>
      <w:r>
        <w:rPr>
          <w:sz w:val="20"/>
          <w:szCs w:val="20"/>
          <w:lang w:val="pt-BR"/>
        </w:rPr>
        <w:t>Journal</w:t>
      </w:r>
      <w:proofErr w:type="spellEnd"/>
      <w:r>
        <w:rPr>
          <w:sz w:val="20"/>
          <w:szCs w:val="20"/>
          <w:lang w:val="pt-BR"/>
        </w:rPr>
        <w:t>, v. 17, n. 8, p. 467 - 469, 2015. Disponível em: </w:t>
      </w:r>
      <w:hyperlink r:id="rId47" w:tgtFrame="_blank" w:history="1">
        <w:r>
          <w:rPr>
            <w:rStyle w:val="Hyperlink"/>
            <w:color w:val="auto"/>
            <w:sz w:val="20"/>
            <w:szCs w:val="20"/>
            <w:lang w:val="pt-BR"/>
          </w:rPr>
          <w:t>https://www.researchgate.net/publication/283542546</w:t>
        </w:r>
      </w:hyperlink>
      <w:r>
        <w:rPr>
          <w:sz w:val="20"/>
          <w:szCs w:val="20"/>
          <w:lang w:val="pt-BR"/>
        </w:rPr>
        <w:t xml:space="preserve">.  Acesso em: 1o out. 2025. </w:t>
      </w:r>
    </w:p>
    <w:p w14:paraId="424F9456"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PULVERMÜLLER, F. Words in the brain's language. Behavioral and Brain Sciences, v. 22, n. 2, p. 253 - 336, 1999. </w:t>
      </w:r>
      <w:r>
        <w:rPr>
          <w:sz w:val="20"/>
          <w:szCs w:val="20"/>
          <w:lang w:val="pt-BR"/>
        </w:rPr>
        <w:t>Disponível em: </w:t>
      </w:r>
      <w:hyperlink r:id="rId48" w:tgtFrame="_blank" w:history="1">
        <w:r>
          <w:rPr>
            <w:rStyle w:val="Hyperlink"/>
            <w:color w:val="auto"/>
            <w:sz w:val="20"/>
            <w:szCs w:val="20"/>
            <w:lang w:val="pt-BR"/>
          </w:rPr>
          <w:t>https://kops.uni-konstanz.de/bitstream/handle/123456789/10734/Pulvermueller_1999_Words_in_the.pdf</w:t>
        </w:r>
      </w:hyperlink>
      <w:r>
        <w:rPr>
          <w:sz w:val="20"/>
          <w:szCs w:val="20"/>
          <w:lang w:val="pt-BR"/>
        </w:rPr>
        <w:t xml:space="preserve">.  Acesso em: 1o out. 2025. </w:t>
      </w:r>
    </w:p>
    <w:p w14:paraId="01FA8CA0" w14:textId="77777777" w:rsidR="0003312E" w:rsidRPr="000D7094"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t xml:space="preserve">RAE-REAL ACADEMIA ESPAÑOLA. </w:t>
      </w:r>
      <w:proofErr w:type="spellStart"/>
      <w:r>
        <w:rPr>
          <w:sz w:val="20"/>
          <w:szCs w:val="20"/>
          <w:lang w:val="pt-BR"/>
        </w:rPr>
        <w:t>Diccionario</w:t>
      </w:r>
      <w:proofErr w:type="spellEnd"/>
      <w:r>
        <w:rPr>
          <w:sz w:val="20"/>
          <w:szCs w:val="20"/>
          <w:lang w:val="pt-BR"/>
        </w:rPr>
        <w:t xml:space="preserve"> de </w:t>
      </w:r>
      <w:proofErr w:type="spellStart"/>
      <w:r>
        <w:rPr>
          <w:sz w:val="20"/>
          <w:szCs w:val="20"/>
          <w:lang w:val="pt-BR"/>
        </w:rPr>
        <w:t>la</w:t>
      </w:r>
      <w:proofErr w:type="spellEnd"/>
      <w:r>
        <w:rPr>
          <w:sz w:val="20"/>
          <w:szCs w:val="20"/>
          <w:lang w:val="pt-BR"/>
        </w:rPr>
        <w:t xml:space="preserve"> </w:t>
      </w:r>
      <w:proofErr w:type="spellStart"/>
      <w:r>
        <w:rPr>
          <w:sz w:val="20"/>
          <w:szCs w:val="20"/>
          <w:lang w:val="pt-BR"/>
        </w:rPr>
        <w:t>lengua</w:t>
      </w:r>
      <w:proofErr w:type="spellEnd"/>
      <w:r>
        <w:rPr>
          <w:sz w:val="20"/>
          <w:szCs w:val="20"/>
          <w:lang w:val="pt-BR"/>
        </w:rPr>
        <w:t xml:space="preserve"> </w:t>
      </w:r>
      <w:proofErr w:type="spellStart"/>
      <w:r>
        <w:rPr>
          <w:sz w:val="20"/>
          <w:szCs w:val="20"/>
          <w:lang w:val="pt-BR"/>
        </w:rPr>
        <w:t>española</w:t>
      </w:r>
      <w:proofErr w:type="spellEnd"/>
      <w:r>
        <w:rPr>
          <w:sz w:val="20"/>
          <w:szCs w:val="20"/>
          <w:lang w:val="pt-BR"/>
        </w:rPr>
        <w:t>. 23. ed. [Madrid]: RAE, 2014. Disponível em: </w:t>
      </w:r>
      <w:hyperlink r:id="rId49" w:tgtFrame="_blank" w:history="1">
        <w:r>
          <w:rPr>
            <w:rStyle w:val="Hyperlink"/>
            <w:color w:val="auto"/>
            <w:sz w:val="20"/>
            <w:szCs w:val="20"/>
            <w:lang w:val="pt-BR"/>
          </w:rPr>
          <w:t>https://dle.rae.es/</w:t>
        </w:r>
      </w:hyperlink>
      <w:r>
        <w:rPr>
          <w:sz w:val="20"/>
          <w:szCs w:val="20"/>
          <w:lang w:val="pt-BR"/>
        </w:rPr>
        <w:t xml:space="preserve">.  Acesso em: 1o out. 2025. </w:t>
      </w:r>
    </w:p>
    <w:p w14:paraId="03F18063"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lastRenderedPageBreak/>
        <w:t xml:space="preserve">ROBERGE, Paul T. Resenha do livro: DURKIN, Philip. </w:t>
      </w:r>
      <w:r>
        <w:rPr>
          <w:sz w:val="20"/>
          <w:szCs w:val="20"/>
        </w:rPr>
        <w:t xml:space="preserve">The Oxford guide to etymology. Oxford: Oxford University Press, 2009. English Language &amp; Linguistics, v. 15, n. 1, p. 183 - 188, 2011. </w:t>
      </w:r>
      <w:r>
        <w:rPr>
          <w:sz w:val="20"/>
          <w:szCs w:val="20"/>
          <w:lang w:val="pt-BR"/>
        </w:rPr>
        <w:t xml:space="preserve">Disponível em: </w:t>
      </w:r>
      <w:hyperlink r:id="rId50" w:history="1">
        <w:r>
          <w:rPr>
            <w:rStyle w:val="Hyperlink"/>
            <w:color w:val="auto"/>
            <w:sz w:val="20"/>
            <w:szCs w:val="20"/>
            <w:lang w:val="pt-BR"/>
          </w:rPr>
          <w:t>https://www.researchgate.net/publication/231951027_Philip_Durkin_The_Oxford_guide_to_etymology_Oxford_Oxford_University_Press_2009_Pp_x_350_Hardback_2500</w:t>
        </w:r>
      </w:hyperlink>
      <w:r>
        <w:rPr>
          <w:sz w:val="20"/>
          <w:szCs w:val="20"/>
          <w:lang w:val="pt-BR"/>
        </w:rPr>
        <w:t xml:space="preserve">.  Acesso em: 1o out. 2025. </w:t>
      </w:r>
    </w:p>
    <w:p w14:paraId="62D71A86" w14:textId="77777777" w:rsidR="0003312E" w:rsidRDefault="00000000">
      <w:pPr>
        <w:pStyle w:val="NormalWeb"/>
        <w:numPr>
          <w:ilvl w:val="0"/>
          <w:numId w:val="4"/>
        </w:numPr>
        <w:spacing w:beforeAutospacing="0" w:after="0" w:afterAutospacing="0" w:line="240" w:lineRule="auto"/>
        <w:jc w:val="both"/>
        <w:rPr>
          <w:sz w:val="20"/>
          <w:szCs w:val="20"/>
        </w:rPr>
      </w:pPr>
      <w:r>
        <w:rPr>
          <w:sz w:val="20"/>
          <w:szCs w:val="20"/>
        </w:rPr>
        <w:t xml:space="preserve">SACKS, Oliver. The Case of the </w:t>
      </w:r>
      <w:proofErr w:type="spellStart"/>
      <w:r>
        <w:rPr>
          <w:sz w:val="20"/>
          <w:szCs w:val="20"/>
        </w:rPr>
        <w:t>Colourblind</w:t>
      </w:r>
      <w:proofErr w:type="spellEnd"/>
      <w:r>
        <w:rPr>
          <w:sz w:val="20"/>
          <w:szCs w:val="20"/>
        </w:rPr>
        <w:t xml:space="preserve"> Painter. In: An Anthropologist on Mars: Seven Paradoxical Tales. New York: Vintage Books, 1995. Cap. 1, p.32. </w:t>
      </w:r>
      <w:proofErr w:type="spellStart"/>
      <w:r>
        <w:rPr>
          <w:sz w:val="20"/>
          <w:szCs w:val="20"/>
        </w:rPr>
        <w:t>Disponível</w:t>
      </w:r>
      <w:proofErr w:type="spellEnd"/>
      <w:r>
        <w:rPr>
          <w:sz w:val="20"/>
          <w:szCs w:val="20"/>
        </w:rPr>
        <w:t xml:space="preserve"> em: </w:t>
      </w:r>
      <w:hyperlink r:id="rId51" w:tgtFrame="_blank" w:history="1">
        <w:r>
          <w:rPr>
            <w:rStyle w:val="Hyperlink"/>
            <w:color w:val="auto"/>
            <w:sz w:val="20"/>
            <w:szCs w:val="20"/>
          </w:rPr>
          <w:t>https://gavinadair.files.wordpress.com/2017/04/sacks-the-case-of-the-colorblind-painter.pdf</w:t>
        </w:r>
      </w:hyperlink>
      <w:r>
        <w:rPr>
          <w:sz w:val="20"/>
          <w:szCs w:val="20"/>
        </w:rPr>
        <w:t xml:space="preserve">.  </w:t>
      </w:r>
      <w:r>
        <w:rPr>
          <w:sz w:val="20"/>
          <w:szCs w:val="20"/>
          <w:lang w:val="pt-BR"/>
        </w:rPr>
        <w:t xml:space="preserve">Acesso em: 1o out. 2025. </w:t>
      </w:r>
    </w:p>
    <w:p w14:paraId="71217F3A"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rPr>
        <w:t xml:space="preserve">SHARON, Tal; KLEIN, Yael; SHARON, Ronit; SHARON, Erez. Medicine Through the Lens of Humanity: Exploring the Legacy of Oliver Sacks, the Storyteller Neurologist. </w:t>
      </w:r>
      <w:proofErr w:type="spellStart"/>
      <w:r>
        <w:rPr>
          <w:sz w:val="20"/>
          <w:szCs w:val="20"/>
          <w:lang w:val="pt-BR"/>
        </w:rPr>
        <w:t>Cureus</w:t>
      </w:r>
      <w:proofErr w:type="spellEnd"/>
      <w:r>
        <w:rPr>
          <w:sz w:val="20"/>
          <w:szCs w:val="20"/>
          <w:lang w:val="pt-BR"/>
        </w:rPr>
        <w:t>, v. 16, n. 9, p. e69593, 17 set. 2024. Disponível em: </w:t>
      </w:r>
      <w:hyperlink r:id="rId52" w:tgtFrame="_blank" w:history="1">
        <w:r>
          <w:rPr>
            <w:rStyle w:val="Hyperlink"/>
            <w:color w:val="auto"/>
            <w:sz w:val="20"/>
            <w:szCs w:val="20"/>
            <w:u w:val="none"/>
            <w:lang w:val="pt-BR"/>
          </w:rPr>
          <w:t>https://www.cureus.com/articles/287853-medicine-through-the-lens-of-humanity-exploring-the-legacy-of-oliver-sacks-the-storyteller-neurologist</w:t>
        </w:r>
      </w:hyperlink>
      <w:r>
        <w:rPr>
          <w:sz w:val="20"/>
          <w:szCs w:val="20"/>
          <w:lang w:val="pt-BR"/>
        </w:rPr>
        <w:t xml:space="preserve">.  Acesso em: 1o out. 2025. </w:t>
      </w:r>
    </w:p>
    <w:p w14:paraId="2D1ACEF4" w14:textId="77777777" w:rsidR="0003312E" w:rsidRDefault="00000000">
      <w:pPr>
        <w:pStyle w:val="NormalWeb"/>
        <w:numPr>
          <w:ilvl w:val="0"/>
          <w:numId w:val="4"/>
        </w:numPr>
        <w:spacing w:beforeAutospacing="0" w:after="0" w:afterAutospacing="0" w:line="240" w:lineRule="auto"/>
        <w:jc w:val="both"/>
        <w:rPr>
          <w:sz w:val="20"/>
          <w:szCs w:val="20"/>
          <w:lang w:val="pt-BR"/>
        </w:rPr>
      </w:pPr>
      <w:r>
        <w:rPr>
          <w:sz w:val="20"/>
          <w:szCs w:val="20"/>
          <w:lang w:val="pt-BR"/>
        </w:rPr>
        <w:t>VIARO, Mário Eduardo. Uma breve história da Etimologia. </w:t>
      </w:r>
      <w:r>
        <w:rPr>
          <w:rStyle w:val="nfase"/>
          <w:sz w:val="20"/>
          <w:szCs w:val="20"/>
          <w:lang w:val="pt-BR"/>
        </w:rPr>
        <w:t>Revista de Estudos Linguísticos</w:t>
      </w:r>
      <w:r>
        <w:rPr>
          <w:sz w:val="20"/>
          <w:szCs w:val="20"/>
          <w:lang w:val="pt-BR"/>
        </w:rPr>
        <w:t xml:space="preserve">, v. 15, n. </w:t>
      </w:r>
      <w:proofErr w:type="spellStart"/>
      <w:r>
        <w:rPr>
          <w:sz w:val="20"/>
          <w:szCs w:val="20"/>
          <w:lang w:val="pt-BR"/>
        </w:rPr>
        <w:t>spe</w:t>
      </w:r>
      <w:proofErr w:type="spellEnd"/>
      <w:r>
        <w:rPr>
          <w:sz w:val="20"/>
          <w:szCs w:val="20"/>
          <w:lang w:val="pt-BR"/>
        </w:rPr>
        <w:t xml:space="preserve">, p. 27-67, 2015. Disponível em:  </w:t>
      </w:r>
      <w:hyperlink r:id="rId53" w:history="1">
        <w:r>
          <w:rPr>
            <w:rStyle w:val="Hyperlink"/>
            <w:sz w:val="20"/>
            <w:szCs w:val="20"/>
            <w:lang w:val="pt-BR"/>
          </w:rPr>
          <w:t>http://dx.doi.org/10.11606/issn.2176-9419.v15ispep27-67</w:t>
        </w:r>
      </w:hyperlink>
      <w:r>
        <w:rPr>
          <w:sz w:val="20"/>
          <w:szCs w:val="20"/>
          <w:lang w:val="pt-BR"/>
        </w:rPr>
        <w:t xml:space="preserve">. Acesso em: 1o out. 2025. </w:t>
      </w:r>
    </w:p>
    <w:p w14:paraId="78823C48" w14:textId="77777777" w:rsidR="0003312E" w:rsidRPr="000D7094" w:rsidRDefault="00000000">
      <w:pPr>
        <w:pStyle w:val="NormalWeb"/>
        <w:numPr>
          <w:ilvl w:val="0"/>
          <w:numId w:val="4"/>
        </w:numPr>
        <w:spacing w:beforeAutospacing="0" w:after="0" w:afterAutospacing="0" w:line="240" w:lineRule="auto"/>
        <w:jc w:val="both"/>
        <w:rPr>
          <w:sz w:val="20"/>
          <w:szCs w:val="20"/>
          <w:lang w:val="pt-BR"/>
        </w:rPr>
      </w:pPr>
      <w:r>
        <w:rPr>
          <w:sz w:val="20"/>
          <w:szCs w:val="20"/>
        </w:rPr>
        <w:t xml:space="preserve">WULFF, Henrik R. The language of medicine. Journal of the Royal Society of Medicine, v. 97, n. 4, p. 187 - 188, 2004. </w:t>
      </w:r>
      <w:r>
        <w:rPr>
          <w:sz w:val="20"/>
          <w:szCs w:val="20"/>
          <w:lang w:val="pt-BR"/>
        </w:rPr>
        <w:t>Disponível em: </w:t>
      </w:r>
      <w:hyperlink r:id="rId54" w:tgtFrame="_blank" w:history="1">
        <w:r>
          <w:rPr>
            <w:rStyle w:val="Hyperlink"/>
            <w:color w:val="auto"/>
            <w:sz w:val="20"/>
            <w:szCs w:val="20"/>
            <w:u w:val="none"/>
            <w:lang w:val="pt-BR"/>
          </w:rPr>
          <w:t>https://journals.sagepub.com/doi/epdf/10.1177/014107680409700412</w:t>
        </w:r>
      </w:hyperlink>
      <w:r>
        <w:rPr>
          <w:sz w:val="20"/>
          <w:szCs w:val="20"/>
          <w:lang w:val="pt-BR"/>
        </w:rPr>
        <w:t xml:space="preserve">.  Acesso em: 1o out. 2025. </w:t>
      </w:r>
    </w:p>
    <w:p w14:paraId="374F8799"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0111D2BA"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Capítulo 1</w:t>
      </w:r>
    </w:p>
    <w:p w14:paraId="23CDCA64"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BRAID, James. </w:t>
      </w:r>
      <w:proofErr w:type="spellStart"/>
      <w:r>
        <w:rPr>
          <w:rFonts w:ascii="Times New Roman" w:eastAsia="Segoe UI" w:hAnsi="Times New Roman" w:cs="Times New Roman"/>
          <w:i/>
          <w:iCs/>
          <w:sz w:val="20"/>
          <w:szCs w:val="20"/>
          <w:shd w:val="clear" w:color="auto" w:fill="FFFFFF"/>
          <w:lang w:val="en-US" w:eastAsia="zh-CN"/>
        </w:rPr>
        <w:t>Neurypnology</w:t>
      </w:r>
      <w:proofErr w:type="spellEnd"/>
      <w:r>
        <w:rPr>
          <w:rFonts w:ascii="Times New Roman" w:eastAsia="Segoe UI" w:hAnsi="Times New Roman" w:cs="Times New Roman"/>
          <w:i/>
          <w:iCs/>
          <w:sz w:val="20"/>
          <w:szCs w:val="20"/>
          <w:shd w:val="clear" w:color="auto" w:fill="FFFFFF"/>
          <w:lang w:val="en-US" w:eastAsia="zh-CN"/>
        </w:rPr>
        <w:t>: or, The rationale of nervous sleep</w:t>
      </w:r>
      <w:r>
        <w:rPr>
          <w:rFonts w:ascii="Times New Roman" w:eastAsia="Segoe UI" w:hAnsi="Times New Roman" w:cs="Times New Roman"/>
          <w:sz w:val="20"/>
          <w:szCs w:val="20"/>
          <w:shd w:val="clear" w:color="auto" w:fill="FFFFFF"/>
          <w:lang w:val="en-US" w:eastAsia="zh-CN"/>
        </w:rPr>
        <w:t xml:space="preserve">. London: John Churchill, 1843. </w:t>
      </w:r>
      <w:proofErr w:type="spellStart"/>
      <w:r>
        <w:rPr>
          <w:rFonts w:ascii="Times New Roman" w:eastAsia="Segoe UI" w:hAnsi="Times New Roman" w:cs="Times New Roman"/>
          <w:sz w:val="20"/>
          <w:szCs w:val="20"/>
          <w:shd w:val="clear" w:color="auto" w:fill="FFFFFF"/>
          <w:lang w:val="en-US" w:eastAsia="zh-CN"/>
        </w:rPr>
        <w:t>Disponível</w:t>
      </w:r>
      <w:proofErr w:type="spellEnd"/>
      <w:r>
        <w:rPr>
          <w:rFonts w:ascii="Times New Roman" w:eastAsia="Segoe UI" w:hAnsi="Times New Roman" w:cs="Times New Roman"/>
          <w:sz w:val="20"/>
          <w:szCs w:val="20"/>
          <w:shd w:val="clear" w:color="auto" w:fill="FFFFFF"/>
          <w:lang w:val="en-US" w:eastAsia="zh-CN"/>
        </w:rPr>
        <w:t xml:space="preserve"> </w:t>
      </w:r>
      <w:proofErr w:type="spellStart"/>
      <w:r>
        <w:rPr>
          <w:rFonts w:ascii="Times New Roman" w:eastAsia="Segoe UI" w:hAnsi="Times New Roman" w:cs="Times New Roman"/>
          <w:sz w:val="20"/>
          <w:szCs w:val="20"/>
          <w:shd w:val="clear" w:color="auto" w:fill="FFFFFF"/>
          <w:lang w:val="en-US" w:eastAsia="zh-CN"/>
        </w:rPr>
        <w:t>em</w:t>
      </w:r>
      <w:proofErr w:type="spellEnd"/>
      <w:r>
        <w:rPr>
          <w:rFonts w:ascii="Times New Roman" w:eastAsia="Segoe UI" w:hAnsi="Times New Roman" w:cs="Times New Roman"/>
          <w:sz w:val="20"/>
          <w:szCs w:val="20"/>
          <w:shd w:val="clear" w:color="auto" w:fill="FFFFFF"/>
          <w:lang w:val="en-US" w:eastAsia="zh-CN"/>
        </w:rPr>
        <w:t xml:space="preserve">: </w:t>
      </w:r>
      <w:hyperlink r:id="rId55" w:tgtFrame="_new" w:history="1">
        <w:r>
          <w:rPr>
            <w:rStyle w:val="Hyperlink"/>
            <w:rFonts w:ascii="Times New Roman" w:eastAsia="Segoe UI" w:hAnsi="Times New Roman" w:cs="Times New Roman"/>
            <w:color w:val="auto"/>
            <w:sz w:val="20"/>
            <w:szCs w:val="20"/>
            <w:shd w:val="clear" w:color="auto" w:fill="FFFFFF"/>
            <w:lang w:val="en-US" w:eastAsia="zh-CN"/>
          </w:rPr>
          <w:t>https://archive.org/download/braidonhypnotism00brai/braidonhypnotism00brai.pdf</w:t>
        </w:r>
      </w:hyperlink>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Acesso em: 1o out. 2025. </w:t>
      </w:r>
    </w:p>
    <w:p w14:paraId="28DA273C"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BRAID, James; YEATES, Lindsay B. James Braid (I): Natural Philosopher, Structured Thinker, Gentleman Scientist, and Innovative Surgeon. </w:t>
      </w:r>
      <w:r>
        <w:rPr>
          <w:rFonts w:ascii="Times New Roman" w:eastAsia="Segoe UI" w:hAnsi="Times New Roman" w:cs="Times New Roman"/>
          <w:i/>
          <w:iCs/>
          <w:sz w:val="20"/>
          <w:szCs w:val="20"/>
          <w:shd w:val="clear" w:color="auto" w:fill="FFFFFF"/>
          <w:lang w:val="en-US" w:eastAsia="zh-CN"/>
        </w:rPr>
        <w:t>Australian Journal of Clinical Hypnotherapy and Hypnosis</w:t>
      </w:r>
      <w:r>
        <w:rPr>
          <w:rFonts w:ascii="Times New Roman" w:eastAsia="Segoe UI" w:hAnsi="Times New Roman" w:cs="Times New Roman"/>
          <w:sz w:val="20"/>
          <w:szCs w:val="20"/>
          <w:shd w:val="clear" w:color="auto" w:fill="FFFFFF"/>
          <w:lang w:val="en-US" w:eastAsia="zh-CN"/>
        </w:rPr>
        <w:t xml:space="preserve">, v. 40, n. 1, p. 5 - 28, 2018. </w:t>
      </w:r>
      <w:r>
        <w:rPr>
          <w:rFonts w:ascii="Times New Roman" w:eastAsia="Segoe UI" w:hAnsi="Times New Roman" w:cs="Times New Roman"/>
          <w:sz w:val="20"/>
          <w:szCs w:val="20"/>
          <w:shd w:val="clear" w:color="auto" w:fill="FFFFFF"/>
          <w:lang w:eastAsia="zh-CN"/>
        </w:rPr>
        <w:t xml:space="preserve">Disponível em: </w:t>
      </w:r>
      <w:hyperlink r:id="rId56" w:tgtFrame="_new" w:history="1">
        <w:r>
          <w:rPr>
            <w:rStyle w:val="Hyperlink"/>
            <w:rFonts w:ascii="Times New Roman" w:eastAsia="Segoe UI" w:hAnsi="Times New Roman" w:cs="Times New Roman"/>
            <w:color w:val="auto"/>
            <w:sz w:val="20"/>
            <w:szCs w:val="20"/>
            <w:shd w:val="clear" w:color="auto" w:fill="FFFFFF"/>
            <w:lang w:eastAsia="zh-CN"/>
          </w:rPr>
          <w:t>https://go.gale.com/ps/i.do?id=GALE%7CA663245346</w:t>
        </w:r>
      </w:hyperlink>
      <w:r>
        <w:rPr>
          <w:rFonts w:ascii="Times New Roman" w:eastAsia="Segoe UI" w:hAnsi="Times New Roman" w:cs="Times New Roman"/>
          <w:sz w:val="20"/>
          <w:szCs w:val="20"/>
          <w:shd w:val="clear" w:color="auto" w:fill="FFFFFF"/>
          <w:lang w:eastAsia="zh-CN"/>
        </w:rPr>
        <w:t xml:space="preserve">.  Acesso em: 1o out. 2025. </w:t>
      </w:r>
    </w:p>
    <w:p w14:paraId="54200405"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CNRTL-CENTRE NATIONAL DE RESSOURCES TEXTUELLES ET LEXICALES. </w:t>
      </w:r>
      <w:proofErr w:type="spellStart"/>
      <w:r>
        <w:rPr>
          <w:rFonts w:ascii="Times New Roman" w:eastAsia="Segoe UI" w:hAnsi="Times New Roman" w:cs="Times New Roman"/>
          <w:i/>
          <w:iCs/>
          <w:sz w:val="20"/>
          <w:szCs w:val="20"/>
          <w:shd w:val="clear" w:color="auto" w:fill="FFFFFF"/>
          <w:lang w:eastAsia="zh-CN"/>
        </w:rPr>
        <w:t>Trésor</w:t>
      </w:r>
      <w:proofErr w:type="spellEnd"/>
      <w:r>
        <w:rPr>
          <w:rFonts w:ascii="Times New Roman" w:eastAsia="Segoe UI" w:hAnsi="Times New Roman" w:cs="Times New Roman"/>
          <w:i/>
          <w:iCs/>
          <w:sz w:val="20"/>
          <w:szCs w:val="20"/>
          <w:shd w:val="clear" w:color="auto" w:fill="FFFFFF"/>
          <w:lang w:eastAsia="zh-CN"/>
        </w:rPr>
        <w:t xml:space="preserve"> de </w:t>
      </w:r>
      <w:proofErr w:type="spellStart"/>
      <w:r>
        <w:rPr>
          <w:rFonts w:ascii="Times New Roman" w:eastAsia="Segoe UI" w:hAnsi="Times New Roman" w:cs="Times New Roman"/>
          <w:i/>
          <w:iCs/>
          <w:sz w:val="20"/>
          <w:szCs w:val="20"/>
          <w:shd w:val="clear" w:color="auto" w:fill="FFFFFF"/>
          <w:lang w:eastAsia="zh-CN"/>
        </w:rPr>
        <w:t>la</w:t>
      </w:r>
      <w:proofErr w:type="spellEnd"/>
      <w:r>
        <w:rPr>
          <w:rFonts w:ascii="Times New Roman" w:eastAsia="Segoe UI" w:hAnsi="Times New Roman" w:cs="Times New Roman"/>
          <w:i/>
          <w:iCs/>
          <w:sz w:val="20"/>
          <w:szCs w:val="20"/>
          <w:shd w:val="clear" w:color="auto" w:fill="FFFFFF"/>
          <w:lang w:eastAsia="zh-CN"/>
        </w:rPr>
        <w:t xml:space="preserve"> Langue Française </w:t>
      </w:r>
      <w:proofErr w:type="spellStart"/>
      <w:r>
        <w:rPr>
          <w:rFonts w:ascii="Times New Roman" w:eastAsia="Segoe UI" w:hAnsi="Times New Roman" w:cs="Times New Roman"/>
          <w:i/>
          <w:iCs/>
          <w:sz w:val="20"/>
          <w:szCs w:val="20"/>
          <w:shd w:val="clear" w:color="auto" w:fill="FFFFFF"/>
          <w:lang w:eastAsia="zh-CN"/>
        </w:rPr>
        <w:t>informatisé</w:t>
      </w:r>
      <w:proofErr w:type="spellEnd"/>
      <w:r>
        <w:rPr>
          <w:rFonts w:ascii="Times New Roman" w:eastAsia="Segoe UI" w:hAnsi="Times New Roman" w:cs="Times New Roman"/>
          <w:sz w:val="20"/>
          <w:szCs w:val="20"/>
          <w:shd w:val="clear" w:color="auto" w:fill="FFFFFF"/>
          <w:lang w:eastAsia="zh-CN"/>
        </w:rPr>
        <w:t xml:space="preserve">. Nancy: CNRS, 2012. Disponível em: </w:t>
      </w:r>
      <w:r>
        <w:rPr>
          <w:rFonts w:ascii="Times New Roman" w:hAnsi="Times New Roman" w:cs="Times New Roman"/>
          <w:sz w:val="20"/>
          <w:szCs w:val="20"/>
        </w:rPr>
        <w:t>https://www.cnrtl.fr/etymologie/hypnose</w:t>
      </w:r>
      <w:r>
        <w:rPr>
          <w:rFonts w:ascii="Times New Roman" w:eastAsia="Segoe UI" w:hAnsi="Times New Roman" w:cs="Times New Roman"/>
          <w:sz w:val="20"/>
          <w:szCs w:val="20"/>
          <w:shd w:val="clear" w:color="auto" w:fill="FFFFFF"/>
          <w:lang w:eastAsia="zh-CN"/>
        </w:rPr>
        <w:t xml:space="preserve">.  Acesso em: 1o out. 2025. </w:t>
      </w:r>
    </w:p>
    <w:p w14:paraId="6B47267E"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CUNHA, Antônio Geraldo da. </w:t>
      </w:r>
      <w:r>
        <w:rPr>
          <w:rFonts w:ascii="Times New Roman" w:eastAsia="Segoe UI" w:hAnsi="Times New Roman" w:cs="Times New Roman"/>
          <w:i/>
          <w:iCs/>
          <w:sz w:val="20"/>
          <w:szCs w:val="20"/>
          <w:shd w:val="clear" w:color="auto" w:fill="FFFFFF"/>
          <w:lang w:eastAsia="zh-CN"/>
        </w:rPr>
        <w:t>Dicionário etimológico da língua portuguesa</w:t>
      </w:r>
      <w:r>
        <w:rPr>
          <w:rFonts w:ascii="Times New Roman" w:eastAsia="Segoe UI" w:hAnsi="Times New Roman" w:cs="Times New Roman"/>
          <w:sz w:val="20"/>
          <w:szCs w:val="20"/>
          <w:shd w:val="clear" w:color="auto" w:fill="FFFFFF"/>
          <w:lang w:eastAsia="zh-CN"/>
        </w:rPr>
        <w:t xml:space="preserve">. 4. ed. Rio de Janeiro: Lexikon, 2010. Disponível em: </w:t>
      </w:r>
      <w:hyperlink r:id="rId57" w:tgtFrame="_new" w:history="1">
        <w:r>
          <w:rPr>
            <w:rStyle w:val="Hyperlink"/>
            <w:rFonts w:ascii="Times New Roman" w:eastAsia="Segoe UI" w:hAnsi="Times New Roman" w:cs="Times New Roman"/>
            <w:color w:val="auto"/>
            <w:sz w:val="20"/>
            <w:szCs w:val="20"/>
            <w:shd w:val="clear" w:color="auto" w:fill="FFFFFF"/>
            <w:lang w:eastAsia="zh-CN"/>
          </w:rPr>
          <w:t>https://www.dicionarioetimologico.com.br/</w:t>
        </w:r>
      </w:hyperlink>
      <w:r>
        <w:rPr>
          <w:rFonts w:ascii="Times New Roman" w:eastAsia="Segoe UI" w:hAnsi="Times New Roman" w:cs="Times New Roman"/>
          <w:sz w:val="20"/>
          <w:szCs w:val="20"/>
          <w:shd w:val="clear" w:color="auto" w:fill="FFFFFF"/>
          <w:lang w:eastAsia="zh-CN"/>
        </w:rPr>
        <w:t xml:space="preserve">.  Acesso em: 1o out. 2025. </w:t>
      </w:r>
    </w:p>
    <w:p w14:paraId="239C9CDF"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DE BENEDITTIS, Giuseppe. Neurophysiology and neuropsychology of hypnosis. </w:t>
      </w:r>
      <w:r>
        <w:rPr>
          <w:rFonts w:ascii="Times New Roman" w:eastAsia="Segoe UI" w:hAnsi="Times New Roman" w:cs="Times New Roman"/>
          <w:i/>
          <w:iCs/>
          <w:sz w:val="20"/>
          <w:szCs w:val="20"/>
          <w:shd w:val="clear" w:color="auto" w:fill="FFFFFF"/>
          <w:lang w:eastAsia="zh-CN"/>
        </w:rPr>
        <w:t xml:space="preserve">American </w:t>
      </w:r>
      <w:proofErr w:type="spellStart"/>
      <w:r>
        <w:rPr>
          <w:rFonts w:ascii="Times New Roman" w:eastAsia="Segoe UI" w:hAnsi="Times New Roman" w:cs="Times New Roman"/>
          <w:i/>
          <w:iCs/>
          <w:sz w:val="20"/>
          <w:szCs w:val="20"/>
          <w:shd w:val="clear" w:color="auto" w:fill="FFFFFF"/>
          <w:lang w:eastAsia="zh-CN"/>
        </w:rPr>
        <w:t>Journal</w:t>
      </w:r>
      <w:proofErr w:type="spellEnd"/>
      <w:r>
        <w:rPr>
          <w:rFonts w:ascii="Times New Roman" w:eastAsia="Segoe UI" w:hAnsi="Times New Roman" w:cs="Times New Roman"/>
          <w:i/>
          <w:iCs/>
          <w:sz w:val="20"/>
          <w:szCs w:val="20"/>
          <w:shd w:val="clear" w:color="auto" w:fill="FFFFFF"/>
          <w:lang w:eastAsia="zh-CN"/>
        </w:rPr>
        <w:t xml:space="preserve"> </w:t>
      </w:r>
      <w:proofErr w:type="spellStart"/>
      <w:r>
        <w:rPr>
          <w:rFonts w:ascii="Times New Roman" w:eastAsia="Segoe UI" w:hAnsi="Times New Roman" w:cs="Times New Roman"/>
          <w:i/>
          <w:iCs/>
          <w:sz w:val="20"/>
          <w:szCs w:val="20"/>
          <w:shd w:val="clear" w:color="auto" w:fill="FFFFFF"/>
          <w:lang w:eastAsia="zh-CN"/>
        </w:rPr>
        <w:t>of</w:t>
      </w:r>
      <w:proofErr w:type="spellEnd"/>
      <w:r>
        <w:rPr>
          <w:rFonts w:ascii="Times New Roman" w:eastAsia="Segoe UI" w:hAnsi="Times New Roman" w:cs="Times New Roman"/>
          <w:i/>
          <w:iCs/>
          <w:sz w:val="20"/>
          <w:szCs w:val="20"/>
          <w:shd w:val="clear" w:color="auto" w:fill="FFFFFF"/>
          <w:lang w:eastAsia="zh-CN"/>
        </w:rPr>
        <w:t xml:space="preserve"> Clinical </w:t>
      </w:r>
      <w:proofErr w:type="spellStart"/>
      <w:r>
        <w:rPr>
          <w:rFonts w:ascii="Times New Roman" w:eastAsia="Segoe UI" w:hAnsi="Times New Roman" w:cs="Times New Roman"/>
          <w:i/>
          <w:iCs/>
          <w:sz w:val="20"/>
          <w:szCs w:val="20"/>
          <w:shd w:val="clear" w:color="auto" w:fill="FFFFFF"/>
          <w:lang w:eastAsia="zh-CN"/>
        </w:rPr>
        <w:t>Hypnosis</w:t>
      </w:r>
      <w:proofErr w:type="spellEnd"/>
      <w:r>
        <w:rPr>
          <w:rFonts w:ascii="Times New Roman" w:eastAsia="Segoe UI" w:hAnsi="Times New Roman" w:cs="Times New Roman"/>
          <w:sz w:val="20"/>
          <w:szCs w:val="20"/>
          <w:shd w:val="clear" w:color="auto" w:fill="FFFFFF"/>
          <w:lang w:eastAsia="zh-CN"/>
        </w:rPr>
        <w:t>, </w:t>
      </w:r>
      <w:r>
        <w:rPr>
          <w:rFonts w:ascii="Times New Roman" w:eastAsia="Segoe UI" w:hAnsi="Times New Roman" w:cs="Times New Roman"/>
          <w:i/>
          <w:iCs/>
          <w:sz w:val="20"/>
          <w:szCs w:val="20"/>
          <w:shd w:val="clear" w:color="auto" w:fill="FFFFFF"/>
          <w:lang w:eastAsia="zh-CN"/>
        </w:rPr>
        <w:t>63</w:t>
      </w:r>
      <w:r>
        <w:rPr>
          <w:rFonts w:ascii="Times New Roman" w:eastAsia="Segoe UI" w:hAnsi="Times New Roman" w:cs="Times New Roman"/>
          <w:sz w:val="20"/>
          <w:szCs w:val="20"/>
          <w:shd w:val="clear" w:color="auto" w:fill="FFFFFF"/>
          <w:lang w:eastAsia="zh-CN"/>
        </w:rPr>
        <w:t xml:space="preserve">(4), 291–293, 2021. Disponível em:  </w:t>
      </w:r>
      <w:hyperlink r:id="rId58" w:history="1">
        <w:r>
          <w:rPr>
            <w:rStyle w:val="Hyperlink"/>
            <w:rFonts w:ascii="Times New Roman" w:eastAsia="Segoe UI" w:hAnsi="Times New Roman" w:cs="Times New Roman"/>
            <w:color w:val="auto"/>
            <w:sz w:val="20"/>
            <w:szCs w:val="20"/>
            <w:shd w:val="clear" w:color="auto" w:fill="FFFFFF"/>
            <w:lang w:eastAsia="zh-CN"/>
          </w:rPr>
          <w:t xml:space="preserve">https://www.tandfonline.com/doi/pdf/10.1080/00029157.2021.1892411. </w:t>
        </w:r>
      </w:hyperlink>
      <w:r>
        <w:rPr>
          <w:rFonts w:ascii="Times New Roman" w:eastAsia="Segoe UI" w:hAnsi="Times New Roman" w:cs="Times New Roman"/>
          <w:sz w:val="20"/>
          <w:szCs w:val="20"/>
          <w:shd w:val="clear" w:color="auto" w:fill="FFFFFF"/>
          <w:lang w:eastAsia="zh-CN"/>
        </w:rPr>
        <w:t xml:space="preserve">  Acesso em: 1o out. 2025. </w:t>
      </w:r>
    </w:p>
    <w:p w14:paraId="4A3ADC78"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DECEL - </w:t>
      </w:r>
      <w:proofErr w:type="spellStart"/>
      <w:r>
        <w:rPr>
          <w:rFonts w:ascii="Times New Roman" w:eastAsia="Segoe UI" w:hAnsi="Times New Roman" w:cs="Times New Roman"/>
          <w:i/>
          <w:iCs/>
          <w:sz w:val="20"/>
          <w:szCs w:val="20"/>
          <w:shd w:val="clear" w:color="auto" w:fill="FFFFFF"/>
          <w:lang w:eastAsia="zh-CN"/>
        </w:rPr>
        <w:t>Diccionario</w:t>
      </w:r>
      <w:proofErr w:type="spellEnd"/>
      <w:r>
        <w:rPr>
          <w:rFonts w:ascii="Times New Roman" w:eastAsia="Segoe UI" w:hAnsi="Times New Roman" w:cs="Times New Roman"/>
          <w:i/>
          <w:iCs/>
          <w:sz w:val="20"/>
          <w:szCs w:val="20"/>
          <w:shd w:val="clear" w:color="auto" w:fill="FFFFFF"/>
          <w:lang w:eastAsia="zh-CN"/>
        </w:rPr>
        <w:t xml:space="preserve"> Etimológico Castellano </w:t>
      </w:r>
      <w:proofErr w:type="spellStart"/>
      <w:r>
        <w:rPr>
          <w:rFonts w:ascii="Times New Roman" w:eastAsia="Segoe UI" w:hAnsi="Times New Roman" w:cs="Times New Roman"/>
          <w:i/>
          <w:iCs/>
          <w:sz w:val="20"/>
          <w:szCs w:val="20"/>
          <w:shd w:val="clear" w:color="auto" w:fill="FFFFFF"/>
          <w:lang w:eastAsia="zh-CN"/>
        </w:rPr>
        <w:t>En</w:t>
      </w:r>
      <w:proofErr w:type="spellEnd"/>
      <w:r>
        <w:rPr>
          <w:rFonts w:ascii="Times New Roman" w:eastAsia="Segoe UI" w:hAnsi="Times New Roman" w:cs="Times New Roman"/>
          <w:i/>
          <w:iCs/>
          <w:sz w:val="20"/>
          <w:szCs w:val="20"/>
          <w:shd w:val="clear" w:color="auto" w:fill="FFFFFF"/>
          <w:lang w:eastAsia="zh-CN"/>
        </w:rPr>
        <w:t xml:space="preserve"> Línea</w:t>
      </w:r>
      <w:r>
        <w:rPr>
          <w:rFonts w:ascii="Times New Roman" w:eastAsia="Segoe UI" w:hAnsi="Times New Roman" w:cs="Times New Roman"/>
          <w:sz w:val="20"/>
          <w:szCs w:val="20"/>
          <w:shd w:val="clear" w:color="auto" w:fill="FFFFFF"/>
          <w:lang w:eastAsia="zh-CN"/>
        </w:rPr>
        <w:t xml:space="preserve"> - </w:t>
      </w:r>
      <w:proofErr w:type="spellStart"/>
      <w:r>
        <w:rPr>
          <w:rFonts w:ascii="Times New Roman" w:eastAsia="Segoe UI" w:hAnsi="Times New Roman" w:cs="Times New Roman"/>
          <w:sz w:val="20"/>
          <w:szCs w:val="20"/>
          <w:shd w:val="clear" w:color="auto" w:fill="FFFFFF"/>
          <w:lang w:eastAsia="zh-CN"/>
        </w:rPr>
        <w:t>DeChile</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Hipnosis</w:t>
      </w:r>
      <w:proofErr w:type="spellEnd"/>
      <w:r>
        <w:rPr>
          <w:rFonts w:ascii="Times New Roman" w:eastAsia="Segoe UI" w:hAnsi="Times New Roman" w:cs="Times New Roman"/>
          <w:sz w:val="20"/>
          <w:szCs w:val="20"/>
          <w:shd w:val="clear" w:color="auto" w:fill="FFFFFF"/>
          <w:lang w:eastAsia="zh-CN"/>
        </w:rPr>
        <w:t xml:space="preserve">. Disponível em: </w:t>
      </w:r>
      <w:hyperlink r:id="rId59" w:tgtFrame="_new" w:history="1">
        <w:r>
          <w:rPr>
            <w:rStyle w:val="Hyperlink"/>
            <w:rFonts w:ascii="Times New Roman" w:eastAsia="Segoe UI" w:hAnsi="Times New Roman" w:cs="Times New Roman"/>
            <w:color w:val="auto"/>
            <w:sz w:val="20"/>
            <w:szCs w:val="20"/>
            <w:shd w:val="clear" w:color="auto" w:fill="FFFFFF"/>
            <w:lang w:eastAsia="zh-CN"/>
          </w:rPr>
          <w:t>https://etimologias.dechile.net/?hipnosis</w:t>
        </w:r>
      </w:hyperlink>
      <w:r>
        <w:rPr>
          <w:rFonts w:ascii="Times New Roman" w:eastAsia="Segoe UI" w:hAnsi="Times New Roman" w:cs="Times New Roman"/>
          <w:sz w:val="20"/>
          <w:szCs w:val="20"/>
          <w:shd w:val="clear" w:color="auto" w:fill="FFFFFF"/>
          <w:lang w:eastAsia="zh-CN"/>
        </w:rPr>
        <w:t>. Acesso em: 10 set. 2025.</w:t>
      </w:r>
    </w:p>
    <w:p w14:paraId="4F28D00B"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HARPER, Douglas. </w:t>
      </w:r>
      <w:r>
        <w:rPr>
          <w:rFonts w:ascii="Times New Roman" w:eastAsia="Segoe UI" w:hAnsi="Times New Roman" w:cs="Times New Roman"/>
          <w:i/>
          <w:iCs/>
          <w:sz w:val="20"/>
          <w:szCs w:val="20"/>
          <w:shd w:val="clear" w:color="auto" w:fill="FFFFFF"/>
          <w:lang w:val="en-US" w:eastAsia="zh-CN"/>
        </w:rPr>
        <w:t>Online Etymology Dictionary</w:t>
      </w:r>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2001-2024. Disponível em: </w:t>
      </w:r>
      <w:r>
        <w:rPr>
          <w:rFonts w:ascii="Times New Roman" w:hAnsi="Times New Roman" w:cs="Times New Roman"/>
          <w:sz w:val="20"/>
          <w:szCs w:val="20"/>
        </w:rPr>
        <w:t>https://www.etymonline.com/search?q=hypnosis</w:t>
      </w:r>
      <w:r>
        <w:rPr>
          <w:rFonts w:ascii="Times New Roman" w:eastAsia="Segoe UI" w:hAnsi="Times New Roman" w:cs="Times New Roman"/>
          <w:sz w:val="20"/>
          <w:szCs w:val="20"/>
          <w:shd w:val="clear" w:color="auto" w:fill="FFFFFF"/>
          <w:lang w:eastAsia="zh-CN"/>
        </w:rPr>
        <w:t xml:space="preserve">.  Acesso em: 1o out. 2025. </w:t>
      </w:r>
    </w:p>
    <w:p w14:paraId="6BC217C6"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RAE-REAL ACADEMIA ESPAÑOLA. </w:t>
      </w:r>
      <w:proofErr w:type="spellStart"/>
      <w:r>
        <w:rPr>
          <w:rFonts w:ascii="Times New Roman" w:eastAsia="Segoe UI" w:hAnsi="Times New Roman" w:cs="Times New Roman"/>
          <w:i/>
          <w:iCs/>
          <w:sz w:val="20"/>
          <w:szCs w:val="20"/>
          <w:shd w:val="clear" w:color="auto" w:fill="FFFFFF"/>
          <w:lang w:eastAsia="zh-CN"/>
        </w:rPr>
        <w:t>Diccionario</w:t>
      </w:r>
      <w:proofErr w:type="spellEnd"/>
      <w:r>
        <w:rPr>
          <w:rFonts w:ascii="Times New Roman" w:eastAsia="Segoe UI" w:hAnsi="Times New Roman" w:cs="Times New Roman"/>
          <w:i/>
          <w:iCs/>
          <w:sz w:val="20"/>
          <w:szCs w:val="20"/>
          <w:shd w:val="clear" w:color="auto" w:fill="FFFFFF"/>
          <w:lang w:eastAsia="zh-CN"/>
        </w:rPr>
        <w:t xml:space="preserve"> de </w:t>
      </w:r>
      <w:proofErr w:type="spellStart"/>
      <w:r>
        <w:rPr>
          <w:rFonts w:ascii="Times New Roman" w:eastAsia="Segoe UI" w:hAnsi="Times New Roman" w:cs="Times New Roman"/>
          <w:i/>
          <w:iCs/>
          <w:sz w:val="20"/>
          <w:szCs w:val="20"/>
          <w:shd w:val="clear" w:color="auto" w:fill="FFFFFF"/>
          <w:lang w:eastAsia="zh-CN"/>
        </w:rPr>
        <w:t>la</w:t>
      </w:r>
      <w:proofErr w:type="spellEnd"/>
      <w:r>
        <w:rPr>
          <w:rFonts w:ascii="Times New Roman" w:eastAsia="Segoe UI" w:hAnsi="Times New Roman" w:cs="Times New Roman"/>
          <w:i/>
          <w:iCs/>
          <w:sz w:val="20"/>
          <w:szCs w:val="20"/>
          <w:shd w:val="clear" w:color="auto" w:fill="FFFFFF"/>
          <w:lang w:eastAsia="zh-CN"/>
        </w:rPr>
        <w:t xml:space="preserve"> </w:t>
      </w:r>
      <w:proofErr w:type="spellStart"/>
      <w:r>
        <w:rPr>
          <w:rFonts w:ascii="Times New Roman" w:eastAsia="Segoe UI" w:hAnsi="Times New Roman" w:cs="Times New Roman"/>
          <w:i/>
          <w:iCs/>
          <w:sz w:val="20"/>
          <w:szCs w:val="20"/>
          <w:shd w:val="clear" w:color="auto" w:fill="FFFFFF"/>
          <w:lang w:eastAsia="zh-CN"/>
        </w:rPr>
        <w:t>lengua</w:t>
      </w:r>
      <w:proofErr w:type="spellEnd"/>
      <w:r>
        <w:rPr>
          <w:rFonts w:ascii="Times New Roman" w:eastAsia="Segoe UI" w:hAnsi="Times New Roman" w:cs="Times New Roman"/>
          <w:i/>
          <w:iCs/>
          <w:sz w:val="20"/>
          <w:szCs w:val="20"/>
          <w:shd w:val="clear" w:color="auto" w:fill="FFFFFF"/>
          <w:lang w:eastAsia="zh-CN"/>
        </w:rPr>
        <w:t xml:space="preserve"> </w:t>
      </w:r>
      <w:proofErr w:type="spellStart"/>
      <w:r>
        <w:rPr>
          <w:rFonts w:ascii="Times New Roman" w:eastAsia="Segoe UI" w:hAnsi="Times New Roman" w:cs="Times New Roman"/>
          <w:i/>
          <w:iCs/>
          <w:sz w:val="20"/>
          <w:szCs w:val="20"/>
          <w:shd w:val="clear" w:color="auto" w:fill="FFFFFF"/>
          <w:lang w:eastAsia="zh-CN"/>
        </w:rPr>
        <w:t>española</w:t>
      </w:r>
      <w:proofErr w:type="spellEnd"/>
      <w:r>
        <w:rPr>
          <w:rFonts w:ascii="Times New Roman" w:eastAsia="Segoe UI" w:hAnsi="Times New Roman" w:cs="Times New Roman"/>
          <w:sz w:val="20"/>
          <w:szCs w:val="20"/>
          <w:shd w:val="clear" w:color="auto" w:fill="FFFFFF"/>
          <w:lang w:eastAsia="zh-CN"/>
        </w:rPr>
        <w:t xml:space="preserve">. 23. ed. [Madrid]: RAE, 2014. Disponível em: </w:t>
      </w:r>
      <w:hyperlink r:id="rId60" w:tgtFrame="_new" w:history="1">
        <w:r>
          <w:rPr>
            <w:rStyle w:val="Hyperlink"/>
            <w:rFonts w:ascii="Times New Roman" w:eastAsia="Segoe UI" w:hAnsi="Times New Roman" w:cs="Times New Roman"/>
            <w:color w:val="auto"/>
            <w:sz w:val="20"/>
            <w:szCs w:val="20"/>
            <w:shd w:val="clear" w:color="auto" w:fill="FFFFFF"/>
            <w:lang w:eastAsia="zh-CN"/>
          </w:rPr>
          <w:t>https://dle.rae.es/hipnosis?m=form/</w:t>
        </w:r>
      </w:hyperlink>
      <w:r>
        <w:rPr>
          <w:rFonts w:ascii="Times New Roman" w:eastAsia="Segoe UI" w:hAnsi="Times New Roman" w:cs="Times New Roman"/>
          <w:sz w:val="20"/>
          <w:szCs w:val="20"/>
          <w:shd w:val="clear" w:color="auto" w:fill="FFFFFF"/>
          <w:lang w:eastAsia="zh-CN"/>
        </w:rPr>
        <w:t xml:space="preserve">.  Acesso em: 1o out. 2025. </w:t>
      </w:r>
    </w:p>
    <w:p w14:paraId="101708B5"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YEATES, Lindsay B. James Braid (V): Chemical and Hypnotic </w:t>
      </w:r>
      <w:proofErr w:type="spellStart"/>
      <w:r>
        <w:rPr>
          <w:rFonts w:ascii="Times New Roman" w:eastAsia="Segoe UI" w:hAnsi="Times New Roman" w:cs="Times New Roman"/>
          <w:sz w:val="20"/>
          <w:szCs w:val="20"/>
          <w:shd w:val="clear" w:color="auto" w:fill="FFFFFF"/>
          <w:lang w:val="en-US" w:eastAsia="zh-CN"/>
        </w:rPr>
        <w:t>Anaesthesia</w:t>
      </w:r>
      <w:proofErr w:type="spellEnd"/>
      <w:r>
        <w:rPr>
          <w:rFonts w:ascii="Times New Roman" w:eastAsia="Segoe UI" w:hAnsi="Times New Roman" w:cs="Times New Roman"/>
          <w:sz w:val="20"/>
          <w:szCs w:val="20"/>
          <w:shd w:val="clear" w:color="auto" w:fill="FFFFFF"/>
          <w:lang w:val="en-US" w:eastAsia="zh-CN"/>
        </w:rPr>
        <w:t xml:space="preserve">, Psycho-Physiology, and Braid’s Final Theories. </w:t>
      </w:r>
      <w:r>
        <w:rPr>
          <w:rFonts w:ascii="Times New Roman" w:eastAsia="Segoe UI" w:hAnsi="Times New Roman" w:cs="Times New Roman"/>
          <w:i/>
          <w:iCs/>
          <w:sz w:val="20"/>
          <w:szCs w:val="20"/>
          <w:shd w:val="clear" w:color="auto" w:fill="FFFFFF"/>
          <w:lang w:eastAsia="zh-CN"/>
        </w:rPr>
        <w:t xml:space="preserve">Australian </w:t>
      </w:r>
      <w:proofErr w:type="spellStart"/>
      <w:r>
        <w:rPr>
          <w:rFonts w:ascii="Times New Roman" w:eastAsia="Segoe UI" w:hAnsi="Times New Roman" w:cs="Times New Roman"/>
          <w:i/>
          <w:iCs/>
          <w:sz w:val="20"/>
          <w:szCs w:val="20"/>
          <w:shd w:val="clear" w:color="auto" w:fill="FFFFFF"/>
          <w:lang w:eastAsia="zh-CN"/>
        </w:rPr>
        <w:t>Journal</w:t>
      </w:r>
      <w:proofErr w:type="spellEnd"/>
      <w:r>
        <w:rPr>
          <w:rFonts w:ascii="Times New Roman" w:eastAsia="Segoe UI" w:hAnsi="Times New Roman" w:cs="Times New Roman"/>
          <w:i/>
          <w:iCs/>
          <w:sz w:val="20"/>
          <w:szCs w:val="20"/>
          <w:shd w:val="clear" w:color="auto" w:fill="FFFFFF"/>
          <w:lang w:eastAsia="zh-CN"/>
        </w:rPr>
        <w:t xml:space="preserve"> </w:t>
      </w:r>
      <w:proofErr w:type="spellStart"/>
      <w:r>
        <w:rPr>
          <w:rFonts w:ascii="Times New Roman" w:eastAsia="Segoe UI" w:hAnsi="Times New Roman" w:cs="Times New Roman"/>
          <w:i/>
          <w:iCs/>
          <w:sz w:val="20"/>
          <w:szCs w:val="20"/>
          <w:shd w:val="clear" w:color="auto" w:fill="FFFFFF"/>
          <w:lang w:eastAsia="zh-CN"/>
        </w:rPr>
        <w:t>of</w:t>
      </w:r>
      <w:proofErr w:type="spellEnd"/>
      <w:r>
        <w:rPr>
          <w:rFonts w:ascii="Times New Roman" w:eastAsia="Segoe UI" w:hAnsi="Times New Roman" w:cs="Times New Roman"/>
          <w:i/>
          <w:iCs/>
          <w:sz w:val="20"/>
          <w:szCs w:val="20"/>
          <w:shd w:val="clear" w:color="auto" w:fill="FFFFFF"/>
          <w:lang w:eastAsia="zh-CN"/>
        </w:rPr>
        <w:t xml:space="preserve"> Clinical </w:t>
      </w:r>
      <w:proofErr w:type="spellStart"/>
      <w:r>
        <w:rPr>
          <w:rFonts w:ascii="Times New Roman" w:eastAsia="Segoe UI" w:hAnsi="Times New Roman" w:cs="Times New Roman"/>
          <w:i/>
          <w:iCs/>
          <w:sz w:val="20"/>
          <w:szCs w:val="20"/>
          <w:shd w:val="clear" w:color="auto" w:fill="FFFFFF"/>
          <w:lang w:eastAsia="zh-CN"/>
        </w:rPr>
        <w:t>Hypnotherapy</w:t>
      </w:r>
      <w:proofErr w:type="spellEnd"/>
      <w:r>
        <w:rPr>
          <w:rFonts w:ascii="Times New Roman" w:eastAsia="Segoe UI" w:hAnsi="Times New Roman" w:cs="Times New Roman"/>
          <w:i/>
          <w:iCs/>
          <w:sz w:val="20"/>
          <w:szCs w:val="20"/>
          <w:shd w:val="clear" w:color="auto" w:fill="FFFFFF"/>
          <w:lang w:eastAsia="zh-CN"/>
        </w:rPr>
        <w:t xml:space="preserve"> &amp; </w:t>
      </w:r>
      <w:proofErr w:type="spellStart"/>
      <w:r>
        <w:rPr>
          <w:rFonts w:ascii="Times New Roman" w:eastAsia="Segoe UI" w:hAnsi="Times New Roman" w:cs="Times New Roman"/>
          <w:i/>
          <w:iCs/>
          <w:sz w:val="20"/>
          <w:szCs w:val="20"/>
          <w:shd w:val="clear" w:color="auto" w:fill="FFFFFF"/>
          <w:lang w:eastAsia="zh-CN"/>
        </w:rPr>
        <w:t>Hypnosis</w:t>
      </w:r>
      <w:proofErr w:type="spellEnd"/>
      <w:r>
        <w:rPr>
          <w:rFonts w:ascii="Times New Roman" w:eastAsia="Segoe UI" w:hAnsi="Times New Roman" w:cs="Times New Roman"/>
          <w:sz w:val="20"/>
          <w:szCs w:val="20"/>
          <w:shd w:val="clear" w:color="auto" w:fill="FFFFFF"/>
          <w:lang w:eastAsia="zh-CN"/>
        </w:rPr>
        <w:t>, v. 40, n. 2, p. 1–36, 2018. Disponível em: https://www.researchgate.net/publication/374753886. Acesso em: 1o out. 2025.</w:t>
      </w:r>
    </w:p>
    <w:p w14:paraId="5EB5D24E" w14:textId="77777777" w:rsidR="0003312E" w:rsidRPr="000D7094" w:rsidRDefault="0003312E">
      <w:pPr>
        <w:spacing w:after="0" w:line="360" w:lineRule="auto"/>
        <w:ind w:firstLine="709"/>
        <w:jc w:val="both"/>
        <w:rPr>
          <w:rFonts w:ascii="Times New Roman" w:eastAsia="Segoe UI" w:hAnsi="Times New Roman" w:cs="Times New Roman"/>
          <w:b/>
          <w:bCs/>
          <w:sz w:val="24"/>
          <w:szCs w:val="24"/>
          <w:shd w:val="clear" w:color="auto" w:fill="FFFFFF"/>
          <w:lang w:eastAsia="zh-CN"/>
        </w:rPr>
      </w:pPr>
    </w:p>
    <w:p w14:paraId="0051F047"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Capítulo 2</w:t>
      </w:r>
    </w:p>
    <w:p w14:paraId="627B8385"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imSun" w:hAnsi="Times New Roman" w:cs="Times New Roman"/>
          <w:sz w:val="20"/>
          <w:szCs w:val="20"/>
          <w:shd w:val="clear" w:color="auto" w:fill="FFFFFF"/>
          <w:lang w:val="en-US"/>
        </w:rPr>
        <w:t>BAYNE, Tim; HOHWY, Jakob; OWEN, Adrian M. Are there levels of consciousness?. Trends in cognitive sciences, v. 20, n. 6, p. 405-413, 2016.</w:t>
      </w:r>
      <w:r>
        <w:rPr>
          <w:rFonts w:ascii="Times New Roman" w:eastAsia="Segoe UI" w:hAnsi="Times New Roman" w:cs="Times New Roman"/>
          <w:sz w:val="20"/>
          <w:szCs w:val="20"/>
          <w:shd w:val="clear" w:color="auto" w:fill="FFFFFF"/>
          <w:lang w:val="en-US" w:eastAsia="zh-CN"/>
        </w:rPr>
        <w:t xml:space="preserve">. </w:t>
      </w:r>
      <w:proofErr w:type="spellStart"/>
      <w:r>
        <w:rPr>
          <w:rFonts w:ascii="Times New Roman" w:eastAsia="Segoe UI" w:hAnsi="Times New Roman" w:cs="Times New Roman"/>
          <w:sz w:val="20"/>
          <w:szCs w:val="20"/>
          <w:shd w:val="clear" w:color="auto" w:fill="FFFFFF"/>
          <w:lang w:val="en-US" w:eastAsia="zh-CN"/>
        </w:rPr>
        <w:t>Disponível</w:t>
      </w:r>
      <w:proofErr w:type="spellEnd"/>
      <w:r>
        <w:rPr>
          <w:rFonts w:ascii="Times New Roman" w:eastAsia="Segoe UI" w:hAnsi="Times New Roman" w:cs="Times New Roman"/>
          <w:sz w:val="20"/>
          <w:szCs w:val="20"/>
          <w:shd w:val="clear" w:color="auto" w:fill="FFFFFF"/>
          <w:lang w:val="en-US" w:eastAsia="zh-CN"/>
        </w:rPr>
        <w:t xml:space="preserve"> </w:t>
      </w:r>
      <w:proofErr w:type="spellStart"/>
      <w:r>
        <w:rPr>
          <w:rFonts w:ascii="Times New Roman" w:eastAsia="Segoe UI" w:hAnsi="Times New Roman" w:cs="Times New Roman"/>
          <w:sz w:val="20"/>
          <w:szCs w:val="20"/>
          <w:shd w:val="clear" w:color="auto" w:fill="FFFFFF"/>
          <w:lang w:val="en-US" w:eastAsia="zh-CN"/>
        </w:rPr>
        <w:t>em</w:t>
      </w:r>
      <w:proofErr w:type="spellEnd"/>
      <w:r>
        <w:rPr>
          <w:rFonts w:ascii="Times New Roman" w:eastAsia="Segoe UI" w:hAnsi="Times New Roman" w:cs="Times New Roman"/>
          <w:sz w:val="20"/>
          <w:szCs w:val="20"/>
          <w:shd w:val="clear" w:color="auto" w:fill="FFFFFF"/>
          <w:lang w:val="en-US" w:eastAsia="zh-CN"/>
        </w:rPr>
        <w:t xml:space="preserve">: </w:t>
      </w:r>
      <w:r>
        <w:rPr>
          <w:rFonts w:ascii="Times New Roman" w:hAnsi="Times New Roman" w:cs="Times New Roman"/>
          <w:sz w:val="20"/>
          <w:szCs w:val="20"/>
          <w:lang w:val="en-US"/>
        </w:rPr>
        <w:t>https://www.cell.com/trends/cognitive-sciences/fulltext/S1364-6613(16)30002-X?platform=hootsuite.</w:t>
      </w:r>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Acesso em: 1o out. 2025. </w:t>
      </w:r>
    </w:p>
    <w:p w14:paraId="37717A35"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CNRTL-CENTRE NATIONAL DE RESSOURCES TEXTUELLES ET LEXICALES. </w:t>
      </w:r>
      <w:proofErr w:type="spellStart"/>
      <w:r>
        <w:rPr>
          <w:rFonts w:ascii="Times New Roman" w:eastAsia="Segoe UI" w:hAnsi="Times New Roman" w:cs="Times New Roman"/>
          <w:i/>
          <w:iCs/>
          <w:sz w:val="20"/>
          <w:szCs w:val="20"/>
          <w:shd w:val="clear" w:color="auto" w:fill="FFFFFF"/>
          <w:lang w:eastAsia="zh-CN"/>
        </w:rPr>
        <w:t>Trésor</w:t>
      </w:r>
      <w:proofErr w:type="spellEnd"/>
      <w:r>
        <w:rPr>
          <w:rFonts w:ascii="Times New Roman" w:eastAsia="Segoe UI" w:hAnsi="Times New Roman" w:cs="Times New Roman"/>
          <w:i/>
          <w:iCs/>
          <w:sz w:val="20"/>
          <w:szCs w:val="20"/>
          <w:shd w:val="clear" w:color="auto" w:fill="FFFFFF"/>
          <w:lang w:eastAsia="zh-CN"/>
        </w:rPr>
        <w:t xml:space="preserve"> de </w:t>
      </w:r>
      <w:proofErr w:type="spellStart"/>
      <w:r>
        <w:rPr>
          <w:rFonts w:ascii="Times New Roman" w:eastAsia="Segoe UI" w:hAnsi="Times New Roman" w:cs="Times New Roman"/>
          <w:i/>
          <w:iCs/>
          <w:sz w:val="20"/>
          <w:szCs w:val="20"/>
          <w:shd w:val="clear" w:color="auto" w:fill="FFFFFF"/>
          <w:lang w:eastAsia="zh-CN"/>
        </w:rPr>
        <w:t>la</w:t>
      </w:r>
      <w:proofErr w:type="spellEnd"/>
      <w:r>
        <w:rPr>
          <w:rFonts w:ascii="Times New Roman" w:eastAsia="Segoe UI" w:hAnsi="Times New Roman" w:cs="Times New Roman"/>
          <w:i/>
          <w:iCs/>
          <w:sz w:val="20"/>
          <w:szCs w:val="20"/>
          <w:shd w:val="clear" w:color="auto" w:fill="FFFFFF"/>
          <w:lang w:eastAsia="zh-CN"/>
        </w:rPr>
        <w:t xml:space="preserve"> Langue Française </w:t>
      </w:r>
      <w:proofErr w:type="spellStart"/>
      <w:r>
        <w:rPr>
          <w:rFonts w:ascii="Times New Roman" w:eastAsia="Segoe UI" w:hAnsi="Times New Roman" w:cs="Times New Roman"/>
          <w:i/>
          <w:iCs/>
          <w:sz w:val="20"/>
          <w:szCs w:val="20"/>
          <w:shd w:val="clear" w:color="auto" w:fill="FFFFFF"/>
          <w:lang w:eastAsia="zh-CN"/>
        </w:rPr>
        <w:t>informatisé</w:t>
      </w:r>
      <w:proofErr w:type="spellEnd"/>
      <w:r>
        <w:rPr>
          <w:rFonts w:ascii="Times New Roman" w:eastAsia="Segoe UI" w:hAnsi="Times New Roman" w:cs="Times New Roman"/>
          <w:i/>
          <w:iCs/>
          <w:sz w:val="20"/>
          <w:szCs w:val="20"/>
          <w:shd w:val="clear" w:color="auto" w:fill="FFFFFF"/>
          <w:lang w:eastAsia="zh-CN"/>
        </w:rPr>
        <w:t>.</w:t>
      </w:r>
      <w:r>
        <w:rPr>
          <w:rFonts w:ascii="Times New Roman" w:eastAsia="Segoe UI" w:hAnsi="Times New Roman" w:cs="Times New Roman"/>
          <w:sz w:val="20"/>
          <w:szCs w:val="20"/>
          <w:shd w:val="clear" w:color="auto" w:fill="FFFFFF"/>
          <w:lang w:eastAsia="zh-CN"/>
        </w:rPr>
        <w:t xml:space="preserve"> Nancy: CNRS, 2012. Disponível em: </w:t>
      </w:r>
      <w:r>
        <w:rPr>
          <w:rFonts w:ascii="Times New Roman" w:hAnsi="Times New Roman" w:cs="Times New Roman"/>
          <w:sz w:val="20"/>
          <w:szCs w:val="20"/>
        </w:rPr>
        <w:t>https://www.cnrtl.fr/etymologie/COMA</w:t>
      </w:r>
      <w:r>
        <w:rPr>
          <w:rFonts w:ascii="Times New Roman" w:eastAsia="Segoe UI" w:hAnsi="Times New Roman" w:cs="Times New Roman"/>
          <w:sz w:val="20"/>
          <w:szCs w:val="20"/>
          <w:shd w:val="clear" w:color="auto" w:fill="FFFFFF"/>
          <w:lang w:eastAsia="zh-CN"/>
        </w:rPr>
        <w:t xml:space="preserve">.  Acesso em: 1o out. 2025. </w:t>
      </w:r>
    </w:p>
    <w:p w14:paraId="176A12E8"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CUSHING, Harvey. </w:t>
      </w:r>
      <w:r>
        <w:rPr>
          <w:rFonts w:ascii="Times New Roman" w:eastAsia="Segoe UI" w:hAnsi="Times New Roman" w:cs="Times New Roman"/>
          <w:i/>
          <w:iCs/>
          <w:sz w:val="20"/>
          <w:szCs w:val="20"/>
          <w:shd w:val="clear" w:color="auto" w:fill="FFFFFF"/>
          <w:lang w:val="en-US" w:eastAsia="zh-CN"/>
        </w:rPr>
        <w:t>The life of Sir William Osler.</w:t>
      </w:r>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Oxford: Clarendon Press, 1925. Disponível em: </w:t>
      </w:r>
      <w:hyperlink r:id="rId61" w:tgtFrame="_new" w:history="1">
        <w:r>
          <w:rPr>
            <w:rStyle w:val="Hyperlink"/>
            <w:rFonts w:ascii="Times New Roman" w:eastAsia="Segoe UI" w:hAnsi="Times New Roman" w:cs="Times New Roman"/>
            <w:color w:val="auto"/>
            <w:sz w:val="20"/>
            <w:szCs w:val="20"/>
            <w:shd w:val="clear" w:color="auto" w:fill="FFFFFF"/>
            <w:lang w:eastAsia="zh-CN"/>
          </w:rPr>
          <w:t>https://archive.org/details/b29825672</w:t>
        </w:r>
      </w:hyperlink>
      <w:r>
        <w:rPr>
          <w:rFonts w:ascii="Times New Roman" w:eastAsia="Segoe UI" w:hAnsi="Times New Roman" w:cs="Times New Roman"/>
          <w:sz w:val="20"/>
          <w:szCs w:val="20"/>
          <w:shd w:val="clear" w:color="auto" w:fill="FFFFFF"/>
          <w:lang w:eastAsia="zh-CN"/>
        </w:rPr>
        <w:t xml:space="preserve">.  Acesso em: 1o out. 2025. </w:t>
      </w:r>
    </w:p>
    <w:p w14:paraId="5B6404FA"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DECEL - </w:t>
      </w:r>
      <w:proofErr w:type="spellStart"/>
      <w:r>
        <w:rPr>
          <w:rFonts w:ascii="Times New Roman" w:eastAsia="Segoe UI" w:hAnsi="Times New Roman" w:cs="Times New Roman"/>
          <w:i/>
          <w:iCs/>
          <w:sz w:val="20"/>
          <w:szCs w:val="20"/>
          <w:shd w:val="clear" w:color="auto" w:fill="FFFFFF"/>
          <w:lang w:eastAsia="zh-CN"/>
        </w:rPr>
        <w:t>Diccionario</w:t>
      </w:r>
      <w:proofErr w:type="spellEnd"/>
      <w:r>
        <w:rPr>
          <w:rFonts w:ascii="Times New Roman" w:eastAsia="Segoe UI" w:hAnsi="Times New Roman" w:cs="Times New Roman"/>
          <w:i/>
          <w:iCs/>
          <w:sz w:val="20"/>
          <w:szCs w:val="20"/>
          <w:shd w:val="clear" w:color="auto" w:fill="FFFFFF"/>
          <w:lang w:eastAsia="zh-CN"/>
        </w:rPr>
        <w:t xml:space="preserve"> Etimológico Castellano </w:t>
      </w:r>
      <w:proofErr w:type="spellStart"/>
      <w:r>
        <w:rPr>
          <w:rFonts w:ascii="Times New Roman" w:eastAsia="Segoe UI" w:hAnsi="Times New Roman" w:cs="Times New Roman"/>
          <w:i/>
          <w:iCs/>
          <w:sz w:val="20"/>
          <w:szCs w:val="20"/>
          <w:shd w:val="clear" w:color="auto" w:fill="FFFFFF"/>
          <w:lang w:eastAsia="zh-CN"/>
        </w:rPr>
        <w:t>En</w:t>
      </w:r>
      <w:proofErr w:type="spellEnd"/>
      <w:r>
        <w:rPr>
          <w:rFonts w:ascii="Times New Roman" w:eastAsia="Segoe UI" w:hAnsi="Times New Roman" w:cs="Times New Roman"/>
          <w:i/>
          <w:iCs/>
          <w:sz w:val="20"/>
          <w:szCs w:val="20"/>
          <w:shd w:val="clear" w:color="auto" w:fill="FFFFFF"/>
          <w:lang w:eastAsia="zh-CN"/>
        </w:rPr>
        <w:t xml:space="preserve"> Línea - </w:t>
      </w:r>
      <w:proofErr w:type="spellStart"/>
      <w:r>
        <w:rPr>
          <w:rFonts w:ascii="Times New Roman" w:eastAsia="Segoe UI" w:hAnsi="Times New Roman" w:cs="Times New Roman"/>
          <w:i/>
          <w:iCs/>
          <w:sz w:val="20"/>
          <w:szCs w:val="20"/>
          <w:shd w:val="clear" w:color="auto" w:fill="FFFFFF"/>
          <w:lang w:eastAsia="zh-CN"/>
        </w:rPr>
        <w:t>DeChile</w:t>
      </w:r>
      <w:proofErr w:type="spellEnd"/>
      <w:r>
        <w:rPr>
          <w:rFonts w:ascii="Times New Roman" w:eastAsia="Segoe UI" w:hAnsi="Times New Roman" w:cs="Times New Roman"/>
          <w:i/>
          <w:iCs/>
          <w:sz w:val="20"/>
          <w:szCs w:val="20"/>
          <w:shd w:val="clear" w:color="auto" w:fill="FFFFFF"/>
          <w:lang w:eastAsia="zh-CN"/>
        </w:rPr>
        <w:t>.</w:t>
      </w:r>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S.l</w:t>
      </w:r>
      <w:proofErr w:type="spellEnd"/>
      <w:r>
        <w:rPr>
          <w:rFonts w:ascii="Times New Roman" w:eastAsia="Segoe UI" w:hAnsi="Times New Roman" w:cs="Times New Roman"/>
          <w:sz w:val="20"/>
          <w:szCs w:val="20"/>
          <w:shd w:val="clear" w:color="auto" w:fill="FFFFFF"/>
          <w:lang w:eastAsia="zh-CN"/>
        </w:rPr>
        <w:t xml:space="preserve">.], [s.d.]. Disponível em: </w:t>
      </w:r>
      <w:r>
        <w:rPr>
          <w:rFonts w:ascii="Times New Roman" w:hAnsi="Times New Roman" w:cs="Times New Roman"/>
          <w:sz w:val="20"/>
          <w:szCs w:val="20"/>
        </w:rPr>
        <w:t>https://etimologias.dechile.net/?coma.-</w:t>
      </w:r>
      <w:r>
        <w:rPr>
          <w:rFonts w:ascii="Times New Roman" w:eastAsia="Segoe UI" w:hAnsi="Times New Roman" w:cs="Times New Roman"/>
          <w:sz w:val="20"/>
          <w:szCs w:val="20"/>
          <w:shd w:val="clear" w:color="auto" w:fill="FFFFFF"/>
          <w:lang w:eastAsia="zh-CN"/>
        </w:rPr>
        <w:t xml:space="preserve">.  Acesso em: 1o out. 2025. </w:t>
      </w:r>
    </w:p>
    <w:p w14:paraId="271FDB97"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lastRenderedPageBreak/>
        <w:t xml:space="preserve">DOYLE, </w:t>
      </w:r>
      <w:proofErr w:type="spellStart"/>
      <w:r>
        <w:rPr>
          <w:rFonts w:ascii="Times New Roman" w:eastAsia="Segoe UI" w:hAnsi="Times New Roman" w:cs="Times New Roman"/>
          <w:sz w:val="20"/>
          <w:szCs w:val="20"/>
          <w:shd w:val="clear" w:color="auto" w:fill="FFFFFF"/>
          <w:lang w:val="en-US" w:eastAsia="zh-CN"/>
        </w:rPr>
        <w:t>Nancileigh</w:t>
      </w:r>
      <w:proofErr w:type="spellEnd"/>
      <w:r>
        <w:rPr>
          <w:rFonts w:ascii="Times New Roman" w:eastAsia="Segoe UI" w:hAnsi="Times New Roman" w:cs="Times New Roman"/>
          <w:sz w:val="20"/>
          <w:szCs w:val="20"/>
          <w:shd w:val="clear" w:color="auto" w:fill="FFFFFF"/>
          <w:lang w:val="en-US" w:eastAsia="zh-CN"/>
        </w:rPr>
        <w:t xml:space="preserve"> M.; DOYLE, James F.; WALTER, Edward J. </w:t>
      </w:r>
      <w:r>
        <w:rPr>
          <w:rFonts w:ascii="Times New Roman" w:eastAsia="Segoe UI" w:hAnsi="Times New Roman" w:cs="Times New Roman"/>
          <w:i/>
          <w:iCs/>
          <w:sz w:val="20"/>
          <w:szCs w:val="20"/>
          <w:shd w:val="clear" w:color="auto" w:fill="FFFFFF"/>
          <w:lang w:val="en-US" w:eastAsia="zh-CN"/>
        </w:rPr>
        <w:t>The life and work of Harvey Cushing 1869 - 1939: A pioneer of neurosurgery.</w:t>
      </w:r>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i/>
          <w:iCs/>
          <w:sz w:val="20"/>
          <w:szCs w:val="20"/>
          <w:shd w:val="clear" w:color="auto" w:fill="FFFFFF"/>
          <w:lang w:val="en-US" w:eastAsia="zh-CN"/>
        </w:rPr>
        <w:t>Journal of the Intensive Care Society</w:t>
      </w:r>
      <w:r>
        <w:rPr>
          <w:rFonts w:ascii="Times New Roman" w:eastAsia="Segoe UI" w:hAnsi="Times New Roman" w:cs="Times New Roman"/>
          <w:sz w:val="20"/>
          <w:szCs w:val="20"/>
          <w:shd w:val="clear" w:color="auto" w:fill="FFFFFF"/>
          <w:lang w:val="en-US" w:eastAsia="zh-CN"/>
        </w:rPr>
        <w:t xml:space="preserve">, v. 18, n. 2, p. 157-158, 2017. </w:t>
      </w:r>
      <w:proofErr w:type="spellStart"/>
      <w:r>
        <w:rPr>
          <w:rFonts w:ascii="Times New Roman" w:eastAsia="Segoe UI" w:hAnsi="Times New Roman" w:cs="Times New Roman"/>
          <w:sz w:val="20"/>
          <w:szCs w:val="20"/>
          <w:shd w:val="clear" w:color="auto" w:fill="FFFFFF"/>
          <w:lang w:val="en-US" w:eastAsia="zh-CN"/>
        </w:rPr>
        <w:t>Disponível</w:t>
      </w:r>
      <w:proofErr w:type="spellEnd"/>
      <w:r>
        <w:rPr>
          <w:rFonts w:ascii="Times New Roman" w:eastAsia="Segoe UI" w:hAnsi="Times New Roman" w:cs="Times New Roman"/>
          <w:sz w:val="20"/>
          <w:szCs w:val="20"/>
          <w:shd w:val="clear" w:color="auto" w:fill="FFFFFF"/>
          <w:lang w:val="en-US" w:eastAsia="zh-CN"/>
        </w:rPr>
        <w:t xml:space="preserve"> </w:t>
      </w:r>
      <w:proofErr w:type="spellStart"/>
      <w:r>
        <w:rPr>
          <w:rFonts w:ascii="Times New Roman" w:eastAsia="Segoe UI" w:hAnsi="Times New Roman" w:cs="Times New Roman"/>
          <w:sz w:val="20"/>
          <w:szCs w:val="20"/>
          <w:shd w:val="clear" w:color="auto" w:fill="FFFFFF"/>
          <w:lang w:val="en-US" w:eastAsia="zh-CN"/>
        </w:rPr>
        <w:t>em</w:t>
      </w:r>
      <w:proofErr w:type="spellEnd"/>
      <w:r>
        <w:rPr>
          <w:rFonts w:ascii="Times New Roman" w:eastAsia="Segoe UI" w:hAnsi="Times New Roman" w:cs="Times New Roman"/>
          <w:sz w:val="20"/>
          <w:szCs w:val="20"/>
          <w:shd w:val="clear" w:color="auto" w:fill="FFFFFF"/>
          <w:lang w:val="en-US" w:eastAsia="zh-CN"/>
        </w:rPr>
        <w:t xml:space="preserve">: </w:t>
      </w:r>
      <w:r>
        <w:rPr>
          <w:rFonts w:ascii="Times New Roman" w:hAnsi="Times New Roman" w:cs="Times New Roman"/>
          <w:sz w:val="20"/>
          <w:szCs w:val="20"/>
          <w:lang w:val="en-US"/>
        </w:rPr>
        <w:t>https://journals.sagepub.com/doi/pdf/10.1177/1751143716673076</w:t>
      </w:r>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Acesso em: 1o out. 2025. </w:t>
      </w:r>
    </w:p>
    <w:p w14:paraId="0C37F17F"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HARPER, Douglas. </w:t>
      </w:r>
      <w:r>
        <w:rPr>
          <w:rFonts w:ascii="Times New Roman" w:eastAsia="Segoe UI" w:hAnsi="Times New Roman" w:cs="Times New Roman"/>
          <w:i/>
          <w:iCs/>
          <w:sz w:val="20"/>
          <w:szCs w:val="20"/>
          <w:shd w:val="clear" w:color="auto" w:fill="FFFFFF"/>
          <w:lang w:val="en-US" w:eastAsia="zh-CN"/>
        </w:rPr>
        <w:t>Coma.</w:t>
      </w:r>
      <w:r>
        <w:rPr>
          <w:rFonts w:ascii="Times New Roman" w:eastAsia="Segoe UI" w:hAnsi="Times New Roman" w:cs="Times New Roman"/>
          <w:sz w:val="20"/>
          <w:szCs w:val="20"/>
          <w:shd w:val="clear" w:color="auto" w:fill="FFFFFF"/>
          <w:lang w:val="en-US" w:eastAsia="zh-CN"/>
        </w:rPr>
        <w:t xml:space="preserve"> Online Etymology Dictionary, [</w:t>
      </w:r>
      <w:proofErr w:type="spellStart"/>
      <w:r>
        <w:rPr>
          <w:rFonts w:ascii="Times New Roman" w:eastAsia="Segoe UI" w:hAnsi="Times New Roman" w:cs="Times New Roman"/>
          <w:sz w:val="20"/>
          <w:szCs w:val="20"/>
          <w:shd w:val="clear" w:color="auto" w:fill="FFFFFF"/>
          <w:lang w:val="en-US" w:eastAsia="zh-CN"/>
        </w:rPr>
        <w:t>S.l.</w:t>
      </w:r>
      <w:proofErr w:type="spellEnd"/>
      <w:r>
        <w:rPr>
          <w:rFonts w:ascii="Times New Roman" w:eastAsia="Segoe UI" w:hAnsi="Times New Roman" w:cs="Times New Roman"/>
          <w:sz w:val="20"/>
          <w:szCs w:val="20"/>
          <w:shd w:val="clear" w:color="auto" w:fill="FFFFFF"/>
          <w:lang w:val="en-US" w:eastAsia="zh-CN"/>
        </w:rPr>
        <w:t>], [</w:t>
      </w:r>
      <w:proofErr w:type="spellStart"/>
      <w:r>
        <w:rPr>
          <w:rFonts w:ascii="Times New Roman" w:eastAsia="Segoe UI" w:hAnsi="Times New Roman" w:cs="Times New Roman"/>
          <w:sz w:val="20"/>
          <w:szCs w:val="20"/>
          <w:shd w:val="clear" w:color="auto" w:fill="FFFFFF"/>
          <w:lang w:val="en-US" w:eastAsia="zh-CN"/>
        </w:rPr>
        <w:t>s.d.</w:t>
      </w:r>
      <w:proofErr w:type="spellEnd"/>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Disponível em: </w:t>
      </w:r>
      <w:hyperlink r:id="rId62" w:tgtFrame="_new" w:history="1">
        <w:r>
          <w:rPr>
            <w:rStyle w:val="Hyperlink"/>
            <w:rFonts w:ascii="Times New Roman" w:eastAsia="Segoe UI" w:hAnsi="Times New Roman" w:cs="Times New Roman"/>
            <w:color w:val="auto"/>
            <w:sz w:val="20"/>
            <w:szCs w:val="20"/>
            <w:shd w:val="clear" w:color="auto" w:fill="FFFFFF"/>
            <w:lang w:eastAsia="zh-CN"/>
          </w:rPr>
          <w:t>https://www.etymonline.com/word/coma</w:t>
        </w:r>
      </w:hyperlink>
      <w:r>
        <w:rPr>
          <w:rFonts w:ascii="Times New Roman" w:eastAsia="Segoe UI" w:hAnsi="Times New Roman" w:cs="Times New Roman"/>
          <w:sz w:val="20"/>
          <w:szCs w:val="20"/>
          <w:shd w:val="clear" w:color="auto" w:fill="FFFFFF"/>
          <w:lang w:eastAsia="zh-CN"/>
        </w:rPr>
        <w:t xml:space="preserve">.  Acesso em: 1o out. 2025. </w:t>
      </w:r>
    </w:p>
    <w:p w14:paraId="59384D1B"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imSun" w:hAnsi="Times New Roman" w:cs="Times New Roman"/>
          <w:color w:val="222222"/>
          <w:sz w:val="20"/>
          <w:szCs w:val="20"/>
          <w:shd w:val="clear" w:color="auto" w:fill="FFFFFF"/>
          <w:lang w:val="en-US"/>
        </w:rPr>
        <w:t>KOEHLER, Peter J.; WIJDICKS, Eelco FM. Historical study of coma: looking back through medical and neurological texts. </w:t>
      </w:r>
      <w:proofErr w:type="spellStart"/>
      <w:r>
        <w:rPr>
          <w:rFonts w:ascii="Times New Roman" w:eastAsia="SimSun" w:hAnsi="Times New Roman" w:cs="Times New Roman"/>
          <w:b/>
          <w:bCs/>
          <w:color w:val="222222"/>
          <w:sz w:val="20"/>
          <w:szCs w:val="20"/>
          <w:shd w:val="clear" w:color="auto" w:fill="FFFFFF"/>
        </w:rPr>
        <w:t>Brain</w:t>
      </w:r>
      <w:proofErr w:type="spellEnd"/>
      <w:r>
        <w:rPr>
          <w:rFonts w:ascii="Times New Roman" w:eastAsia="SimSun" w:hAnsi="Times New Roman" w:cs="Times New Roman"/>
          <w:color w:val="222222"/>
          <w:sz w:val="20"/>
          <w:szCs w:val="20"/>
          <w:shd w:val="clear" w:color="auto" w:fill="FFFFFF"/>
        </w:rPr>
        <w:t>, v. 131, n. 3, p. 877-889, 2008.</w:t>
      </w:r>
      <w:r>
        <w:rPr>
          <w:rFonts w:ascii="Times New Roman" w:eastAsia="Segoe UI" w:hAnsi="Times New Roman" w:cs="Times New Roman"/>
          <w:sz w:val="20"/>
          <w:szCs w:val="20"/>
          <w:shd w:val="clear" w:color="auto" w:fill="FFFFFF"/>
          <w:lang w:eastAsia="zh-CN"/>
        </w:rPr>
        <w:t xml:space="preserve">Disponível em: </w:t>
      </w:r>
      <w:proofErr w:type="gramStart"/>
      <w:r>
        <w:rPr>
          <w:rFonts w:ascii="Times New Roman" w:eastAsia="Segoe UI" w:hAnsi="Times New Roman" w:cs="Times New Roman"/>
          <w:sz w:val="20"/>
          <w:szCs w:val="20"/>
          <w:shd w:val="clear" w:color="auto" w:fill="FFFFFF"/>
          <w:lang w:eastAsia="zh-CN"/>
        </w:rPr>
        <w:t>https://www.researchgate.net/publication/5642567_Historical_study_of_coma_Looking_back_through_medical_and_neurological_texts  Acesso</w:t>
      </w:r>
      <w:proofErr w:type="gramEnd"/>
      <w:r>
        <w:rPr>
          <w:rFonts w:ascii="Times New Roman" w:eastAsia="Segoe UI" w:hAnsi="Times New Roman" w:cs="Times New Roman"/>
          <w:sz w:val="20"/>
          <w:szCs w:val="20"/>
          <w:shd w:val="clear" w:color="auto" w:fill="FFFFFF"/>
          <w:lang w:eastAsia="zh-CN"/>
        </w:rPr>
        <w:t xml:space="preserve"> em: 1o out. 2025.</w:t>
      </w:r>
    </w:p>
    <w:p w14:paraId="5FF2F8F2"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Style w:val="Forte"/>
          <w:rFonts w:ascii="Times New Roman" w:eastAsia="Segoe UI" w:hAnsi="Times New Roman" w:cs="Times New Roman"/>
          <w:b w:val="0"/>
          <w:bCs w:val="0"/>
          <w:sz w:val="20"/>
          <w:szCs w:val="20"/>
          <w:shd w:val="clear" w:color="auto" w:fill="FFFFFF"/>
          <w:lang w:val="en-US"/>
        </w:rPr>
        <w:t>LEWIS, Charlton T.; SHORT, Charles.</w:t>
      </w:r>
      <w:r>
        <w:rPr>
          <w:rFonts w:ascii="Times New Roman" w:eastAsia="Segoe UI" w:hAnsi="Times New Roman" w:cs="Times New Roman"/>
          <w:sz w:val="20"/>
          <w:szCs w:val="20"/>
          <w:shd w:val="clear" w:color="auto" w:fill="FFFFFF"/>
          <w:lang w:val="en-US"/>
        </w:rPr>
        <w:t> </w:t>
      </w:r>
      <w:r>
        <w:rPr>
          <w:rStyle w:val="nfase"/>
          <w:rFonts w:ascii="Times New Roman" w:eastAsia="Segoe UI" w:hAnsi="Times New Roman" w:cs="Times New Roman"/>
          <w:sz w:val="20"/>
          <w:szCs w:val="20"/>
          <w:shd w:val="clear" w:color="auto" w:fill="FFFFFF"/>
          <w:lang w:val="en-US"/>
        </w:rPr>
        <w:t>A Latin Dictionary.</w:t>
      </w:r>
      <w:r>
        <w:rPr>
          <w:rFonts w:ascii="Times New Roman" w:eastAsia="Segoe UI" w:hAnsi="Times New Roman" w:cs="Times New Roman"/>
          <w:sz w:val="20"/>
          <w:szCs w:val="20"/>
          <w:shd w:val="clear" w:color="auto" w:fill="FFFFFF"/>
          <w:lang w:val="en-US"/>
        </w:rPr>
        <w:t xml:space="preserve"> Oxford: Clarendon Press, 1879. </w:t>
      </w:r>
      <w:r>
        <w:rPr>
          <w:rFonts w:ascii="Times New Roman" w:eastAsia="Segoe UI" w:hAnsi="Times New Roman" w:cs="Times New Roman"/>
          <w:sz w:val="20"/>
          <w:szCs w:val="20"/>
          <w:shd w:val="clear" w:color="auto" w:fill="FFFFFF"/>
        </w:rPr>
        <w:t xml:space="preserve">Disponível em: https://www.perseus.tufts.edu/hopper/searchresults?target=en&amp;all_words=coma&amp;phrase=&amp;any_words=&amp;exclude_words=&amp;documents=. </w:t>
      </w:r>
      <w:r>
        <w:rPr>
          <w:rFonts w:ascii="Times New Roman" w:eastAsia="Segoe UI" w:hAnsi="Times New Roman" w:cs="Times New Roman"/>
          <w:sz w:val="20"/>
          <w:szCs w:val="20"/>
          <w:shd w:val="clear" w:color="auto" w:fill="FFFFFF"/>
          <w:lang w:eastAsia="zh-CN"/>
        </w:rPr>
        <w:t>Acesso em: 1o out. 2025.</w:t>
      </w:r>
    </w:p>
    <w:p w14:paraId="07454A96" w14:textId="77777777" w:rsidR="0003312E" w:rsidRDefault="00000000">
      <w:pPr>
        <w:pStyle w:val="PargrafodaLista"/>
        <w:numPr>
          <w:ilvl w:val="0"/>
          <w:numId w:val="6"/>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RAE-REAL ACADEMIA ESPAÑOLA. </w:t>
      </w:r>
      <w:proofErr w:type="spellStart"/>
      <w:r>
        <w:rPr>
          <w:rFonts w:ascii="Times New Roman" w:eastAsia="Segoe UI" w:hAnsi="Times New Roman" w:cs="Times New Roman"/>
          <w:i/>
          <w:iCs/>
          <w:sz w:val="20"/>
          <w:szCs w:val="20"/>
          <w:shd w:val="clear" w:color="auto" w:fill="FFFFFF"/>
          <w:lang w:eastAsia="zh-CN"/>
        </w:rPr>
        <w:t>Diccionario</w:t>
      </w:r>
      <w:proofErr w:type="spellEnd"/>
      <w:r>
        <w:rPr>
          <w:rFonts w:ascii="Times New Roman" w:eastAsia="Segoe UI" w:hAnsi="Times New Roman" w:cs="Times New Roman"/>
          <w:i/>
          <w:iCs/>
          <w:sz w:val="20"/>
          <w:szCs w:val="20"/>
          <w:shd w:val="clear" w:color="auto" w:fill="FFFFFF"/>
          <w:lang w:eastAsia="zh-CN"/>
        </w:rPr>
        <w:t xml:space="preserve"> de </w:t>
      </w:r>
      <w:proofErr w:type="spellStart"/>
      <w:r>
        <w:rPr>
          <w:rFonts w:ascii="Times New Roman" w:eastAsia="Segoe UI" w:hAnsi="Times New Roman" w:cs="Times New Roman"/>
          <w:i/>
          <w:iCs/>
          <w:sz w:val="20"/>
          <w:szCs w:val="20"/>
          <w:shd w:val="clear" w:color="auto" w:fill="FFFFFF"/>
          <w:lang w:eastAsia="zh-CN"/>
        </w:rPr>
        <w:t>la</w:t>
      </w:r>
      <w:proofErr w:type="spellEnd"/>
      <w:r>
        <w:rPr>
          <w:rFonts w:ascii="Times New Roman" w:eastAsia="Segoe UI" w:hAnsi="Times New Roman" w:cs="Times New Roman"/>
          <w:i/>
          <w:iCs/>
          <w:sz w:val="20"/>
          <w:szCs w:val="20"/>
          <w:shd w:val="clear" w:color="auto" w:fill="FFFFFF"/>
          <w:lang w:eastAsia="zh-CN"/>
        </w:rPr>
        <w:t xml:space="preserve"> </w:t>
      </w:r>
      <w:proofErr w:type="spellStart"/>
      <w:r>
        <w:rPr>
          <w:rFonts w:ascii="Times New Roman" w:eastAsia="Segoe UI" w:hAnsi="Times New Roman" w:cs="Times New Roman"/>
          <w:i/>
          <w:iCs/>
          <w:sz w:val="20"/>
          <w:szCs w:val="20"/>
          <w:shd w:val="clear" w:color="auto" w:fill="FFFFFF"/>
          <w:lang w:eastAsia="zh-CN"/>
        </w:rPr>
        <w:t>lengua</w:t>
      </w:r>
      <w:proofErr w:type="spellEnd"/>
      <w:r>
        <w:rPr>
          <w:rFonts w:ascii="Times New Roman" w:eastAsia="Segoe UI" w:hAnsi="Times New Roman" w:cs="Times New Roman"/>
          <w:i/>
          <w:iCs/>
          <w:sz w:val="20"/>
          <w:szCs w:val="20"/>
          <w:shd w:val="clear" w:color="auto" w:fill="FFFFFF"/>
          <w:lang w:eastAsia="zh-CN"/>
        </w:rPr>
        <w:t xml:space="preserve"> </w:t>
      </w:r>
      <w:proofErr w:type="spellStart"/>
      <w:r>
        <w:rPr>
          <w:rFonts w:ascii="Times New Roman" w:eastAsia="Segoe UI" w:hAnsi="Times New Roman" w:cs="Times New Roman"/>
          <w:i/>
          <w:iCs/>
          <w:sz w:val="20"/>
          <w:szCs w:val="20"/>
          <w:shd w:val="clear" w:color="auto" w:fill="FFFFFF"/>
          <w:lang w:eastAsia="zh-CN"/>
        </w:rPr>
        <w:t>española</w:t>
      </w:r>
      <w:proofErr w:type="spellEnd"/>
      <w:r>
        <w:rPr>
          <w:rFonts w:ascii="Times New Roman" w:eastAsia="Segoe UI" w:hAnsi="Times New Roman" w:cs="Times New Roman"/>
          <w:i/>
          <w:iCs/>
          <w:sz w:val="20"/>
          <w:szCs w:val="20"/>
          <w:shd w:val="clear" w:color="auto" w:fill="FFFFFF"/>
          <w:lang w:eastAsia="zh-CN"/>
        </w:rPr>
        <w:t>.</w:t>
      </w:r>
      <w:r>
        <w:rPr>
          <w:rFonts w:ascii="Times New Roman" w:eastAsia="Segoe UI" w:hAnsi="Times New Roman" w:cs="Times New Roman"/>
          <w:sz w:val="20"/>
          <w:szCs w:val="20"/>
          <w:shd w:val="clear" w:color="auto" w:fill="FFFFFF"/>
          <w:lang w:eastAsia="zh-CN"/>
        </w:rPr>
        <w:t xml:space="preserve"> 23. ed. [Madrid]: RAE, 2014. Disponível em: </w:t>
      </w:r>
      <w:r>
        <w:rPr>
          <w:rFonts w:ascii="Times New Roman" w:hAnsi="Times New Roman" w:cs="Times New Roman"/>
          <w:sz w:val="20"/>
          <w:szCs w:val="20"/>
        </w:rPr>
        <w:t>https://dle.rae.es/coma?m=form</w:t>
      </w:r>
      <w:r>
        <w:rPr>
          <w:rFonts w:ascii="Times New Roman" w:eastAsia="Segoe UI" w:hAnsi="Times New Roman" w:cs="Times New Roman"/>
          <w:sz w:val="20"/>
          <w:szCs w:val="20"/>
          <w:shd w:val="clear" w:color="auto" w:fill="FFFFFF"/>
          <w:lang w:eastAsia="zh-CN"/>
        </w:rPr>
        <w:t>.  Acesso em: 1o out. 2025.</w:t>
      </w:r>
    </w:p>
    <w:p w14:paraId="084B1AD6" w14:textId="77777777" w:rsidR="0003312E" w:rsidRDefault="0003312E">
      <w:pPr>
        <w:shd w:val="clear" w:color="auto" w:fill="FFFFFF"/>
        <w:spacing w:after="0" w:line="360" w:lineRule="auto"/>
        <w:ind w:firstLine="709"/>
        <w:jc w:val="both"/>
        <w:rPr>
          <w:rFonts w:ascii="Times New Roman" w:eastAsia="Times New Roman" w:hAnsi="Times New Roman" w:cs="Times New Roman"/>
          <w:b/>
          <w:bCs/>
          <w:color w:val="0F1115"/>
          <w:kern w:val="0"/>
          <w:sz w:val="24"/>
          <w:szCs w:val="24"/>
          <w:lang w:eastAsia="pt-BR"/>
          <w14:ligatures w14:val="none"/>
        </w:rPr>
      </w:pPr>
    </w:p>
    <w:p w14:paraId="44513C03"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val="en-US" w:eastAsia="pt-BR"/>
          <w14:ligatures w14:val="none"/>
        </w:rPr>
      </w:pPr>
      <w:proofErr w:type="spellStart"/>
      <w:r>
        <w:rPr>
          <w:rFonts w:ascii="Times New Roman" w:eastAsia="Times New Roman" w:hAnsi="Times New Roman" w:cs="Times New Roman"/>
          <w:b/>
          <w:bCs/>
          <w:color w:val="0F1115"/>
          <w:kern w:val="0"/>
          <w:sz w:val="24"/>
          <w:szCs w:val="24"/>
          <w:lang w:val="en-US" w:eastAsia="pt-BR"/>
          <w14:ligatures w14:val="none"/>
        </w:rPr>
        <w:t>Capítulo</w:t>
      </w:r>
      <w:proofErr w:type="spellEnd"/>
      <w:r>
        <w:rPr>
          <w:rFonts w:ascii="Times New Roman" w:eastAsia="Times New Roman" w:hAnsi="Times New Roman" w:cs="Times New Roman"/>
          <w:b/>
          <w:bCs/>
          <w:color w:val="0F1115"/>
          <w:kern w:val="0"/>
          <w:sz w:val="24"/>
          <w:szCs w:val="24"/>
          <w:lang w:val="en-US" w:eastAsia="pt-BR"/>
          <w14:ligatures w14:val="none"/>
        </w:rPr>
        <w:t xml:space="preserve"> 3</w:t>
      </w:r>
    </w:p>
    <w:p w14:paraId="7B7828BC"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CNRTL-CENTRE NATIONAL DE RESSOURCES TEXTUELLES ET LEXICALES. </w:t>
      </w:r>
      <w:proofErr w:type="spellStart"/>
      <w:r>
        <w:rPr>
          <w:rFonts w:eastAsia="Segoe UI"/>
          <w:sz w:val="20"/>
          <w:szCs w:val="20"/>
          <w:shd w:val="clear" w:color="auto" w:fill="FFFFFF"/>
          <w:lang w:val="pt-BR"/>
        </w:rPr>
        <w:t>Trésor</w:t>
      </w:r>
      <w:proofErr w:type="spellEnd"/>
      <w:r>
        <w:rPr>
          <w:rFonts w:eastAsia="Segoe UI"/>
          <w:sz w:val="20"/>
          <w:szCs w:val="20"/>
          <w:shd w:val="clear" w:color="auto" w:fill="FFFFFF"/>
          <w:lang w:val="pt-BR"/>
        </w:rPr>
        <w:t xml:space="preserve"> de </w:t>
      </w:r>
      <w:proofErr w:type="spellStart"/>
      <w:r>
        <w:rPr>
          <w:rFonts w:eastAsia="Segoe UI"/>
          <w:sz w:val="20"/>
          <w:szCs w:val="20"/>
          <w:shd w:val="clear" w:color="auto" w:fill="FFFFFF"/>
          <w:lang w:val="pt-BR"/>
        </w:rPr>
        <w:t>la</w:t>
      </w:r>
      <w:proofErr w:type="spellEnd"/>
      <w:r>
        <w:rPr>
          <w:rFonts w:eastAsia="Segoe UI"/>
          <w:sz w:val="20"/>
          <w:szCs w:val="20"/>
          <w:shd w:val="clear" w:color="auto" w:fill="FFFFFF"/>
          <w:lang w:val="pt-BR"/>
        </w:rPr>
        <w:t xml:space="preserve"> Langue Française </w:t>
      </w:r>
      <w:proofErr w:type="spellStart"/>
      <w:r>
        <w:rPr>
          <w:rFonts w:eastAsia="Segoe UI"/>
          <w:sz w:val="20"/>
          <w:szCs w:val="20"/>
          <w:shd w:val="clear" w:color="auto" w:fill="FFFFFF"/>
          <w:lang w:val="pt-BR"/>
        </w:rPr>
        <w:t>informatisé</w:t>
      </w:r>
      <w:proofErr w:type="spellEnd"/>
      <w:r>
        <w:rPr>
          <w:rFonts w:eastAsia="Segoe UI"/>
          <w:sz w:val="20"/>
          <w:szCs w:val="20"/>
          <w:shd w:val="clear" w:color="auto" w:fill="FFFFFF"/>
          <w:lang w:val="pt-BR"/>
        </w:rPr>
        <w:t xml:space="preserve">. Nancy: CNRS, 2012. Disponível em: </w:t>
      </w:r>
      <w:r>
        <w:rPr>
          <w:sz w:val="20"/>
          <w:szCs w:val="20"/>
          <w:lang w:val="pt-BR"/>
        </w:rPr>
        <w:t>https://www.cnrtl.fr/etymologie/frénésie</w:t>
      </w:r>
      <w:r>
        <w:rPr>
          <w:rFonts w:eastAsia="Segoe UI"/>
          <w:sz w:val="20"/>
          <w:szCs w:val="20"/>
          <w:shd w:val="clear" w:color="auto" w:fill="FFFFFF"/>
          <w:lang w:val="pt-BR"/>
        </w:rPr>
        <w:t xml:space="preserve">.  Acesso em: 1o out. 2025. </w:t>
      </w:r>
    </w:p>
    <w:p w14:paraId="4BBFB8D8"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DECEL - </w:t>
      </w:r>
      <w:proofErr w:type="spellStart"/>
      <w:r>
        <w:rPr>
          <w:rFonts w:eastAsia="Segoe UI"/>
          <w:sz w:val="20"/>
          <w:szCs w:val="20"/>
          <w:shd w:val="clear" w:color="auto" w:fill="FFFFFF"/>
          <w:lang w:val="pt-BR"/>
        </w:rPr>
        <w:t>Diccionario</w:t>
      </w:r>
      <w:proofErr w:type="spellEnd"/>
      <w:r>
        <w:rPr>
          <w:rFonts w:eastAsia="Segoe UI"/>
          <w:sz w:val="20"/>
          <w:szCs w:val="20"/>
          <w:shd w:val="clear" w:color="auto" w:fill="FFFFFF"/>
          <w:lang w:val="pt-BR"/>
        </w:rPr>
        <w:t xml:space="preserve"> Etimológico Castellano </w:t>
      </w:r>
      <w:proofErr w:type="spellStart"/>
      <w:r>
        <w:rPr>
          <w:rFonts w:eastAsia="Segoe UI"/>
          <w:sz w:val="20"/>
          <w:szCs w:val="20"/>
          <w:shd w:val="clear" w:color="auto" w:fill="FFFFFF"/>
          <w:lang w:val="pt-BR"/>
        </w:rPr>
        <w:t>En</w:t>
      </w:r>
      <w:proofErr w:type="spellEnd"/>
      <w:r>
        <w:rPr>
          <w:rFonts w:eastAsia="Segoe UI"/>
          <w:sz w:val="20"/>
          <w:szCs w:val="20"/>
          <w:shd w:val="clear" w:color="auto" w:fill="FFFFFF"/>
          <w:lang w:val="pt-BR"/>
        </w:rPr>
        <w:t xml:space="preserve"> Línea - </w:t>
      </w:r>
      <w:proofErr w:type="spellStart"/>
      <w:r>
        <w:rPr>
          <w:rFonts w:eastAsia="Segoe UI"/>
          <w:sz w:val="20"/>
          <w:szCs w:val="20"/>
          <w:shd w:val="clear" w:color="auto" w:fill="FFFFFF"/>
          <w:lang w:val="pt-BR"/>
        </w:rPr>
        <w:t>DeChile</w:t>
      </w:r>
      <w:proofErr w:type="spellEnd"/>
      <w:r>
        <w:rPr>
          <w:rFonts w:eastAsia="Segoe UI"/>
          <w:sz w:val="20"/>
          <w:szCs w:val="20"/>
          <w:shd w:val="clear" w:color="auto" w:fill="FFFFFF"/>
          <w:lang w:val="pt-BR"/>
        </w:rPr>
        <w:t xml:space="preserve">. </w:t>
      </w:r>
      <w:r>
        <w:rPr>
          <w:rFonts w:eastAsia="Segoe UI"/>
          <w:sz w:val="20"/>
          <w:szCs w:val="20"/>
          <w:shd w:val="clear" w:color="auto" w:fill="FFFFFF"/>
        </w:rPr>
        <w:t>Frenesi. [</w:t>
      </w:r>
      <w:proofErr w:type="spellStart"/>
      <w:r>
        <w:rPr>
          <w:rFonts w:eastAsia="Segoe UI"/>
          <w:sz w:val="20"/>
          <w:szCs w:val="20"/>
          <w:shd w:val="clear" w:color="auto" w:fill="FFFFFF"/>
        </w:rPr>
        <w:t>S.l.</w:t>
      </w:r>
      <w:proofErr w:type="spellEnd"/>
      <w:r>
        <w:rPr>
          <w:rFonts w:eastAsia="Segoe UI"/>
          <w:sz w:val="20"/>
          <w:szCs w:val="20"/>
          <w:shd w:val="clear" w:color="auto" w:fill="FFFFFF"/>
        </w:rPr>
        <w:t>], [</w:t>
      </w:r>
      <w:proofErr w:type="spellStart"/>
      <w:r>
        <w:rPr>
          <w:rFonts w:eastAsia="Segoe UI"/>
          <w:sz w:val="20"/>
          <w:szCs w:val="20"/>
          <w:shd w:val="clear" w:color="auto" w:fill="FFFFFF"/>
        </w:rPr>
        <w:t>s.d.</w:t>
      </w:r>
      <w:proofErr w:type="spellEnd"/>
      <w:r>
        <w:rPr>
          <w:rFonts w:eastAsia="Segoe UI"/>
          <w:sz w:val="20"/>
          <w:szCs w:val="20"/>
          <w:shd w:val="clear" w:color="auto" w:fill="FFFFFF"/>
        </w:rPr>
        <w:t xml:space="preserve">]. </w:t>
      </w:r>
      <w:r>
        <w:rPr>
          <w:rFonts w:eastAsia="Segoe UI"/>
          <w:sz w:val="20"/>
          <w:szCs w:val="20"/>
          <w:shd w:val="clear" w:color="auto" w:fill="FFFFFF"/>
          <w:lang w:val="pt-BR"/>
        </w:rPr>
        <w:t xml:space="preserve">Disponível em: </w:t>
      </w:r>
      <w:hyperlink r:id="rId63" w:tgtFrame="_new" w:history="1">
        <w:r>
          <w:rPr>
            <w:rStyle w:val="Hyperlink"/>
            <w:rFonts w:eastAsia="Segoe UI"/>
            <w:color w:val="auto"/>
            <w:sz w:val="20"/>
            <w:szCs w:val="20"/>
            <w:shd w:val="clear" w:color="auto" w:fill="FFFFFF"/>
            <w:lang w:val="pt-BR"/>
          </w:rPr>
          <w:t>https://etimologias.dechile.net/?frenesi</w:t>
        </w:r>
      </w:hyperlink>
      <w:r>
        <w:rPr>
          <w:rFonts w:eastAsia="Segoe UI"/>
          <w:sz w:val="20"/>
          <w:szCs w:val="20"/>
          <w:shd w:val="clear" w:color="auto" w:fill="FFFFFF"/>
          <w:lang w:val="pt-BR"/>
        </w:rPr>
        <w:t xml:space="preserve">.  Acesso em: 1o out. 2025. </w:t>
      </w:r>
    </w:p>
    <w:p w14:paraId="15231CC0"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ELLERMAN, C. P. Nietzsche’s madness: tragic wisdom. Journal of Nietzsche Studies, v. 47, n. 2, p. 338 - 360, 2016. </w:t>
      </w:r>
      <w:r>
        <w:rPr>
          <w:rFonts w:eastAsia="Segoe UI"/>
          <w:sz w:val="20"/>
          <w:szCs w:val="20"/>
          <w:shd w:val="clear" w:color="auto" w:fill="FFFFFF"/>
          <w:lang w:val="pt-BR"/>
        </w:rPr>
        <w:t xml:space="preserve">Disponível em: </w:t>
      </w:r>
      <w:hyperlink r:id="rId64" w:tgtFrame="_new" w:history="1">
        <w:r>
          <w:rPr>
            <w:rStyle w:val="Hyperlink"/>
            <w:rFonts w:eastAsia="Segoe UI"/>
            <w:color w:val="auto"/>
            <w:sz w:val="20"/>
            <w:szCs w:val="20"/>
            <w:shd w:val="clear" w:color="auto" w:fill="FFFFFF"/>
            <w:lang w:val="pt-BR"/>
          </w:rPr>
          <w:t>https://www.jstor.org/stable/pdf/26302577.pdf</w:t>
        </w:r>
      </w:hyperlink>
      <w:r>
        <w:rPr>
          <w:rFonts w:eastAsia="Segoe UI"/>
          <w:sz w:val="20"/>
          <w:szCs w:val="20"/>
          <w:shd w:val="clear" w:color="auto" w:fill="FFFFFF"/>
          <w:lang w:val="pt-BR"/>
        </w:rPr>
        <w:t xml:space="preserve">.  Acesso em: 1o out. 2025. </w:t>
      </w:r>
    </w:p>
    <w:p w14:paraId="7F12A2E6"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rPr>
      </w:pPr>
      <w:r>
        <w:rPr>
          <w:rFonts w:eastAsia="Segoe UI"/>
          <w:sz w:val="20"/>
          <w:szCs w:val="20"/>
          <w:shd w:val="clear" w:color="auto" w:fill="FFFFFF"/>
        </w:rPr>
        <w:t xml:space="preserve">HARPER, Douglas. Online Etymology Dictionary. </w:t>
      </w:r>
      <w:r>
        <w:rPr>
          <w:rFonts w:eastAsia="Segoe UI"/>
          <w:sz w:val="20"/>
          <w:szCs w:val="20"/>
          <w:shd w:val="clear" w:color="auto" w:fill="FFFFFF"/>
          <w:lang w:val="pt-BR"/>
        </w:rPr>
        <w:t xml:space="preserve">2001-2024. Disponível em: </w:t>
      </w:r>
      <w:hyperlink r:id="rId65" w:tgtFrame="_new" w:history="1">
        <w:r>
          <w:rPr>
            <w:rStyle w:val="Hyperlink"/>
            <w:rFonts w:eastAsia="Segoe UI"/>
            <w:color w:val="auto"/>
            <w:sz w:val="20"/>
            <w:szCs w:val="20"/>
            <w:shd w:val="clear" w:color="auto" w:fill="FFFFFF"/>
            <w:lang w:val="pt-BR"/>
          </w:rPr>
          <w:t>https://www.etymonline.com/</w:t>
        </w:r>
      </w:hyperlink>
      <w:r>
        <w:rPr>
          <w:rFonts w:eastAsia="Segoe UI"/>
          <w:sz w:val="20"/>
          <w:szCs w:val="20"/>
          <w:shd w:val="clear" w:color="auto" w:fill="FFFFFF"/>
          <w:lang w:val="pt-BR"/>
        </w:rPr>
        <w:t xml:space="preserve">.  Acesso em: 1o out. 2025. </w:t>
      </w:r>
    </w:p>
    <w:p w14:paraId="090057C1"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Style w:val="Forte"/>
          <w:b w:val="0"/>
          <w:bCs w:val="0"/>
          <w:sz w:val="20"/>
          <w:szCs w:val="20"/>
        </w:rPr>
        <w:t>KEBETS, V.; FAVRE, P.; HOUENOU, J.; POLOSAN, M.; PERROUD, N.; AUBRY, J.-M.; VAN DE VILLE, D.; PIGUET, C.</w:t>
      </w:r>
      <w:r>
        <w:rPr>
          <w:sz w:val="20"/>
          <w:szCs w:val="20"/>
        </w:rPr>
        <w:t xml:space="preserve"> Fronto-limbic neural variability as a transdiagnostic correlate of emotion dysregulation. </w:t>
      </w:r>
      <w:proofErr w:type="spellStart"/>
      <w:r>
        <w:rPr>
          <w:rStyle w:val="nfase"/>
          <w:sz w:val="20"/>
          <w:szCs w:val="20"/>
          <w:lang w:val="pt-BR"/>
        </w:rPr>
        <w:t>Translational</w:t>
      </w:r>
      <w:proofErr w:type="spellEnd"/>
      <w:r>
        <w:rPr>
          <w:rStyle w:val="nfase"/>
          <w:sz w:val="20"/>
          <w:szCs w:val="20"/>
          <w:lang w:val="pt-BR"/>
        </w:rPr>
        <w:t xml:space="preserve"> </w:t>
      </w:r>
      <w:proofErr w:type="spellStart"/>
      <w:r>
        <w:rPr>
          <w:rStyle w:val="nfase"/>
          <w:sz w:val="20"/>
          <w:szCs w:val="20"/>
          <w:lang w:val="pt-BR"/>
        </w:rPr>
        <w:t>Psychiatry</w:t>
      </w:r>
      <w:proofErr w:type="spellEnd"/>
      <w:r>
        <w:rPr>
          <w:sz w:val="20"/>
          <w:szCs w:val="20"/>
          <w:lang w:val="pt-BR"/>
        </w:rPr>
        <w:t>, v. 11, p. 545, 2021. Disponível em: https://doi.org/10.1038/s41398-021-01666-3</w:t>
      </w:r>
      <w:proofErr w:type="gramStart"/>
      <w:r>
        <w:rPr>
          <w:sz w:val="20"/>
          <w:szCs w:val="20"/>
          <w:lang w:val="pt-BR"/>
        </w:rPr>
        <w:t>. .</w:t>
      </w:r>
      <w:proofErr w:type="gramEnd"/>
      <w:r>
        <w:rPr>
          <w:sz w:val="20"/>
          <w:szCs w:val="20"/>
          <w:lang w:val="pt-BR"/>
        </w:rPr>
        <w:t xml:space="preserve"> </w:t>
      </w:r>
      <w:proofErr w:type="spellStart"/>
      <w:r>
        <w:rPr>
          <w:sz w:val="20"/>
          <w:szCs w:val="20"/>
        </w:rPr>
        <w:t>Acesso</w:t>
      </w:r>
      <w:proofErr w:type="spellEnd"/>
      <w:r>
        <w:rPr>
          <w:sz w:val="20"/>
          <w:szCs w:val="20"/>
        </w:rPr>
        <w:t xml:space="preserve"> </w:t>
      </w:r>
      <w:proofErr w:type="spellStart"/>
      <w:r>
        <w:rPr>
          <w:sz w:val="20"/>
          <w:szCs w:val="20"/>
        </w:rPr>
        <w:t>em</w:t>
      </w:r>
      <w:proofErr w:type="spellEnd"/>
      <w:r>
        <w:rPr>
          <w:sz w:val="20"/>
          <w:szCs w:val="20"/>
        </w:rPr>
        <w:t xml:space="preserve">: </w:t>
      </w:r>
      <w:r>
        <w:rPr>
          <w:rFonts w:eastAsia="Segoe UI"/>
          <w:sz w:val="20"/>
          <w:szCs w:val="20"/>
          <w:shd w:val="clear" w:color="auto" w:fill="FFFFFF"/>
          <w:lang w:val="pt-BR"/>
        </w:rPr>
        <w:t xml:space="preserve">1o out. 2025. </w:t>
      </w:r>
    </w:p>
    <w:p w14:paraId="6D3346E0"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Style w:val="Forte"/>
          <w:rFonts w:eastAsia="Segoe UI"/>
          <w:b w:val="0"/>
          <w:bCs w:val="0"/>
          <w:sz w:val="20"/>
          <w:szCs w:val="20"/>
          <w:shd w:val="clear" w:color="auto" w:fill="FFFFFF"/>
        </w:rPr>
        <w:t>LEWIS, Charlton T.; SHORT, Charles.</w:t>
      </w:r>
      <w:r>
        <w:rPr>
          <w:rFonts w:eastAsia="Segoe UI"/>
          <w:sz w:val="20"/>
          <w:szCs w:val="20"/>
          <w:shd w:val="clear" w:color="auto" w:fill="FFFFFF"/>
        </w:rPr>
        <w:t> </w:t>
      </w:r>
      <w:r>
        <w:rPr>
          <w:rStyle w:val="nfase"/>
          <w:rFonts w:eastAsia="Segoe UI"/>
          <w:sz w:val="20"/>
          <w:szCs w:val="20"/>
          <w:shd w:val="clear" w:color="auto" w:fill="FFFFFF"/>
        </w:rPr>
        <w:t>A Latin Dictionary.</w:t>
      </w:r>
      <w:r>
        <w:rPr>
          <w:rFonts w:eastAsia="Segoe UI"/>
          <w:sz w:val="20"/>
          <w:szCs w:val="20"/>
          <w:shd w:val="clear" w:color="auto" w:fill="FFFFFF"/>
        </w:rPr>
        <w:t xml:space="preserve"> Oxford: Clarendon Press, 1879. </w:t>
      </w:r>
      <w:r>
        <w:rPr>
          <w:rFonts w:eastAsia="Segoe UI"/>
          <w:sz w:val="20"/>
          <w:szCs w:val="20"/>
          <w:shd w:val="clear" w:color="auto" w:fill="FFFFFF"/>
          <w:lang w:val="pt-BR"/>
        </w:rPr>
        <w:t>Disponível em: </w:t>
      </w:r>
      <w:hyperlink r:id="rId66" w:tgtFrame="https://chat.deepseek.com/a/chat/s/_blank" w:history="1">
        <w:r>
          <w:rPr>
            <w:rStyle w:val="Hyperlink"/>
            <w:rFonts w:eastAsia="Segoe UI"/>
            <w:color w:val="auto"/>
            <w:sz w:val="20"/>
            <w:szCs w:val="20"/>
            <w:u w:val="none"/>
            <w:shd w:val="clear" w:color="auto" w:fill="FFFFFF"/>
            <w:lang w:val="pt-BR"/>
          </w:rPr>
          <w:t>https://www.perseus.tufts.edu/hopper/text?doc=Perseus:text:1999.04.0059</w:t>
        </w:r>
      </w:hyperlink>
      <w:r>
        <w:rPr>
          <w:rFonts w:eastAsia="Segoe UI"/>
          <w:sz w:val="20"/>
          <w:szCs w:val="20"/>
          <w:shd w:val="clear" w:color="auto" w:fill="FFFFFF"/>
          <w:lang w:val="pt-BR"/>
        </w:rPr>
        <w:t xml:space="preserve">. </w:t>
      </w:r>
      <w:proofErr w:type="spellStart"/>
      <w:r>
        <w:rPr>
          <w:rFonts w:eastAsia="Segoe UI"/>
          <w:sz w:val="20"/>
          <w:szCs w:val="20"/>
          <w:shd w:val="clear" w:color="auto" w:fill="FFFFFF"/>
        </w:rPr>
        <w:t>Acesso</w:t>
      </w:r>
      <w:proofErr w:type="spellEnd"/>
      <w:r>
        <w:rPr>
          <w:rFonts w:eastAsia="Segoe UI"/>
          <w:sz w:val="20"/>
          <w:szCs w:val="20"/>
          <w:shd w:val="clear" w:color="auto" w:fill="FFFFFF"/>
        </w:rPr>
        <w:t xml:space="preserve"> </w:t>
      </w:r>
      <w:proofErr w:type="spellStart"/>
      <w:r>
        <w:rPr>
          <w:rFonts w:eastAsia="Segoe UI"/>
          <w:sz w:val="20"/>
          <w:szCs w:val="20"/>
          <w:shd w:val="clear" w:color="auto" w:fill="FFFFFF"/>
        </w:rPr>
        <w:t>em</w:t>
      </w:r>
      <w:proofErr w:type="spellEnd"/>
      <w:r>
        <w:rPr>
          <w:rFonts w:eastAsia="Segoe UI"/>
          <w:sz w:val="20"/>
          <w:szCs w:val="20"/>
          <w:shd w:val="clear" w:color="auto" w:fill="FFFFFF"/>
        </w:rPr>
        <w:t xml:space="preserve">: </w:t>
      </w:r>
      <w:r>
        <w:rPr>
          <w:rFonts w:eastAsia="Segoe UI"/>
          <w:sz w:val="20"/>
          <w:szCs w:val="20"/>
          <w:shd w:val="clear" w:color="auto" w:fill="FFFFFF"/>
          <w:lang w:val="pt-BR"/>
        </w:rPr>
        <w:t xml:space="preserve">1o out. 2025. </w:t>
      </w:r>
    </w:p>
    <w:p w14:paraId="6332EF51"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MAGNUS, Bernd. Friedrich Nietzsche. </w:t>
      </w:r>
      <w:proofErr w:type="spellStart"/>
      <w:r>
        <w:rPr>
          <w:rFonts w:eastAsia="Segoe UI"/>
          <w:sz w:val="20"/>
          <w:szCs w:val="20"/>
          <w:shd w:val="clear" w:color="auto" w:fill="FFFFFF"/>
        </w:rPr>
        <w:t>Encyclopaedia</w:t>
      </w:r>
      <w:proofErr w:type="spellEnd"/>
      <w:r>
        <w:rPr>
          <w:rFonts w:eastAsia="Segoe UI"/>
          <w:sz w:val="20"/>
          <w:szCs w:val="20"/>
          <w:shd w:val="clear" w:color="auto" w:fill="FFFFFF"/>
        </w:rPr>
        <w:t xml:space="preserve"> Britannica, 2025. </w:t>
      </w:r>
      <w:r>
        <w:rPr>
          <w:rFonts w:eastAsia="Segoe UI"/>
          <w:sz w:val="20"/>
          <w:szCs w:val="20"/>
          <w:shd w:val="clear" w:color="auto" w:fill="FFFFFF"/>
          <w:lang w:val="pt-BR"/>
        </w:rPr>
        <w:t xml:space="preserve">Disponível em: </w:t>
      </w:r>
      <w:hyperlink r:id="rId67" w:tgtFrame="_new" w:history="1">
        <w:r>
          <w:rPr>
            <w:rStyle w:val="Hyperlink"/>
            <w:rFonts w:eastAsia="Segoe UI"/>
            <w:color w:val="auto"/>
            <w:sz w:val="20"/>
            <w:szCs w:val="20"/>
            <w:shd w:val="clear" w:color="auto" w:fill="FFFFFF"/>
            <w:lang w:val="pt-BR"/>
          </w:rPr>
          <w:t>https://www.britannica.com/biography/Friedrich-Nietzsche</w:t>
        </w:r>
      </w:hyperlink>
      <w:r>
        <w:rPr>
          <w:rFonts w:eastAsia="Segoe UI"/>
          <w:sz w:val="20"/>
          <w:szCs w:val="20"/>
          <w:shd w:val="clear" w:color="auto" w:fill="FFFFFF"/>
          <w:lang w:val="pt-BR"/>
        </w:rPr>
        <w:t xml:space="preserve">.  Acesso em: 1o out. 2025. </w:t>
      </w:r>
    </w:p>
    <w:p w14:paraId="3413DEA7" w14:textId="77777777" w:rsidR="0003312E"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rPr>
      </w:pPr>
      <w:r>
        <w:rPr>
          <w:rFonts w:eastAsia="Segoe UI"/>
          <w:sz w:val="20"/>
          <w:szCs w:val="20"/>
          <w:shd w:val="clear" w:color="auto" w:fill="FFFFFF"/>
        </w:rPr>
        <w:t xml:space="preserve">NIETZSCHE, Friedrich. Twilight of the Idols: or, How to Philosophize with the Hammer. </w:t>
      </w:r>
      <w:r>
        <w:rPr>
          <w:rFonts w:eastAsia="Segoe UI"/>
          <w:sz w:val="20"/>
          <w:szCs w:val="20"/>
          <w:shd w:val="clear" w:color="auto" w:fill="FFFFFF"/>
          <w:lang w:val="pt-BR"/>
        </w:rPr>
        <w:t xml:space="preserve">Tradução de Anthony M. </w:t>
      </w:r>
      <w:proofErr w:type="spellStart"/>
      <w:r>
        <w:rPr>
          <w:rFonts w:eastAsia="Segoe UI"/>
          <w:sz w:val="20"/>
          <w:szCs w:val="20"/>
          <w:shd w:val="clear" w:color="auto" w:fill="FFFFFF"/>
          <w:lang w:val="pt-BR"/>
        </w:rPr>
        <w:t>Ludovici</w:t>
      </w:r>
      <w:proofErr w:type="spellEnd"/>
      <w:r>
        <w:rPr>
          <w:rFonts w:eastAsia="Segoe UI"/>
          <w:sz w:val="20"/>
          <w:szCs w:val="20"/>
          <w:shd w:val="clear" w:color="auto" w:fill="FFFFFF"/>
          <w:lang w:val="pt-BR"/>
        </w:rPr>
        <w:t xml:space="preserve">. Edinburgh: T.N. </w:t>
      </w:r>
      <w:proofErr w:type="spellStart"/>
      <w:r>
        <w:rPr>
          <w:rFonts w:eastAsia="Segoe UI"/>
          <w:sz w:val="20"/>
          <w:szCs w:val="20"/>
          <w:shd w:val="clear" w:color="auto" w:fill="FFFFFF"/>
          <w:lang w:val="pt-BR"/>
        </w:rPr>
        <w:t>Foulis</w:t>
      </w:r>
      <w:proofErr w:type="spellEnd"/>
      <w:r>
        <w:rPr>
          <w:rFonts w:eastAsia="Segoe UI"/>
          <w:sz w:val="20"/>
          <w:szCs w:val="20"/>
          <w:shd w:val="clear" w:color="auto" w:fill="FFFFFF"/>
          <w:lang w:val="pt-BR"/>
        </w:rPr>
        <w:t xml:space="preserve">, 1911. Disponível em: </w:t>
      </w:r>
      <w:hyperlink r:id="rId68" w:tgtFrame="_new" w:history="1">
        <w:r>
          <w:rPr>
            <w:rStyle w:val="Hyperlink"/>
            <w:rFonts w:eastAsia="Segoe UI"/>
            <w:color w:val="auto"/>
            <w:sz w:val="20"/>
            <w:szCs w:val="20"/>
            <w:shd w:val="clear" w:color="auto" w:fill="FFFFFF"/>
            <w:lang w:val="pt-BR"/>
          </w:rPr>
          <w:t>https://www.gutenberg.org/files/52263/52263-h/52263-h.htm</w:t>
        </w:r>
      </w:hyperlink>
      <w:r>
        <w:rPr>
          <w:rFonts w:eastAsia="Segoe UI"/>
          <w:sz w:val="20"/>
          <w:szCs w:val="20"/>
          <w:shd w:val="clear" w:color="auto" w:fill="FFFFFF"/>
          <w:lang w:val="pt-BR"/>
        </w:rPr>
        <w:t xml:space="preserve">.  Acesso em: 1o out. 2025. </w:t>
      </w:r>
    </w:p>
    <w:p w14:paraId="7951798B" w14:textId="77777777" w:rsidR="0003312E" w:rsidRPr="000D7094" w:rsidRDefault="00000000">
      <w:pPr>
        <w:pStyle w:val="NormalWeb"/>
        <w:numPr>
          <w:ilvl w:val="0"/>
          <w:numId w:val="7"/>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RAE-REAL ACADEMIA ESPAÑOLA. </w:t>
      </w:r>
      <w:proofErr w:type="spellStart"/>
      <w:r>
        <w:rPr>
          <w:rFonts w:eastAsia="Segoe UI"/>
          <w:sz w:val="20"/>
          <w:szCs w:val="20"/>
          <w:shd w:val="clear" w:color="auto" w:fill="FFFFFF"/>
          <w:lang w:val="pt-BR"/>
        </w:rPr>
        <w:t>Diccionario</w:t>
      </w:r>
      <w:proofErr w:type="spellEnd"/>
      <w:r>
        <w:rPr>
          <w:rFonts w:eastAsia="Segoe UI"/>
          <w:sz w:val="20"/>
          <w:szCs w:val="20"/>
          <w:shd w:val="clear" w:color="auto" w:fill="FFFFFF"/>
          <w:lang w:val="pt-BR"/>
        </w:rPr>
        <w:t xml:space="preserve"> de </w:t>
      </w:r>
      <w:proofErr w:type="spellStart"/>
      <w:r>
        <w:rPr>
          <w:rFonts w:eastAsia="Segoe UI"/>
          <w:sz w:val="20"/>
          <w:szCs w:val="20"/>
          <w:shd w:val="clear" w:color="auto" w:fill="FFFFFF"/>
          <w:lang w:val="pt-BR"/>
        </w:rPr>
        <w:t>la</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lengua</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española</w:t>
      </w:r>
      <w:proofErr w:type="spellEnd"/>
      <w:r>
        <w:rPr>
          <w:rFonts w:eastAsia="Segoe UI"/>
          <w:sz w:val="20"/>
          <w:szCs w:val="20"/>
          <w:shd w:val="clear" w:color="auto" w:fill="FFFFFF"/>
          <w:lang w:val="pt-BR"/>
        </w:rPr>
        <w:t xml:space="preserve">. 23. ed. [Madrid]: RAE, 2014. Disponível em: </w:t>
      </w:r>
      <w:hyperlink r:id="rId69" w:tgtFrame="_new" w:history="1">
        <w:r>
          <w:rPr>
            <w:rStyle w:val="Hyperlink"/>
            <w:rFonts w:eastAsia="Segoe UI"/>
            <w:color w:val="auto"/>
            <w:sz w:val="20"/>
            <w:szCs w:val="20"/>
            <w:shd w:val="clear" w:color="auto" w:fill="FFFFFF"/>
            <w:lang w:val="pt-BR"/>
          </w:rPr>
          <w:t>https://dle.rae.es/</w:t>
        </w:r>
      </w:hyperlink>
      <w:r>
        <w:rPr>
          <w:rFonts w:eastAsia="Segoe UI"/>
          <w:sz w:val="20"/>
          <w:szCs w:val="20"/>
          <w:shd w:val="clear" w:color="auto" w:fill="FFFFFF"/>
          <w:lang w:val="pt-BR"/>
        </w:rPr>
        <w:t>.  Acesso em: 1o out. 2025.</w:t>
      </w:r>
    </w:p>
    <w:p w14:paraId="45B0B146" w14:textId="77777777" w:rsidR="0003312E" w:rsidRDefault="00000000">
      <w:pPr>
        <w:pStyle w:val="NormalWeb"/>
        <w:spacing w:beforeAutospacing="0" w:after="0" w:afterAutospacing="0" w:line="240" w:lineRule="auto"/>
        <w:jc w:val="both"/>
        <w:rPr>
          <w:rFonts w:eastAsia="Segoe UI"/>
          <w:sz w:val="20"/>
          <w:szCs w:val="20"/>
          <w:shd w:val="clear" w:color="auto" w:fill="FFFFFF"/>
          <w:lang w:val="pt-BR"/>
        </w:rPr>
      </w:pPr>
      <w:r>
        <w:rPr>
          <w:rFonts w:eastAsia="Segoe UI"/>
          <w:sz w:val="20"/>
          <w:szCs w:val="20"/>
          <w:shd w:val="clear" w:color="auto" w:fill="FFFFFF"/>
          <w:lang w:val="pt-BR"/>
        </w:rPr>
        <w:t xml:space="preserve"> </w:t>
      </w:r>
    </w:p>
    <w:p w14:paraId="268D93F0" w14:textId="77777777" w:rsidR="0003312E" w:rsidRDefault="00000000">
      <w:pPr>
        <w:pStyle w:val="NormalWeb"/>
        <w:spacing w:beforeAutospacing="0" w:after="0" w:afterAutospacing="0" w:line="360" w:lineRule="auto"/>
        <w:ind w:firstLine="709"/>
        <w:jc w:val="both"/>
        <w:rPr>
          <w:rFonts w:eastAsia="Segoe UI"/>
          <w:b/>
          <w:bCs/>
          <w:sz w:val="24"/>
          <w:shd w:val="clear" w:color="auto" w:fill="FFFFFF"/>
          <w:lang w:val="pt-BR"/>
        </w:rPr>
      </w:pPr>
      <w:r>
        <w:rPr>
          <w:rFonts w:eastAsia="Segoe UI"/>
          <w:b/>
          <w:bCs/>
          <w:sz w:val="24"/>
          <w:shd w:val="clear" w:color="auto" w:fill="FFFFFF"/>
          <w:lang w:val="pt-BR"/>
        </w:rPr>
        <w:t>Capítulo 4</w:t>
      </w:r>
    </w:p>
    <w:p w14:paraId="207118EF"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BURTON, Robert. </w:t>
      </w:r>
      <w:r>
        <w:rPr>
          <w:rFonts w:eastAsia="Segoe UI"/>
          <w:i/>
          <w:iCs/>
          <w:sz w:val="20"/>
          <w:szCs w:val="20"/>
          <w:shd w:val="clear" w:color="auto" w:fill="FFFFFF"/>
        </w:rPr>
        <w:t>The Anatomy of Melancholy</w:t>
      </w:r>
      <w:r>
        <w:rPr>
          <w:rFonts w:eastAsia="Segoe UI"/>
          <w:sz w:val="20"/>
          <w:szCs w:val="20"/>
          <w:shd w:val="clear" w:color="auto" w:fill="FFFFFF"/>
        </w:rPr>
        <w:t xml:space="preserve">. </w:t>
      </w:r>
      <w:r>
        <w:rPr>
          <w:rFonts w:eastAsia="Segoe UI"/>
          <w:sz w:val="20"/>
          <w:szCs w:val="20"/>
          <w:shd w:val="clear" w:color="auto" w:fill="FFFFFF"/>
          <w:lang w:val="pt-BR"/>
        </w:rPr>
        <w:t xml:space="preserve">Oxford: Henry </w:t>
      </w:r>
      <w:proofErr w:type="spellStart"/>
      <w:r>
        <w:rPr>
          <w:rFonts w:eastAsia="Segoe UI"/>
          <w:sz w:val="20"/>
          <w:szCs w:val="20"/>
          <w:shd w:val="clear" w:color="auto" w:fill="FFFFFF"/>
          <w:lang w:val="pt-BR"/>
        </w:rPr>
        <w:t>Cripps</w:t>
      </w:r>
      <w:proofErr w:type="spellEnd"/>
      <w:r>
        <w:rPr>
          <w:rFonts w:eastAsia="Segoe UI"/>
          <w:sz w:val="20"/>
          <w:szCs w:val="20"/>
          <w:shd w:val="clear" w:color="auto" w:fill="FFFFFF"/>
          <w:lang w:val="pt-BR"/>
        </w:rPr>
        <w:t xml:space="preserve">, 1621. Disponível em: </w:t>
      </w:r>
      <w:hyperlink r:id="rId70" w:tgtFrame="_new" w:history="1">
        <w:r>
          <w:rPr>
            <w:rStyle w:val="Hyperlink"/>
            <w:rFonts w:eastAsia="Segoe UI"/>
            <w:color w:val="auto"/>
            <w:sz w:val="20"/>
            <w:szCs w:val="20"/>
            <w:shd w:val="clear" w:color="auto" w:fill="FFFFFF"/>
            <w:lang w:val="pt-BR"/>
          </w:rPr>
          <w:t>https://www.gutenberg.org/ebooks/10800</w:t>
        </w:r>
      </w:hyperlink>
      <w:r>
        <w:rPr>
          <w:rFonts w:eastAsia="Segoe UI"/>
          <w:sz w:val="20"/>
          <w:szCs w:val="20"/>
          <w:shd w:val="clear" w:color="auto" w:fill="FFFFFF"/>
          <w:lang w:val="pt-BR"/>
        </w:rPr>
        <w:t xml:space="preserve">.  Acesso em: 1o out. 2025. </w:t>
      </w:r>
    </w:p>
    <w:p w14:paraId="2DD64BE3"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CNRTL-CENTRE NATIONAL DE RESSOURCES TEXTUELLES ET LEXICALES. </w:t>
      </w:r>
      <w:proofErr w:type="spellStart"/>
      <w:r>
        <w:rPr>
          <w:rFonts w:eastAsia="Segoe UI"/>
          <w:i/>
          <w:iCs/>
          <w:sz w:val="20"/>
          <w:szCs w:val="20"/>
          <w:shd w:val="clear" w:color="auto" w:fill="FFFFFF"/>
          <w:lang w:val="pt-BR"/>
        </w:rPr>
        <w:t>Trésor</w:t>
      </w:r>
      <w:proofErr w:type="spellEnd"/>
      <w:r>
        <w:rPr>
          <w:rFonts w:eastAsia="Segoe UI"/>
          <w:i/>
          <w:iCs/>
          <w:sz w:val="20"/>
          <w:szCs w:val="20"/>
          <w:shd w:val="clear" w:color="auto" w:fill="FFFFFF"/>
          <w:lang w:val="pt-BR"/>
        </w:rPr>
        <w:t xml:space="preserve"> de </w:t>
      </w:r>
      <w:proofErr w:type="spellStart"/>
      <w:r>
        <w:rPr>
          <w:rFonts w:eastAsia="Segoe UI"/>
          <w:i/>
          <w:iCs/>
          <w:sz w:val="20"/>
          <w:szCs w:val="20"/>
          <w:shd w:val="clear" w:color="auto" w:fill="FFFFFF"/>
          <w:lang w:val="pt-BR"/>
        </w:rPr>
        <w:t>la</w:t>
      </w:r>
      <w:proofErr w:type="spellEnd"/>
      <w:r>
        <w:rPr>
          <w:rFonts w:eastAsia="Segoe UI"/>
          <w:i/>
          <w:iCs/>
          <w:sz w:val="20"/>
          <w:szCs w:val="20"/>
          <w:shd w:val="clear" w:color="auto" w:fill="FFFFFF"/>
          <w:lang w:val="pt-BR"/>
        </w:rPr>
        <w:t xml:space="preserve"> Langue Française </w:t>
      </w:r>
      <w:proofErr w:type="spellStart"/>
      <w:r>
        <w:rPr>
          <w:rFonts w:eastAsia="Segoe UI"/>
          <w:i/>
          <w:iCs/>
          <w:sz w:val="20"/>
          <w:szCs w:val="20"/>
          <w:shd w:val="clear" w:color="auto" w:fill="FFFFFF"/>
          <w:lang w:val="pt-BR"/>
        </w:rPr>
        <w:t>informatisé</w:t>
      </w:r>
      <w:proofErr w:type="spellEnd"/>
      <w:r>
        <w:rPr>
          <w:rFonts w:eastAsia="Segoe UI"/>
          <w:sz w:val="20"/>
          <w:szCs w:val="20"/>
          <w:shd w:val="clear" w:color="auto" w:fill="FFFFFF"/>
          <w:lang w:val="pt-BR"/>
        </w:rPr>
        <w:t xml:space="preserve">. Nancy: CNRS, 2012. Disponível em: </w:t>
      </w:r>
      <w:r>
        <w:rPr>
          <w:sz w:val="20"/>
          <w:szCs w:val="20"/>
          <w:lang w:val="pt-BR"/>
        </w:rPr>
        <w:t>https://www.cnrtl.fr/etymologie/melancolie</w:t>
      </w:r>
      <w:r>
        <w:rPr>
          <w:rFonts w:eastAsia="Segoe UI"/>
          <w:sz w:val="20"/>
          <w:szCs w:val="20"/>
          <w:shd w:val="clear" w:color="auto" w:fill="FFFFFF"/>
          <w:lang w:val="pt-BR"/>
        </w:rPr>
        <w:t xml:space="preserve">.  Acesso em: 1o out. 2025. </w:t>
      </w:r>
    </w:p>
    <w:p w14:paraId="112A0CBF"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Times New Roman"/>
          <w:kern w:val="0"/>
          <w:sz w:val="20"/>
          <w:szCs w:val="20"/>
          <w:lang w:val="pt-BR" w:eastAsia="pt-BR"/>
          <w14:ligatures w14:val="none"/>
        </w:rPr>
        <w:t xml:space="preserve">DECEL - </w:t>
      </w:r>
      <w:proofErr w:type="spellStart"/>
      <w:r>
        <w:rPr>
          <w:rFonts w:eastAsia="Times New Roman"/>
          <w:kern w:val="0"/>
          <w:sz w:val="20"/>
          <w:szCs w:val="20"/>
          <w:lang w:val="pt-BR" w:eastAsia="pt-BR"/>
          <w14:ligatures w14:val="none"/>
        </w:rPr>
        <w:t>Diccionario</w:t>
      </w:r>
      <w:proofErr w:type="spellEnd"/>
      <w:r>
        <w:rPr>
          <w:rFonts w:eastAsia="Times New Roman"/>
          <w:kern w:val="0"/>
          <w:sz w:val="20"/>
          <w:szCs w:val="20"/>
          <w:lang w:val="pt-BR" w:eastAsia="pt-BR"/>
          <w14:ligatures w14:val="none"/>
        </w:rPr>
        <w:t xml:space="preserve"> Etimológico Castellano </w:t>
      </w:r>
      <w:proofErr w:type="spellStart"/>
      <w:r>
        <w:rPr>
          <w:rFonts w:eastAsia="Times New Roman"/>
          <w:kern w:val="0"/>
          <w:sz w:val="20"/>
          <w:szCs w:val="20"/>
          <w:lang w:val="pt-BR" w:eastAsia="pt-BR"/>
          <w14:ligatures w14:val="none"/>
        </w:rPr>
        <w:t>En</w:t>
      </w:r>
      <w:proofErr w:type="spellEnd"/>
      <w:r>
        <w:rPr>
          <w:rFonts w:eastAsia="Times New Roman"/>
          <w:kern w:val="0"/>
          <w:sz w:val="20"/>
          <w:szCs w:val="20"/>
          <w:lang w:val="pt-BR" w:eastAsia="pt-BR"/>
          <w14:ligatures w14:val="none"/>
        </w:rPr>
        <w:t xml:space="preserve"> Línea. Disponível em: &lt;https://etimologias.dechile.net/?</w:t>
      </w:r>
      <w:proofErr w:type="spellStart"/>
      <w:r>
        <w:rPr>
          <w:rFonts w:eastAsia="Times New Roman"/>
          <w:kern w:val="0"/>
          <w:sz w:val="20"/>
          <w:szCs w:val="20"/>
          <w:lang w:val="pt-BR" w:eastAsia="pt-BR"/>
          <w14:ligatures w14:val="none"/>
        </w:rPr>
        <w:t>melancoli.a</w:t>
      </w:r>
      <w:proofErr w:type="spellEnd"/>
      <w:r>
        <w:rPr>
          <w:rFonts w:eastAsia="Times New Roman"/>
          <w:kern w:val="0"/>
          <w:sz w:val="20"/>
          <w:szCs w:val="20"/>
          <w:lang w:val="pt-BR" w:eastAsia="pt-BR"/>
          <w14:ligatures w14:val="none"/>
        </w:rPr>
        <w:t xml:space="preserve">&gt;.  Acesso em: 1o out. 2025. </w:t>
      </w:r>
    </w:p>
    <w:p w14:paraId="1537C797"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GOWLAND, Angus. </w:t>
      </w:r>
      <w:r>
        <w:rPr>
          <w:rFonts w:eastAsia="Segoe UI"/>
          <w:i/>
          <w:iCs/>
          <w:sz w:val="20"/>
          <w:szCs w:val="20"/>
          <w:shd w:val="clear" w:color="auto" w:fill="FFFFFF"/>
        </w:rPr>
        <w:t>The Worlds of Renaissance Melancholy: Robert Burton in Context</w:t>
      </w:r>
      <w:r>
        <w:rPr>
          <w:rFonts w:eastAsia="Segoe UI"/>
          <w:sz w:val="20"/>
          <w:szCs w:val="20"/>
          <w:shd w:val="clear" w:color="auto" w:fill="FFFFFF"/>
        </w:rPr>
        <w:t xml:space="preserve">. </w:t>
      </w:r>
      <w:r>
        <w:rPr>
          <w:rFonts w:eastAsia="Segoe UI"/>
          <w:sz w:val="20"/>
          <w:szCs w:val="20"/>
          <w:shd w:val="clear" w:color="auto" w:fill="FFFFFF"/>
          <w:lang w:val="pt-BR"/>
        </w:rPr>
        <w:t xml:space="preserve">Cambridge: Cambridge </w:t>
      </w:r>
      <w:proofErr w:type="spellStart"/>
      <w:r>
        <w:rPr>
          <w:rFonts w:eastAsia="Segoe UI"/>
          <w:sz w:val="20"/>
          <w:szCs w:val="20"/>
          <w:shd w:val="clear" w:color="auto" w:fill="FFFFFF"/>
          <w:lang w:val="pt-BR"/>
        </w:rPr>
        <w:t>University</w:t>
      </w:r>
      <w:proofErr w:type="spellEnd"/>
      <w:r>
        <w:rPr>
          <w:rFonts w:eastAsia="Segoe UI"/>
          <w:sz w:val="20"/>
          <w:szCs w:val="20"/>
          <w:shd w:val="clear" w:color="auto" w:fill="FFFFFF"/>
          <w:lang w:val="pt-BR"/>
        </w:rPr>
        <w:t xml:space="preserve"> Press, 2006. Disponível em: </w:t>
      </w:r>
      <w:hyperlink r:id="rId71" w:tgtFrame="_new" w:history="1">
        <w:r>
          <w:rPr>
            <w:rStyle w:val="Hyperlink"/>
            <w:rFonts w:eastAsia="Segoe UI"/>
            <w:color w:val="auto"/>
            <w:sz w:val="20"/>
            <w:szCs w:val="20"/>
            <w:shd w:val="clear" w:color="auto" w:fill="FFFFFF"/>
            <w:lang w:val="pt-BR"/>
          </w:rPr>
          <w:t>https://www.britannica.com/biography/Robert-Burton</w:t>
        </w:r>
      </w:hyperlink>
      <w:r>
        <w:rPr>
          <w:rFonts w:eastAsia="Segoe UI"/>
          <w:sz w:val="20"/>
          <w:szCs w:val="20"/>
          <w:shd w:val="clear" w:color="auto" w:fill="FFFFFF"/>
          <w:lang w:val="pt-BR"/>
        </w:rPr>
        <w:t xml:space="preserve">.  Acesso em: 1o out. 2025. </w:t>
      </w:r>
    </w:p>
    <w:p w14:paraId="17F0BB48"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HARPER, Douglas. </w:t>
      </w:r>
      <w:r>
        <w:rPr>
          <w:rFonts w:eastAsia="Segoe UI"/>
          <w:i/>
          <w:iCs/>
          <w:sz w:val="20"/>
          <w:szCs w:val="20"/>
          <w:shd w:val="clear" w:color="auto" w:fill="FFFFFF"/>
        </w:rPr>
        <w:t>Melancholy</w:t>
      </w:r>
      <w:r>
        <w:rPr>
          <w:rFonts w:eastAsia="Segoe UI"/>
          <w:sz w:val="20"/>
          <w:szCs w:val="20"/>
          <w:shd w:val="clear" w:color="auto" w:fill="FFFFFF"/>
        </w:rPr>
        <w:t>. Online Etymology Dictionary, [</w:t>
      </w:r>
      <w:proofErr w:type="spellStart"/>
      <w:r>
        <w:rPr>
          <w:rFonts w:eastAsia="Segoe UI"/>
          <w:sz w:val="20"/>
          <w:szCs w:val="20"/>
          <w:shd w:val="clear" w:color="auto" w:fill="FFFFFF"/>
        </w:rPr>
        <w:t>S.l.</w:t>
      </w:r>
      <w:proofErr w:type="spellEnd"/>
      <w:r>
        <w:rPr>
          <w:rFonts w:eastAsia="Segoe UI"/>
          <w:sz w:val="20"/>
          <w:szCs w:val="20"/>
          <w:shd w:val="clear" w:color="auto" w:fill="FFFFFF"/>
        </w:rPr>
        <w:t>], [</w:t>
      </w:r>
      <w:proofErr w:type="spellStart"/>
      <w:r>
        <w:rPr>
          <w:rFonts w:eastAsia="Segoe UI"/>
          <w:sz w:val="20"/>
          <w:szCs w:val="20"/>
          <w:shd w:val="clear" w:color="auto" w:fill="FFFFFF"/>
        </w:rPr>
        <w:t>s.d.</w:t>
      </w:r>
      <w:proofErr w:type="spellEnd"/>
      <w:r>
        <w:rPr>
          <w:rFonts w:eastAsia="Segoe UI"/>
          <w:sz w:val="20"/>
          <w:szCs w:val="20"/>
          <w:shd w:val="clear" w:color="auto" w:fill="FFFFFF"/>
        </w:rPr>
        <w:t xml:space="preserve">]. </w:t>
      </w:r>
      <w:r>
        <w:rPr>
          <w:rFonts w:eastAsia="Segoe UI"/>
          <w:sz w:val="20"/>
          <w:szCs w:val="20"/>
          <w:shd w:val="clear" w:color="auto" w:fill="FFFFFF"/>
          <w:lang w:val="pt-BR"/>
        </w:rPr>
        <w:t xml:space="preserve">Disponível em: </w:t>
      </w:r>
      <w:hyperlink r:id="rId72" w:tgtFrame="_new" w:history="1">
        <w:r>
          <w:rPr>
            <w:rStyle w:val="Hyperlink"/>
            <w:rFonts w:eastAsia="Segoe UI"/>
            <w:color w:val="auto"/>
            <w:sz w:val="20"/>
            <w:szCs w:val="20"/>
            <w:shd w:val="clear" w:color="auto" w:fill="FFFFFF"/>
            <w:lang w:val="pt-BR"/>
          </w:rPr>
          <w:t>https://www.etymonline.com/word/melancholy</w:t>
        </w:r>
      </w:hyperlink>
      <w:r>
        <w:rPr>
          <w:rFonts w:eastAsia="Segoe UI"/>
          <w:sz w:val="20"/>
          <w:szCs w:val="20"/>
          <w:shd w:val="clear" w:color="auto" w:fill="FFFFFF"/>
          <w:lang w:val="pt-BR"/>
        </w:rPr>
        <w:t xml:space="preserve">.  Acesso em: 1o out. 2025. </w:t>
      </w:r>
    </w:p>
    <w:p w14:paraId="094D8151"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Style w:val="Forte"/>
          <w:rFonts w:ascii="Times New Roman" w:eastAsia="Segoe UI" w:hAnsi="Times New Roman" w:cs="Times New Roman"/>
          <w:b w:val="0"/>
          <w:bCs w:val="0"/>
          <w:sz w:val="20"/>
          <w:szCs w:val="20"/>
          <w:shd w:val="clear" w:color="auto" w:fill="FFFFFF"/>
          <w:lang w:val="en-US"/>
        </w:rPr>
        <w:t>LEWIS, Charlton T.; SHORT, Charles.</w:t>
      </w:r>
      <w:r>
        <w:rPr>
          <w:rFonts w:ascii="Times New Roman" w:eastAsia="Segoe UI" w:hAnsi="Times New Roman" w:cs="Times New Roman"/>
          <w:sz w:val="20"/>
          <w:szCs w:val="20"/>
          <w:shd w:val="clear" w:color="auto" w:fill="FFFFFF"/>
          <w:lang w:val="en-US"/>
        </w:rPr>
        <w:t> </w:t>
      </w:r>
      <w:r>
        <w:rPr>
          <w:rStyle w:val="nfase"/>
          <w:rFonts w:ascii="Times New Roman" w:eastAsia="Segoe UI" w:hAnsi="Times New Roman" w:cs="Times New Roman"/>
          <w:sz w:val="20"/>
          <w:szCs w:val="20"/>
          <w:shd w:val="clear" w:color="auto" w:fill="FFFFFF"/>
          <w:lang w:val="en-US"/>
        </w:rPr>
        <w:t>A Latin Dictionary.</w:t>
      </w:r>
      <w:r>
        <w:rPr>
          <w:rFonts w:ascii="Times New Roman" w:eastAsia="Segoe UI" w:hAnsi="Times New Roman" w:cs="Times New Roman"/>
          <w:sz w:val="20"/>
          <w:szCs w:val="20"/>
          <w:shd w:val="clear" w:color="auto" w:fill="FFFFFF"/>
          <w:lang w:val="en-US"/>
        </w:rPr>
        <w:t xml:space="preserve"> Oxford: Clarendon Press, 1879. </w:t>
      </w:r>
      <w:r>
        <w:rPr>
          <w:rFonts w:ascii="Times New Roman" w:eastAsia="Segoe UI" w:hAnsi="Times New Roman" w:cs="Times New Roman"/>
          <w:sz w:val="20"/>
          <w:szCs w:val="20"/>
          <w:shd w:val="clear" w:color="auto" w:fill="FFFFFF"/>
        </w:rPr>
        <w:t xml:space="preserve">Disponível em: https://www.perseus.tufts.edu/hopper/text?doc=Perseus:text:1999.04.0059:entry=melancholia&amp;highlight=melancholia. </w:t>
      </w:r>
      <w:r>
        <w:rPr>
          <w:rFonts w:ascii="Times New Roman" w:eastAsia="Segoe UI" w:hAnsi="Times New Roman" w:cs="Times New Roman"/>
          <w:sz w:val="20"/>
          <w:szCs w:val="20"/>
          <w:shd w:val="clear" w:color="auto" w:fill="FFFFFF"/>
          <w:lang w:eastAsia="zh-CN"/>
        </w:rPr>
        <w:t>Acesso em: 1o out. 2025.</w:t>
      </w:r>
    </w:p>
    <w:p w14:paraId="7D66B0D3"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RAE-REAL ACADEMIA ESPAÑOLA. </w:t>
      </w:r>
      <w:proofErr w:type="spellStart"/>
      <w:r>
        <w:rPr>
          <w:rFonts w:eastAsia="Segoe UI"/>
          <w:i/>
          <w:iCs/>
          <w:sz w:val="20"/>
          <w:szCs w:val="20"/>
          <w:shd w:val="clear" w:color="auto" w:fill="FFFFFF"/>
          <w:lang w:val="pt-BR"/>
        </w:rPr>
        <w:t>Diccionario</w:t>
      </w:r>
      <w:proofErr w:type="spellEnd"/>
      <w:r>
        <w:rPr>
          <w:rFonts w:eastAsia="Segoe UI"/>
          <w:i/>
          <w:iCs/>
          <w:sz w:val="20"/>
          <w:szCs w:val="20"/>
          <w:shd w:val="clear" w:color="auto" w:fill="FFFFFF"/>
          <w:lang w:val="pt-BR"/>
        </w:rPr>
        <w:t xml:space="preserve"> de </w:t>
      </w:r>
      <w:proofErr w:type="spellStart"/>
      <w:r>
        <w:rPr>
          <w:rFonts w:eastAsia="Segoe UI"/>
          <w:i/>
          <w:iCs/>
          <w:sz w:val="20"/>
          <w:szCs w:val="20"/>
          <w:shd w:val="clear" w:color="auto" w:fill="FFFFFF"/>
          <w:lang w:val="pt-BR"/>
        </w:rPr>
        <w:t>la</w:t>
      </w:r>
      <w:proofErr w:type="spellEnd"/>
      <w:r>
        <w:rPr>
          <w:rFonts w:eastAsia="Segoe UI"/>
          <w:i/>
          <w:iCs/>
          <w:sz w:val="20"/>
          <w:szCs w:val="20"/>
          <w:shd w:val="clear" w:color="auto" w:fill="FFFFFF"/>
          <w:lang w:val="pt-BR"/>
        </w:rPr>
        <w:t xml:space="preserve"> </w:t>
      </w:r>
      <w:proofErr w:type="spellStart"/>
      <w:r>
        <w:rPr>
          <w:rFonts w:eastAsia="Segoe UI"/>
          <w:i/>
          <w:iCs/>
          <w:sz w:val="20"/>
          <w:szCs w:val="20"/>
          <w:shd w:val="clear" w:color="auto" w:fill="FFFFFF"/>
          <w:lang w:val="pt-BR"/>
        </w:rPr>
        <w:t>lengua</w:t>
      </w:r>
      <w:proofErr w:type="spellEnd"/>
      <w:r>
        <w:rPr>
          <w:rFonts w:eastAsia="Segoe UI"/>
          <w:i/>
          <w:iCs/>
          <w:sz w:val="20"/>
          <w:szCs w:val="20"/>
          <w:shd w:val="clear" w:color="auto" w:fill="FFFFFF"/>
          <w:lang w:val="pt-BR"/>
        </w:rPr>
        <w:t xml:space="preserve"> </w:t>
      </w:r>
      <w:proofErr w:type="spellStart"/>
      <w:r>
        <w:rPr>
          <w:rFonts w:eastAsia="Segoe UI"/>
          <w:i/>
          <w:iCs/>
          <w:sz w:val="20"/>
          <w:szCs w:val="20"/>
          <w:shd w:val="clear" w:color="auto" w:fill="FFFFFF"/>
          <w:lang w:val="pt-BR"/>
        </w:rPr>
        <w:t>española</w:t>
      </w:r>
      <w:proofErr w:type="spellEnd"/>
      <w:r>
        <w:rPr>
          <w:rFonts w:eastAsia="Segoe UI"/>
          <w:sz w:val="20"/>
          <w:szCs w:val="20"/>
          <w:shd w:val="clear" w:color="auto" w:fill="FFFFFF"/>
          <w:lang w:val="pt-BR"/>
        </w:rPr>
        <w:t xml:space="preserve">. 23. ed. [Madrid]: RAE, 2014. Disponível em: </w:t>
      </w:r>
      <w:hyperlink r:id="rId73" w:tgtFrame="_new" w:history="1">
        <w:r>
          <w:rPr>
            <w:rStyle w:val="Hyperlink"/>
            <w:rFonts w:eastAsia="Segoe UI"/>
            <w:color w:val="auto"/>
            <w:sz w:val="20"/>
            <w:szCs w:val="20"/>
            <w:shd w:val="clear" w:color="auto" w:fill="FFFFFF"/>
            <w:lang w:val="pt-BR"/>
          </w:rPr>
          <w:t>https://dle.rae.es/</w:t>
        </w:r>
      </w:hyperlink>
      <w:r>
        <w:rPr>
          <w:rFonts w:eastAsia="Segoe UI"/>
          <w:sz w:val="20"/>
          <w:szCs w:val="20"/>
          <w:shd w:val="clear" w:color="auto" w:fill="FFFFFF"/>
          <w:lang w:val="pt-BR"/>
        </w:rPr>
        <w:t xml:space="preserve">.  Acesso em: 1o out. 2025. </w:t>
      </w:r>
    </w:p>
    <w:p w14:paraId="679A9BE4" w14:textId="77777777" w:rsidR="0003312E" w:rsidRDefault="00000000">
      <w:pPr>
        <w:pStyle w:val="NormalWeb"/>
        <w:numPr>
          <w:ilvl w:val="0"/>
          <w:numId w:val="8"/>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lastRenderedPageBreak/>
        <w:t xml:space="preserve">SCULL, Andrew. </w:t>
      </w:r>
      <w:r>
        <w:rPr>
          <w:rFonts w:eastAsia="Segoe UI"/>
          <w:i/>
          <w:iCs/>
          <w:sz w:val="20"/>
          <w:szCs w:val="20"/>
          <w:shd w:val="clear" w:color="auto" w:fill="FFFFFF"/>
        </w:rPr>
        <w:t>Robert Burton and the melancholy tradition</w:t>
      </w:r>
      <w:r>
        <w:rPr>
          <w:rFonts w:eastAsia="Segoe UI"/>
          <w:sz w:val="20"/>
          <w:szCs w:val="20"/>
          <w:shd w:val="clear" w:color="auto" w:fill="FFFFFF"/>
        </w:rPr>
        <w:t xml:space="preserve">. </w:t>
      </w:r>
      <w:r>
        <w:rPr>
          <w:rFonts w:eastAsia="Segoe UI"/>
          <w:i/>
          <w:iCs/>
          <w:sz w:val="20"/>
          <w:szCs w:val="20"/>
          <w:shd w:val="clear" w:color="auto" w:fill="FFFFFF"/>
        </w:rPr>
        <w:t>History of Psychiatry</w:t>
      </w:r>
      <w:r>
        <w:rPr>
          <w:rFonts w:eastAsia="Segoe UI"/>
          <w:sz w:val="20"/>
          <w:szCs w:val="20"/>
          <w:shd w:val="clear" w:color="auto" w:fill="FFFFFF"/>
        </w:rPr>
        <w:t xml:space="preserve">, v. 22, n. 3, p. 319 - 334, 2011. </w:t>
      </w:r>
      <w:r>
        <w:rPr>
          <w:rFonts w:eastAsia="Segoe UI"/>
          <w:sz w:val="20"/>
          <w:szCs w:val="20"/>
          <w:shd w:val="clear" w:color="auto" w:fill="FFFFFF"/>
          <w:lang w:val="pt-BR"/>
        </w:rPr>
        <w:t xml:space="preserve">Disponível em: </w:t>
      </w:r>
      <w:hyperlink r:id="rId74" w:tgtFrame="_new" w:history="1">
        <w:r>
          <w:rPr>
            <w:rStyle w:val="Hyperlink"/>
            <w:rFonts w:eastAsia="Segoe UI"/>
            <w:color w:val="auto"/>
            <w:sz w:val="20"/>
            <w:szCs w:val="20"/>
            <w:shd w:val="clear" w:color="auto" w:fill="FFFFFF"/>
            <w:lang w:val="pt-BR"/>
          </w:rPr>
          <w:t>https://journals.sagepub.com/doi/pdf/10.1177/0957154X11408725</w:t>
        </w:r>
      </w:hyperlink>
      <w:r>
        <w:rPr>
          <w:rFonts w:eastAsia="Segoe UI"/>
          <w:sz w:val="20"/>
          <w:szCs w:val="20"/>
          <w:shd w:val="clear" w:color="auto" w:fill="FFFFFF"/>
          <w:lang w:val="pt-BR"/>
        </w:rPr>
        <w:t xml:space="preserve">.  Acesso em: 1o out. 2025. </w:t>
      </w:r>
    </w:p>
    <w:p w14:paraId="315B62CE"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19EA3EAC" w14:textId="77777777" w:rsidR="0003312E" w:rsidRDefault="00000000">
      <w:pPr>
        <w:spacing w:after="0" w:line="360" w:lineRule="auto"/>
        <w:ind w:firstLine="709"/>
        <w:jc w:val="both"/>
        <w:rPr>
          <w:rFonts w:ascii="Times New Roman" w:hAnsi="Times New Roman" w:cs="Times New Roman"/>
          <w:b/>
          <w:bCs/>
          <w:sz w:val="24"/>
          <w:szCs w:val="24"/>
        </w:rPr>
      </w:pPr>
      <w:r>
        <w:rPr>
          <w:rFonts w:ascii="Times New Roman" w:eastAsia="Segoe UI" w:hAnsi="Times New Roman" w:cs="Times New Roman"/>
          <w:b/>
          <w:bCs/>
          <w:sz w:val="24"/>
          <w:szCs w:val="24"/>
          <w:shd w:val="clear" w:color="auto" w:fill="FFFFFF"/>
          <w:lang w:eastAsia="zh-CN"/>
        </w:rPr>
        <w:t>Capítulo 5</w:t>
      </w:r>
    </w:p>
    <w:p w14:paraId="4A730B0D"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CNRTL-CENTRE NATIONAL DE RESSOURCES TEXTUELLES ET LEXICALES. </w:t>
      </w:r>
      <w:proofErr w:type="spellStart"/>
      <w:r>
        <w:rPr>
          <w:rFonts w:ascii="Times New Roman" w:eastAsia="Segoe UI" w:hAnsi="Times New Roman" w:cs="Times New Roman"/>
          <w:sz w:val="20"/>
          <w:szCs w:val="20"/>
          <w:shd w:val="clear" w:color="auto" w:fill="FFFFFF"/>
          <w:lang w:eastAsia="zh-CN"/>
        </w:rPr>
        <w:t>Trésor</w:t>
      </w:r>
      <w:proofErr w:type="spellEnd"/>
      <w:r>
        <w:rPr>
          <w:rFonts w:ascii="Times New Roman" w:eastAsia="Segoe UI" w:hAnsi="Times New Roman" w:cs="Times New Roman"/>
          <w:sz w:val="20"/>
          <w:szCs w:val="20"/>
          <w:shd w:val="clear" w:color="auto" w:fill="FFFFFF"/>
          <w:lang w:eastAsia="zh-CN"/>
        </w:rPr>
        <w:t xml:space="preserve"> de </w:t>
      </w:r>
      <w:proofErr w:type="spellStart"/>
      <w:r>
        <w:rPr>
          <w:rFonts w:ascii="Times New Roman" w:eastAsia="Segoe UI" w:hAnsi="Times New Roman" w:cs="Times New Roman"/>
          <w:sz w:val="20"/>
          <w:szCs w:val="20"/>
          <w:shd w:val="clear" w:color="auto" w:fill="FFFFFF"/>
          <w:lang w:eastAsia="zh-CN"/>
        </w:rPr>
        <w:t>la</w:t>
      </w:r>
      <w:proofErr w:type="spellEnd"/>
      <w:r>
        <w:rPr>
          <w:rFonts w:ascii="Times New Roman" w:eastAsia="Segoe UI" w:hAnsi="Times New Roman" w:cs="Times New Roman"/>
          <w:sz w:val="20"/>
          <w:szCs w:val="20"/>
          <w:shd w:val="clear" w:color="auto" w:fill="FFFFFF"/>
          <w:lang w:eastAsia="zh-CN"/>
        </w:rPr>
        <w:t xml:space="preserve"> Langue Française </w:t>
      </w:r>
      <w:proofErr w:type="spellStart"/>
      <w:r>
        <w:rPr>
          <w:rFonts w:ascii="Times New Roman" w:eastAsia="Segoe UI" w:hAnsi="Times New Roman" w:cs="Times New Roman"/>
          <w:sz w:val="20"/>
          <w:szCs w:val="20"/>
          <w:shd w:val="clear" w:color="auto" w:fill="FFFFFF"/>
          <w:lang w:eastAsia="zh-CN"/>
        </w:rPr>
        <w:t>informatisé</w:t>
      </w:r>
      <w:proofErr w:type="spellEnd"/>
      <w:r>
        <w:rPr>
          <w:rFonts w:ascii="Times New Roman" w:eastAsia="Segoe UI" w:hAnsi="Times New Roman" w:cs="Times New Roman"/>
          <w:sz w:val="20"/>
          <w:szCs w:val="20"/>
          <w:shd w:val="clear" w:color="auto" w:fill="FFFFFF"/>
          <w:lang w:eastAsia="zh-CN"/>
        </w:rPr>
        <w:t xml:space="preserve">. Nancy: CNRS, 2012. Disponível em: </w:t>
      </w:r>
      <w:r>
        <w:rPr>
          <w:rFonts w:ascii="Times New Roman" w:hAnsi="Times New Roman" w:cs="Times New Roman"/>
          <w:sz w:val="20"/>
          <w:szCs w:val="20"/>
        </w:rPr>
        <w:t>https://www.cnrtl.fr/etymologie/extase</w:t>
      </w:r>
      <w:r>
        <w:rPr>
          <w:rFonts w:ascii="Times New Roman" w:eastAsia="Segoe UI" w:hAnsi="Times New Roman" w:cs="Times New Roman"/>
          <w:sz w:val="20"/>
          <w:szCs w:val="20"/>
          <w:shd w:val="clear" w:color="auto" w:fill="FFFFFF"/>
          <w:lang w:eastAsia="zh-CN"/>
        </w:rPr>
        <w:t xml:space="preserve">.  Acesso em: 1o out. 2025. </w:t>
      </w:r>
    </w:p>
    <w:p w14:paraId="3A7BBEE6"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Times New Roman" w:hAnsi="Times New Roman" w:cs="Times New Roman"/>
          <w:kern w:val="0"/>
          <w:sz w:val="20"/>
          <w:szCs w:val="20"/>
          <w:lang w:eastAsia="pt-BR"/>
          <w14:ligatures w14:val="none"/>
        </w:rPr>
        <w:t xml:space="preserve">DECEL - </w:t>
      </w:r>
      <w:proofErr w:type="spellStart"/>
      <w:r>
        <w:rPr>
          <w:rFonts w:ascii="Times New Roman" w:eastAsia="Times New Roman" w:hAnsi="Times New Roman" w:cs="Times New Roman"/>
          <w:kern w:val="0"/>
          <w:sz w:val="20"/>
          <w:szCs w:val="20"/>
          <w:lang w:eastAsia="pt-BR"/>
          <w14:ligatures w14:val="none"/>
        </w:rPr>
        <w:t>Diccionario</w:t>
      </w:r>
      <w:proofErr w:type="spellEnd"/>
      <w:r>
        <w:rPr>
          <w:rFonts w:ascii="Times New Roman" w:eastAsia="Times New Roman" w:hAnsi="Times New Roman" w:cs="Times New Roman"/>
          <w:kern w:val="0"/>
          <w:sz w:val="20"/>
          <w:szCs w:val="20"/>
          <w:lang w:eastAsia="pt-BR"/>
          <w14:ligatures w14:val="none"/>
        </w:rPr>
        <w:t xml:space="preserve"> Etimológico Castellano </w:t>
      </w:r>
      <w:proofErr w:type="spellStart"/>
      <w:r>
        <w:rPr>
          <w:rFonts w:ascii="Times New Roman" w:eastAsia="Times New Roman" w:hAnsi="Times New Roman" w:cs="Times New Roman"/>
          <w:kern w:val="0"/>
          <w:sz w:val="20"/>
          <w:szCs w:val="20"/>
          <w:lang w:eastAsia="pt-BR"/>
          <w14:ligatures w14:val="none"/>
        </w:rPr>
        <w:t>En</w:t>
      </w:r>
      <w:proofErr w:type="spellEnd"/>
      <w:r>
        <w:rPr>
          <w:rFonts w:ascii="Times New Roman" w:eastAsia="Times New Roman" w:hAnsi="Times New Roman" w:cs="Times New Roman"/>
          <w:kern w:val="0"/>
          <w:sz w:val="20"/>
          <w:szCs w:val="20"/>
          <w:lang w:eastAsia="pt-BR"/>
          <w14:ligatures w14:val="none"/>
        </w:rPr>
        <w:t xml:space="preserve"> Línea. Disponível em: &lt;</w:t>
      </w:r>
      <w:hyperlink r:id="rId75" w:tgtFrame="_new" w:history="1">
        <w:r>
          <w:rPr>
            <w:rStyle w:val="Hyperlink"/>
            <w:rFonts w:ascii="Times New Roman" w:eastAsia="Segoe UI" w:hAnsi="Times New Roman" w:cs="Times New Roman"/>
            <w:color w:val="auto"/>
            <w:sz w:val="20"/>
            <w:szCs w:val="20"/>
            <w:shd w:val="clear" w:color="auto" w:fill="FFFFFF"/>
            <w:lang w:eastAsia="zh-CN"/>
          </w:rPr>
          <w:t>https://etimologias.dechile.net/?e.xtasis</w:t>
        </w:r>
      </w:hyperlink>
      <w:r>
        <w:rPr>
          <w:rFonts w:ascii="Times New Roman" w:eastAsia="Segoe UI" w:hAnsi="Times New Roman" w:cs="Times New Roman"/>
          <w:sz w:val="20"/>
          <w:szCs w:val="20"/>
          <w:shd w:val="clear" w:color="auto" w:fill="FFFFFF"/>
          <w:lang w:eastAsia="zh-CN"/>
        </w:rPr>
        <w:t xml:space="preserve">. </w:t>
      </w:r>
      <w:r>
        <w:rPr>
          <w:rFonts w:ascii="Times New Roman" w:eastAsia="Times New Roman" w:hAnsi="Times New Roman" w:cs="Times New Roman"/>
          <w:kern w:val="0"/>
          <w:sz w:val="20"/>
          <w:szCs w:val="20"/>
          <w:lang w:eastAsia="pt-BR"/>
          <w14:ligatures w14:val="none"/>
        </w:rPr>
        <w:t xml:space="preserve">&gt;.  Acesso em: 1o out. 2025. </w:t>
      </w:r>
    </w:p>
    <w:p w14:paraId="38575AD7"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HARPER, Douglas. Online Etymology Dictionary. </w:t>
      </w:r>
      <w:r>
        <w:rPr>
          <w:rFonts w:ascii="Times New Roman" w:eastAsia="Segoe UI" w:hAnsi="Times New Roman" w:cs="Times New Roman"/>
          <w:sz w:val="20"/>
          <w:szCs w:val="20"/>
          <w:shd w:val="clear" w:color="auto" w:fill="FFFFFF"/>
          <w:lang w:eastAsia="zh-CN"/>
        </w:rPr>
        <w:t xml:space="preserve">2001-2024. Disponível em: </w:t>
      </w:r>
      <w:hyperlink r:id="rId76" w:tgtFrame="_new" w:history="1">
        <w:r>
          <w:rPr>
            <w:rStyle w:val="Hyperlink"/>
            <w:rFonts w:ascii="Times New Roman" w:eastAsia="Segoe UI" w:hAnsi="Times New Roman" w:cs="Times New Roman"/>
            <w:color w:val="auto"/>
            <w:sz w:val="20"/>
            <w:szCs w:val="20"/>
            <w:shd w:val="clear" w:color="auto" w:fill="FFFFFF"/>
            <w:lang w:eastAsia="zh-CN"/>
          </w:rPr>
          <w:t>https://www.etymonline.com/word/ecstasy</w:t>
        </w:r>
      </w:hyperlink>
      <w:r>
        <w:rPr>
          <w:rFonts w:ascii="Times New Roman" w:eastAsia="Segoe UI" w:hAnsi="Times New Roman" w:cs="Times New Roman"/>
          <w:sz w:val="20"/>
          <w:szCs w:val="20"/>
          <w:shd w:val="clear" w:color="auto" w:fill="FFFFFF"/>
          <w:lang w:eastAsia="zh-CN"/>
        </w:rPr>
        <w:t xml:space="preserve">..  Acesso em: 1o out. 2025. </w:t>
      </w:r>
    </w:p>
    <w:p w14:paraId="0A44C96B"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NEWBERG, Andrew; LEE, Bruce. The neuroscientific study of religious and spiritual phenomena. </w:t>
      </w:r>
      <w:proofErr w:type="spellStart"/>
      <w:r>
        <w:rPr>
          <w:rFonts w:ascii="Times New Roman" w:eastAsia="Segoe UI" w:hAnsi="Times New Roman" w:cs="Times New Roman"/>
          <w:sz w:val="20"/>
          <w:szCs w:val="20"/>
          <w:shd w:val="clear" w:color="auto" w:fill="FFFFFF"/>
          <w:lang w:eastAsia="zh-CN"/>
        </w:rPr>
        <w:t>Zygon</w:t>
      </w:r>
      <w:proofErr w:type="spellEnd"/>
      <w:r>
        <w:rPr>
          <w:rFonts w:ascii="Times New Roman" w:eastAsia="Segoe UI" w:hAnsi="Times New Roman" w:cs="Times New Roman"/>
          <w:sz w:val="20"/>
          <w:szCs w:val="20"/>
          <w:shd w:val="clear" w:color="auto" w:fill="FFFFFF"/>
          <w:lang w:eastAsia="zh-CN"/>
        </w:rPr>
        <w:t xml:space="preserve">, v. 40, n. 2, p. 469 - 490, 2005. Disponível em: </w:t>
      </w:r>
      <w:hyperlink r:id="rId77" w:tgtFrame="_new" w:history="1">
        <w:r>
          <w:rPr>
            <w:rStyle w:val="Hyperlink"/>
            <w:rFonts w:ascii="Times New Roman" w:eastAsia="Segoe UI" w:hAnsi="Times New Roman" w:cs="Times New Roman"/>
            <w:color w:val="auto"/>
            <w:sz w:val="20"/>
            <w:szCs w:val="20"/>
            <w:shd w:val="clear" w:color="auto" w:fill="FFFFFF"/>
            <w:lang w:eastAsia="zh-CN"/>
          </w:rPr>
          <w:t>https://onlinelibrary.wiley.com/doi/pdf/10.1111/j.1467-9744.2005.00679.x</w:t>
        </w:r>
      </w:hyperlink>
      <w:r>
        <w:rPr>
          <w:rFonts w:ascii="Times New Roman" w:eastAsia="Segoe UI" w:hAnsi="Times New Roman" w:cs="Times New Roman"/>
          <w:sz w:val="20"/>
          <w:szCs w:val="20"/>
          <w:shd w:val="clear" w:color="auto" w:fill="FFFFFF"/>
          <w:lang w:eastAsia="zh-CN"/>
        </w:rPr>
        <w:t xml:space="preserve">.  Acesso em: 1o out. 2025. </w:t>
      </w:r>
    </w:p>
    <w:p w14:paraId="0BEFC326"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RAE-REAL ACADEMIA ESPAÑOLA. </w:t>
      </w:r>
      <w:proofErr w:type="spellStart"/>
      <w:r>
        <w:rPr>
          <w:rFonts w:ascii="Times New Roman" w:eastAsia="Segoe UI" w:hAnsi="Times New Roman" w:cs="Times New Roman"/>
          <w:sz w:val="20"/>
          <w:szCs w:val="20"/>
          <w:shd w:val="clear" w:color="auto" w:fill="FFFFFF"/>
          <w:lang w:eastAsia="zh-CN"/>
        </w:rPr>
        <w:t>Diccionario</w:t>
      </w:r>
      <w:proofErr w:type="spellEnd"/>
      <w:r>
        <w:rPr>
          <w:rFonts w:ascii="Times New Roman" w:eastAsia="Segoe UI" w:hAnsi="Times New Roman" w:cs="Times New Roman"/>
          <w:sz w:val="20"/>
          <w:szCs w:val="20"/>
          <w:shd w:val="clear" w:color="auto" w:fill="FFFFFF"/>
          <w:lang w:eastAsia="zh-CN"/>
        </w:rPr>
        <w:t xml:space="preserve"> de </w:t>
      </w:r>
      <w:proofErr w:type="spellStart"/>
      <w:r>
        <w:rPr>
          <w:rFonts w:ascii="Times New Roman" w:eastAsia="Segoe UI" w:hAnsi="Times New Roman" w:cs="Times New Roman"/>
          <w:sz w:val="20"/>
          <w:szCs w:val="20"/>
          <w:shd w:val="clear" w:color="auto" w:fill="FFFFFF"/>
          <w:lang w:eastAsia="zh-CN"/>
        </w:rPr>
        <w:t>la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lengua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española</w:t>
      </w:r>
      <w:proofErr w:type="spellEnd"/>
      <w:r>
        <w:rPr>
          <w:rFonts w:ascii="Times New Roman" w:eastAsia="Segoe UI" w:hAnsi="Times New Roman" w:cs="Times New Roman"/>
          <w:sz w:val="20"/>
          <w:szCs w:val="20"/>
          <w:shd w:val="clear" w:color="auto" w:fill="FFFFFF"/>
          <w:lang w:eastAsia="zh-CN"/>
        </w:rPr>
        <w:t xml:space="preserve">. 23. ed. [Madrid]: RAE, 2014. Disponível em: </w:t>
      </w:r>
      <w:r>
        <w:rPr>
          <w:rFonts w:ascii="Times New Roman" w:hAnsi="Times New Roman" w:cs="Times New Roman"/>
          <w:sz w:val="20"/>
          <w:szCs w:val="20"/>
        </w:rPr>
        <w:t>https://dle.rae.es/éxtasis?m=form</w:t>
      </w:r>
      <w:r>
        <w:rPr>
          <w:rFonts w:ascii="Times New Roman" w:eastAsia="Segoe UI" w:hAnsi="Times New Roman" w:cs="Times New Roman"/>
          <w:sz w:val="20"/>
          <w:szCs w:val="20"/>
          <w:shd w:val="clear" w:color="auto" w:fill="FFFFFF"/>
          <w:lang w:eastAsia="zh-CN"/>
        </w:rPr>
        <w:t xml:space="preserve">.  Acesso em: 1o out. 2025. </w:t>
      </w:r>
    </w:p>
    <w:p w14:paraId="081E41E7"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TERESA DE ÁVILA, Santa. The Life </w:t>
      </w:r>
      <w:proofErr w:type="spellStart"/>
      <w:r>
        <w:rPr>
          <w:rFonts w:ascii="Times New Roman" w:eastAsia="Segoe UI" w:hAnsi="Times New Roman" w:cs="Times New Roman"/>
          <w:sz w:val="20"/>
          <w:szCs w:val="20"/>
          <w:shd w:val="clear" w:color="auto" w:fill="FFFFFF"/>
          <w:lang w:eastAsia="zh-CN"/>
        </w:rPr>
        <w:t>of</w:t>
      </w:r>
      <w:proofErr w:type="spellEnd"/>
      <w:r>
        <w:rPr>
          <w:rFonts w:ascii="Times New Roman" w:eastAsia="Segoe UI" w:hAnsi="Times New Roman" w:cs="Times New Roman"/>
          <w:sz w:val="20"/>
          <w:szCs w:val="20"/>
          <w:shd w:val="clear" w:color="auto" w:fill="FFFFFF"/>
          <w:lang w:eastAsia="zh-CN"/>
        </w:rPr>
        <w:t xml:space="preserve"> St. Teresa </w:t>
      </w:r>
      <w:proofErr w:type="spellStart"/>
      <w:r>
        <w:rPr>
          <w:rFonts w:ascii="Times New Roman" w:eastAsia="Segoe UI" w:hAnsi="Times New Roman" w:cs="Times New Roman"/>
          <w:sz w:val="20"/>
          <w:szCs w:val="20"/>
          <w:shd w:val="clear" w:color="auto" w:fill="FFFFFF"/>
          <w:lang w:eastAsia="zh-CN"/>
        </w:rPr>
        <w:t>of</w:t>
      </w:r>
      <w:proofErr w:type="spellEnd"/>
      <w:r>
        <w:rPr>
          <w:rFonts w:ascii="Times New Roman" w:eastAsia="Segoe UI" w:hAnsi="Times New Roman" w:cs="Times New Roman"/>
          <w:sz w:val="20"/>
          <w:szCs w:val="20"/>
          <w:shd w:val="clear" w:color="auto" w:fill="FFFFFF"/>
          <w:lang w:eastAsia="zh-CN"/>
        </w:rPr>
        <w:t xml:space="preserve"> Jesus. Tradução de David Lewis. London: Thomas Baker, 1904. Disponível em: </w:t>
      </w:r>
      <w:hyperlink r:id="rId78" w:tgtFrame="_new" w:history="1">
        <w:r>
          <w:rPr>
            <w:rStyle w:val="Hyperlink"/>
            <w:rFonts w:ascii="Times New Roman" w:eastAsia="Segoe UI" w:hAnsi="Times New Roman" w:cs="Times New Roman"/>
            <w:color w:val="auto"/>
            <w:sz w:val="20"/>
            <w:szCs w:val="20"/>
            <w:shd w:val="clear" w:color="auto" w:fill="FFFFFF"/>
            <w:lang w:eastAsia="zh-CN"/>
          </w:rPr>
          <w:t>https://www.gutenberg.org/files/8120/8120-h/8120-h.htm</w:t>
        </w:r>
      </w:hyperlink>
      <w:r>
        <w:rPr>
          <w:rFonts w:ascii="Times New Roman" w:eastAsia="Segoe UI" w:hAnsi="Times New Roman" w:cs="Times New Roman"/>
          <w:sz w:val="20"/>
          <w:szCs w:val="20"/>
          <w:shd w:val="clear" w:color="auto" w:fill="FFFFFF"/>
          <w:lang w:eastAsia="zh-CN"/>
        </w:rPr>
        <w:t xml:space="preserve">.  Acesso em: 1o out. 2025. </w:t>
      </w:r>
    </w:p>
    <w:p w14:paraId="0BD2FE22" w14:textId="77777777" w:rsidR="0003312E" w:rsidRDefault="00000000">
      <w:pPr>
        <w:pStyle w:val="PargrafodaLista"/>
        <w:numPr>
          <w:ilvl w:val="0"/>
          <w:numId w:val="9"/>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TWOMEY, Lesley. St Teresa of Avila: Her Writings and Life. </w:t>
      </w:r>
      <w:r>
        <w:rPr>
          <w:rFonts w:ascii="Times New Roman" w:eastAsia="Segoe UI" w:hAnsi="Times New Roman" w:cs="Times New Roman"/>
          <w:sz w:val="20"/>
          <w:szCs w:val="20"/>
          <w:shd w:val="clear" w:color="auto" w:fill="FFFFFF"/>
          <w:lang w:eastAsia="zh-CN"/>
        </w:rPr>
        <w:t xml:space="preserve">Cambridge: Legenda </w:t>
      </w:r>
      <w:proofErr w:type="spellStart"/>
      <w:r>
        <w:rPr>
          <w:rFonts w:ascii="Times New Roman" w:eastAsia="Segoe UI" w:hAnsi="Times New Roman" w:cs="Times New Roman"/>
          <w:sz w:val="20"/>
          <w:szCs w:val="20"/>
          <w:shd w:val="clear" w:color="auto" w:fill="FFFFFF"/>
          <w:lang w:eastAsia="zh-CN"/>
        </w:rPr>
        <w:t>eBooks</w:t>
      </w:r>
      <w:proofErr w:type="spellEnd"/>
      <w:r>
        <w:rPr>
          <w:rFonts w:ascii="Times New Roman" w:eastAsia="Segoe UI" w:hAnsi="Times New Roman" w:cs="Times New Roman"/>
          <w:sz w:val="20"/>
          <w:szCs w:val="20"/>
          <w:shd w:val="clear" w:color="auto" w:fill="FFFFFF"/>
          <w:lang w:eastAsia="zh-CN"/>
        </w:rPr>
        <w:t xml:space="preserve">, 2018. Disponível em: </w:t>
      </w:r>
      <w:hyperlink r:id="rId79" w:tgtFrame="_new" w:history="1">
        <w:r>
          <w:rPr>
            <w:rStyle w:val="Hyperlink"/>
            <w:rFonts w:ascii="Times New Roman" w:eastAsia="Segoe UI" w:hAnsi="Times New Roman" w:cs="Times New Roman"/>
            <w:color w:val="auto"/>
            <w:sz w:val="20"/>
            <w:szCs w:val="20"/>
            <w:shd w:val="clear" w:color="auto" w:fill="FFFFFF"/>
            <w:lang w:eastAsia="zh-CN"/>
          </w:rPr>
          <w:t>https://www.academia.edu/121940119/St_Teresa_of_Avila_Her_Writings_and_Life</w:t>
        </w:r>
      </w:hyperlink>
      <w:r>
        <w:rPr>
          <w:rFonts w:ascii="Times New Roman" w:eastAsia="Segoe UI" w:hAnsi="Times New Roman" w:cs="Times New Roman"/>
          <w:sz w:val="20"/>
          <w:szCs w:val="20"/>
          <w:shd w:val="clear" w:color="auto" w:fill="FFFFFF"/>
          <w:lang w:eastAsia="zh-CN"/>
        </w:rPr>
        <w:t xml:space="preserve">.  Acesso em: 1o out. 2025. </w:t>
      </w:r>
    </w:p>
    <w:p w14:paraId="386C0F35" w14:textId="77777777" w:rsidR="0003312E" w:rsidRDefault="0003312E">
      <w:pPr>
        <w:spacing w:after="0" w:line="240" w:lineRule="auto"/>
        <w:jc w:val="both"/>
        <w:rPr>
          <w:rFonts w:ascii="Times New Roman" w:eastAsia="Segoe UI" w:hAnsi="Times New Roman" w:cs="Times New Roman"/>
          <w:sz w:val="20"/>
          <w:szCs w:val="20"/>
          <w:shd w:val="clear" w:color="auto" w:fill="FFFFFF"/>
          <w:lang w:val="en-US" w:eastAsia="zh-CN"/>
        </w:rPr>
      </w:pPr>
    </w:p>
    <w:p w14:paraId="24902837" w14:textId="77777777" w:rsidR="0003312E" w:rsidRDefault="00000000">
      <w:pPr>
        <w:pStyle w:val="NormalWeb"/>
        <w:spacing w:beforeAutospacing="0" w:after="0" w:afterAutospacing="0" w:line="360" w:lineRule="auto"/>
        <w:ind w:firstLine="709"/>
        <w:jc w:val="both"/>
        <w:rPr>
          <w:rFonts w:eastAsia="Segoe UI"/>
          <w:b/>
          <w:bCs/>
          <w:sz w:val="24"/>
          <w:shd w:val="clear" w:color="auto" w:fill="FFFFFF"/>
          <w:lang w:val="pt-BR"/>
        </w:rPr>
      </w:pPr>
      <w:r>
        <w:rPr>
          <w:rFonts w:eastAsia="Segoe UI"/>
          <w:b/>
          <w:bCs/>
          <w:sz w:val="24"/>
          <w:shd w:val="clear" w:color="auto" w:fill="FFFFFF"/>
          <w:lang w:val="pt-BR"/>
        </w:rPr>
        <w:t>Capítulo 6</w:t>
      </w:r>
    </w:p>
    <w:p w14:paraId="49639627"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CNRTL-CENTRE NATIONAL DE RESSOURCES TEXTUELLES ET LEXICALES. </w:t>
      </w:r>
      <w:proofErr w:type="spellStart"/>
      <w:r>
        <w:rPr>
          <w:rFonts w:eastAsia="Segoe UI"/>
          <w:sz w:val="20"/>
          <w:szCs w:val="20"/>
          <w:shd w:val="clear" w:color="auto" w:fill="FFFFFF"/>
          <w:lang w:val="pt-BR"/>
        </w:rPr>
        <w:t>Trésor</w:t>
      </w:r>
      <w:proofErr w:type="spellEnd"/>
      <w:r>
        <w:rPr>
          <w:rFonts w:eastAsia="Segoe UI"/>
          <w:sz w:val="20"/>
          <w:szCs w:val="20"/>
          <w:shd w:val="clear" w:color="auto" w:fill="FFFFFF"/>
          <w:lang w:val="pt-BR"/>
        </w:rPr>
        <w:t xml:space="preserve"> de </w:t>
      </w:r>
      <w:proofErr w:type="spellStart"/>
      <w:r>
        <w:rPr>
          <w:rFonts w:eastAsia="Segoe UI"/>
          <w:sz w:val="20"/>
          <w:szCs w:val="20"/>
          <w:shd w:val="clear" w:color="auto" w:fill="FFFFFF"/>
          <w:lang w:val="pt-BR"/>
        </w:rPr>
        <w:t>la</w:t>
      </w:r>
      <w:proofErr w:type="spellEnd"/>
      <w:r>
        <w:rPr>
          <w:rFonts w:eastAsia="Segoe UI"/>
          <w:sz w:val="20"/>
          <w:szCs w:val="20"/>
          <w:shd w:val="clear" w:color="auto" w:fill="FFFFFF"/>
          <w:lang w:val="pt-BR"/>
        </w:rPr>
        <w:t xml:space="preserve"> Langue Française </w:t>
      </w:r>
      <w:proofErr w:type="spellStart"/>
      <w:r>
        <w:rPr>
          <w:rFonts w:eastAsia="Segoe UI"/>
          <w:sz w:val="20"/>
          <w:szCs w:val="20"/>
          <w:shd w:val="clear" w:color="auto" w:fill="FFFFFF"/>
          <w:lang w:val="pt-BR"/>
        </w:rPr>
        <w:t>informatisé</w:t>
      </w:r>
      <w:proofErr w:type="spellEnd"/>
      <w:r>
        <w:rPr>
          <w:rFonts w:eastAsia="Segoe UI"/>
          <w:sz w:val="20"/>
          <w:szCs w:val="20"/>
          <w:shd w:val="clear" w:color="auto" w:fill="FFFFFF"/>
          <w:lang w:val="pt-BR"/>
        </w:rPr>
        <w:t xml:space="preserve">. Nancy: CNRS, 2012. Disponível em: </w:t>
      </w:r>
      <w:r>
        <w:rPr>
          <w:sz w:val="20"/>
          <w:szCs w:val="20"/>
          <w:lang w:val="pt-BR"/>
        </w:rPr>
        <w:t>https://www.cnrtl.fr/etymologie/delire</w:t>
      </w:r>
      <w:r>
        <w:rPr>
          <w:rFonts w:eastAsia="Segoe UI"/>
          <w:sz w:val="20"/>
          <w:szCs w:val="20"/>
          <w:shd w:val="clear" w:color="auto" w:fill="FFFFFF"/>
          <w:lang w:val="pt-BR"/>
        </w:rPr>
        <w:t xml:space="preserve">.  Acesso em: 1o out. 2025. </w:t>
      </w:r>
    </w:p>
    <w:p w14:paraId="0C843DA6"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Times New Roman"/>
          <w:kern w:val="0"/>
          <w:sz w:val="20"/>
          <w:szCs w:val="20"/>
          <w:lang w:val="pt-BR" w:eastAsia="pt-BR"/>
          <w14:ligatures w14:val="none"/>
        </w:rPr>
        <w:t xml:space="preserve">DECEL - </w:t>
      </w:r>
      <w:proofErr w:type="spellStart"/>
      <w:r>
        <w:rPr>
          <w:rFonts w:eastAsia="Times New Roman"/>
          <w:kern w:val="0"/>
          <w:sz w:val="20"/>
          <w:szCs w:val="20"/>
          <w:lang w:val="pt-BR" w:eastAsia="pt-BR"/>
          <w14:ligatures w14:val="none"/>
        </w:rPr>
        <w:t>Diccionario</w:t>
      </w:r>
      <w:proofErr w:type="spellEnd"/>
      <w:r>
        <w:rPr>
          <w:rFonts w:eastAsia="Times New Roman"/>
          <w:kern w:val="0"/>
          <w:sz w:val="20"/>
          <w:szCs w:val="20"/>
          <w:lang w:val="pt-BR" w:eastAsia="pt-BR"/>
          <w14:ligatures w14:val="none"/>
        </w:rPr>
        <w:t xml:space="preserve"> Etimológico Castellano </w:t>
      </w:r>
      <w:proofErr w:type="spellStart"/>
      <w:r>
        <w:rPr>
          <w:rFonts w:eastAsia="Times New Roman"/>
          <w:kern w:val="0"/>
          <w:sz w:val="20"/>
          <w:szCs w:val="20"/>
          <w:lang w:val="pt-BR" w:eastAsia="pt-BR"/>
          <w14:ligatures w14:val="none"/>
        </w:rPr>
        <w:t>En</w:t>
      </w:r>
      <w:proofErr w:type="spellEnd"/>
      <w:r>
        <w:rPr>
          <w:rFonts w:eastAsia="Times New Roman"/>
          <w:kern w:val="0"/>
          <w:sz w:val="20"/>
          <w:szCs w:val="20"/>
          <w:lang w:val="pt-BR" w:eastAsia="pt-BR"/>
          <w14:ligatures w14:val="none"/>
        </w:rPr>
        <w:t xml:space="preserve"> Línea. Disponível em: &lt;</w:t>
      </w:r>
      <w:hyperlink r:id="rId80" w:tgtFrame="_new" w:history="1">
        <w:r>
          <w:rPr>
            <w:rStyle w:val="Hyperlink"/>
            <w:rFonts w:eastAsia="Segoe UI"/>
            <w:color w:val="auto"/>
            <w:sz w:val="20"/>
            <w:szCs w:val="20"/>
            <w:shd w:val="clear" w:color="auto" w:fill="FFFFFF"/>
            <w:lang w:val="pt-BR"/>
          </w:rPr>
          <w:t>https://etimologias.dechile.net/?delirio</w:t>
        </w:r>
      </w:hyperlink>
      <w:r>
        <w:rPr>
          <w:rFonts w:eastAsia="Times New Roman"/>
          <w:kern w:val="0"/>
          <w:sz w:val="20"/>
          <w:szCs w:val="20"/>
          <w:lang w:val="pt-BR" w:eastAsia="pt-BR"/>
          <w14:ligatures w14:val="none"/>
        </w:rPr>
        <w:t xml:space="preserve">&gt;.  Acesso em: 1o out. 2025. </w:t>
      </w:r>
    </w:p>
    <w:p w14:paraId="483DB6DC"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FAN, Ying-Ying; LUO, Ruo-Yu; WANG, Meng-Tian; YUAN, Chao-Yun; SUN, Yuan-Yuan; JING, Ji-Yong. Mechanisms underlying delirium in patients with critical illness. Frontiers in Aging Neuroscience, [S. l.], v. 16, 25 set. 2024. </w:t>
      </w:r>
      <w:r>
        <w:rPr>
          <w:rFonts w:eastAsia="Segoe UI"/>
          <w:sz w:val="20"/>
          <w:szCs w:val="20"/>
          <w:shd w:val="clear" w:color="auto" w:fill="FFFFFF"/>
          <w:lang w:val="pt-BR"/>
        </w:rPr>
        <w:t>Disponível em: </w:t>
      </w:r>
      <w:hyperlink r:id="rId81" w:tgtFrame="_blank" w:history="1">
        <w:r>
          <w:rPr>
            <w:rStyle w:val="Hyperlink"/>
            <w:rFonts w:eastAsia="Segoe UI"/>
            <w:color w:val="auto"/>
            <w:sz w:val="20"/>
            <w:szCs w:val="20"/>
            <w:shd w:val="clear" w:color="auto" w:fill="FFFFFF"/>
            <w:lang w:val="pt-BR"/>
          </w:rPr>
          <w:t>https://www.frontiersin.org/journals/aging-neuroscience/articles/10.3389/fnagi.2024.1446523/full</w:t>
        </w:r>
      </w:hyperlink>
      <w:r>
        <w:rPr>
          <w:rFonts w:eastAsia="Segoe UI"/>
          <w:sz w:val="20"/>
          <w:szCs w:val="20"/>
          <w:shd w:val="clear" w:color="auto" w:fill="FFFFFF"/>
          <w:lang w:val="pt-BR"/>
        </w:rPr>
        <w:t>. Acesso em: 1o out. 2025.</w:t>
      </w:r>
    </w:p>
    <w:p w14:paraId="029D008D"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HARPER, Douglas. Online Etymology Dictionary. </w:t>
      </w:r>
      <w:r>
        <w:rPr>
          <w:rFonts w:eastAsia="Segoe UI"/>
          <w:sz w:val="20"/>
          <w:szCs w:val="20"/>
          <w:shd w:val="clear" w:color="auto" w:fill="FFFFFF"/>
          <w:lang w:val="pt-BR"/>
        </w:rPr>
        <w:t xml:space="preserve">2001-2024. Disponível em: </w:t>
      </w:r>
      <w:hyperlink r:id="rId82" w:tgtFrame="_new" w:history="1">
        <w:r>
          <w:rPr>
            <w:rStyle w:val="Hyperlink"/>
            <w:rFonts w:eastAsia="Segoe UI"/>
            <w:color w:val="auto"/>
            <w:sz w:val="20"/>
            <w:szCs w:val="20"/>
            <w:shd w:val="clear" w:color="auto" w:fill="FFFFFF"/>
            <w:lang w:val="pt-BR"/>
          </w:rPr>
          <w:t>www.etymonline.com/word/delirium/</w:t>
        </w:r>
      </w:hyperlink>
      <w:r>
        <w:rPr>
          <w:rFonts w:eastAsia="Segoe UI"/>
          <w:sz w:val="20"/>
          <w:szCs w:val="20"/>
          <w:shd w:val="clear" w:color="auto" w:fill="FFFFFF"/>
          <w:lang w:val="pt-BR"/>
        </w:rPr>
        <w:t xml:space="preserve">.  Acesso em: 1o out. 2025. </w:t>
      </w:r>
    </w:p>
    <w:p w14:paraId="5C2AC08B" w14:textId="77777777" w:rsidR="0003312E" w:rsidRDefault="00000000">
      <w:pPr>
        <w:pStyle w:val="PargrafodaLista"/>
        <w:numPr>
          <w:ilvl w:val="0"/>
          <w:numId w:val="5"/>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Style w:val="Forte"/>
          <w:rFonts w:ascii="Times New Roman" w:eastAsia="Segoe UI" w:hAnsi="Times New Roman" w:cs="Times New Roman"/>
          <w:b w:val="0"/>
          <w:bCs w:val="0"/>
          <w:sz w:val="20"/>
          <w:szCs w:val="20"/>
          <w:shd w:val="clear" w:color="auto" w:fill="FFFFFF"/>
          <w:lang w:val="en-US"/>
        </w:rPr>
        <w:t>LEWIS, Charlton T.; SHORT, Charles.</w:t>
      </w:r>
      <w:r>
        <w:rPr>
          <w:rFonts w:ascii="Times New Roman" w:eastAsia="Segoe UI" w:hAnsi="Times New Roman" w:cs="Times New Roman"/>
          <w:sz w:val="20"/>
          <w:szCs w:val="20"/>
          <w:shd w:val="clear" w:color="auto" w:fill="FFFFFF"/>
          <w:lang w:val="en-US"/>
        </w:rPr>
        <w:t> </w:t>
      </w:r>
      <w:r>
        <w:rPr>
          <w:rStyle w:val="nfase"/>
          <w:rFonts w:ascii="Times New Roman" w:eastAsia="Segoe UI" w:hAnsi="Times New Roman" w:cs="Times New Roman"/>
          <w:sz w:val="20"/>
          <w:szCs w:val="20"/>
          <w:shd w:val="clear" w:color="auto" w:fill="FFFFFF"/>
          <w:lang w:val="en-US"/>
        </w:rPr>
        <w:t>A Latin Dictionary.</w:t>
      </w:r>
      <w:r>
        <w:rPr>
          <w:rFonts w:ascii="Times New Roman" w:eastAsia="Segoe UI" w:hAnsi="Times New Roman" w:cs="Times New Roman"/>
          <w:sz w:val="20"/>
          <w:szCs w:val="20"/>
          <w:shd w:val="clear" w:color="auto" w:fill="FFFFFF"/>
          <w:lang w:val="en-US"/>
        </w:rPr>
        <w:t xml:space="preserve"> Oxford: Clarendon Press, 1879. </w:t>
      </w:r>
      <w:r>
        <w:rPr>
          <w:rFonts w:ascii="Times New Roman" w:eastAsia="Segoe UI" w:hAnsi="Times New Roman" w:cs="Times New Roman"/>
          <w:sz w:val="20"/>
          <w:szCs w:val="20"/>
          <w:shd w:val="clear" w:color="auto" w:fill="FFFFFF"/>
        </w:rPr>
        <w:t xml:space="preserve">Disponível em: https://www.perseus.tufts.edu/hopper/searchresults?target=la&amp;all_words=DELIRIUM&amp;phrase=&amp;any_words=&amp;exclude_words=&amp;documents=. </w:t>
      </w:r>
      <w:r>
        <w:rPr>
          <w:rFonts w:ascii="Times New Roman" w:eastAsia="Segoe UI" w:hAnsi="Times New Roman" w:cs="Times New Roman"/>
          <w:sz w:val="20"/>
          <w:szCs w:val="20"/>
          <w:shd w:val="clear" w:color="auto" w:fill="FFFFFF"/>
          <w:lang w:eastAsia="zh-CN"/>
        </w:rPr>
        <w:t>Acesso em: 1o out. 2025.</w:t>
      </w:r>
    </w:p>
    <w:p w14:paraId="6F296B7D"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MALDONADO, José R.  </w:t>
      </w:r>
      <w:proofErr w:type="spellStart"/>
      <w:r>
        <w:rPr>
          <w:rFonts w:eastAsia="Segoe UI"/>
          <w:sz w:val="20"/>
          <w:szCs w:val="20"/>
          <w:shd w:val="clear" w:color="auto" w:fill="FFFFFF"/>
        </w:rPr>
        <w:t>Pathoetiological</w:t>
      </w:r>
      <w:proofErr w:type="spellEnd"/>
      <w:r>
        <w:rPr>
          <w:rFonts w:eastAsia="Segoe UI"/>
          <w:sz w:val="20"/>
          <w:szCs w:val="20"/>
          <w:shd w:val="clear" w:color="auto" w:fill="FFFFFF"/>
        </w:rPr>
        <w:t xml:space="preserve"> model of delirium: a comprehensive understanding of the neurobiology of delirium and an evidence-based approach to prevention and treatment. </w:t>
      </w:r>
      <w:proofErr w:type="spellStart"/>
      <w:r>
        <w:rPr>
          <w:rFonts w:eastAsia="Segoe UI"/>
          <w:i/>
          <w:iCs/>
          <w:sz w:val="20"/>
          <w:szCs w:val="20"/>
          <w:shd w:val="clear" w:color="auto" w:fill="FFFFFF"/>
          <w:lang w:val="pt-BR"/>
        </w:rPr>
        <w:t>Critical</w:t>
      </w:r>
      <w:proofErr w:type="spellEnd"/>
      <w:r>
        <w:rPr>
          <w:rFonts w:eastAsia="Segoe UI"/>
          <w:i/>
          <w:iCs/>
          <w:sz w:val="20"/>
          <w:szCs w:val="20"/>
          <w:shd w:val="clear" w:color="auto" w:fill="FFFFFF"/>
          <w:lang w:val="pt-BR"/>
        </w:rPr>
        <w:t xml:space="preserve"> </w:t>
      </w:r>
      <w:proofErr w:type="spellStart"/>
      <w:r>
        <w:rPr>
          <w:rFonts w:eastAsia="Segoe UI"/>
          <w:i/>
          <w:iCs/>
          <w:sz w:val="20"/>
          <w:szCs w:val="20"/>
          <w:shd w:val="clear" w:color="auto" w:fill="FFFFFF"/>
          <w:lang w:val="pt-BR"/>
        </w:rPr>
        <w:t>care</w:t>
      </w:r>
      <w:proofErr w:type="spellEnd"/>
      <w:r>
        <w:rPr>
          <w:rFonts w:eastAsia="Segoe UI"/>
          <w:i/>
          <w:iCs/>
          <w:sz w:val="20"/>
          <w:szCs w:val="20"/>
          <w:shd w:val="clear" w:color="auto" w:fill="FFFFFF"/>
          <w:lang w:val="pt-BR"/>
        </w:rPr>
        <w:t xml:space="preserve"> </w:t>
      </w:r>
      <w:proofErr w:type="spellStart"/>
      <w:r>
        <w:rPr>
          <w:rFonts w:eastAsia="Segoe UI"/>
          <w:i/>
          <w:iCs/>
          <w:sz w:val="20"/>
          <w:szCs w:val="20"/>
          <w:shd w:val="clear" w:color="auto" w:fill="FFFFFF"/>
          <w:lang w:val="pt-BR"/>
        </w:rPr>
        <w:t>clinics</w:t>
      </w:r>
      <w:proofErr w:type="spellEnd"/>
      <w:r>
        <w:rPr>
          <w:rFonts w:eastAsia="Segoe UI"/>
          <w:sz w:val="20"/>
          <w:szCs w:val="20"/>
          <w:shd w:val="clear" w:color="auto" w:fill="FFFFFF"/>
          <w:lang w:val="pt-BR"/>
        </w:rPr>
        <w:t>, </w:t>
      </w:r>
      <w:r>
        <w:rPr>
          <w:rFonts w:eastAsia="Segoe UI"/>
          <w:i/>
          <w:iCs/>
          <w:sz w:val="20"/>
          <w:szCs w:val="20"/>
          <w:shd w:val="clear" w:color="auto" w:fill="FFFFFF"/>
          <w:lang w:val="pt-BR"/>
        </w:rPr>
        <w:t>24</w:t>
      </w:r>
      <w:r>
        <w:rPr>
          <w:rFonts w:eastAsia="Segoe UI"/>
          <w:sz w:val="20"/>
          <w:szCs w:val="20"/>
          <w:shd w:val="clear" w:color="auto" w:fill="FFFFFF"/>
          <w:lang w:val="pt-BR"/>
        </w:rPr>
        <w:t xml:space="preserve">(4), 789-856, 2008. Disponível em: </w:t>
      </w:r>
      <w:r>
        <w:rPr>
          <w:sz w:val="20"/>
          <w:szCs w:val="20"/>
          <w:lang w:val="pt-BR"/>
        </w:rPr>
        <w:t>10.1016/j.ccc.2008.06.004.</w:t>
      </w:r>
      <w:r>
        <w:rPr>
          <w:rFonts w:eastAsia="Segoe UI"/>
          <w:sz w:val="20"/>
          <w:szCs w:val="20"/>
          <w:shd w:val="clear" w:color="auto" w:fill="FFFFFF"/>
          <w:lang w:val="pt-BR"/>
        </w:rPr>
        <w:t xml:space="preserve">  Acesso em: 1o out. 2025. </w:t>
      </w:r>
    </w:p>
    <w:p w14:paraId="230D86D5"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NOLEN, Willem A.; VAN MEEKEREN, Erwin; VOSKUIL, Piet; VAN TILBURG, Willem. New vision on the mental problems of Vincent van Gogh: results from a bottom-up approach using (semi-)structured diagnostic interviews. </w:t>
      </w:r>
      <w:proofErr w:type="spellStart"/>
      <w:r>
        <w:rPr>
          <w:rFonts w:eastAsia="Segoe UI"/>
          <w:sz w:val="20"/>
          <w:szCs w:val="20"/>
          <w:shd w:val="clear" w:color="auto" w:fill="FFFFFF"/>
          <w:lang w:val="pt-BR"/>
        </w:rPr>
        <w:t>International</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Journal</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of</w:t>
      </w:r>
      <w:proofErr w:type="spellEnd"/>
      <w:r>
        <w:rPr>
          <w:rFonts w:eastAsia="Segoe UI"/>
          <w:sz w:val="20"/>
          <w:szCs w:val="20"/>
          <w:shd w:val="clear" w:color="auto" w:fill="FFFFFF"/>
          <w:lang w:val="pt-BR"/>
        </w:rPr>
        <w:t xml:space="preserve"> Bipolar </w:t>
      </w:r>
      <w:proofErr w:type="spellStart"/>
      <w:r>
        <w:rPr>
          <w:rFonts w:eastAsia="Segoe UI"/>
          <w:sz w:val="20"/>
          <w:szCs w:val="20"/>
          <w:shd w:val="clear" w:color="auto" w:fill="FFFFFF"/>
          <w:lang w:val="pt-BR"/>
        </w:rPr>
        <w:t>Disorders</w:t>
      </w:r>
      <w:proofErr w:type="spellEnd"/>
      <w:r>
        <w:rPr>
          <w:rFonts w:eastAsia="Segoe UI"/>
          <w:sz w:val="20"/>
          <w:szCs w:val="20"/>
          <w:shd w:val="clear" w:color="auto" w:fill="FFFFFF"/>
          <w:lang w:val="pt-BR"/>
        </w:rPr>
        <w:t xml:space="preserve">, v. 8, n. 30, 2020. Disponível em: </w:t>
      </w:r>
      <w:hyperlink r:id="rId83" w:tgtFrame="_new" w:history="1">
        <w:r>
          <w:rPr>
            <w:rStyle w:val="Hyperlink"/>
            <w:rFonts w:eastAsia="Segoe UI"/>
            <w:color w:val="auto"/>
            <w:sz w:val="20"/>
            <w:szCs w:val="20"/>
            <w:shd w:val="clear" w:color="auto" w:fill="FFFFFF"/>
            <w:lang w:val="pt-BR"/>
          </w:rPr>
          <w:t>https://journalbipolardisorders.springeropen.com/articles/10.1186/s40345-020-00196-z</w:t>
        </w:r>
      </w:hyperlink>
      <w:r>
        <w:rPr>
          <w:rFonts w:eastAsia="Segoe UI"/>
          <w:sz w:val="20"/>
          <w:szCs w:val="20"/>
          <w:shd w:val="clear" w:color="auto" w:fill="FFFFFF"/>
          <w:lang w:val="pt-BR"/>
        </w:rPr>
        <w:t xml:space="preserve">.  Acesso em: 1o out. 2025. </w:t>
      </w:r>
    </w:p>
    <w:p w14:paraId="58FA6CEC"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lang w:val="pt-BR"/>
        </w:rPr>
        <w:t xml:space="preserve">RAE-REAL ACADEMIA ESPAÑOLA. </w:t>
      </w:r>
      <w:proofErr w:type="spellStart"/>
      <w:r>
        <w:rPr>
          <w:rFonts w:eastAsia="Segoe UI"/>
          <w:sz w:val="20"/>
          <w:szCs w:val="20"/>
          <w:shd w:val="clear" w:color="auto" w:fill="FFFFFF"/>
          <w:lang w:val="pt-BR"/>
        </w:rPr>
        <w:t>Diccionario</w:t>
      </w:r>
      <w:proofErr w:type="spellEnd"/>
      <w:r>
        <w:rPr>
          <w:rFonts w:eastAsia="Segoe UI"/>
          <w:sz w:val="20"/>
          <w:szCs w:val="20"/>
          <w:shd w:val="clear" w:color="auto" w:fill="FFFFFF"/>
          <w:lang w:val="pt-BR"/>
        </w:rPr>
        <w:t xml:space="preserve"> de </w:t>
      </w:r>
      <w:proofErr w:type="spellStart"/>
      <w:r>
        <w:rPr>
          <w:rFonts w:eastAsia="Segoe UI"/>
          <w:sz w:val="20"/>
          <w:szCs w:val="20"/>
          <w:shd w:val="clear" w:color="auto" w:fill="FFFFFF"/>
          <w:lang w:val="pt-BR"/>
        </w:rPr>
        <w:t>la</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lengua</w:t>
      </w:r>
      <w:proofErr w:type="spellEnd"/>
      <w:r>
        <w:rPr>
          <w:rFonts w:eastAsia="Segoe UI"/>
          <w:sz w:val="20"/>
          <w:szCs w:val="20"/>
          <w:shd w:val="clear" w:color="auto" w:fill="FFFFFF"/>
          <w:lang w:val="pt-BR"/>
        </w:rPr>
        <w:t xml:space="preserve"> </w:t>
      </w:r>
      <w:proofErr w:type="spellStart"/>
      <w:r>
        <w:rPr>
          <w:rFonts w:eastAsia="Segoe UI"/>
          <w:sz w:val="20"/>
          <w:szCs w:val="20"/>
          <w:shd w:val="clear" w:color="auto" w:fill="FFFFFF"/>
          <w:lang w:val="pt-BR"/>
        </w:rPr>
        <w:t>española</w:t>
      </w:r>
      <w:proofErr w:type="spellEnd"/>
      <w:r>
        <w:rPr>
          <w:rFonts w:eastAsia="Segoe UI"/>
          <w:sz w:val="20"/>
          <w:szCs w:val="20"/>
          <w:shd w:val="clear" w:color="auto" w:fill="FFFFFF"/>
          <w:lang w:val="pt-BR"/>
        </w:rPr>
        <w:t xml:space="preserve">. 23. ed. [Madrid]: RAE, 2014. Disponível em: </w:t>
      </w:r>
      <w:r>
        <w:rPr>
          <w:sz w:val="20"/>
          <w:szCs w:val="20"/>
          <w:lang w:val="pt-BR"/>
        </w:rPr>
        <w:t>https://dle.rae.es/delirio?m=form</w:t>
      </w:r>
      <w:r>
        <w:rPr>
          <w:rFonts w:eastAsia="Segoe UI"/>
          <w:sz w:val="20"/>
          <w:szCs w:val="20"/>
          <w:shd w:val="clear" w:color="auto" w:fill="FFFFFF"/>
          <w:lang w:val="pt-BR"/>
        </w:rPr>
        <w:t xml:space="preserve">.  Acesso em: 1o out. 2025. </w:t>
      </w:r>
    </w:p>
    <w:p w14:paraId="1A3187E2"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sz w:val="20"/>
          <w:szCs w:val="20"/>
          <w:shd w:val="clear" w:color="auto" w:fill="FFFFFF"/>
          <w:lang w:val="pt-BR"/>
        </w:rPr>
        <w:t>TELLES-CORREIA, Diogo. A Evolução Conceptual do Delírio desde a sua Origem até à Modernidade. </w:t>
      </w:r>
      <w:proofErr w:type="spellStart"/>
      <w:r>
        <w:rPr>
          <w:b/>
          <w:bCs/>
          <w:sz w:val="20"/>
          <w:szCs w:val="20"/>
          <w:shd w:val="clear" w:color="auto" w:fill="FFFFFF"/>
          <w:lang w:val="pt-BR"/>
        </w:rPr>
        <w:t>Psilogos</w:t>
      </w:r>
      <w:proofErr w:type="spellEnd"/>
      <w:r>
        <w:rPr>
          <w:sz w:val="20"/>
          <w:szCs w:val="20"/>
          <w:shd w:val="clear" w:color="auto" w:fill="FFFFFF"/>
          <w:lang w:val="pt-BR"/>
        </w:rPr>
        <w:t xml:space="preserve">, v. 12, n. 2, p. 40-51, 2014. </w:t>
      </w:r>
      <w:r>
        <w:rPr>
          <w:rFonts w:eastAsia="Segoe UI"/>
          <w:sz w:val="20"/>
          <w:szCs w:val="20"/>
          <w:shd w:val="clear" w:color="auto" w:fill="FFFFFF"/>
          <w:lang w:val="pt-BR"/>
        </w:rPr>
        <w:t xml:space="preserve">Disponível em: </w:t>
      </w:r>
      <w:r>
        <w:rPr>
          <w:sz w:val="20"/>
          <w:szCs w:val="20"/>
          <w:lang w:val="pt-BR"/>
        </w:rPr>
        <w:t>https://revistas.rcaap.pt/psilogos/article/view/6991</w:t>
      </w:r>
      <w:r>
        <w:rPr>
          <w:rFonts w:eastAsia="Segoe UI"/>
          <w:sz w:val="20"/>
          <w:szCs w:val="20"/>
          <w:shd w:val="clear" w:color="auto" w:fill="FFFFFF"/>
          <w:lang w:val="pt-BR"/>
        </w:rPr>
        <w:t xml:space="preserve">.  Acesso em: 1o out. 2025. </w:t>
      </w:r>
    </w:p>
    <w:p w14:paraId="79369D06" w14:textId="77777777" w:rsidR="0003312E" w:rsidRDefault="00000000">
      <w:pPr>
        <w:pStyle w:val="NormalWeb"/>
        <w:numPr>
          <w:ilvl w:val="0"/>
          <w:numId w:val="10"/>
        </w:numPr>
        <w:spacing w:beforeAutospacing="0" w:after="0" w:afterAutospacing="0" w:line="240" w:lineRule="auto"/>
        <w:ind w:left="0" w:firstLine="0"/>
        <w:jc w:val="both"/>
        <w:rPr>
          <w:rFonts w:eastAsia="Segoe UI"/>
          <w:sz w:val="20"/>
          <w:szCs w:val="20"/>
          <w:shd w:val="clear" w:color="auto" w:fill="FFFFFF"/>
          <w:lang w:val="pt-BR"/>
        </w:rPr>
      </w:pPr>
      <w:r>
        <w:rPr>
          <w:rFonts w:eastAsia="Segoe UI"/>
          <w:sz w:val="20"/>
          <w:szCs w:val="20"/>
          <w:shd w:val="clear" w:color="auto" w:fill="FFFFFF"/>
        </w:rPr>
        <w:t xml:space="preserve">VAN GOGH, Vincent. The Letters of Vincent van Gogh. </w:t>
      </w:r>
      <w:r>
        <w:rPr>
          <w:rFonts w:eastAsia="Segoe UI"/>
          <w:sz w:val="20"/>
          <w:szCs w:val="20"/>
          <w:shd w:val="clear" w:color="auto" w:fill="FFFFFF"/>
          <w:lang w:val="pt-BR"/>
        </w:rPr>
        <w:t>[</w:t>
      </w:r>
      <w:proofErr w:type="spellStart"/>
      <w:r>
        <w:rPr>
          <w:rFonts w:eastAsia="Segoe UI"/>
          <w:sz w:val="20"/>
          <w:szCs w:val="20"/>
          <w:shd w:val="clear" w:color="auto" w:fill="FFFFFF"/>
          <w:lang w:val="pt-BR"/>
        </w:rPr>
        <w:t>S.l</w:t>
      </w:r>
      <w:proofErr w:type="spellEnd"/>
      <w:r>
        <w:rPr>
          <w:rFonts w:eastAsia="Segoe UI"/>
          <w:sz w:val="20"/>
          <w:szCs w:val="20"/>
          <w:shd w:val="clear" w:color="auto" w:fill="FFFFFF"/>
          <w:lang w:val="pt-BR"/>
        </w:rPr>
        <w:t xml:space="preserve">.], [s.d.]. Disponível em: </w:t>
      </w:r>
      <w:hyperlink r:id="rId84" w:tgtFrame="_new" w:history="1">
        <w:r>
          <w:rPr>
            <w:rStyle w:val="Hyperlink"/>
            <w:rFonts w:eastAsia="Segoe UI"/>
            <w:color w:val="auto"/>
            <w:sz w:val="20"/>
            <w:szCs w:val="20"/>
            <w:shd w:val="clear" w:color="auto" w:fill="FFFFFF"/>
            <w:lang w:val="pt-BR"/>
          </w:rPr>
          <w:t>https://www.webexhibits.org/vangogh/letter/</w:t>
        </w:r>
      </w:hyperlink>
      <w:r>
        <w:rPr>
          <w:rFonts w:eastAsia="Segoe UI"/>
          <w:sz w:val="20"/>
          <w:szCs w:val="20"/>
          <w:shd w:val="clear" w:color="auto" w:fill="FFFFFF"/>
          <w:lang w:val="pt-BR"/>
        </w:rPr>
        <w:t xml:space="preserve">.  Acesso em: 1o out. 2025. </w:t>
      </w:r>
    </w:p>
    <w:p w14:paraId="3F32EAA9" w14:textId="77777777" w:rsidR="0003312E" w:rsidRDefault="00000000">
      <w:pPr>
        <w:spacing w:after="0" w:line="240" w:lineRule="auto"/>
        <w:jc w:val="both"/>
        <w:rPr>
          <w:rFonts w:ascii="Times New Roman" w:eastAsia="Segoe UI" w:hAnsi="Times New Roman" w:cs="Times New Roman"/>
          <w:sz w:val="24"/>
          <w:szCs w:val="24"/>
          <w:shd w:val="clear" w:color="auto" w:fill="FFFFFF"/>
          <w:lang w:eastAsia="zh-CN"/>
        </w:rPr>
      </w:pPr>
      <w:r>
        <w:rPr>
          <w:rFonts w:eastAsia="Segoe UI"/>
          <w:sz w:val="20"/>
          <w:szCs w:val="20"/>
          <w:shd w:val="clear" w:color="auto" w:fill="FFFFFF"/>
        </w:rPr>
        <w:br w:type="page"/>
      </w:r>
    </w:p>
    <w:p w14:paraId="1F613C6C" w14:textId="77777777" w:rsidR="0003312E" w:rsidRDefault="00000000">
      <w:pPr>
        <w:shd w:val="clear" w:color="auto" w:fill="FFFFFF"/>
        <w:spacing w:after="0" w:line="360" w:lineRule="auto"/>
        <w:ind w:firstLine="709"/>
        <w:jc w:val="both"/>
        <w:rPr>
          <w:rFonts w:ascii="Times New Roman" w:eastAsia="Times New Roman" w:hAnsi="Times New Roman" w:cs="Times New Roman"/>
          <w:color w:val="0F1115"/>
          <w:kern w:val="0"/>
          <w:sz w:val="24"/>
          <w:szCs w:val="24"/>
          <w:lang w:val="en-US" w:eastAsia="pt-BR"/>
          <w14:ligatures w14:val="none"/>
        </w:rPr>
      </w:pPr>
      <w:r>
        <w:rPr>
          <w:rFonts w:ascii="Times New Roman" w:eastAsia="Times New Roman" w:hAnsi="Times New Roman" w:cs="Times New Roman"/>
          <w:b/>
          <w:bCs/>
          <w:color w:val="0F1115"/>
          <w:kern w:val="0"/>
          <w:sz w:val="24"/>
          <w:szCs w:val="24"/>
          <w:lang w:val="en-US" w:eastAsia="pt-BR"/>
          <w14:ligatures w14:val="none"/>
        </w:rPr>
        <w:lastRenderedPageBreak/>
        <w:t>Capitulo 7</w:t>
      </w:r>
    </w:p>
    <w:p w14:paraId="7057CBB4"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CHARCOT, Jean-Martin. </w:t>
      </w:r>
      <w:proofErr w:type="spellStart"/>
      <w:r>
        <w:rPr>
          <w:rFonts w:ascii="Times New Roman" w:eastAsia="Segoe UI" w:hAnsi="Times New Roman" w:cs="Times New Roman"/>
          <w:sz w:val="20"/>
          <w:szCs w:val="20"/>
          <w:shd w:val="clear" w:color="auto" w:fill="FFFFFF"/>
          <w:lang w:eastAsia="zh-CN"/>
        </w:rPr>
        <w:t>Leçons</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du</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mardi</w:t>
      </w:r>
      <w:proofErr w:type="spellEnd"/>
      <w:r>
        <w:rPr>
          <w:rFonts w:ascii="Times New Roman" w:eastAsia="Segoe UI" w:hAnsi="Times New Roman" w:cs="Times New Roman"/>
          <w:sz w:val="20"/>
          <w:szCs w:val="20"/>
          <w:shd w:val="clear" w:color="auto" w:fill="FFFFFF"/>
          <w:lang w:eastAsia="zh-CN"/>
        </w:rPr>
        <w:t xml:space="preserve"> à </w:t>
      </w:r>
      <w:proofErr w:type="spellStart"/>
      <w:r>
        <w:rPr>
          <w:rFonts w:ascii="Times New Roman" w:eastAsia="Segoe UI" w:hAnsi="Times New Roman" w:cs="Times New Roman"/>
          <w:sz w:val="20"/>
          <w:szCs w:val="20"/>
          <w:shd w:val="clear" w:color="auto" w:fill="FFFFFF"/>
          <w:lang w:eastAsia="zh-CN"/>
        </w:rPr>
        <w:t>la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Salpêtrière</w:t>
      </w:r>
      <w:proofErr w:type="spellEnd"/>
      <w:r>
        <w:rPr>
          <w:rFonts w:ascii="Times New Roman" w:eastAsia="Segoe UI" w:hAnsi="Times New Roman" w:cs="Times New Roman"/>
          <w:sz w:val="20"/>
          <w:szCs w:val="20"/>
          <w:shd w:val="clear" w:color="auto" w:fill="FFFFFF"/>
          <w:lang w:eastAsia="zh-CN"/>
        </w:rPr>
        <w:t xml:space="preserve">. Paris: </w:t>
      </w:r>
      <w:proofErr w:type="spellStart"/>
      <w:r>
        <w:rPr>
          <w:rFonts w:ascii="Times New Roman" w:eastAsia="Segoe UI" w:hAnsi="Times New Roman" w:cs="Times New Roman"/>
          <w:sz w:val="20"/>
          <w:szCs w:val="20"/>
          <w:shd w:val="clear" w:color="auto" w:fill="FFFFFF"/>
          <w:lang w:eastAsia="zh-CN"/>
        </w:rPr>
        <w:t>Progrès</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Médical</w:t>
      </w:r>
      <w:proofErr w:type="spellEnd"/>
      <w:r>
        <w:rPr>
          <w:rFonts w:ascii="Times New Roman" w:eastAsia="Segoe UI" w:hAnsi="Times New Roman" w:cs="Times New Roman"/>
          <w:sz w:val="20"/>
          <w:szCs w:val="20"/>
          <w:shd w:val="clear" w:color="auto" w:fill="FFFFFF"/>
          <w:lang w:eastAsia="zh-CN"/>
        </w:rPr>
        <w:t xml:space="preserve">, 1887. Disponível em: </w:t>
      </w:r>
      <w:hyperlink r:id="rId85" w:tgtFrame="_new" w:history="1">
        <w:r>
          <w:rPr>
            <w:rStyle w:val="Hyperlink"/>
            <w:rFonts w:ascii="Times New Roman" w:eastAsia="Segoe UI" w:hAnsi="Times New Roman" w:cs="Times New Roman"/>
            <w:color w:val="auto"/>
            <w:sz w:val="20"/>
            <w:szCs w:val="20"/>
            <w:shd w:val="clear" w:color="auto" w:fill="FFFFFF"/>
            <w:lang w:eastAsia="zh-CN"/>
          </w:rPr>
          <w:t>https://archive.org/details/leonsdumardi02char</w:t>
        </w:r>
      </w:hyperlink>
      <w:r>
        <w:rPr>
          <w:rFonts w:ascii="Times New Roman" w:eastAsia="Segoe UI" w:hAnsi="Times New Roman" w:cs="Times New Roman"/>
          <w:sz w:val="20"/>
          <w:szCs w:val="20"/>
          <w:shd w:val="clear" w:color="auto" w:fill="FFFFFF"/>
          <w:lang w:eastAsia="zh-CN"/>
        </w:rPr>
        <w:t xml:space="preserve">.  Acesso em: 1o out. 2025. </w:t>
      </w:r>
    </w:p>
    <w:p w14:paraId="732EBBBD"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CUNHA, Antônio Geraldo da. Dicionário etimológico da língua portuguesa. 4. ed. Rio de Janeiro: Lexikon, 2010. Disponível em: </w:t>
      </w:r>
      <w:hyperlink r:id="rId86" w:tgtFrame="_new" w:history="1">
        <w:r>
          <w:rPr>
            <w:rStyle w:val="Hyperlink"/>
            <w:rFonts w:ascii="Times New Roman" w:eastAsia="Segoe UI" w:hAnsi="Times New Roman" w:cs="Times New Roman"/>
            <w:color w:val="auto"/>
            <w:sz w:val="20"/>
            <w:szCs w:val="20"/>
            <w:shd w:val="clear" w:color="auto" w:fill="FFFFFF"/>
            <w:lang w:eastAsia="zh-CN"/>
          </w:rPr>
          <w:t>https://www.dicionarioetimologico.com.br/</w:t>
        </w:r>
      </w:hyperlink>
      <w:r>
        <w:rPr>
          <w:rFonts w:ascii="Times New Roman" w:eastAsia="Segoe UI" w:hAnsi="Times New Roman" w:cs="Times New Roman"/>
          <w:sz w:val="20"/>
          <w:szCs w:val="20"/>
          <w:shd w:val="clear" w:color="auto" w:fill="FFFFFF"/>
          <w:lang w:eastAsia="zh-CN"/>
        </w:rPr>
        <w:t xml:space="preserve">.  Acesso em: 1o out. 2025. </w:t>
      </w:r>
    </w:p>
    <w:p w14:paraId="62E52B88"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Times New Roman" w:hAnsi="Times New Roman" w:cs="Times New Roman"/>
          <w:kern w:val="0"/>
          <w:sz w:val="20"/>
          <w:szCs w:val="20"/>
          <w:lang w:eastAsia="pt-BR"/>
          <w14:ligatures w14:val="none"/>
        </w:rPr>
        <w:t xml:space="preserve">DECEL - </w:t>
      </w:r>
      <w:proofErr w:type="spellStart"/>
      <w:r>
        <w:rPr>
          <w:rFonts w:ascii="Times New Roman" w:eastAsia="Times New Roman" w:hAnsi="Times New Roman" w:cs="Times New Roman"/>
          <w:kern w:val="0"/>
          <w:sz w:val="20"/>
          <w:szCs w:val="20"/>
          <w:lang w:eastAsia="pt-BR"/>
          <w14:ligatures w14:val="none"/>
        </w:rPr>
        <w:t>Diccionario</w:t>
      </w:r>
      <w:proofErr w:type="spellEnd"/>
      <w:r>
        <w:rPr>
          <w:rFonts w:ascii="Times New Roman" w:eastAsia="Times New Roman" w:hAnsi="Times New Roman" w:cs="Times New Roman"/>
          <w:kern w:val="0"/>
          <w:sz w:val="20"/>
          <w:szCs w:val="20"/>
          <w:lang w:eastAsia="pt-BR"/>
          <w14:ligatures w14:val="none"/>
        </w:rPr>
        <w:t xml:space="preserve"> Etimológico Castellano </w:t>
      </w:r>
      <w:proofErr w:type="spellStart"/>
      <w:r>
        <w:rPr>
          <w:rFonts w:ascii="Times New Roman" w:eastAsia="Times New Roman" w:hAnsi="Times New Roman" w:cs="Times New Roman"/>
          <w:kern w:val="0"/>
          <w:sz w:val="20"/>
          <w:szCs w:val="20"/>
          <w:lang w:eastAsia="pt-BR"/>
          <w14:ligatures w14:val="none"/>
        </w:rPr>
        <w:t>En</w:t>
      </w:r>
      <w:proofErr w:type="spellEnd"/>
      <w:r>
        <w:rPr>
          <w:rFonts w:ascii="Times New Roman" w:eastAsia="Times New Roman" w:hAnsi="Times New Roman" w:cs="Times New Roman"/>
          <w:kern w:val="0"/>
          <w:sz w:val="20"/>
          <w:szCs w:val="20"/>
          <w:lang w:eastAsia="pt-BR"/>
          <w14:ligatures w14:val="none"/>
        </w:rPr>
        <w:t xml:space="preserve"> Línea. Disponível em: &lt;</w:t>
      </w:r>
      <w:hyperlink r:id="rId87" w:tgtFrame="_new" w:history="1">
        <w:r>
          <w:rPr>
            <w:rStyle w:val="Hyperlink"/>
            <w:rFonts w:ascii="Times New Roman" w:eastAsia="Segoe UI" w:hAnsi="Times New Roman" w:cs="Times New Roman"/>
            <w:color w:val="auto"/>
            <w:sz w:val="20"/>
            <w:szCs w:val="20"/>
            <w:shd w:val="clear" w:color="auto" w:fill="FFFFFF"/>
            <w:lang w:eastAsia="zh-CN"/>
          </w:rPr>
          <w:t>https://etimologias.dechile.net/?histeria</w:t>
        </w:r>
      </w:hyperlink>
      <w:r>
        <w:rPr>
          <w:rFonts w:ascii="Times New Roman" w:eastAsia="Times New Roman" w:hAnsi="Times New Roman" w:cs="Times New Roman"/>
          <w:kern w:val="0"/>
          <w:sz w:val="20"/>
          <w:szCs w:val="20"/>
          <w:lang w:eastAsia="pt-BR"/>
          <w14:ligatures w14:val="none"/>
        </w:rPr>
        <w:t xml:space="preserve">&gt;.  Acesso em: 1o out. 2025. </w:t>
      </w:r>
    </w:p>
    <w:p w14:paraId="0CC3F393"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DIDI-HUBERMAN, Georges. Invention of hysteria: Charcot and the photographic iconography of the Salpêtrière. </w:t>
      </w:r>
      <w:r>
        <w:rPr>
          <w:rFonts w:ascii="Times New Roman" w:eastAsia="Segoe UI" w:hAnsi="Times New Roman" w:cs="Times New Roman"/>
          <w:sz w:val="20"/>
          <w:szCs w:val="20"/>
          <w:shd w:val="clear" w:color="auto" w:fill="FFFFFF"/>
          <w:lang w:eastAsia="zh-CN"/>
        </w:rPr>
        <w:t xml:space="preserve">The MIT Press, 2003. Disponível em: </w:t>
      </w:r>
      <w:r>
        <w:rPr>
          <w:rFonts w:ascii="Times New Roman" w:hAnsi="Times New Roman" w:cs="Times New Roman"/>
          <w:sz w:val="20"/>
          <w:szCs w:val="20"/>
        </w:rPr>
        <w:t>https://monoskop.org/images/4/43/Didi_Huberman_Georges_Invention_of_Hysteria_2003.pdf</w:t>
      </w:r>
      <w:r>
        <w:rPr>
          <w:rFonts w:ascii="Times New Roman" w:eastAsia="Segoe UI" w:hAnsi="Times New Roman" w:cs="Times New Roman"/>
          <w:sz w:val="20"/>
          <w:szCs w:val="20"/>
          <w:shd w:val="clear" w:color="auto" w:fill="FFFFFF"/>
          <w:lang w:eastAsia="zh-CN"/>
        </w:rPr>
        <w:t xml:space="preserve">.  Acesso em: 1o out. 2025. </w:t>
      </w:r>
    </w:p>
    <w:p w14:paraId="546408D8"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HARPER, Douglas. Online Etymology Dictionary. </w:t>
      </w:r>
      <w:r>
        <w:rPr>
          <w:rFonts w:ascii="Times New Roman" w:eastAsia="Segoe UI" w:hAnsi="Times New Roman" w:cs="Times New Roman"/>
          <w:sz w:val="20"/>
          <w:szCs w:val="20"/>
          <w:shd w:val="clear" w:color="auto" w:fill="FFFFFF"/>
          <w:lang w:eastAsia="zh-CN"/>
        </w:rPr>
        <w:t xml:space="preserve">2001-2024. Disponível em: </w:t>
      </w:r>
      <w:hyperlink r:id="rId88" w:tgtFrame="_new" w:history="1">
        <w:r>
          <w:rPr>
            <w:rFonts w:ascii="Times New Roman" w:hAnsi="Times New Roman" w:cs="Times New Roman"/>
            <w:sz w:val="20"/>
            <w:szCs w:val="20"/>
          </w:rPr>
          <w:t>https://www.etymonline.com/word/hysteria</w:t>
        </w:r>
        <w:r>
          <w:rPr>
            <w:rStyle w:val="Hyperlink"/>
            <w:rFonts w:ascii="Times New Roman" w:eastAsia="Segoe UI" w:hAnsi="Times New Roman" w:cs="Times New Roman"/>
            <w:color w:val="auto"/>
            <w:sz w:val="20"/>
            <w:szCs w:val="20"/>
            <w:shd w:val="clear" w:color="auto" w:fill="FFFFFF"/>
            <w:lang w:eastAsia="zh-CN"/>
          </w:rPr>
          <w:t>/</w:t>
        </w:r>
      </w:hyperlink>
      <w:r>
        <w:rPr>
          <w:rFonts w:ascii="Times New Roman" w:eastAsia="Segoe UI" w:hAnsi="Times New Roman" w:cs="Times New Roman"/>
          <w:sz w:val="20"/>
          <w:szCs w:val="20"/>
          <w:shd w:val="clear" w:color="auto" w:fill="FFFFFF"/>
          <w:lang w:eastAsia="zh-CN"/>
        </w:rPr>
        <w:t xml:space="preserve">.  Acesso em: 1o out. 2025. </w:t>
      </w:r>
    </w:p>
    <w:p w14:paraId="1CB43A63"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 </w:t>
      </w:r>
      <w:r>
        <w:rPr>
          <w:rStyle w:val="Forte"/>
          <w:rFonts w:ascii="Times New Roman" w:eastAsia="Segoe UI" w:hAnsi="Times New Roman" w:cs="Times New Roman"/>
          <w:b w:val="0"/>
          <w:bCs w:val="0"/>
          <w:sz w:val="20"/>
          <w:szCs w:val="20"/>
          <w:shd w:val="clear" w:color="auto" w:fill="FFFFFF"/>
          <w:lang w:val="en-US"/>
        </w:rPr>
        <w:t>LEWIS, Charlton T.; SHORT, Charles.</w:t>
      </w:r>
      <w:r>
        <w:rPr>
          <w:rFonts w:ascii="Times New Roman" w:eastAsia="Segoe UI" w:hAnsi="Times New Roman" w:cs="Times New Roman"/>
          <w:sz w:val="20"/>
          <w:szCs w:val="20"/>
          <w:shd w:val="clear" w:color="auto" w:fill="FFFFFF"/>
          <w:lang w:val="en-US"/>
        </w:rPr>
        <w:t> </w:t>
      </w:r>
      <w:r>
        <w:rPr>
          <w:rStyle w:val="nfase"/>
          <w:rFonts w:ascii="Times New Roman" w:eastAsia="Segoe UI" w:hAnsi="Times New Roman" w:cs="Times New Roman"/>
          <w:sz w:val="20"/>
          <w:szCs w:val="20"/>
          <w:shd w:val="clear" w:color="auto" w:fill="FFFFFF"/>
          <w:lang w:val="en-US"/>
        </w:rPr>
        <w:t>A Latin Dictionary.</w:t>
      </w:r>
      <w:r>
        <w:rPr>
          <w:rFonts w:ascii="Times New Roman" w:eastAsia="Segoe UI" w:hAnsi="Times New Roman" w:cs="Times New Roman"/>
          <w:sz w:val="20"/>
          <w:szCs w:val="20"/>
          <w:shd w:val="clear" w:color="auto" w:fill="FFFFFF"/>
          <w:lang w:val="en-US"/>
        </w:rPr>
        <w:t xml:space="preserve"> Oxford: Clarendon Press, 1879. </w:t>
      </w:r>
      <w:r>
        <w:rPr>
          <w:rFonts w:ascii="Times New Roman" w:eastAsia="Segoe UI" w:hAnsi="Times New Roman" w:cs="Times New Roman"/>
          <w:sz w:val="20"/>
          <w:szCs w:val="20"/>
          <w:shd w:val="clear" w:color="auto" w:fill="FFFFFF"/>
        </w:rPr>
        <w:t>Disponível em: </w:t>
      </w:r>
      <w:r>
        <w:rPr>
          <w:rFonts w:ascii="Times New Roman" w:hAnsi="Times New Roman" w:cs="Times New Roman"/>
          <w:sz w:val="20"/>
          <w:szCs w:val="20"/>
        </w:rPr>
        <w:t>https://www.perseus.tufts.edu/hopper/searchresults?target=en&amp;all_words=hysteria&amp;phrase=&amp;any_words=&amp;exclude_words=&amp;documents=</w:t>
      </w:r>
      <w:r>
        <w:rPr>
          <w:rFonts w:ascii="Times New Roman" w:eastAsia="Segoe UI" w:hAnsi="Times New Roman" w:cs="Times New Roman"/>
          <w:sz w:val="20"/>
          <w:szCs w:val="20"/>
          <w:shd w:val="clear" w:color="auto" w:fill="FFFFFF"/>
        </w:rPr>
        <w:t xml:space="preserve">. </w:t>
      </w:r>
      <w:r>
        <w:rPr>
          <w:rFonts w:ascii="Times New Roman" w:eastAsia="Segoe UI" w:hAnsi="Times New Roman" w:cs="Times New Roman"/>
          <w:sz w:val="20"/>
          <w:szCs w:val="20"/>
          <w:shd w:val="clear" w:color="auto" w:fill="FFFFFF"/>
          <w:lang w:eastAsia="zh-CN"/>
        </w:rPr>
        <w:t>Acesso em: 1o out. 2025.</w:t>
      </w:r>
    </w:p>
    <w:p w14:paraId="49309B5E"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PEARCE J.M. Sydenham on Hysteria. </w:t>
      </w:r>
      <w:proofErr w:type="spellStart"/>
      <w:r>
        <w:rPr>
          <w:rFonts w:ascii="Times New Roman" w:eastAsia="Segoe UI" w:hAnsi="Times New Roman" w:cs="Times New Roman"/>
          <w:sz w:val="20"/>
          <w:szCs w:val="20"/>
          <w:shd w:val="clear" w:color="auto" w:fill="FFFFFF"/>
          <w:lang w:eastAsia="zh-CN"/>
        </w:rPr>
        <w:t>Eur</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Neurol</w:t>
      </w:r>
      <w:proofErr w:type="spellEnd"/>
      <w:r>
        <w:rPr>
          <w:rFonts w:ascii="Times New Roman" w:eastAsia="Segoe UI" w:hAnsi="Times New Roman" w:cs="Times New Roman"/>
          <w:sz w:val="20"/>
          <w:szCs w:val="20"/>
          <w:shd w:val="clear" w:color="auto" w:fill="FFFFFF"/>
          <w:lang w:eastAsia="zh-CN"/>
        </w:rPr>
        <w:t xml:space="preserve">. 2016;76(3-4):175-181. Disponível em: </w:t>
      </w:r>
      <w:hyperlink r:id="rId89" w:history="1">
        <w:r>
          <w:rPr>
            <w:rStyle w:val="Hyperlink"/>
            <w:rFonts w:ascii="Times New Roman" w:eastAsia="Segoe UI" w:hAnsi="Times New Roman" w:cs="Times New Roman"/>
            <w:color w:val="auto"/>
            <w:sz w:val="20"/>
            <w:szCs w:val="20"/>
            <w:shd w:val="clear" w:color="auto" w:fill="FFFFFF"/>
            <w:lang w:eastAsia="zh-CN"/>
          </w:rPr>
          <w:t>https://karger.com/ene/article/76/3-4/175/125173/Sydenham-on-Hysteria</w:t>
        </w:r>
      </w:hyperlink>
      <w:r>
        <w:rPr>
          <w:rFonts w:ascii="Times New Roman" w:eastAsia="Segoe UI" w:hAnsi="Times New Roman" w:cs="Times New Roman"/>
          <w:sz w:val="20"/>
          <w:szCs w:val="20"/>
          <w:shd w:val="clear" w:color="auto" w:fill="FFFFFF"/>
          <w:lang w:eastAsia="zh-CN"/>
        </w:rPr>
        <w:t xml:space="preserve">. Acesso em: 1o out. 2025. </w:t>
      </w:r>
      <w:proofErr w:type="spellStart"/>
      <w:r>
        <w:rPr>
          <w:rFonts w:ascii="Times New Roman" w:eastAsia="Segoe UI" w:hAnsi="Times New Roman" w:cs="Times New Roman"/>
          <w:sz w:val="20"/>
          <w:szCs w:val="20"/>
          <w:shd w:val="clear" w:color="auto" w:fill="FFFFFF"/>
          <w:lang w:eastAsia="zh-CN"/>
        </w:rPr>
        <w:t>doi</w:t>
      </w:r>
      <w:proofErr w:type="spellEnd"/>
      <w:r>
        <w:rPr>
          <w:rFonts w:ascii="Times New Roman" w:eastAsia="Segoe UI" w:hAnsi="Times New Roman" w:cs="Times New Roman"/>
          <w:sz w:val="20"/>
          <w:szCs w:val="20"/>
          <w:shd w:val="clear" w:color="auto" w:fill="FFFFFF"/>
          <w:lang w:eastAsia="zh-CN"/>
        </w:rPr>
        <w:t>: 10.1159/000450605.</w:t>
      </w:r>
    </w:p>
    <w:p w14:paraId="68C52FDA"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RAE-REAL ACADEMIA ESPAÑOLA. </w:t>
      </w:r>
      <w:proofErr w:type="spellStart"/>
      <w:r>
        <w:rPr>
          <w:rFonts w:ascii="Times New Roman" w:eastAsia="Segoe UI" w:hAnsi="Times New Roman" w:cs="Times New Roman"/>
          <w:sz w:val="20"/>
          <w:szCs w:val="20"/>
          <w:shd w:val="clear" w:color="auto" w:fill="FFFFFF"/>
          <w:lang w:eastAsia="zh-CN"/>
        </w:rPr>
        <w:t>Diccionario</w:t>
      </w:r>
      <w:proofErr w:type="spellEnd"/>
      <w:r>
        <w:rPr>
          <w:rFonts w:ascii="Times New Roman" w:eastAsia="Segoe UI" w:hAnsi="Times New Roman" w:cs="Times New Roman"/>
          <w:sz w:val="20"/>
          <w:szCs w:val="20"/>
          <w:shd w:val="clear" w:color="auto" w:fill="FFFFFF"/>
          <w:lang w:eastAsia="zh-CN"/>
        </w:rPr>
        <w:t xml:space="preserve"> de </w:t>
      </w:r>
      <w:proofErr w:type="spellStart"/>
      <w:r>
        <w:rPr>
          <w:rFonts w:ascii="Times New Roman" w:eastAsia="Segoe UI" w:hAnsi="Times New Roman" w:cs="Times New Roman"/>
          <w:sz w:val="20"/>
          <w:szCs w:val="20"/>
          <w:shd w:val="clear" w:color="auto" w:fill="FFFFFF"/>
          <w:lang w:eastAsia="zh-CN"/>
        </w:rPr>
        <w:t>la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lengua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española</w:t>
      </w:r>
      <w:proofErr w:type="spellEnd"/>
      <w:r>
        <w:rPr>
          <w:rFonts w:ascii="Times New Roman" w:eastAsia="Segoe UI" w:hAnsi="Times New Roman" w:cs="Times New Roman"/>
          <w:sz w:val="20"/>
          <w:szCs w:val="20"/>
          <w:shd w:val="clear" w:color="auto" w:fill="FFFFFF"/>
          <w:lang w:eastAsia="zh-CN"/>
        </w:rPr>
        <w:t xml:space="preserve">. 23. ed. [Madrid]: RAE, 2014. Disponível em: </w:t>
      </w:r>
      <w:r>
        <w:rPr>
          <w:rFonts w:ascii="Times New Roman" w:hAnsi="Times New Roman" w:cs="Times New Roman"/>
          <w:sz w:val="20"/>
          <w:szCs w:val="20"/>
        </w:rPr>
        <w:t>https://dle.rae.es/histeria?m=form</w:t>
      </w:r>
      <w:r>
        <w:rPr>
          <w:rFonts w:ascii="Times New Roman" w:eastAsia="Segoe UI" w:hAnsi="Times New Roman" w:cs="Times New Roman"/>
          <w:sz w:val="20"/>
          <w:szCs w:val="20"/>
          <w:shd w:val="clear" w:color="auto" w:fill="FFFFFF"/>
          <w:lang w:eastAsia="zh-CN"/>
        </w:rPr>
        <w:t xml:space="preserve">.  Acesso em: 1o out. 2025. </w:t>
      </w:r>
    </w:p>
    <w:p w14:paraId="6FC99BB4" w14:textId="77777777" w:rsidR="0003312E" w:rsidRDefault="00000000">
      <w:pPr>
        <w:pStyle w:val="PargrafodaLista"/>
        <w:numPr>
          <w:ilvl w:val="0"/>
          <w:numId w:val="11"/>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WARAICH, Manni; SHAH, Shailesh. The life and work of Jean-Martin Charcot (1825–1893):‘The Napoleon of Neuroses’. Journal of the Intensive Care Society, v. 19, n. 1, p. 48-49, 2018. </w:t>
      </w:r>
      <w:proofErr w:type="spellStart"/>
      <w:r>
        <w:rPr>
          <w:rFonts w:ascii="Times New Roman" w:eastAsia="Segoe UI" w:hAnsi="Times New Roman" w:cs="Times New Roman"/>
          <w:sz w:val="20"/>
          <w:szCs w:val="20"/>
          <w:shd w:val="clear" w:color="auto" w:fill="FFFFFF"/>
          <w:lang w:val="en-US" w:eastAsia="zh-CN"/>
        </w:rPr>
        <w:t>Disponível</w:t>
      </w:r>
      <w:proofErr w:type="spellEnd"/>
      <w:r>
        <w:rPr>
          <w:rFonts w:ascii="Times New Roman" w:eastAsia="Segoe UI" w:hAnsi="Times New Roman" w:cs="Times New Roman"/>
          <w:sz w:val="20"/>
          <w:szCs w:val="20"/>
          <w:shd w:val="clear" w:color="auto" w:fill="FFFFFF"/>
          <w:lang w:val="en-US" w:eastAsia="zh-CN"/>
        </w:rPr>
        <w:t xml:space="preserve"> </w:t>
      </w:r>
      <w:proofErr w:type="spellStart"/>
      <w:r>
        <w:rPr>
          <w:rFonts w:ascii="Times New Roman" w:eastAsia="Segoe UI" w:hAnsi="Times New Roman" w:cs="Times New Roman"/>
          <w:sz w:val="20"/>
          <w:szCs w:val="20"/>
          <w:shd w:val="clear" w:color="auto" w:fill="FFFFFF"/>
          <w:lang w:val="en-US" w:eastAsia="zh-CN"/>
        </w:rPr>
        <w:t>em</w:t>
      </w:r>
      <w:proofErr w:type="spellEnd"/>
      <w:r>
        <w:rPr>
          <w:rFonts w:ascii="Times New Roman" w:eastAsia="Segoe UI" w:hAnsi="Times New Roman" w:cs="Times New Roman"/>
          <w:sz w:val="20"/>
          <w:szCs w:val="20"/>
          <w:shd w:val="clear" w:color="auto" w:fill="FFFFFF"/>
          <w:lang w:val="en-US" w:eastAsia="zh-CN"/>
        </w:rPr>
        <w:t xml:space="preserve">: </w:t>
      </w:r>
      <w:hyperlink r:id="rId90" w:tgtFrame="_new" w:history="1">
        <w:r>
          <w:rPr>
            <w:rStyle w:val="Hyperlink"/>
            <w:rFonts w:ascii="Times New Roman" w:eastAsia="Segoe UI" w:hAnsi="Times New Roman" w:cs="Times New Roman"/>
            <w:color w:val="auto"/>
            <w:sz w:val="20"/>
            <w:szCs w:val="20"/>
            <w:shd w:val="clear" w:color="auto" w:fill="FFFFFF"/>
            <w:lang w:val="en-US" w:eastAsia="zh-CN"/>
          </w:rPr>
          <w:t>https://journals.sagepub.com/doi/pdf/10.1177/1751143717709420</w:t>
        </w:r>
      </w:hyperlink>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Acesso em: 1o out. 2025.</w:t>
      </w:r>
    </w:p>
    <w:p w14:paraId="24673C9B" w14:textId="77777777" w:rsidR="0003312E" w:rsidRDefault="0003312E">
      <w:pPr>
        <w:spacing w:after="0" w:line="360" w:lineRule="auto"/>
        <w:ind w:firstLine="709"/>
        <w:jc w:val="both"/>
        <w:rPr>
          <w:rFonts w:ascii="Times New Roman" w:eastAsia="Segoe UI" w:hAnsi="Times New Roman" w:cs="Times New Roman"/>
          <w:sz w:val="24"/>
          <w:szCs w:val="24"/>
          <w:shd w:val="clear" w:color="auto" w:fill="FFFFFF"/>
          <w:lang w:eastAsia="zh-CN"/>
        </w:rPr>
      </w:pPr>
    </w:p>
    <w:p w14:paraId="278CD5A9" w14:textId="77777777" w:rsidR="0003312E" w:rsidRDefault="00000000">
      <w:pPr>
        <w:spacing w:after="0" w:line="360" w:lineRule="auto"/>
        <w:ind w:firstLine="709"/>
        <w:jc w:val="both"/>
        <w:rPr>
          <w:rFonts w:ascii="Times New Roman" w:eastAsia="Segoe UI" w:hAnsi="Times New Roman" w:cs="Times New Roman"/>
          <w:b/>
          <w:bCs/>
          <w:sz w:val="24"/>
          <w:szCs w:val="24"/>
          <w:shd w:val="clear" w:color="auto" w:fill="FFFFFF"/>
          <w:lang w:eastAsia="zh-CN"/>
        </w:rPr>
      </w:pPr>
      <w:r>
        <w:rPr>
          <w:rFonts w:ascii="Times New Roman" w:eastAsia="Segoe UI" w:hAnsi="Times New Roman" w:cs="Times New Roman"/>
          <w:b/>
          <w:bCs/>
          <w:sz w:val="24"/>
          <w:szCs w:val="24"/>
          <w:shd w:val="clear" w:color="auto" w:fill="FFFFFF"/>
          <w:lang w:eastAsia="zh-CN"/>
        </w:rPr>
        <w:t>Capítulo 8</w:t>
      </w:r>
    </w:p>
    <w:p w14:paraId="60ED7595"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AMERICAN PSYCHOLOGICAL ASSOCIATION. Neurasthenia. APA Dictionary of Psychology, [</w:t>
      </w:r>
      <w:proofErr w:type="spellStart"/>
      <w:r>
        <w:rPr>
          <w:rFonts w:ascii="Times New Roman" w:eastAsia="Segoe UI" w:hAnsi="Times New Roman" w:cs="Times New Roman"/>
          <w:sz w:val="20"/>
          <w:szCs w:val="20"/>
          <w:shd w:val="clear" w:color="auto" w:fill="FFFFFF"/>
          <w:lang w:val="en-US" w:eastAsia="zh-CN"/>
        </w:rPr>
        <w:t>S.l.</w:t>
      </w:r>
      <w:proofErr w:type="spellEnd"/>
      <w:r>
        <w:rPr>
          <w:rFonts w:ascii="Times New Roman" w:eastAsia="Segoe UI" w:hAnsi="Times New Roman" w:cs="Times New Roman"/>
          <w:sz w:val="20"/>
          <w:szCs w:val="20"/>
          <w:shd w:val="clear" w:color="auto" w:fill="FFFFFF"/>
          <w:lang w:val="en-US" w:eastAsia="zh-CN"/>
        </w:rPr>
        <w:t>], [</w:t>
      </w:r>
      <w:proofErr w:type="spellStart"/>
      <w:r>
        <w:rPr>
          <w:rFonts w:ascii="Times New Roman" w:eastAsia="Segoe UI" w:hAnsi="Times New Roman" w:cs="Times New Roman"/>
          <w:sz w:val="20"/>
          <w:szCs w:val="20"/>
          <w:shd w:val="clear" w:color="auto" w:fill="FFFFFF"/>
          <w:lang w:val="en-US" w:eastAsia="zh-CN"/>
        </w:rPr>
        <w:t>s.d.</w:t>
      </w:r>
      <w:proofErr w:type="spellEnd"/>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Disponível em: </w:t>
      </w:r>
      <w:hyperlink r:id="rId91" w:tgtFrame="_new" w:history="1">
        <w:r>
          <w:rPr>
            <w:rStyle w:val="Hyperlink"/>
            <w:rFonts w:ascii="Times New Roman" w:eastAsia="Segoe UI" w:hAnsi="Times New Roman" w:cs="Times New Roman"/>
            <w:color w:val="auto"/>
            <w:sz w:val="20"/>
            <w:szCs w:val="20"/>
            <w:shd w:val="clear" w:color="auto" w:fill="FFFFFF"/>
            <w:lang w:eastAsia="zh-CN"/>
          </w:rPr>
          <w:t>https://dictionary.apa.org/neurasthenia</w:t>
        </w:r>
      </w:hyperlink>
      <w:r>
        <w:rPr>
          <w:rFonts w:ascii="Times New Roman" w:eastAsia="Segoe UI" w:hAnsi="Times New Roman" w:cs="Times New Roman"/>
          <w:sz w:val="20"/>
          <w:szCs w:val="20"/>
          <w:shd w:val="clear" w:color="auto" w:fill="FFFFFF"/>
          <w:lang w:eastAsia="zh-CN"/>
        </w:rPr>
        <w:t xml:space="preserve">.  Acesso em: 1o out. 2025. </w:t>
      </w:r>
    </w:p>
    <w:p w14:paraId="10C4B005"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BEARD, George M. American Nervousness: Its Causes and Consequences. </w:t>
      </w:r>
      <w:r>
        <w:rPr>
          <w:rFonts w:ascii="Times New Roman" w:eastAsia="Segoe UI" w:hAnsi="Times New Roman" w:cs="Times New Roman"/>
          <w:sz w:val="20"/>
          <w:szCs w:val="20"/>
          <w:shd w:val="clear" w:color="auto" w:fill="FFFFFF"/>
          <w:lang w:eastAsia="zh-CN"/>
        </w:rPr>
        <w:t xml:space="preserve">New York: G.P. </w:t>
      </w:r>
      <w:proofErr w:type="spellStart"/>
      <w:r>
        <w:rPr>
          <w:rFonts w:ascii="Times New Roman" w:eastAsia="Segoe UI" w:hAnsi="Times New Roman" w:cs="Times New Roman"/>
          <w:sz w:val="20"/>
          <w:szCs w:val="20"/>
          <w:shd w:val="clear" w:color="auto" w:fill="FFFFFF"/>
          <w:lang w:eastAsia="zh-CN"/>
        </w:rPr>
        <w:t>Putnam's</w:t>
      </w:r>
      <w:proofErr w:type="spellEnd"/>
      <w:r>
        <w:rPr>
          <w:rFonts w:ascii="Times New Roman" w:eastAsia="Segoe UI" w:hAnsi="Times New Roman" w:cs="Times New Roman"/>
          <w:sz w:val="20"/>
          <w:szCs w:val="20"/>
          <w:shd w:val="clear" w:color="auto" w:fill="FFFFFF"/>
          <w:lang w:eastAsia="zh-CN"/>
        </w:rPr>
        <w:t xml:space="preserve"> Sons, 1881. Disponível em: </w:t>
      </w:r>
      <w:hyperlink r:id="rId92" w:tgtFrame="_new" w:history="1">
        <w:r>
          <w:rPr>
            <w:rStyle w:val="Hyperlink"/>
            <w:rFonts w:ascii="Times New Roman" w:eastAsia="Segoe UI" w:hAnsi="Times New Roman" w:cs="Times New Roman"/>
            <w:color w:val="auto"/>
            <w:sz w:val="20"/>
            <w:szCs w:val="20"/>
            <w:shd w:val="clear" w:color="auto" w:fill="FFFFFF"/>
            <w:lang w:eastAsia="zh-CN"/>
          </w:rPr>
          <w:t>https://archive.org/details/americannervousn00bearuoft</w:t>
        </w:r>
      </w:hyperlink>
      <w:r>
        <w:rPr>
          <w:rFonts w:ascii="Times New Roman" w:eastAsia="Segoe UI" w:hAnsi="Times New Roman" w:cs="Times New Roman"/>
          <w:sz w:val="20"/>
          <w:szCs w:val="20"/>
          <w:shd w:val="clear" w:color="auto" w:fill="FFFFFF"/>
          <w:lang w:eastAsia="zh-CN"/>
        </w:rPr>
        <w:t xml:space="preserve">.  Acesso em: 1o out. 2025. </w:t>
      </w:r>
    </w:p>
    <w:p w14:paraId="64A16FF4"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CNRTL-CENTRE NATIONAL DE RESSOURCES TEXTUELLES ET LEXICALES. </w:t>
      </w:r>
      <w:proofErr w:type="spellStart"/>
      <w:r>
        <w:rPr>
          <w:rFonts w:ascii="Times New Roman" w:eastAsia="Segoe UI" w:hAnsi="Times New Roman" w:cs="Times New Roman"/>
          <w:sz w:val="20"/>
          <w:szCs w:val="20"/>
          <w:shd w:val="clear" w:color="auto" w:fill="FFFFFF"/>
          <w:lang w:eastAsia="zh-CN"/>
        </w:rPr>
        <w:t>Trésor</w:t>
      </w:r>
      <w:proofErr w:type="spellEnd"/>
      <w:r>
        <w:rPr>
          <w:rFonts w:ascii="Times New Roman" w:eastAsia="Segoe UI" w:hAnsi="Times New Roman" w:cs="Times New Roman"/>
          <w:sz w:val="20"/>
          <w:szCs w:val="20"/>
          <w:shd w:val="clear" w:color="auto" w:fill="FFFFFF"/>
          <w:lang w:eastAsia="zh-CN"/>
        </w:rPr>
        <w:t xml:space="preserve"> de </w:t>
      </w:r>
      <w:proofErr w:type="spellStart"/>
      <w:r>
        <w:rPr>
          <w:rFonts w:ascii="Times New Roman" w:eastAsia="Segoe UI" w:hAnsi="Times New Roman" w:cs="Times New Roman"/>
          <w:sz w:val="20"/>
          <w:szCs w:val="20"/>
          <w:shd w:val="clear" w:color="auto" w:fill="FFFFFF"/>
          <w:lang w:eastAsia="zh-CN"/>
        </w:rPr>
        <w:t>la</w:t>
      </w:r>
      <w:proofErr w:type="spellEnd"/>
      <w:r>
        <w:rPr>
          <w:rFonts w:ascii="Times New Roman" w:eastAsia="Segoe UI" w:hAnsi="Times New Roman" w:cs="Times New Roman"/>
          <w:sz w:val="20"/>
          <w:szCs w:val="20"/>
          <w:shd w:val="clear" w:color="auto" w:fill="FFFFFF"/>
          <w:lang w:eastAsia="zh-CN"/>
        </w:rPr>
        <w:t xml:space="preserve"> Langue Française </w:t>
      </w:r>
      <w:proofErr w:type="spellStart"/>
      <w:r>
        <w:rPr>
          <w:rFonts w:ascii="Times New Roman" w:eastAsia="Segoe UI" w:hAnsi="Times New Roman" w:cs="Times New Roman"/>
          <w:sz w:val="20"/>
          <w:szCs w:val="20"/>
          <w:shd w:val="clear" w:color="auto" w:fill="FFFFFF"/>
          <w:lang w:eastAsia="zh-CN"/>
        </w:rPr>
        <w:t>informatisé</w:t>
      </w:r>
      <w:proofErr w:type="spellEnd"/>
      <w:r>
        <w:rPr>
          <w:rFonts w:ascii="Times New Roman" w:eastAsia="Segoe UI" w:hAnsi="Times New Roman" w:cs="Times New Roman"/>
          <w:sz w:val="20"/>
          <w:szCs w:val="20"/>
          <w:shd w:val="clear" w:color="auto" w:fill="FFFFFF"/>
          <w:lang w:eastAsia="zh-CN"/>
        </w:rPr>
        <w:t xml:space="preserve">. Nancy: CNRS, 2012. Disponível em: </w:t>
      </w:r>
      <w:proofErr w:type="gramStart"/>
      <w:r>
        <w:rPr>
          <w:rFonts w:ascii="Times New Roman" w:hAnsi="Times New Roman" w:cs="Times New Roman"/>
          <w:sz w:val="20"/>
          <w:szCs w:val="20"/>
        </w:rPr>
        <w:t>https://www.cnrtl.fr/etymologie/neurasthenie</w:t>
      </w:r>
      <w:r>
        <w:rPr>
          <w:rFonts w:ascii="Times New Roman" w:eastAsia="Segoe UI" w:hAnsi="Times New Roman" w:cs="Times New Roman"/>
          <w:sz w:val="20"/>
          <w:szCs w:val="20"/>
          <w:shd w:val="clear" w:color="auto" w:fill="FFFFFF"/>
          <w:lang w:eastAsia="zh-CN"/>
        </w:rPr>
        <w:t xml:space="preserve">  Acesso</w:t>
      </w:r>
      <w:proofErr w:type="gramEnd"/>
      <w:r>
        <w:rPr>
          <w:rFonts w:ascii="Times New Roman" w:eastAsia="Segoe UI" w:hAnsi="Times New Roman" w:cs="Times New Roman"/>
          <w:sz w:val="20"/>
          <w:szCs w:val="20"/>
          <w:shd w:val="clear" w:color="auto" w:fill="FFFFFF"/>
          <w:lang w:eastAsia="zh-CN"/>
        </w:rPr>
        <w:t xml:space="preserve"> em: 1o out. 2025. </w:t>
      </w:r>
    </w:p>
    <w:p w14:paraId="2050D010"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Times New Roman" w:hAnsi="Times New Roman" w:cs="Times New Roman"/>
          <w:kern w:val="0"/>
          <w:sz w:val="20"/>
          <w:szCs w:val="20"/>
          <w:lang w:eastAsia="pt-BR"/>
          <w14:ligatures w14:val="none"/>
        </w:rPr>
        <w:t xml:space="preserve">DECEL - </w:t>
      </w:r>
      <w:proofErr w:type="spellStart"/>
      <w:r>
        <w:rPr>
          <w:rFonts w:ascii="Times New Roman" w:eastAsia="Times New Roman" w:hAnsi="Times New Roman" w:cs="Times New Roman"/>
          <w:kern w:val="0"/>
          <w:sz w:val="20"/>
          <w:szCs w:val="20"/>
          <w:lang w:eastAsia="pt-BR"/>
          <w14:ligatures w14:val="none"/>
        </w:rPr>
        <w:t>Diccionario</w:t>
      </w:r>
      <w:proofErr w:type="spellEnd"/>
      <w:r>
        <w:rPr>
          <w:rFonts w:ascii="Times New Roman" w:eastAsia="Times New Roman" w:hAnsi="Times New Roman" w:cs="Times New Roman"/>
          <w:kern w:val="0"/>
          <w:sz w:val="20"/>
          <w:szCs w:val="20"/>
          <w:lang w:eastAsia="pt-BR"/>
          <w14:ligatures w14:val="none"/>
        </w:rPr>
        <w:t xml:space="preserve"> Etimológico Castellano </w:t>
      </w:r>
      <w:proofErr w:type="spellStart"/>
      <w:r>
        <w:rPr>
          <w:rFonts w:ascii="Times New Roman" w:eastAsia="Times New Roman" w:hAnsi="Times New Roman" w:cs="Times New Roman"/>
          <w:kern w:val="0"/>
          <w:sz w:val="20"/>
          <w:szCs w:val="20"/>
          <w:lang w:eastAsia="pt-BR"/>
          <w14:ligatures w14:val="none"/>
        </w:rPr>
        <w:t>En</w:t>
      </w:r>
      <w:proofErr w:type="spellEnd"/>
      <w:r>
        <w:rPr>
          <w:rFonts w:ascii="Times New Roman" w:eastAsia="Times New Roman" w:hAnsi="Times New Roman" w:cs="Times New Roman"/>
          <w:kern w:val="0"/>
          <w:sz w:val="20"/>
          <w:szCs w:val="20"/>
          <w:lang w:eastAsia="pt-BR"/>
          <w14:ligatures w14:val="none"/>
        </w:rPr>
        <w:t xml:space="preserve"> Línea. Disponível em: &lt;</w:t>
      </w:r>
      <w:hyperlink r:id="rId93" w:tgtFrame="_new" w:history="1">
        <w:r>
          <w:rPr>
            <w:rStyle w:val="Hyperlink"/>
            <w:rFonts w:ascii="Times New Roman" w:eastAsia="Segoe UI" w:hAnsi="Times New Roman" w:cs="Times New Roman"/>
            <w:color w:val="auto"/>
            <w:sz w:val="20"/>
            <w:szCs w:val="20"/>
            <w:shd w:val="clear" w:color="auto" w:fill="FFFFFF"/>
            <w:lang w:eastAsia="zh-CN"/>
          </w:rPr>
          <w:t>https://etimologias.dechile.net/?neurastenia</w:t>
        </w:r>
      </w:hyperlink>
      <w:r>
        <w:rPr>
          <w:rFonts w:ascii="Times New Roman" w:eastAsia="Segoe UI" w:hAnsi="Times New Roman" w:cs="Times New Roman"/>
          <w:sz w:val="20"/>
          <w:szCs w:val="20"/>
          <w:shd w:val="clear" w:color="auto" w:fill="FFFFFF"/>
          <w:lang w:eastAsia="zh-CN"/>
        </w:rPr>
        <w:t>.</w:t>
      </w:r>
      <w:r>
        <w:rPr>
          <w:rFonts w:ascii="Times New Roman" w:eastAsia="Times New Roman" w:hAnsi="Times New Roman" w:cs="Times New Roman"/>
          <w:kern w:val="0"/>
          <w:sz w:val="20"/>
          <w:szCs w:val="20"/>
          <w:lang w:eastAsia="pt-BR"/>
          <w14:ligatures w14:val="none"/>
        </w:rPr>
        <w:t xml:space="preserve">&gt;.  Acesso em: 1o out. 2025. </w:t>
      </w:r>
    </w:p>
    <w:p w14:paraId="574AC948"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HARPER, Douglas. Online Etymology Dictionary. </w:t>
      </w:r>
      <w:r>
        <w:rPr>
          <w:rFonts w:ascii="Times New Roman" w:eastAsia="Segoe UI" w:hAnsi="Times New Roman" w:cs="Times New Roman"/>
          <w:sz w:val="20"/>
          <w:szCs w:val="20"/>
          <w:shd w:val="clear" w:color="auto" w:fill="FFFFFF"/>
          <w:lang w:eastAsia="zh-CN"/>
        </w:rPr>
        <w:t xml:space="preserve">2001-2024. Disponível em: </w:t>
      </w:r>
      <w:hyperlink r:id="rId94" w:tgtFrame="_new" w:history="1">
        <w:hyperlink r:id="rId95" w:tgtFrame="_new" w:history="1">
          <w:r>
            <w:rPr>
              <w:rStyle w:val="Hyperlink"/>
              <w:rFonts w:ascii="Times New Roman" w:eastAsia="Segoe UI" w:hAnsi="Times New Roman" w:cs="Times New Roman"/>
              <w:color w:val="auto"/>
              <w:sz w:val="20"/>
              <w:szCs w:val="20"/>
              <w:shd w:val="clear" w:color="auto" w:fill="FFFFFF"/>
              <w:lang w:eastAsia="zh-CN"/>
            </w:rPr>
            <w:t>https://www.etymonline.com/search?q=neurasthenia</w:t>
          </w:r>
        </w:hyperlink>
        <w:r>
          <w:rPr>
            <w:rStyle w:val="Hyperlink"/>
            <w:rFonts w:ascii="Times New Roman" w:eastAsia="Segoe UI" w:hAnsi="Times New Roman" w:cs="Times New Roman"/>
            <w:color w:val="auto"/>
            <w:sz w:val="20"/>
            <w:szCs w:val="20"/>
            <w:shd w:val="clear" w:color="auto" w:fill="FFFFFF"/>
            <w:lang w:eastAsia="zh-CN"/>
          </w:rPr>
          <w:t>/</w:t>
        </w:r>
      </w:hyperlink>
      <w:r>
        <w:rPr>
          <w:rFonts w:ascii="Times New Roman" w:eastAsia="Segoe UI" w:hAnsi="Times New Roman" w:cs="Times New Roman"/>
          <w:sz w:val="20"/>
          <w:szCs w:val="20"/>
          <w:shd w:val="clear" w:color="auto" w:fill="FFFFFF"/>
          <w:lang w:eastAsia="zh-CN"/>
        </w:rPr>
        <w:t xml:space="preserve">.  Acesso em: 1o out. 2025. </w:t>
      </w:r>
    </w:p>
    <w:p w14:paraId="6B18B655"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RAE-REAL ACADEMIA ESPAÑOLA. </w:t>
      </w:r>
      <w:proofErr w:type="spellStart"/>
      <w:r>
        <w:rPr>
          <w:rFonts w:ascii="Times New Roman" w:eastAsia="Segoe UI" w:hAnsi="Times New Roman" w:cs="Times New Roman"/>
          <w:sz w:val="20"/>
          <w:szCs w:val="20"/>
          <w:shd w:val="clear" w:color="auto" w:fill="FFFFFF"/>
          <w:lang w:eastAsia="zh-CN"/>
        </w:rPr>
        <w:t>Diccionario</w:t>
      </w:r>
      <w:proofErr w:type="spellEnd"/>
      <w:r>
        <w:rPr>
          <w:rFonts w:ascii="Times New Roman" w:eastAsia="Segoe UI" w:hAnsi="Times New Roman" w:cs="Times New Roman"/>
          <w:sz w:val="20"/>
          <w:szCs w:val="20"/>
          <w:shd w:val="clear" w:color="auto" w:fill="FFFFFF"/>
          <w:lang w:eastAsia="zh-CN"/>
        </w:rPr>
        <w:t xml:space="preserve"> de </w:t>
      </w:r>
      <w:proofErr w:type="spellStart"/>
      <w:r>
        <w:rPr>
          <w:rFonts w:ascii="Times New Roman" w:eastAsia="Segoe UI" w:hAnsi="Times New Roman" w:cs="Times New Roman"/>
          <w:sz w:val="20"/>
          <w:szCs w:val="20"/>
          <w:shd w:val="clear" w:color="auto" w:fill="FFFFFF"/>
          <w:lang w:eastAsia="zh-CN"/>
        </w:rPr>
        <w:t>la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lengua</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española</w:t>
      </w:r>
      <w:proofErr w:type="spellEnd"/>
      <w:r>
        <w:rPr>
          <w:rFonts w:ascii="Times New Roman" w:eastAsia="Segoe UI" w:hAnsi="Times New Roman" w:cs="Times New Roman"/>
          <w:sz w:val="20"/>
          <w:szCs w:val="20"/>
          <w:shd w:val="clear" w:color="auto" w:fill="FFFFFF"/>
          <w:lang w:eastAsia="zh-CN"/>
        </w:rPr>
        <w:t xml:space="preserve">. 23. ed. [Madrid]: RAE, 2014. Disponível em: </w:t>
      </w:r>
      <w:proofErr w:type="gramStart"/>
      <w:r>
        <w:rPr>
          <w:rFonts w:ascii="Times New Roman" w:hAnsi="Times New Roman" w:cs="Times New Roman"/>
          <w:sz w:val="20"/>
          <w:szCs w:val="20"/>
        </w:rPr>
        <w:t>https://dle.rae.es/neurastenia?m=form</w:t>
      </w:r>
      <w:r>
        <w:rPr>
          <w:rFonts w:ascii="Times New Roman" w:eastAsia="Segoe UI" w:hAnsi="Times New Roman" w:cs="Times New Roman"/>
          <w:sz w:val="20"/>
          <w:szCs w:val="20"/>
          <w:shd w:val="clear" w:color="auto" w:fill="FFFFFF"/>
          <w:lang w:eastAsia="zh-CN"/>
        </w:rPr>
        <w:t xml:space="preserve">  Acesso</w:t>
      </w:r>
      <w:proofErr w:type="gramEnd"/>
      <w:r>
        <w:rPr>
          <w:rFonts w:ascii="Times New Roman" w:eastAsia="Segoe UI" w:hAnsi="Times New Roman" w:cs="Times New Roman"/>
          <w:sz w:val="20"/>
          <w:szCs w:val="20"/>
          <w:shd w:val="clear" w:color="auto" w:fill="FFFFFF"/>
          <w:lang w:eastAsia="zh-CN"/>
        </w:rPr>
        <w:t xml:space="preserve"> em: 1o out. 2025. </w:t>
      </w:r>
    </w:p>
    <w:p w14:paraId="2E17B94A"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val="en-US" w:eastAsia="zh-CN"/>
        </w:rPr>
      </w:pPr>
      <w:r>
        <w:rPr>
          <w:rFonts w:ascii="Times New Roman" w:eastAsia="Segoe UI" w:hAnsi="Times New Roman" w:cs="Times New Roman"/>
          <w:sz w:val="20"/>
          <w:szCs w:val="20"/>
          <w:shd w:val="clear" w:color="auto" w:fill="FFFFFF"/>
          <w:lang w:val="en-US" w:eastAsia="zh-CN"/>
        </w:rPr>
        <w:t xml:space="preserve">SCHUSTER, Daniel G. Personalizing illness and modernity: S. Weir Mitchell, literary women, and neurasthenia, 1870 - 1914. Bulletin of the History of Medicine, v. 79, n. 4, p. 695 - 722, 2005. </w:t>
      </w:r>
      <w:proofErr w:type="spellStart"/>
      <w:r>
        <w:rPr>
          <w:rFonts w:ascii="Times New Roman" w:eastAsia="Segoe UI" w:hAnsi="Times New Roman" w:cs="Times New Roman"/>
          <w:sz w:val="20"/>
          <w:szCs w:val="20"/>
          <w:shd w:val="clear" w:color="auto" w:fill="FFFFFF"/>
          <w:lang w:val="en-US" w:eastAsia="zh-CN"/>
        </w:rPr>
        <w:t>Disponível</w:t>
      </w:r>
      <w:proofErr w:type="spellEnd"/>
      <w:r>
        <w:rPr>
          <w:rFonts w:ascii="Times New Roman" w:eastAsia="Segoe UI" w:hAnsi="Times New Roman" w:cs="Times New Roman"/>
          <w:sz w:val="20"/>
          <w:szCs w:val="20"/>
          <w:shd w:val="clear" w:color="auto" w:fill="FFFFFF"/>
          <w:lang w:val="en-US" w:eastAsia="zh-CN"/>
        </w:rPr>
        <w:t xml:space="preserve"> </w:t>
      </w:r>
      <w:proofErr w:type="spellStart"/>
      <w:r>
        <w:rPr>
          <w:rFonts w:ascii="Times New Roman" w:eastAsia="Segoe UI" w:hAnsi="Times New Roman" w:cs="Times New Roman"/>
          <w:sz w:val="20"/>
          <w:szCs w:val="20"/>
          <w:shd w:val="clear" w:color="auto" w:fill="FFFFFF"/>
          <w:lang w:val="en-US" w:eastAsia="zh-CN"/>
        </w:rPr>
        <w:t>em</w:t>
      </w:r>
      <w:proofErr w:type="spellEnd"/>
      <w:r>
        <w:rPr>
          <w:rFonts w:ascii="Times New Roman" w:eastAsia="Segoe UI" w:hAnsi="Times New Roman" w:cs="Times New Roman"/>
          <w:sz w:val="20"/>
          <w:szCs w:val="20"/>
          <w:shd w:val="clear" w:color="auto" w:fill="FFFFFF"/>
          <w:lang w:val="en-US" w:eastAsia="zh-CN"/>
        </w:rPr>
        <w:t xml:space="preserve">: </w:t>
      </w:r>
      <w:hyperlink r:id="rId96" w:tgtFrame="_new" w:history="1">
        <w:r>
          <w:rPr>
            <w:rStyle w:val="Hyperlink"/>
            <w:rFonts w:ascii="Times New Roman" w:eastAsia="Segoe UI" w:hAnsi="Times New Roman" w:cs="Times New Roman"/>
            <w:color w:val="auto"/>
            <w:sz w:val="20"/>
            <w:szCs w:val="20"/>
            <w:shd w:val="clear" w:color="auto" w:fill="FFFFFF"/>
            <w:lang w:val="en-US" w:eastAsia="zh-CN"/>
          </w:rPr>
          <w:t>https://www.jstor.org/stable/pdf/44449492.pdf</w:t>
        </w:r>
      </w:hyperlink>
      <w:r>
        <w:rPr>
          <w:rFonts w:ascii="Times New Roman" w:eastAsia="Segoe UI" w:hAnsi="Times New Roman" w:cs="Times New Roman"/>
          <w:sz w:val="20"/>
          <w:szCs w:val="20"/>
          <w:shd w:val="clear" w:color="auto" w:fill="FFFFFF"/>
          <w:lang w:val="en-US" w:eastAsia="zh-CN"/>
        </w:rPr>
        <w:t xml:space="preserve">.  </w:t>
      </w:r>
      <w:r>
        <w:rPr>
          <w:rFonts w:ascii="Times New Roman" w:eastAsia="Segoe UI" w:hAnsi="Times New Roman" w:cs="Times New Roman"/>
          <w:sz w:val="20"/>
          <w:szCs w:val="20"/>
          <w:shd w:val="clear" w:color="auto" w:fill="FFFFFF"/>
          <w:lang w:eastAsia="zh-CN"/>
        </w:rPr>
        <w:t xml:space="preserve">Acesso em: 1o out. 2025. </w:t>
      </w:r>
    </w:p>
    <w:p w14:paraId="5F2C20A0"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YALE UNIVERSITY LIBRARY. George Miller Beard papers. </w:t>
      </w:r>
      <w:proofErr w:type="spellStart"/>
      <w:r>
        <w:rPr>
          <w:rFonts w:ascii="Times New Roman" w:eastAsia="Segoe UI" w:hAnsi="Times New Roman" w:cs="Times New Roman"/>
          <w:sz w:val="20"/>
          <w:szCs w:val="20"/>
          <w:shd w:val="clear" w:color="auto" w:fill="FFFFFF"/>
          <w:lang w:eastAsia="zh-CN"/>
        </w:rPr>
        <w:t>Manuscripts</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and</w:t>
      </w:r>
      <w:proofErr w:type="spellEnd"/>
      <w:r>
        <w:rPr>
          <w:rFonts w:ascii="Times New Roman" w:eastAsia="Segoe UI" w:hAnsi="Times New Roman" w:cs="Times New Roman"/>
          <w:sz w:val="20"/>
          <w:szCs w:val="20"/>
          <w:shd w:val="clear" w:color="auto" w:fill="FFFFFF"/>
          <w:lang w:eastAsia="zh-CN"/>
        </w:rPr>
        <w:t xml:space="preserve"> </w:t>
      </w:r>
      <w:proofErr w:type="spellStart"/>
      <w:r>
        <w:rPr>
          <w:rFonts w:ascii="Times New Roman" w:eastAsia="Segoe UI" w:hAnsi="Times New Roman" w:cs="Times New Roman"/>
          <w:sz w:val="20"/>
          <w:szCs w:val="20"/>
          <w:shd w:val="clear" w:color="auto" w:fill="FFFFFF"/>
          <w:lang w:eastAsia="zh-CN"/>
        </w:rPr>
        <w:t>Archives</w:t>
      </w:r>
      <w:proofErr w:type="spellEnd"/>
      <w:r>
        <w:rPr>
          <w:rFonts w:ascii="Times New Roman" w:eastAsia="Segoe UI" w:hAnsi="Times New Roman" w:cs="Times New Roman"/>
          <w:sz w:val="20"/>
          <w:szCs w:val="20"/>
          <w:shd w:val="clear" w:color="auto" w:fill="FFFFFF"/>
          <w:lang w:eastAsia="zh-CN"/>
        </w:rPr>
        <w:t xml:space="preserve">, MS 584. Disponível em: </w:t>
      </w:r>
      <w:hyperlink r:id="rId97" w:tgtFrame="_new" w:history="1">
        <w:r>
          <w:rPr>
            <w:rStyle w:val="Hyperlink"/>
            <w:rFonts w:ascii="Times New Roman" w:eastAsia="Segoe UI" w:hAnsi="Times New Roman" w:cs="Times New Roman"/>
            <w:color w:val="auto"/>
            <w:sz w:val="20"/>
            <w:szCs w:val="20"/>
            <w:shd w:val="clear" w:color="auto" w:fill="FFFFFF"/>
            <w:lang w:eastAsia="zh-CN"/>
          </w:rPr>
          <w:t>https://archives.yale.edu/repositories/12/resources/3104</w:t>
        </w:r>
      </w:hyperlink>
      <w:r>
        <w:rPr>
          <w:rFonts w:ascii="Times New Roman" w:eastAsia="Segoe UI" w:hAnsi="Times New Roman" w:cs="Times New Roman"/>
          <w:sz w:val="20"/>
          <w:szCs w:val="20"/>
          <w:shd w:val="clear" w:color="auto" w:fill="FFFFFF"/>
          <w:lang w:eastAsia="zh-CN"/>
        </w:rPr>
        <w:t xml:space="preserve">.  Acesso em: 1o out. 2025. </w:t>
      </w:r>
    </w:p>
    <w:p w14:paraId="3AEC84AC"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eastAsia="zh-CN"/>
        </w:rPr>
        <w:t xml:space="preserve">ZORZANELLI, Rafaela Teixeira. Neurastenia. História, Ciências, Saúde-Manguinhos, v. 17, p. 431-446, 2010. Disponível em: </w:t>
      </w:r>
      <w:hyperlink r:id="rId98" w:history="1">
        <w:r>
          <w:rPr>
            <w:rStyle w:val="Hyperlink"/>
            <w:rFonts w:ascii="Times New Roman" w:eastAsia="Segoe UI" w:hAnsi="Times New Roman" w:cs="Times New Roman"/>
            <w:sz w:val="20"/>
            <w:szCs w:val="20"/>
            <w:shd w:val="clear" w:color="auto" w:fill="FFFFFF"/>
            <w:lang w:eastAsia="zh-CN"/>
          </w:rPr>
          <w:t>https://doi.org/10.1590/S0104-59702010000600010</w:t>
        </w:r>
      </w:hyperlink>
      <w:r>
        <w:rPr>
          <w:rFonts w:ascii="Times New Roman" w:eastAsia="Segoe UI" w:hAnsi="Times New Roman" w:cs="Times New Roman"/>
          <w:sz w:val="20"/>
          <w:szCs w:val="20"/>
          <w:shd w:val="clear" w:color="auto" w:fill="FFFFFF"/>
          <w:lang w:eastAsia="zh-CN"/>
        </w:rPr>
        <w:t xml:space="preserve">. Acesso em: 1o out. 2025. </w:t>
      </w:r>
    </w:p>
    <w:p w14:paraId="1EAA9F91" w14:textId="77777777" w:rsidR="0003312E" w:rsidRDefault="00000000">
      <w:pPr>
        <w:pStyle w:val="PargrafodaLista"/>
        <w:numPr>
          <w:ilvl w:val="0"/>
          <w:numId w:val="3"/>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egoe UI" w:hAnsi="Times New Roman" w:cs="Times New Roman"/>
          <w:sz w:val="20"/>
          <w:szCs w:val="20"/>
          <w:shd w:val="clear" w:color="auto" w:fill="FFFFFF"/>
          <w:lang w:val="en-US" w:eastAsia="zh-CN"/>
        </w:rPr>
        <w:t xml:space="preserve">WORLD HEALTH ORGANIZATION. Burn-out an "occupational phenomenon": International Classification of Diseases. </w:t>
      </w:r>
      <w:r>
        <w:rPr>
          <w:rFonts w:ascii="Times New Roman" w:eastAsia="Segoe UI" w:hAnsi="Times New Roman" w:cs="Times New Roman"/>
          <w:sz w:val="20"/>
          <w:szCs w:val="20"/>
          <w:shd w:val="clear" w:color="auto" w:fill="FFFFFF"/>
          <w:lang w:eastAsia="zh-CN"/>
        </w:rPr>
        <w:t>Genebra: WHO, 28 maio 2019. Disponível em: </w:t>
      </w:r>
      <w:hyperlink r:id="rId99" w:tgtFrame="_blank" w:history="1">
        <w:r>
          <w:rPr>
            <w:rStyle w:val="Hyperlink"/>
            <w:rFonts w:ascii="Times New Roman" w:eastAsia="Segoe UI" w:hAnsi="Times New Roman" w:cs="Times New Roman"/>
            <w:color w:val="auto"/>
            <w:sz w:val="20"/>
            <w:szCs w:val="20"/>
            <w:u w:val="none"/>
            <w:shd w:val="clear" w:color="auto" w:fill="FFFFFF"/>
            <w:lang w:eastAsia="zh-CN"/>
          </w:rPr>
          <w:t>https://www.who.int/news/item/28-05-2019-burn-out-an-occupational-phenomenon-international-classification-of-diseases</w:t>
        </w:r>
      </w:hyperlink>
      <w:r>
        <w:rPr>
          <w:rFonts w:ascii="Times New Roman" w:eastAsia="Segoe UI" w:hAnsi="Times New Roman" w:cs="Times New Roman"/>
          <w:sz w:val="20"/>
          <w:szCs w:val="20"/>
          <w:shd w:val="clear" w:color="auto" w:fill="FFFFFF"/>
          <w:lang w:eastAsia="zh-CN"/>
        </w:rPr>
        <w:t>. Acesso em: 1o out. 2025.</w:t>
      </w:r>
    </w:p>
    <w:p w14:paraId="12B8326E" w14:textId="77777777" w:rsidR="0003312E" w:rsidRDefault="00000000">
      <w:pPr>
        <w:spacing w:after="0" w:line="360" w:lineRule="auto"/>
        <w:ind w:firstLine="709"/>
        <w:jc w:val="both"/>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Capítulo 9</w:t>
      </w:r>
    </w:p>
    <w:p w14:paraId="3F7354A4"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CNRTL-CENTRE NATIONAL DE RESSOURCES TEXTUELLES ET LEXICALES. </w:t>
      </w:r>
      <w:proofErr w:type="spellStart"/>
      <w:r>
        <w:rPr>
          <w:rFonts w:ascii="Times New Roman" w:eastAsia="SimSun" w:hAnsi="Times New Roman" w:cs="Times New Roman"/>
          <w:sz w:val="20"/>
          <w:szCs w:val="20"/>
          <w:lang w:eastAsia="zh-CN"/>
        </w:rPr>
        <w:t>Trésor</w:t>
      </w:r>
      <w:proofErr w:type="spellEnd"/>
      <w:r>
        <w:rPr>
          <w:rFonts w:ascii="Times New Roman" w:eastAsia="SimSun" w:hAnsi="Times New Roman" w:cs="Times New Roman"/>
          <w:sz w:val="20"/>
          <w:szCs w:val="20"/>
          <w:lang w:eastAsia="zh-CN"/>
        </w:rPr>
        <w:t xml:space="preserve"> de </w:t>
      </w:r>
      <w:proofErr w:type="spellStart"/>
      <w:r>
        <w:rPr>
          <w:rFonts w:ascii="Times New Roman" w:eastAsia="SimSun" w:hAnsi="Times New Roman" w:cs="Times New Roman"/>
          <w:sz w:val="20"/>
          <w:szCs w:val="20"/>
          <w:lang w:eastAsia="zh-CN"/>
        </w:rPr>
        <w:t>la</w:t>
      </w:r>
      <w:proofErr w:type="spellEnd"/>
      <w:r>
        <w:rPr>
          <w:rFonts w:ascii="Times New Roman" w:eastAsia="SimSun" w:hAnsi="Times New Roman" w:cs="Times New Roman"/>
          <w:sz w:val="20"/>
          <w:szCs w:val="20"/>
          <w:lang w:eastAsia="zh-CN"/>
        </w:rPr>
        <w:t xml:space="preserve"> Langue Française </w:t>
      </w:r>
      <w:proofErr w:type="spellStart"/>
      <w:r>
        <w:rPr>
          <w:rFonts w:ascii="Times New Roman" w:eastAsia="SimSun" w:hAnsi="Times New Roman" w:cs="Times New Roman"/>
          <w:sz w:val="20"/>
          <w:szCs w:val="20"/>
          <w:lang w:eastAsia="zh-CN"/>
        </w:rPr>
        <w:t>informatisé</w:t>
      </w:r>
      <w:proofErr w:type="spellEnd"/>
      <w:r>
        <w:rPr>
          <w:rFonts w:ascii="Times New Roman" w:eastAsia="SimSun" w:hAnsi="Times New Roman" w:cs="Times New Roman"/>
          <w:sz w:val="20"/>
          <w:szCs w:val="20"/>
          <w:lang w:eastAsia="zh-CN"/>
        </w:rPr>
        <w:t xml:space="preserve">. Nancy: CNRS, 2012. Disponível em: </w:t>
      </w:r>
      <w:r>
        <w:rPr>
          <w:rFonts w:ascii="Times New Roman" w:hAnsi="Times New Roman" w:cs="Times New Roman"/>
          <w:sz w:val="20"/>
          <w:szCs w:val="20"/>
        </w:rPr>
        <w:t>https://www.cnrtl.fr/etymologie/ANXIÉTÉ</w:t>
      </w:r>
      <w:r>
        <w:rPr>
          <w:rFonts w:ascii="Times New Roman" w:eastAsia="SimSun" w:hAnsi="Times New Roman" w:cs="Times New Roman"/>
          <w:sz w:val="20"/>
          <w:szCs w:val="20"/>
          <w:lang w:eastAsia="zh-CN"/>
        </w:rPr>
        <w:t xml:space="preserve">.  Acesso em: 1o out. 2025. </w:t>
      </w:r>
    </w:p>
    <w:p w14:paraId="4682F7A3"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val="en-US" w:eastAsia="zh-CN"/>
        </w:rPr>
        <w:t xml:space="preserve">CROCQ, M. A. A history of anxiety: from Hippocrates to DSM. </w:t>
      </w:r>
      <w:r>
        <w:rPr>
          <w:rFonts w:ascii="Times New Roman" w:eastAsia="SimSun" w:hAnsi="Times New Roman" w:cs="Times New Roman"/>
          <w:sz w:val="20"/>
          <w:szCs w:val="20"/>
          <w:lang w:eastAsia="zh-CN"/>
        </w:rPr>
        <w:t xml:space="preserve">Dialogues in Clinical </w:t>
      </w:r>
      <w:proofErr w:type="spellStart"/>
      <w:r>
        <w:rPr>
          <w:rFonts w:ascii="Times New Roman" w:eastAsia="SimSun" w:hAnsi="Times New Roman" w:cs="Times New Roman"/>
          <w:sz w:val="20"/>
          <w:szCs w:val="20"/>
          <w:lang w:eastAsia="zh-CN"/>
        </w:rPr>
        <w:t>Neuroscience</w:t>
      </w:r>
      <w:proofErr w:type="spellEnd"/>
      <w:r>
        <w:rPr>
          <w:rFonts w:ascii="Times New Roman" w:eastAsia="SimSun" w:hAnsi="Times New Roman" w:cs="Times New Roman"/>
          <w:sz w:val="20"/>
          <w:szCs w:val="20"/>
          <w:lang w:eastAsia="zh-CN"/>
        </w:rPr>
        <w:t xml:space="preserve">, v. 17, n. 3, p. 319 - 325, set. 2015. DOI: 10.31887/DCNS.2015.17.3.macrocq. Disponível em: </w:t>
      </w:r>
      <w:hyperlink r:id="rId100" w:tgtFrame="_new" w:history="1">
        <w:r>
          <w:rPr>
            <w:rStyle w:val="Hyperlink"/>
            <w:rFonts w:ascii="Times New Roman" w:eastAsia="SimSun" w:hAnsi="Times New Roman" w:cs="Times New Roman"/>
            <w:color w:val="auto"/>
            <w:sz w:val="20"/>
            <w:szCs w:val="20"/>
            <w:lang w:eastAsia="zh-CN"/>
          </w:rPr>
          <w:t>https://pubmed.ncbi.nlm.nih.gov/26487812/</w:t>
        </w:r>
      </w:hyperlink>
      <w:r>
        <w:rPr>
          <w:rFonts w:ascii="Times New Roman" w:eastAsia="SimSun" w:hAnsi="Times New Roman" w:cs="Times New Roman"/>
          <w:sz w:val="20"/>
          <w:szCs w:val="20"/>
          <w:lang w:eastAsia="zh-CN"/>
        </w:rPr>
        <w:t xml:space="preserve">.  Acesso em: 1o out. 2025. </w:t>
      </w:r>
    </w:p>
    <w:p w14:paraId="2962FCD0"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Times New Roman" w:hAnsi="Times New Roman" w:cs="Times New Roman"/>
          <w:kern w:val="0"/>
          <w:sz w:val="20"/>
          <w:szCs w:val="20"/>
          <w:lang w:eastAsia="pt-BR"/>
          <w14:ligatures w14:val="none"/>
        </w:rPr>
        <w:lastRenderedPageBreak/>
        <w:t xml:space="preserve">DECEL - </w:t>
      </w:r>
      <w:proofErr w:type="spellStart"/>
      <w:r>
        <w:rPr>
          <w:rFonts w:ascii="Times New Roman" w:eastAsia="Times New Roman" w:hAnsi="Times New Roman" w:cs="Times New Roman"/>
          <w:kern w:val="0"/>
          <w:sz w:val="20"/>
          <w:szCs w:val="20"/>
          <w:lang w:eastAsia="pt-BR"/>
          <w14:ligatures w14:val="none"/>
        </w:rPr>
        <w:t>Diccionario</w:t>
      </w:r>
      <w:proofErr w:type="spellEnd"/>
      <w:r>
        <w:rPr>
          <w:rFonts w:ascii="Times New Roman" w:eastAsia="Times New Roman" w:hAnsi="Times New Roman" w:cs="Times New Roman"/>
          <w:kern w:val="0"/>
          <w:sz w:val="20"/>
          <w:szCs w:val="20"/>
          <w:lang w:eastAsia="pt-BR"/>
          <w14:ligatures w14:val="none"/>
        </w:rPr>
        <w:t xml:space="preserve"> Etimológico Castellano </w:t>
      </w:r>
      <w:proofErr w:type="spellStart"/>
      <w:r>
        <w:rPr>
          <w:rFonts w:ascii="Times New Roman" w:eastAsia="Times New Roman" w:hAnsi="Times New Roman" w:cs="Times New Roman"/>
          <w:kern w:val="0"/>
          <w:sz w:val="20"/>
          <w:szCs w:val="20"/>
          <w:lang w:eastAsia="pt-BR"/>
          <w14:ligatures w14:val="none"/>
        </w:rPr>
        <w:t>En</w:t>
      </w:r>
      <w:proofErr w:type="spellEnd"/>
      <w:r>
        <w:rPr>
          <w:rFonts w:ascii="Times New Roman" w:eastAsia="Times New Roman" w:hAnsi="Times New Roman" w:cs="Times New Roman"/>
          <w:kern w:val="0"/>
          <w:sz w:val="20"/>
          <w:szCs w:val="20"/>
          <w:lang w:eastAsia="pt-BR"/>
          <w14:ligatures w14:val="none"/>
        </w:rPr>
        <w:t xml:space="preserve"> Línea. Disponível em: &lt;https://etimologias.dechile.net/?</w:t>
      </w:r>
      <w:proofErr w:type="spellStart"/>
      <w:r>
        <w:rPr>
          <w:rFonts w:ascii="Times New Roman" w:eastAsia="Times New Roman" w:hAnsi="Times New Roman" w:cs="Times New Roman"/>
          <w:kern w:val="0"/>
          <w:sz w:val="20"/>
          <w:szCs w:val="20"/>
          <w:lang w:eastAsia="pt-BR"/>
          <w14:ligatures w14:val="none"/>
        </w:rPr>
        <w:t>ansiedad</w:t>
      </w:r>
      <w:proofErr w:type="spellEnd"/>
      <w:r>
        <w:rPr>
          <w:rFonts w:ascii="Times New Roman" w:eastAsia="Times New Roman" w:hAnsi="Times New Roman" w:cs="Times New Roman"/>
          <w:kern w:val="0"/>
          <w:sz w:val="20"/>
          <w:szCs w:val="20"/>
          <w:lang w:eastAsia="pt-BR"/>
          <w14:ligatures w14:val="none"/>
        </w:rPr>
        <w:t xml:space="preserve">&gt;.  Acesso em: 1o out. 2025. </w:t>
      </w:r>
    </w:p>
    <w:p w14:paraId="55896DCF"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val="en-US" w:eastAsia="zh-CN"/>
        </w:rPr>
        <w:t xml:space="preserve">GEE, B. A.; HOOD, H. K.; ANTONY, M. M. Anxiety disorders - A historical perspective. In: PLANTE, T. G. (Ed.). </w:t>
      </w:r>
      <w:r>
        <w:rPr>
          <w:rFonts w:ascii="Times New Roman" w:eastAsia="SimSun" w:hAnsi="Times New Roman" w:cs="Times New Roman"/>
          <w:i/>
          <w:iCs/>
          <w:sz w:val="20"/>
          <w:szCs w:val="20"/>
          <w:lang w:val="en-US" w:eastAsia="zh-CN"/>
        </w:rPr>
        <w:t>Abnormal psychology across the ages</w:t>
      </w:r>
      <w:r>
        <w:rPr>
          <w:rFonts w:ascii="Times New Roman" w:eastAsia="SimSun" w:hAnsi="Times New Roman" w:cs="Times New Roman"/>
          <w:sz w:val="20"/>
          <w:szCs w:val="20"/>
          <w:lang w:val="en-US" w:eastAsia="zh-CN"/>
        </w:rPr>
        <w:t xml:space="preserve">. Vol. 1: History and conceptualizations. Santa Barbara: Praeger/ABC-CLIO, 2013. p. 31 - 47. </w:t>
      </w:r>
      <w:r>
        <w:rPr>
          <w:rFonts w:ascii="Times New Roman" w:eastAsia="SimSun" w:hAnsi="Times New Roman" w:cs="Times New Roman"/>
          <w:sz w:val="20"/>
          <w:szCs w:val="20"/>
          <w:lang w:eastAsia="zh-CN"/>
        </w:rPr>
        <w:t xml:space="preserve">Disponível em: </w:t>
      </w:r>
      <w:hyperlink r:id="rId101" w:tgtFrame="_new" w:history="1">
        <w:r>
          <w:rPr>
            <w:rStyle w:val="Hyperlink"/>
            <w:rFonts w:ascii="Times New Roman" w:eastAsia="SimSun" w:hAnsi="Times New Roman" w:cs="Times New Roman"/>
            <w:color w:val="auto"/>
            <w:sz w:val="20"/>
            <w:szCs w:val="20"/>
            <w:lang w:eastAsia="zh-CN"/>
          </w:rPr>
          <w:t>https://psycnet.apa.org/record/2013-26225-018</w:t>
        </w:r>
      </w:hyperlink>
      <w:r>
        <w:rPr>
          <w:rFonts w:ascii="Times New Roman" w:eastAsia="SimSun" w:hAnsi="Times New Roman" w:cs="Times New Roman"/>
          <w:sz w:val="20"/>
          <w:szCs w:val="20"/>
          <w:lang w:eastAsia="zh-CN"/>
        </w:rPr>
        <w:t xml:space="preserve">.  Acesso em: 1o out. 2025. </w:t>
      </w:r>
    </w:p>
    <w:p w14:paraId="14468B86"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val="en-US" w:eastAsia="zh-CN"/>
        </w:rPr>
        <w:t xml:space="preserve">HARPER, Douglas. Online Etymology Dictionary. </w:t>
      </w:r>
      <w:r>
        <w:rPr>
          <w:rFonts w:ascii="Times New Roman" w:eastAsia="SimSun" w:hAnsi="Times New Roman" w:cs="Times New Roman"/>
          <w:sz w:val="20"/>
          <w:szCs w:val="20"/>
          <w:lang w:eastAsia="zh-CN"/>
        </w:rPr>
        <w:t xml:space="preserve">2001-2024. Disponível em: </w:t>
      </w:r>
      <w:hyperlink r:id="rId102" w:tgtFrame="_new" w:history="1">
        <w:hyperlink r:id="rId103" w:tgtFrame="_new" w:history="1">
          <w:r>
            <w:rPr>
              <w:rStyle w:val="Hyperlink"/>
              <w:rFonts w:ascii="Times New Roman" w:eastAsia="SimSun" w:hAnsi="Times New Roman" w:cs="Times New Roman"/>
              <w:color w:val="auto"/>
              <w:sz w:val="20"/>
              <w:szCs w:val="20"/>
              <w:lang w:eastAsia="zh-CN"/>
            </w:rPr>
            <w:t>https://www.etymonline.com/word/anxiety</w:t>
          </w:r>
        </w:hyperlink>
        <w:r>
          <w:rPr>
            <w:rStyle w:val="Hyperlink"/>
            <w:rFonts w:ascii="Times New Roman" w:eastAsia="SimSun" w:hAnsi="Times New Roman" w:cs="Times New Roman"/>
            <w:color w:val="auto"/>
            <w:sz w:val="20"/>
            <w:szCs w:val="20"/>
            <w:lang w:eastAsia="zh-CN"/>
          </w:rPr>
          <w:t>/</w:t>
        </w:r>
      </w:hyperlink>
      <w:r>
        <w:rPr>
          <w:rFonts w:ascii="Times New Roman" w:eastAsia="SimSun" w:hAnsi="Times New Roman" w:cs="Times New Roman"/>
          <w:sz w:val="20"/>
          <w:szCs w:val="20"/>
          <w:lang w:eastAsia="zh-CN"/>
        </w:rPr>
        <w:t xml:space="preserve">.  Acesso em: 1o out. 2025. </w:t>
      </w:r>
    </w:p>
    <w:p w14:paraId="716347AD"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val="en-US" w:eastAsia="zh-CN"/>
        </w:rPr>
        <w:t xml:space="preserve">HUGHES, Emily. Revisiting Kierkegaard on Anxiety and Despair. In: The Routledge Handbook of Contemporary Existentialism. </w:t>
      </w:r>
      <w:proofErr w:type="spellStart"/>
      <w:r>
        <w:rPr>
          <w:rFonts w:ascii="Times New Roman" w:eastAsia="SimSun" w:hAnsi="Times New Roman" w:cs="Times New Roman"/>
          <w:sz w:val="20"/>
          <w:szCs w:val="20"/>
          <w:lang w:eastAsia="zh-CN"/>
        </w:rPr>
        <w:t>Routledge</w:t>
      </w:r>
      <w:proofErr w:type="spellEnd"/>
      <w:r>
        <w:rPr>
          <w:rFonts w:ascii="Times New Roman" w:eastAsia="SimSun" w:hAnsi="Times New Roman" w:cs="Times New Roman"/>
          <w:sz w:val="20"/>
          <w:szCs w:val="20"/>
          <w:lang w:eastAsia="zh-CN"/>
        </w:rPr>
        <w:t xml:space="preserve">, 2024. p. 211-219. Disponível em: </w:t>
      </w:r>
      <w:r>
        <w:rPr>
          <w:rFonts w:ascii="Times New Roman" w:hAnsi="Times New Roman" w:cs="Times New Roman"/>
          <w:sz w:val="20"/>
          <w:szCs w:val="20"/>
        </w:rPr>
        <w:t>https://www.academia.edu/103671079/Revisiting_Kierkegaard_On_Anxiety_And_Despair</w:t>
      </w:r>
      <w:r>
        <w:rPr>
          <w:rFonts w:ascii="Times New Roman" w:eastAsia="SimSun" w:hAnsi="Times New Roman" w:cs="Times New Roman"/>
          <w:sz w:val="20"/>
          <w:szCs w:val="20"/>
          <w:lang w:eastAsia="zh-CN"/>
        </w:rPr>
        <w:t xml:space="preserve">.  Acesso em: 1o out. 2025. </w:t>
      </w:r>
    </w:p>
    <w:p w14:paraId="08C1BA4D" w14:textId="77777777" w:rsidR="0003312E" w:rsidRDefault="00000000">
      <w:pPr>
        <w:pStyle w:val="PargrafodaLista"/>
        <w:numPr>
          <w:ilvl w:val="0"/>
          <w:numId w:val="12"/>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Style w:val="Forte"/>
          <w:rFonts w:ascii="Times New Roman" w:eastAsia="Segoe UI" w:hAnsi="Times New Roman" w:cs="Times New Roman"/>
          <w:b w:val="0"/>
          <w:bCs w:val="0"/>
          <w:sz w:val="20"/>
          <w:szCs w:val="20"/>
          <w:shd w:val="clear" w:color="auto" w:fill="FFFFFF"/>
          <w:lang w:val="en-US"/>
        </w:rPr>
        <w:t>LEWIS, Charlton T.; SHORT, Charles.</w:t>
      </w:r>
      <w:r>
        <w:rPr>
          <w:rFonts w:ascii="Times New Roman" w:eastAsia="Segoe UI" w:hAnsi="Times New Roman" w:cs="Times New Roman"/>
          <w:sz w:val="20"/>
          <w:szCs w:val="20"/>
          <w:shd w:val="clear" w:color="auto" w:fill="FFFFFF"/>
          <w:lang w:val="en-US"/>
        </w:rPr>
        <w:t> </w:t>
      </w:r>
      <w:r>
        <w:rPr>
          <w:rStyle w:val="nfase"/>
          <w:rFonts w:ascii="Times New Roman" w:eastAsia="Segoe UI" w:hAnsi="Times New Roman" w:cs="Times New Roman"/>
          <w:sz w:val="20"/>
          <w:szCs w:val="20"/>
          <w:shd w:val="clear" w:color="auto" w:fill="FFFFFF"/>
          <w:lang w:val="en-US"/>
        </w:rPr>
        <w:t>A Latin Dictionary.</w:t>
      </w:r>
      <w:r>
        <w:rPr>
          <w:rFonts w:ascii="Times New Roman" w:eastAsia="Segoe UI" w:hAnsi="Times New Roman" w:cs="Times New Roman"/>
          <w:sz w:val="20"/>
          <w:szCs w:val="20"/>
          <w:shd w:val="clear" w:color="auto" w:fill="FFFFFF"/>
          <w:lang w:val="en-US"/>
        </w:rPr>
        <w:t xml:space="preserve"> Oxford: Clarendon Press, 1879. </w:t>
      </w:r>
      <w:r>
        <w:rPr>
          <w:rFonts w:ascii="Times New Roman" w:eastAsia="Segoe UI" w:hAnsi="Times New Roman" w:cs="Times New Roman"/>
          <w:sz w:val="20"/>
          <w:szCs w:val="20"/>
          <w:shd w:val="clear" w:color="auto" w:fill="FFFFFF"/>
        </w:rPr>
        <w:t xml:space="preserve">Disponível em: https://www.perseus.tufts.edu/hopper/searchresults?target=la&amp;all_words=anxietas&amp;phrase=&amp;any_words=&amp;exclude_words=&amp;documents=. </w:t>
      </w:r>
      <w:r>
        <w:rPr>
          <w:rFonts w:ascii="Times New Roman" w:eastAsia="Segoe UI" w:hAnsi="Times New Roman" w:cs="Times New Roman"/>
          <w:sz w:val="20"/>
          <w:szCs w:val="20"/>
          <w:shd w:val="clear" w:color="auto" w:fill="FFFFFF"/>
          <w:lang w:eastAsia="zh-CN"/>
        </w:rPr>
        <w:t>Acesso em: 1o out. 2025.</w:t>
      </w:r>
    </w:p>
    <w:p w14:paraId="0B14D898" w14:textId="77777777" w:rsidR="0003312E" w:rsidRDefault="00000000">
      <w:pPr>
        <w:pStyle w:val="PargrafodaLista"/>
        <w:numPr>
          <w:ilvl w:val="0"/>
          <w:numId w:val="12"/>
        </w:numPr>
        <w:spacing w:after="0" w:line="240" w:lineRule="auto"/>
        <w:ind w:left="0" w:firstLine="0"/>
        <w:jc w:val="both"/>
        <w:rPr>
          <w:rFonts w:ascii="Times New Roman" w:eastAsia="SimSun" w:hAnsi="Times New Roman" w:cs="Times New Roman"/>
          <w:sz w:val="20"/>
          <w:szCs w:val="20"/>
          <w:lang w:eastAsia="zh-CN"/>
        </w:rPr>
      </w:pPr>
      <w:r>
        <w:rPr>
          <w:rFonts w:ascii="Times New Roman" w:eastAsia="SimSun" w:hAnsi="Times New Roman" w:cs="Times New Roman"/>
          <w:sz w:val="20"/>
          <w:szCs w:val="20"/>
          <w:lang w:eastAsia="zh-CN"/>
        </w:rPr>
        <w:t xml:space="preserve">RAE-REAL ACADEMIA ESPAÑOLA. </w:t>
      </w:r>
      <w:proofErr w:type="spellStart"/>
      <w:r>
        <w:rPr>
          <w:rFonts w:ascii="Times New Roman" w:eastAsia="SimSun" w:hAnsi="Times New Roman" w:cs="Times New Roman"/>
          <w:sz w:val="20"/>
          <w:szCs w:val="20"/>
          <w:lang w:eastAsia="zh-CN"/>
        </w:rPr>
        <w:t>Diccionario</w:t>
      </w:r>
      <w:proofErr w:type="spellEnd"/>
      <w:r>
        <w:rPr>
          <w:rFonts w:ascii="Times New Roman" w:eastAsia="SimSun" w:hAnsi="Times New Roman" w:cs="Times New Roman"/>
          <w:sz w:val="20"/>
          <w:szCs w:val="20"/>
          <w:lang w:eastAsia="zh-CN"/>
        </w:rPr>
        <w:t xml:space="preserve"> de </w:t>
      </w:r>
      <w:proofErr w:type="spellStart"/>
      <w:r>
        <w:rPr>
          <w:rFonts w:ascii="Times New Roman" w:eastAsia="SimSun" w:hAnsi="Times New Roman" w:cs="Times New Roman"/>
          <w:sz w:val="20"/>
          <w:szCs w:val="20"/>
          <w:lang w:eastAsia="zh-CN"/>
        </w:rPr>
        <w:t>la</w:t>
      </w:r>
      <w:proofErr w:type="spellEnd"/>
      <w:r>
        <w:rPr>
          <w:rFonts w:ascii="Times New Roman" w:eastAsia="SimSun" w:hAnsi="Times New Roman" w:cs="Times New Roman"/>
          <w:sz w:val="20"/>
          <w:szCs w:val="20"/>
          <w:lang w:eastAsia="zh-CN"/>
        </w:rPr>
        <w:t xml:space="preserve"> </w:t>
      </w:r>
      <w:proofErr w:type="spellStart"/>
      <w:r>
        <w:rPr>
          <w:rFonts w:ascii="Times New Roman" w:eastAsia="SimSun" w:hAnsi="Times New Roman" w:cs="Times New Roman"/>
          <w:sz w:val="20"/>
          <w:szCs w:val="20"/>
          <w:lang w:eastAsia="zh-CN"/>
        </w:rPr>
        <w:t>lengua</w:t>
      </w:r>
      <w:proofErr w:type="spellEnd"/>
      <w:r>
        <w:rPr>
          <w:rFonts w:ascii="Times New Roman" w:eastAsia="SimSun" w:hAnsi="Times New Roman" w:cs="Times New Roman"/>
          <w:sz w:val="20"/>
          <w:szCs w:val="20"/>
          <w:lang w:eastAsia="zh-CN"/>
        </w:rPr>
        <w:t xml:space="preserve"> </w:t>
      </w:r>
      <w:proofErr w:type="spellStart"/>
      <w:r>
        <w:rPr>
          <w:rFonts w:ascii="Times New Roman" w:eastAsia="SimSun" w:hAnsi="Times New Roman" w:cs="Times New Roman"/>
          <w:sz w:val="20"/>
          <w:szCs w:val="20"/>
          <w:lang w:eastAsia="zh-CN"/>
        </w:rPr>
        <w:t>española</w:t>
      </w:r>
      <w:proofErr w:type="spellEnd"/>
      <w:r>
        <w:rPr>
          <w:rFonts w:ascii="Times New Roman" w:eastAsia="SimSun" w:hAnsi="Times New Roman" w:cs="Times New Roman"/>
          <w:sz w:val="20"/>
          <w:szCs w:val="20"/>
          <w:lang w:eastAsia="zh-CN"/>
        </w:rPr>
        <w:t xml:space="preserve">. 23. ed. [Madrid]: RAE, 2014. Disponível em: </w:t>
      </w:r>
      <w:r>
        <w:rPr>
          <w:rFonts w:ascii="Times New Roman" w:hAnsi="Times New Roman" w:cs="Times New Roman"/>
          <w:sz w:val="20"/>
          <w:szCs w:val="20"/>
        </w:rPr>
        <w:t>https://dle.rae.es/ansiedad?m=form</w:t>
      </w:r>
      <w:r>
        <w:rPr>
          <w:rFonts w:ascii="Times New Roman" w:eastAsia="SimSun" w:hAnsi="Times New Roman" w:cs="Times New Roman"/>
          <w:sz w:val="20"/>
          <w:szCs w:val="20"/>
          <w:lang w:eastAsia="zh-CN"/>
        </w:rPr>
        <w:t xml:space="preserve">.  Acesso em: 1o out. 2025. </w:t>
      </w:r>
    </w:p>
    <w:p w14:paraId="39C5F0AC" w14:textId="77777777" w:rsidR="0003312E" w:rsidRDefault="00000000">
      <w:pPr>
        <w:pStyle w:val="PargrafodaLista"/>
        <w:numPr>
          <w:ilvl w:val="0"/>
          <w:numId w:val="12"/>
        </w:numPr>
        <w:spacing w:after="0" w:line="240" w:lineRule="auto"/>
        <w:ind w:left="0" w:firstLine="0"/>
        <w:jc w:val="both"/>
        <w:rPr>
          <w:rFonts w:ascii="Times New Roman" w:eastAsia="Segoe UI" w:hAnsi="Times New Roman" w:cs="Times New Roman"/>
          <w:sz w:val="20"/>
          <w:szCs w:val="20"/>
          <w:shd w:val="clear" w:color="auto" w:fill="FFFFFF"/>
          <w:lang w:eastAsia="zh-CN"/>
        </w:rPr>
      </w:pPr>
      <w:r>
        <w:rPr>
          <w:rFonts w:ascii="Times New Roman" w:eastAsia="SimSun" w:hAnsi="Times New Roman" w:cs="Times New Roman"/>
          <w:sz w:val="20"/>
          <w:szCs w:val="20"/>
          <w:lang w:val="en-US" w:eastAsia="zh-CN"/>
        </w:rPr>
        <w:t xml:space="preserve">SALINAS, A. F. B. What Is Anxiety to Soren Kierkegaard?. </w:t>
      </w:r>
      <w:proofErr w:type="spellStart"/>
      <w:r>
        <w:rPr>
          <w:rFonts w:ascii="Times New Roman" w:eastAsia="SimSun" w:hAnsi="Times New Roman" w:cs="Times New Roman"/>
          <w:sz w:val="20"/>
          <w:szCs w:val="20"/>
          <w:lang w:eastAsia="zh-CN"/>
        </w:rPr>
        <w:t>TheCollector</w:t>
      </w:r>
      <w:proofErr w:type="spellEnd"/>
      <w:r>
        <w:rPr>
          <w:rFonts w:ascii="Times New Roman" w:eastAsia="SimSun" w:hAnsi="Times New Roman" w:cs="Times New Roman"/>
          <w:sz w:val="20"/>
          <w:szCs w:val="20"/>
          <w:lang w:eastAsia="zh-CN"/>
        </w:rPr>
        <w:t xml:space="preserve">, 2024. Disponível em: </w:t>
      </w:r>
      <w:hyperlink r:id="rId104" w:tgtFrame="_new" w:history="1">
        <w:r>
          <w:rPr>
            <w:rStyle w:val="Hyperlink"/>
            <w:rFonts w:ascii="Times New Roman" w:eastAsia="SimSun" w:hAnsi="Times New Roman" w:cs="Times New Roman"/>
            <w:color w:val="auto"/>
            <w:sz w:val="20"/>
            <w:szCs w:val="20"/>
            <w:lang w:eastAsia="zh-CN"/>
          </w:rPr>
          <w:t>https://www.thecollector.com/anxiety-soren-kierkegaard/</w:t>
        </w:r>
      </w:hyperlink>
      <w:r>
        <w:rPr>
          <w:rFonts w:ascii="Times New Roman" w:eastAsia="SimSun" w:hAnsi="Times New Roman" w:cs="Times New Roman"/>
          <w:sz w:val="20"/>
          <w:szCs w:val="20"/>
          <w:lang w:eastAsia="zh-CN"/>
        </w:rPr>
        <w:t xml:space="preserve">.  Acesso em: 1o out. 2025. </w:t>
      </w:r>
    </w:p>
    <w:p w14:paraId="79AECBD3" w14:textId="77777777" w:rsidR="0003312E" w:rsidRDefault="0003312E">
      <w:pPr>
        <w:pStyle w:val="NormalWeb"/>
        <w:spacing w:beforeAutospacing="0" w:after="0" w:afterAutospacing="0" w:line="360" w:lineRule="auto"/>
        <w:ind w:firstLine="709"/>
        <w:jc w:val="both"/>
        <w:rPr>
          <w:rFonts w:eastAsia="Segoe UI"/>
          <w:sz w:val="24"/>
          <w:shd w:val="clear" w:color="auto" w:fill="FFFFFF"/>
          <w:lang w:val="pt-BR"/>
        </w:rPr>
      </w:pPr>
    </w:p>
    <w:p w14:paraId="41CE5995" w14:textId="77777777" w:rsidR="0003312E" w:rsidRDefault="00000000">
      <w:pPr>
        <w:pStyle w:val="NormalWeb"/>
        <w:spacing w:beforeAutospacing="0" w:after="0" w:afterAutospacing="0" w:line="360" w:lineRule="auto"/>
        <w:ind w:firstLine="709"/>
        <w:jc w:val="both"/>
        <w:rPr>
          <w:rFonts w:eastAsia="Segoe UI"/>
          <w:b/>
          <w:bCs/>
          <w:sz w:val="24"/>
          <w:lang w:val="pt-BR"/>
        </w:rPr>
      </w:pPr>
      <w:r>
        <w:rPr>
          <w:rFonts w:eastAsia="Segoe UI"/>
          <w:b/>
          <w:bCs/>
          <w:sz w:val="24"/>
          <w:lang w:val="pt-BR"/>
        </w:rPr>
        <w:t>Capítulo 10</w:t>
      </w:r>
    </w:p>
    <w:p w14:paraId="244F93C1"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Style w:val="Forte"/>
          <w:b w:val="0"/>
          <w:bCs w:val="0"/>
          <w:sz w:val="20"/>
          <w:szCs w:val="20"/>
        </w:rPr>
        <w:t>BO, K.; GIANAROS, P. J.; WAGER, T. D.</w:t>
      </w:r>
      <w:r>
        <w:rPr>
          <w:sz w:val="20"/>
          <w:szCs w:val="20"/>
        </w:rPr>
        <w:t xml:space="preserve"> How the brain regulates emotion: mapping emotion generation and regulation in the human brain. </w:t>
      </w:r>
      <w:proofErr w:type="spellStart"/>
      <w:r>
        <w:rPr>
          <w:rStyle w:val="nfase"/>
          <w:sz w:val="20"/>
          <w:szCs w:val="20"/>
          <w:lang w:val="pt-BR"/>
        </w:rPr>
        <w:t>Nature</w:t>
      </w:r>
      <w:proofErr w:type="spellEnd"/>
      <w:r>
        <w:rPr>
          <w:rStyle w:val="nfase"/>
          <w:sz w:val="20"/>
          <w:szCs w:val="20"/>
          <w:lang w:val="pt-BR"/>
        </w:rPr>
        <w:t xml:space="preserve"> </w:t>
      </w:r>
      <w:proofErr w:type="spellStart"/>
      <w:r>
        <w:rPr>
          <w:rStyle w:val="nfase"/>
          <w:sz w:val="20"/>
          <w:szCs w:val="20"/>
          <w:lang w:val="pt-BR"/>
        </w:rPr>
        <w:t>Neuroscience</w:t>
      </w:r>
      <w:proofErr w:type="spellEnd"/>
      <w:r>
        <w:rPr>
          <w:sz w:val="20"/>
          <w:szCs w:val="20"/>
          <w:lang w:val="pt-BR"/>
        </w:rPr>
        <w:t>, 2024. Disponível em: https://neurosciencenews.com/emotion-regulation-mapping-25870/</w:t>
      </w:r>
      <w:proofErr w:type="gramStart"/>
      <w:r>
        <w:rPr>
          <w:sz w:val="20"/>
          <w:szCs w:val="20"/>
          <w:lang w:val="pt-BR"/>
        </w:rPr>
        <w:t>. .</w:t>
      </w:r>
      <w:proofErr w:type="gramEnd"/>
      <w:r>
        <w:rPr>
          <w:sz w:val="20"/>
          <w:szCs w:val="20"/>
          <w:lang w:val="pt-BR"/>
        </w:rPr>
        <w:t xml:space="preserve"> </w:t>
      </w:r>
      <w:r>
        <w:rPr>
          <w:rFonts w:eastAsia="Segoe UI"/>
          <w:sz w:val="20"/>
          <w:szCs w:val="20"/>
          <w:lang w:val="pt-BR"/>
        </w:rPr>
        <w:t>Acesso em: 1o out. 2025.</w:t>
      </w:r>
    </w:p>
    <w:p w14:paraId="1BE418CD"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lang w:val="pt-BR"/>
        </w:rPr>
        <w:t xml:space="preserve">CASERTANO, Giovanni. I </w:t>
      </w:r>
      <w:proofErr w:type="spellStart"/>
      <w:r>
        <w:rPr>
          <w:rFonts w:eastAsia="Segoe UI"/>
          <w:sz w:val="20"/>
          <w:szCs w:val="20"/>
          <w:lang w:val="pt-BR"/>
        </w:rPr>
        <w:t>Logistikon</w:t>
      </w:r>
      <w:proofErr w:type="spellEnd"/>
      <w:r>
        <w:rPr>
          <w:rFonts w:eastAsia="Segoe UI"/>
          <w:sz w:val="20"/>
          <w:szCs w:val="20"/>
          <w:lang w:val="pt-BR"/>
        </w:rPr>
        <w:t xml:space="preserve">, </w:t>
      </w:r>
      <w:proofErr w:type="spellStart"/>
      <w:r>
        <w:rPr>
          <w:rFonts w:eastAsia="Segoe UI"/>
          <w:sz w:val="20"/>
          <w:szCs w:val="20"/>
          <w:lang w:val="pt-BR"/>
        </w:rPr>
        <w:t>thymos</w:t>
      </w:r>
      <w:proofErr w:type="spellEnd"/>
      <w:r>
        <w:rPr>
          <w:rFonts w:eastAsia="Segoe UI"/>
          <w:sz w:val="20"/>
          <w:szCs w:val="20"/>
          <w:lang w:val="pt-BR"/>
        </w:rPr>
        <w:t xml:space="preserve"> </w:t>
      </w:r>
      <w:proofErr w:type="spellStart"/>
      <w:r>
        <w:rPr>
          <w:rFonts w:eastAsia="Segoe UI"/>
          <w:sz w:val="20"/>
          <w:szCs w:val="20"/>
          <w:lang w:val="pt-BR"/>
        </w:rPr>
        <w:t>and</w:t>
      </w:r>
      <w:proofErr w:type="spellEnd"/>
      <w:r>
        <w:rPr>
          <w:rFonts w:eastAsia="Segoe UI"/>
          <w:sz w:val="20"/>
          <w:szCs w:val="20"/>
          <w:lang w:val="pt-BR"/>
        </w:rPr>
        <w:t xml:space="preserve"> </w:t>
      </w:r>
      <w:proofErr w:type="spellStart"/>
      <w:r>
        <w:rPr>
          <w:rFonts w:eastAsia="Segoe UI"/>
          <w:sz w:val="20"/>
          <w:szCs w:val="20"/>
          <w:lang w:val="pt-BR"/>
        </w:rPr>
        <w:t>epithymia</w:t>
      </w:r>
      <w:proofErr w:type="spellEnd"/>
      <w:r>
        <w:rPr>
          <w:rFonts w:eastAsia="Segoe UI"/>
          <w:sz w:val="20"/>
          <w:szCs w:val="20"/>
          <w:lang w:val="pt-BR"/>
        </w:rPr>
        <w:t xml:space="preserve"> </w:t>
      </w:r>
      <w:proofErr w:type="spellStart"/>
      <w:r>
        <w:rPr>
          <w:rFonts w:eastAsia="Segoe UI"/>
          <w:sz w:val="20"/>
          <w:szCs w:val="20"/>
          <w:lang w:val="pt-BR"/>
        </w:rPr>
        <w:t>before</w:t>
      </w:r>
      <w:proofErr w:type="spellEnd"/>
      <w:r>
        <w:rPr>
          <w:rFonts w:eastAsia="Segoe UI"/>
          <w:sz w:val="20"/>
          <w:szCs w:val="20"/>
          <w:lang w:val="pt-BR"/>
        </w:rPr>
        <w:t xml:space="preserve"> </w:t>
      </w:r>
      <w:proofErr w:type="spellStart"/>
      <w:r>
        <w:rPr>
          <w:rFonts w:eastAsia="Segoe UI"/>
          <w:sz w:val="20"/>
          <w:szCs w:val="20"/>
          <w:lang w:val="pt-BR"/>
        </w:rPr>
        <w:t>Plato</w:t>
      </w:r>
      <w:proofErr w:type="spellEnd"/>
      <w:r>
        <w:rPr>
          <w:rFonts w:eastAsia="Segoe UI"/>
          <w:sz w:val="20"/>
          <w:szCs w:val="20"/>
          <w:lang w:val="pt-BR"/>
        </w:rPr>
        <w:t xml:space="preserve">. </w:t>
      </w:r>
      <w:proofErr w:type="spellStart"/>
      <w:r>
        <w:rPr>
          <w:rFonts w:eastAsia="Segoe UI"/>
          <w:i/>
          <w:iCs/>
          <w:sz w:val="20"/>
          <w:szCs w:val="20"/>
          <w:lang w:val="pt-BR"/>
        </w:rPr>
        <w:t>Archai</w:t>
      </w:r>
      <w:proofErr w:type="spellEnd"/>
      <w:r>
        <w:rPr>
          <w:rFonts w:eastAsia="Segoe UI"/>
          <w:i/>
          <w:iCs/>
          <w:sz w:val="20"/>
          <w:szCs w:val="20"/>
          <w:lang w:val="pt-BR"/>
        </w:rPr>
        <w:t>: Revista de Estudos sobre as Origens do Pensamento Ocidental</w:t>
      </w:r>
      <w:r>
        <w:rPr>
          <w:rFonts w:eastAsia="Segoe UI"/>
          <w:sz w:val="20"/>
          <w:szCs w:val="20"/>
          <w:lang w:val="pt-BR"/>
        </w:rPr>
        <w:t xml:space="preserve">, Coimbra, n. 32, p. 1–15, 2022. </w:t>
      </w:r>
      <w:r>
        <w:rPr>
          <w:rFonts w:ascii="Segoe UI Emoji" w:eastAsia="Segoe UI" w:hAnsi="Segoe UI Emoji" w:cs="Segoe UI Emoji"/>
          <w:sz w:val="20"/>
          <w:szCs w:val="20"/>
          <w:lang w:val="pt-BR"/>
        </w:rPr>
        <w:t>📄</w:t>
      </w:r>
      <w:r>
        <w:rPr>
          <w:rFonts w:eastAsia="Segoe UI"/>
          <w:sz w:val="20"/>
          <w:szCs w:val="20"/>
          <w:lang w:val="pt-BR"/>
        </w:rPr>
        <w:t xml:space="preserve"> Disponível em: https://www.scielo.br/j/archai/a/DWVJNCj3xMGpCgYDfwZdgPQ/?format=pdf. </w:t>
      </w:r>
      <w:r>
        <w:rPr>
          <w:rFonts w:ascii="Segoe UI Emoji" w:eastAsia="Segoe UI" w:hAnsi="Segoe UI Emoji" w:cs="Segoe UI Emoji"/>
          <w:sz w:val="20"/>
          <w:szCs w:val="20"/>
          <w:lang w:val="pt-BR"/>
        </w:rPr>
        <w:t>🔗</w:t>
      </w:r>
      <w:r>
        <w:rPr>
          <w:rFonts w:eastAsia="Segoe UI"/>
          <w:sz w:val="20"/>
          <w:szCs w:val="20"/>
          <w:lang w:val="pt-BR"/>
        </w:rPr>
        <w:t xml:space="preserve"> Página do artigo: https://www.scielo.br/j/archai/a/DWVJNCj3xMGpCgYDfwZdgPQ </w:t>
      </w:r>
    </w:p>
    <w:p w14:paraId="1898211B"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lang w:val="pt-BR"/>
        </w:rPr>
        <w:t xml:space="preserve">DECEL - </w:t>
      </w:r>
      <w:proofErr w:type="spellStart"/>
      <w:r>
        <w:rPr>
          <w:rFonts w:eastAsia="Segoe UI"/>
          <w:sz w:val="20"/>
          <w:szCs w:val="20"/>
          <w:lang w:val="pt-BR"/>
        </w:rPr>
        <w:t>Diccionario</w:t>
      </w:r>
      <w:proofErr w:type="spellEnd"/>
      <w:r>
        <w:rPr>
          <w:rFonts w:eastAsia="Segoe UI"/>
          <w:sz w:val="20"/>
          <w:szCs w:val="20"/>
          <w:lang w:val="pt-BR"/>
        </w:rPr>
        <w:t xml:space="preserve"> Etimológico Castellano </w:t>
      </w:r>
      <w:proofErr w:type="spellStart"/>
      <w:r>
        <w:rPr>
          <w:rFonts w:eastAsia="Segoe UI"/>
          <w:sz w:val="20"/>
          <w:szCs w:val="20"/>
          <w:lang w:val="pt-BR"/>
        </w:rPr>
        <w:t>En</w:t>
      </w:r>
      <w:proofErr w:type="spellEnd"/>
      <w:r>
        <w:rPr>
          <w:rFonts w:eastAsia="Segoe UI"/>
          <w:sz w:val="20"/>
          <w:szCs w:val="20"/>
          <w:lang w:val="pt-BR"/>
        </w:rPr>
        <w:t xml:space="preserve"> Línea. Disponível em: &lt;https://etimologias.dechile.net/?eutimia&gt;.  Acesso em: 1o out. 2025. </w:t>
      </w:r>
    </w:p>
    <w:p w14:paraId="1F3AB7DE"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rPr>
        <w:t xml:space="preserve">FAVA, G.; BECCARINI, C.; CAVALLINI, F. The concept of euthymia: A review of its evolution and clinical implications. </w:t>
      </w:r>
      <w:proofErr w:type="spellStart"/>
      <w:r>
        <w:rPr>
          <w:rFonts w:eastAsia="Segoe UI"/>
          <w:i/>
          <w:iCs/>
          <w:sz w:val="20"/>
          <w:szCs w:val="20"/>
          <w:lang w:val="pt-BR"/>
        </w:rPr>
        <w:t>Psychotherapy</w:t>
      </w:r>
      <w:proofErr w:type="spellEnd"/>
      <w:r>
        <w:rPr>
          <w:rFonts w:eastAsia="Segoe UI"/>
          <w:i/>
          <w:iCs/>
          <w:sz w:val="20"/>
          <w:szCs w:val="20"/>
          <w:lang w:val="pt-BR"/>
        </w:rPr>
        <w:t xml:space="preserve"> </w:t>
      </w:r>
      <w:proofErr w:type="spellStart"/>
      <w:r>
        <w:rPr>
          <w:rFonts w:eastAsia="Segoe UI"/>
          <w:i/>
          <w:iCs/>
          <w:sz w:val="20"/>
          <w:szCs w:val="20"/>
          <w:lang w:val="pt-BR"/>
        </w:rPr>
        <w:t>and</w:t>
      </w:r>
      <w:proofErr w:type="spellEnd"/>
      <w:r>
        <w:rPr>
          <w:rFonts w:eastAsia="Segoe UI"/>
          <w:i/>
          <w:iCs/>
          <w:sz w:val="20"/>
          <w:szCs w:val="20"/>
          <w:lang w:val="pt-BR"/>
        </w:rPr>
        <w:t xml:space="preserve"> </w:t>
      </w:r>
      <w:proofErr w:type="spellStart"/>
      <w:r>
        <w:rPr>
          <w:rFonts w:eastAsia="Segoe UI"/>
          <w:i/>
          <w:iCs/>
          <w:sz w:val="20"/>
          <w:szCs w:val="20"/>
          <w:lang w:val="pt-BR"/>
        </w:rPr>
        <w:t>Psychosomatics</w:t>
      </w:r>
      <w:proofErr w:type="spellEnd"/>
      <w:r>
        <w:rPr>
          <w:rFonts w:eastAsia="Segoe UI"/>
          <w:sz w:val="20"/>
          <w:szCs w:val="20"/>
          <w:lang w:val="pt-BR"/>
        </w:rPr>
        <w:t>, v. 90, n. 1, p. 1 - 9, 2021. Disponível em: &lt;https://www.karger.com/</w:t>
      </w:r>
      <w:proofErr w:type="spellStart"/>
      <w:r>
        <w:rPr>
          <w:rFonts w:eastAsia="Segoe UI"/>
          <w:sz w:val="20"/>
          <w:szCs w:val="20"/>
          <w:lang w:val="pt-BR"/>
        </w:rPr>
        <w:t>Article</w:t>
      </w:r>
      <w:proofErr w:type="spellEnd"/>
      <w:r>
        <w:rPr>
          <w:rFonts w:eastAsia="Segoe UI"/>
          <w:sz w:val="20"/>
          <w:szCs w:val="20"/>
          <w:lang w:val="pt-BR"/>
        </w:rPr>
        <w:t xml:space="preserve">/PDF/511215&gt;.  Acesso em: 1o out. 2025.  </w:t>
      </w:r>
    </w:p>
    <w:p w14:paraId="2AAC75D3"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rPr>
        <w:t xml:space="preserve">FAVA, Giovanni A.; GUIDI, Jenny. The pursuit of euthymia. World Psychiatry, [S. l.], v. 19, n. 1, p. 40-50, </w:t>
      </w:r>
      <w:proofErr w:type="spellStart"/>
      <w:r>
        <w:rPr>
          <w:rFonts w:eastAsia="Segoe UI"/>
          <w:sz w:val="20"/>
          <w:szCs w:val="20"/>
        </w:rPr>
        <w:t>jan.</w:t>
      </w:r>
      <w:proofErr w:type="spellEnd"/>
      <w:r>
        <w:rPr>
          <w:rFonts w:eastAsia="Segoe UI"/>
          <w:sz w:val="20"/>
          <w:szCs w:val="20"/>
        </w:rPr>
        <w:t xml:space="preserve"> 2020. </w:t>
      </w:r>
      <w:r>
        <w:rPr>
          <w:rFonts w:eastAsia="Segoe UI"/>
          <w:sz w:val="20"/>
          <w:szCs w:val="20"/>
          <w:lang w:val="pt-BR"/>
        </w:rPr>
        <w:t xml:space="preserve">DOI: 10.1002/wps.20698. Disponível em: </w:t>
      </w:r>
      <w:hyperlink r:id="rId105" w:history="1">
        <w:r>
          <w:rPr>
            <w:rStyle w:val="Hyperlink"/>
            <w:rFonts w:eastAsia="Segoe UI"/>
            <w:color w:val="auto"/>
            <w:sz w:val="20"/>
            <w:szCs w:val="20"/>
            <w:lang w:val="pt-BR"/>
          </w:rPr>
          <w:t>https://onlinelibrary.wiley.com/doi/full/10.1002/wps.20698</w:t>
        </w:r>
      </w:hyperlink>
      <w:r>
        <w:rPr>
          <w:rFonts w:eastAsia="Segoe UI"/>
          <w:sz w:val="20"/>
          <w:szCs w:val="20"/>
          <w:lang w:val="pt-BR"/>
        </w:rPr>
        <w:t>. Acesso em: 18 set. 2025.</w:t>
      </w:r>
    </w:p>
    <w:p w14:paraId="3530DFA4"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rPr>
        <w:t xml:space="preserve">FAVA, Giovanni. A.; BECH, Per. The concept of euthymia. Psychotherapy and Psychosomatics, [S. l.], v. 85, p. 1-5, 2016. </w:t>
      </w:r>
      <w:r>
        <w:rPr>
          <w:rFonts w:eastAsia="Segoe UI"/>
          <w:sz w:val="20"/>
          <w:szCs w:val="20"/>
          <w:lang w:val="pt-BR"/>
        </w:rPr>
        <w:t xml:space="preserve">DOI: 10.1159/000441244. Disponível em: </w:t>
      </w:r>
      <w:hyperlink r:id="rId106" w:history="1">
        <w:r>
          <w:rPr>
            <w:rStyle w:val="Hyperlink"/>
            <w:rFonts w:eastAsia="Segoe UI"/>
            <w:color w:val="auto"/>
            <w:sz w:val="20"/>
            <w:szCs w:val="20"/>
            <w:lang w:val="pt-BR"/>
          </w:rPr>
          <w:t>https://www.karger.com/Article/Abstract/441244</w:t>
        </w:r>
      </w:hyperlink>
      <w:r>
        <w:rPr>
          <w:rFonts w:eastAsia="Segoe UI"/>
          <w:sz w:val="20"/>
          <w:szCs w:val="20"/>
          <w:lang w:val="pt-BR"/>
        </w:rPr>
        <w:t>. Acesso em: 18 set. 2025.</w:t>
      </w:r>
    </w:p>
    <w:p w14:paraId="2F007510"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rPr>
        <w:t xml:space="preserve">GUIDI, Jenny; FAVA, Giovanni A. The Clinical Science of Euthymia: A Conceptual Map. </w:t>
      </w:r>
      <w:proofErr w:type="spellStart"/>
      <w:r>
        <w:rPr>
          <w:rFonts w:eastAsia="Segoe UI"/>
          <w:sz w:val="20"/>
          <w:szCs w:val="20"/>
          <w:lang w:val="pt-BR"/>
        </w:rPr>
        <w:t>Psychotherapy</w:t>
      </w:r>
      <w:proofErr w:type="spellEnd"/>
      <w:r>
        <w:rPr>
          <w:rFonts w:eastAsia="Segoe UI"/>
          <w:sz w:val="20"/>
          <w:szCs w:val="20"/>
          <w:lang w:val="pt-BR"/>
        </w:rPr>
        <w:t xml:space="preserve"> </w:t>
      </w:r>
      <w:proofErr w:type="spellStart"/>
      <w:r>
        <w:rPr>
          <w:rFonts w:eastAsia="Segoe UI"/>
          <w:sz w:val="20"/>
          <w:szCs w:val="20"/>
          <w:lang w:val="pt-BR"/>
        </w:rPr>
        <w:t>and</w:t>
      </w:r>
      <w:proofErr w:type="spellEnd"/>
      <w:r>
        <w:rPr>
          <w:rFonts w:eastAsia="Segoe UI"/>
          <w:sz w:val="20"/>
          <w:szCs w:val="20"/>
          <w:lang w:val="pt-BR"/>
        </w:rPr>
        <w:t xml:space="preserve"> </w:t>
      </w:r>
      <w:proofErr w:type="spellStart"/>
      <w:r>
        <w:rPr>
          <w:rFonts w:eastAsia="Segoe UI"/>
          <w:sz w:val="20"/>
          <w:szCs w:val="20"/>
          <w:lang w:val="pt-BR"/>
        </w:rPr>
        <w:t>Psychosomatics</w:t>
      </w:r>
      <w:proofErr w:type="spellEnd"/>
      <w:r>
        <w:rPr>
          <w:rFonts w:eastAsia="Segoe UI"/>
          <w:sz w:val="20"/>
          <w:szCs w:val="20"/>
          <w:lang w:val="pt-BR"/>
        </w:rPr>
        <w:t xml:space="preserve">, [S. l.], v. 91, n. 3, p. 156-167, 2022. DOI: 10.1159/000524279. Disponível em: </w:t>
      </w:r>
      <w:hyperlink r:id="rId107" w:history="1">
        <w:r>
          <w:rPr>
            <w:rStyle w:val="Hyperlink"/>
            <w:rFonts w:eastAsia="Segoe UI"/>
            <w:color w:val="auto"/>
            <w:sz w:val="20"/>
            <w:szCs w:val="20"/>
            <w:lang w:val="pt-BR"/>
          </w:rPr>
          <w:t>https://karger.com/pps/article/91/3/156/824788/The-Clinical-Science-of-Euthymia-A-Conceptual-Map</w:t>
        </w:r>
      </w:hyperlink>
      <w:r>
        <w:rPr>
          <w:rFonts w:eastAsia="Segoe UI"/>
          <w:sz w:val="20"/>
          <w:szCs w:val="20"/>
          <w:lang w:val="pt-BR"/>
        </w:rPr>
        <w:t>. Acesso em: 18 set. 2025.</w:t>
      </w:r>
    </w:p>
    <w:p w14:paraId="3F97C286"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lang w:val="pt-BR"/>
        </w:rPr>
        <w:t xml:space="preserve">PEIXOTO, Miriam Campolina Diniz. </w:t>
      </w:r>
      <w:r>
        <w:rPr>
          <w:rFonts w:eastAsia="Segoe UI"/>
          <w:i/>
          <w:iCs/>
          <w:sz w:val="20"/>
          <w:szCs w:val="20"/>
          <w:lang w:val="pt-BR"/>
        </w:rPr>
        <w:t>A medida do bom ânimo (</w:t>
      </w:r>
      <w:proofErr w:type="spellStart"/>
      <w:r>
        <w:rPr>
          <w:rFonts w:eastAsia="Segoe UI"/>
          <w:i/>
          <w:iCs/>
          <w:sz w:val="20"/>
          <w:szCs w:val="20"/>
          <w:lang w:val="pt-BR"/>
        </w:rPr>
        <w:t>euthumia</w:t>
      </w:r>
      <w:proofErr w:type="spellEnd"/>
      <w:r>
        <w:rPr>
          <w:rFonts w:eastAsia="Segoe UI"/>
          <w:i/>
          <w:iCs/>
          <w:sz w:val="20"/>
          <w:szCs w:val="20"/>
          <w:lang w:val="pt-BR"/>
        </w:rPr>
        <w:t>) no quadro da reflexão ética de Demócrito</w:t>
      </w:r>
      <w:r>
        <w:rPr>
          <w:rFonts w:eastAsia="Segoe UI"/>
          <w:sz w:val="20"/>
          <w:szCs w:val="20"/>
          <w:lang w:val="pt-BR"/>
        </w:rPr>
        <w:t xml:space="preserve">. </w:t>
      </w:r>
      <w:proofErr w:type="spellStart"/>
      <w:r>
        <w:rPr>
          <w:rFonts w:eastAsia="Segoe UI"/>
          <w:sz w:val="20"/>
          <w:szCs w:val="20"/>
          <w:lang w:val="pt-BR"/>
        </w:rPr>
        <w:t>Nuntius</w:t>
      </w:r>
      <w:proofErr w:type="spellEnd"/>
      <w:r>
        <w:rPr>
          <w:rFonts w:eastAsia="Segoe UI"/>
          <w:sz w:val="20"/>
          <w:szCs w:val="20"/>
          <w:lang w:val="pt-BR"/>
        </w:rPr>
        <w:t xml:space="preserve"> </w:t>
      </w:r>
      <w:proofErr w:type="spellStart"/>
      <w:r>
        <w:rPr>
          <w:rFonts w:eastAsia="Segoe UI"/>
          <w:sz w:val="20"/>
          <w:szCs w:val="20"/>
          <w:lang w:val="pt-BR"/>
        </w:rPr>
        <w:t>Antiquus</w:t>
      </w:r>
      <w:proofErr w:type="spellEnd"/>
      <w:r>
        <w:rPr>
          <w:rFonts w:eastAsia="Segoe UI"/>
          <w:sz w:val="20"/>
          <w:szCs w:val="20"/>
          <w:lang w:val="pt-BR"/>
        </w:rPr>
        <w:t xml:space="preserve">, Belo Horizonte, v. 20, n. 1, p. 1 - 18, jan./jun. 2024. Disponível em: https://periodicos.ufmg.br/index.php/nuntius_antiquus/article/view/56172.  Acesso em: 1o out. 2025. </w:t>
      </w:r>
    </w:p>
    <w:p w14:paraId="3C0E751B" w14:textId="77777777" w:rsidR="0003312E" w:rsidRDefault="00000000">
      <w:pPr>
        <w:pStyle w:val="NormalWeb"/>
        <w:numPr>
          <w:ilvl w:val="0"/>
          <w:numId w:val="13"/>
        </w:numPr>
        <w:spacing w:beforeAutospacing="0" w:after="0" w:afterAutospacing="0" w:line="240" w:lineRule="auto"/>
        <w:ind w:left="0" w:firstLine="0"/>
        <w:jc w:val="both"/>
        <w:rPr>
          <w:rFonts w:eastAsia="Segoe UI"/>
          <w:sz w:val="20"/>
          <w:szCs w:val="20"/>
          <w:lang w:val="pt-BR"/>
        </w:rPr>
      </w:pPr>
      <w:r>
        <w:rPr>
          <w:rFonts w:eastAsia="Segoe UI"/>
          <w:sz w:val="20"/>
          <w:szCs w:val="20"/>
        </w:rPr>
        <w:t xml:space="preserve">ROCHA, P. M.; CORREA, H. Is it time for psychiatry to discuss consensus criteria for euthymia? Clinical, methodological, research, and ethical perspectives. Brazilian Journal of Psychiatry, [S. l.], v. 41, n. 2, p. 97-98, mar./abr. 2019. </w:t>
      </w:r>
      <w:r>
        <w:rPr>
          <w:rFonts w:eastAsia="Segoe UI"/>
          <w:sz w:val="20"/>
          <w:szCs w:val="20"/>
          <w:lang w:val="pt-BR"/>
        </w:rPr>
        <w:t xml:space="preserve">DOI: 10.1590/1516-4446-2018-0221. Disponível em: </w:t>
      </w:r>
      <w:hyperlink r:id="rId108" w:history="1">
        <w:r>
          <w:rPr>
            <w:rStyle w:val="Hyperlink"/>
            <w:rFonts w:eastAsia="Segoe UI"/>
            <w:color w:val="auto"/>
            <w:sz w:val="20"/>
            <w:szCs w:val="20"/>
            <w:lang w:val="pt-BR"/>
          </w:rPr>
          <w:t>https://www.bjp.org.br/details/297/en-US/is-it-time-for-psychiatry-to-discuss-consensus-criteria-for-euthymia--clinical--methodological--research--and-ethical-perspectives</w:t>
        </w:r>
      </w:hyperlink>
      <w:r>
        <w:rPr>
          <w:rFonts w:eastAsia="Segoe UI"/>
          <w:sz w:val="20"/>
          <w:szCs w:val="20"/>
          <w:lang w:val="pt-BR"/>
        </w:rPr>
        <w:t>. Acesso em: 18 set. 2025.</w:t>
      </w:r>
    </w:p>
    <w:p w14:paraId="11AF7244" w14:textId="77777777" w:rsidR="0003312E" w:rsidRDefault="0003312E">
      <w:pPr>
        <w:pStyle w:val="NormalWeb"/>
        <w:spacing w:beforeAutospacing="0" w:after="0" w:afterAutospacing="0" w:line="240" w:lineRule="auto"/>
        <w:jc w:val="both"/>
        <w:rPr>
          <w:rFonts w:eastAsia="Segoe UI"/>
          <w:sz w:val="20"/>
          <w:szCs w:val="20"/>
          <w:lang w:val="pt-BR"/>
        </w:rPr>
      </w:pPr>
    </w:p>
    <w:p w14:paraId="12BF4BEF" w14:textId="77777777" w:rsidR="0003312E" w:rsidRDefault="00000000">
      <w:pPr>
        <w:pStyle w:val="NormalWeb"/>
        <w:shd w:val="clear" w:color="auto" w:fill="FFFFFF"/>
        <w:spacing w:beforeAutospacing="0" w:after="0" w:afterAutospacing="0" w:line="360" w:lineRule="auto"/>
        <w:ind w:firstLineChars="225" w:firstLine="452"/>
        <w:jc w:val="both"/>
        <w:rPr>
          <w:b/>
          <w:bCs/>
          <w:sz w:val="20"/>
          <w:szCs w:val="20"/>
          <w:lang w:val="pt-BR"/>
        </w:rPr>
      </w:pPr>
      <w:r>
        <w:rPr>
          <w:b/>
          <w:bCs/>
          <w:sz w:val="20"/>
          <w:szCs w:val="20"/>
          <w:lang w:val="pt-BR"/>
        </w:rPr>
        <w:t>Capítulo E</w:t>
      </w:r>
    </w:p>
    <w:p w14:paraId="4FD0D043" w14:textId="77777777" w:rsidR="0003312E"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Style w:val="Forte"/>
          <w:b w:val="0"/>
          <w:bCs w:val="0"/>
          <w:sz w:val="20"/>
          <w:szCs w:val="20"/>
          <w:lang w:val="pt-BR"/>
        </w:rPr>
        <w:t>ENCYCLOPÆDIA BRITANNICA.</w:t>
      </w:r>
      <w:r>
        <w:rPr>
          <w:sz w:val="20"/>
          <w:szCs w:val="20"/>
          <w:lang w:val="pt-BR"/>
        </w:rPr>
        <w:t xml:space="preserve"> Oliver Sacks. </w:t>
      </w:r>
      <w:proofErr w:type="spellStart"/>
      <w:r>
        <w:rPr>
          <w:rStyle w:val="nfase"/>
          <w:sz w:val="20"/>
          <w:szCs w:val="20"/>
          <w:lang w:val="pt-BR"/>
        </w:rPr>
        <w:t>Encyclopædia</w:t>
      </w:r>
      <w:proofErr w:type="spellEnd"/>
      <w:r>
        <w:rPr>
          <w:rStyle w:val="nfase"/>
          <w:sz w:val="20"/>
          <w:szCs w:val="20"/>
          <w:lang w:val="pt-BR"/>
        </w:rPr>
        <w:t xml:space="preserve"> </w:t>
      </w:r>
      <w:proofErr w:type="spellStart"/>
      <w:r>
        <w:rPr>
          <w:rStyle w:val="nfase"/>
          <w:sz w:val="20"/>
          <w:szCs w:val="20"/>
          <w:lang w:val="pt-BR"/>
        </w:rPr>
        <w:t>Britannica</w:t>
      </w:r>
      <w:proofErr w:type="spellEnd"/>
      <w:r>
        <w:rPr>
          <w:sz w:val="20"/>
          <w:szCs w:val="20"/>
          <w:lang w:val="pt-BR"/>
        </w:rPr>
        <w:t xml:space="preserve">. Disponível em: </w:t>
      </w:r>
      <w:hyperlink r:id="rId109" w:history="1">
        <w:r>
          <w:rPr>
            <w:rStyle w:val="Hyperlink"/>
            <w:color w:val="auto"/>
            <w:sz w:val="20"/>
            <w:szCs w:val="20"/>
            <w:u w:val="none"/>
            <w:lang w:val="pt-BR"/>
          </w:rPr>
          <w:t>https://www.britannica.com/biography/Oliver-Sacks.</w:t>
        </w:r>
      </w:hyperlink>
      <w:r>
        <w:rPr>
          <w:sz w:val="20"/>
          <w:szCs w:val="20"/>
          <w:lang w:val="pt-BR"/>
        </w:rPr>
        <w:t xml:space="preserve"> </w:t>
      </w:r>
      <w:r>
        <w:rPr>
          <w:rFonts w:eastAsia="Segoe UI"/>
          <w:sz w:val="20"/>
          <w:szCs w:val="20"/>
          <w:lang w:val="pt-BR"/>
        </w:rPr>
        <w:t xml:space="preserve">Acesso em: 1o out. 2025. </w:t>
      </w:r>
    </w:p>
    <w:p w14:paraId="18D27C46" w14:textId="77777777" w:rsidR="0003312E"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Style w:val="Forte"/>
          <w:b w:val="0"/>
          <w:bCs w:val="0"/>
          <w:sz w:val="20"/>
          <w:szCs w:val="20"/>
          <w:lang w:val="pt-BR"/>
        </w:rPr>
        <w:lastRenderedPageBreak/>
        <w:t>JUNGES FRANTZ, Patrícia.</w:t>
      </w:r>
      <w:r>
        <w:rPr>
          <w:sz w:val="20"/>
          <w:szCs w:val="20"/>
          <w:lang w:val="pt-BR"/>
        </w:rPr>
        <w:t xml:space="preserve"> Filosofia da Medicina segundo Edmund Pellegrino. </w:t>
      </w:r>
      <w:r>
        <w:rPr>
          <w:rStyle w:val="nfase"/>
          <w:sz w:val="20"/>
          <w:szCs w:val="20"/>
          <w:lang w:val="pt-BR"/>
        </w:rPr>
        <w:t xml:space="preserve">Revista </w:t>
      </w:r>
      <w:proofErr w:type="spellStart"/>
      <w:r>
        <w:rPr>
          <w:rStyle w:val="nfase"/>
          <w:sz w:val="20"/>
          <w:szCs w:val="20"/>
          <w:lang w:val="pt-BR"/>
        </w:rPr>
        <w:t>Latinoamericana</w:t>
      </w:r>
      <w:proofErr w:type="spellEnd"/>
      <w:r>
        <w:rPr>
          <w:rStyle w:val="nfase"/>
          <w:sz w:val="20"/>
          <w:szCs w:val="20"/>
          <w:lang w:val="pt-BR"/>
        </w:rPr>
        <w:t xml:space="preserve"> de Bioética</w:t>
      </w:r>
      <w:r>
        <w:rPr>
          <w:sz w:val="20"/>
          <w:szCs w:val="20"/>
          <w:lang w:val="pt-BR"/>
        </w:rPr>
        <w:t xml:space="preserve">, Bogotá, v. 25, n. 1, p. 119–127, 2025. Disponível em: http://www.scielo.org.co/scielo.php?script=sci_arttext&amp;pid=S1657-47022025000100119&amp;lng=en&amp;nrm=iso.  </w:t>
      </w:r>
      <w:r>
        <w:rPr>
          <w:sz w:val="20"/>
          <w:szCs w:val="20"/>
        </w:rPr>
        <w:t xml:space="preserve">2025. DOI: </w:t>
      </w:r>
      <w:hyperlink r:id="rId110" w:history="1">
        <w:r>
          <w:rPr>
            <w:rStyle w:val="Hyperlink"/>
            <w:color w:val="auto"/>
            <w:sz w:val="20"/>
            <w:szCs w:val="20"/>
            <w:u w:val="none"/>
          </w:rPr>
          <w:t>https://doi.org/10.18359/rlbi.7331</w:t>
        </w:r>
      </w:hyperlink>
      <w:r>
        <w:rPr>
          <w:sz w:val="20"/>
          <w:szCs w:val="20"/>
          <w:lang w:val="pt-BR"/>
        </w:rPr>
        <w:t xml:space="preserve"> </w:t>
      </w:r>
      <w:r>
        <w:rPr>
          <w:rFonts w:eastAsia="Segoe UI"/>
          <w:sz w:val="20"/>
          <w:szCs w:val="20"/>
          <w:lang w:val="pt-BR"/>
        </w:rPr>
        <w:t xml:space="preserve">Acesso em: 1o out. 2025. </w:t>
      </w:r>
    </w:p>
    <w:p w14:paraId="5DF64C6A" w14:textId="77777777" w:rsidR="0003312E"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Style w:val="Forte"/>
          <w:b w:val="0"/>
          <w:bCs w:val="0"/>
          <w:sz w:val="20"/>
          <w:szCs w:val="20"/>
        </w:rPr>
        <w:t>NUTTON, Vivian.</w:t>
      </w:r>
      <w:r>
        <w:rPr>
          <w:sz w:val="20"/>
          <w:szCs w:val="20"/>
        </w:rPr>
        <w:t xml:space="preserve"> </w:t>
      </w:r>
      <w:proofErr w:type="spellStart"/>
      <w:r>
        <w:rPr>
          <w:sz w:val="20"/>
          <w:szCs w:val="20"/>
        </w:rPr>
        <w:t>Owsei</w:t>
      </w:r>
      <w:proofErr w:type="spellEnd"/>
      <w:r>
        <w:rPr>
          <w:sz w:val="20"/>
          <w:szCs w:val="20"/>
        </w:rPr>
        <w:t xml:space="preserve"> Temkin (1902–2002). </w:t>
      </w:r>
      <w:r>
        <w:rPr>
          <w:rStyle w:val="nfase"/>
          <w:sz w:val="20"/>
          <w:szCs w:val="20"/>
        </w:rPr>
        <w:t>Medical History</w:t>
      </w:r>
      <w:r>
        <w:rPr>
          <w:sz w:val="20"/>
          <w:szCs w:val="20"/>
        </w:rPr>
        <w:t xml:space="preserve">, v. 47, n. 1, p. 100–103, 2003. </w:t>
      </w:r>
      <w:r>
        <w:rPr>
          <w:sz w:val="20"/>
          <w:szCs w:val="20"/>
          <w:lang w:val="pt-BR"/>
        </w:rPr>
        <w:t xml:space="preserve">Disponível em: https://www.cambridge.org/core/journals/medical-history/article/owsei-temkin-19022002/5A9501F50BB577B560EE0922FC3B4BDD. </w:t>
      </w:r>
      <w:r>
        <w:rPr>
          <w:sz w:val="20"/>
          <w:szCs w:val="20"/>
        </w:rPr>
        <w:t xml:space="preserve">DOI: </w:t>
      </w:r>
      <w:hyperlink r:id="rId111" w:history="1">
        <w:r>
          <w:rPr>
            <w:rStyle w:val="Hyperlink"/>
            <w:color w:val="auto"/>
            <w:sz w:val="20"/>
            <w:szCs w:val="20"/>
            <w:u w:val="none"/>
          </w:rPr>
          <w:t>https://doi.org/10.1017/S0025727300056398</w:t>
        </w:r>
      </w:hyperlink>
      <w:r>
        <w:rPr>
          <w:sz w:val="20"/>
          <w:szCs w:val="20"/>
          <w:lang w:val="pt-BR"/>
        </w:rPr>
        <w:t xml:space="preserve"> </w:t>
      </w:r>
      <w:r>
        <w:rPr>
          <w:rFonts w:eastAsia="Segoe UI"/>
          <w:sz w:val="20"/>
          <w:szCs w:val="20"/>
          <w:lang w:val="pt-BR"/>
        </w:rPr>
        <w:t xml:space="preserve">Acesso em: 1o out. 2025. </w:t>
      </w:r>
    </w:p>
    <w:p w14:paraId="4CDE672F" w14:textId="77777777" w:rsidR="0003312E"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Style w:val="Forte"/>
          <w:b w:val="0"/>
          <w:bCs w:val="0"/>
          <w:sz w:val="20"/>
          <w:szCs w:val="20"/>
        </w:rPr>
        <w:t>SACKS, Oliver.</w:t>
      </w:r>
      <w:r>
        <w:rPr>
          <w:sz w:val="20"/>
          <w:szCs w:val="20"/>
        </w:rPr>
        <w:t xml:space="preserve"> </w:t>
      </w:r>
      <w:r>
        <w:rPr>
          <w:rStyle w:val="nfase"/>
          <w:sz w:val="20"/>
          <w:szCs w:val="20"/>
        </w:rPr>
        <w:t>Awakenings</w:t>
      </w:r>
      <w:r>
        <w:rPr>
          <w:sz w:val="20"/>
          <w:szCs w:val="20"/>
        </w:rPr>
        <w:t xml:space="preserve">. Nova York: Vintage Books, 1973. </w:t>
      </w:r>
      <w:r>
        <w:rPr>
          <w:sz w:val="20"/>
          <w:szCs w:val="20"/>
          <w:lang w:val="pt-BR"/>
        </w:rPr>
        <w:t xml:space="preserve">Disponível em: </w:t>
      </w:r>
      <w:hyperlink r:id="rId112" w:history="1">
        <w:r>
          <w:rPr>
            <w:rStyle w:val="Hyperlink"/>
            <w:color w:val="auto"/>
            <w:sz w:val="20"/>
            <w:szCs w:val="20"/>
            <w:u w:val="none"/>
            <w:lang w:val="pt-BR"/>
          </w:rPr>
          <w:t>https://virtualmmx.ddns.net/gbooks/Awakenings.pdf</w:t>
        </w:r>
      </w:hyperlink>
      <w:r>
        <w:rPr>
          <w:sz w:val="20"/>
          <w:szCs w:val="20"/>
          <w:lang w:val="pt-BR"/>
        </w:rPr>
        <w:t xml:space="preserve"> </w:t>
      </w:r>
      <w:r>
        <w:rPr>
          <w:rFonts w:eastAsia="Segoe UI"/>
          <w:sz w:val="20"/>
          <w:szCs w:val="20"/>
          <w:lang w:val="pt-BR"/>
        </w:rPr>
        <w:t xml:space="preserve">Acesso em: 1o out. 2025. </w:t>
      </w:r>
    </w:p>
    <w:p w14:paraId="0B294667" w14:textId="77777777" w:rsidR="0003312E"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Fonts w:eastAsia="Segoe UI"/>
          <w:sz w:val="20"/>
          <w:szCs w:val="20"/>
          <w:shd w:val="clear" w:color="auto" w:fill="FFFFFF"/>
          <w:lang w:val="pt-BR"/>
        </w:rPr>
        <w:t xml:space="preserve">SHARON, Tal; LIN, Zhao Xiang; PALOMERA, </w:t>
      </w:r>
      <w:proofErr w:type="spellStart"/>
      <w:r>
        <w:rPr>
          <w:rFonts w:eastAsia="Segoe UI"/>
          <w:sz w:val="20"/>
          <w:szCs w:val="20"/>
          <w:shd w:val="clear" w:color="auto" w:fill="FFFFFF"/>
          <w:lang w:val="pt-BR"/>
        </w:rPr>
        <w:t>Julio</w:t>
      </w:r>
      <w:proofErr w:type="spellEnd"/>
      <w:r>
        <w:rPr>
          <w:rFonts w:eastAsia="Segoe UI"/>
          <w:sz w:val="20"/>
          <w:szCs w:val="20"/>
          <w:shd w:val="clear" w:color="auto" w:fill="FFFFFF"/>
          <w:lang w:val="pt-BR"/>
        </w:rPr>
        <w:t>; JAIME, Sara; SZERSZEN, Anita. </w:t>
      </w:r>
      <w:r>
        <w:rPr>
          <w:rStyle w:val="Forte"/>
          <w:rFonts w:eastAsia="Segoe UI"/>
          <w:b w:val="0"/>
          <w:bCs w:val="0"/>
          <w:sz w:val="20"/>
          <w:szCs w:val="20"/>
          <w:shd w:val="clear" w:color="auto" w:fill="FFFFFF"/>
        </w:rPr>
        <w:t>Medicine through the lens of humanity: exploring the legacy of Oliver Sacks, the storyteller neurologist</w:t>
      </w:r>
      <w:r>
        <w:rPr>
          <w:rFonts w:eastAsia="Segoe UI"/>
          <w:sz w:val="20"/>
          <w:szCs w:val="20"/>
          <w:shd w:val="clear" w:color="auto" w:fill="FFFFFF"/>
        </w:rPr>
        <w:t xml:space="preserve">. </w:t>
      </w:r>
      <w:proofErr w:type="spellStart"/>
      <w:r>
        <w:rPr>
          <w:rFonts w:eastAsia="Segoe UI"/>
          <w:sz w:val="20"/>
          <w:szCs w:val="20"/>
          <w:shd w:val="clear" w:color="auto" w:fill="FFFFFF"/>
          <w:lang w:val="pt-BR"/>
        </w:rPr>
        <w:t>Cureus</w:t>
      </w:r>
      <w:proofErr w:type="spellEnd"/>
      <w:r>
        <w:rPr>
          <w:rFonts w:eastAsia="Segoe UI"/>
          <w:sz w:val="20"/>
          <w:szCs w:val="20"/>
          <w:shd w:val="clear" w:color="auto" w:fill="FFFFFF"/>
          <w:lang w:val="pt-BR"/>
        </w:rPr>
        <w:t>, [S. l.], v. 16, n. 9, p. e69593, 17 Sep. 2024. DOI: 10.7759/cureus.69593. Disponível em: </w:t>
      </w:r>
      <w:hyperlink r:id="rId113" w:tgtFrame="https://chat.deepseek.com/a/chat/s/_blank" w:history="1">
        <w:r>
          <w:rPr>
            <w:rStyle w:val="Hyperlink"/>
            <w:rFonts w:eastAsia="Segoe UI"/>
            <w:color w:val="auto"/>
            <w:sz w:val="20"/>
            <w:szCs w:val="20"/>
            <w:u w:val="none"/>
            <w:shd w:val="clear" w:color="auto" w:fill="FFFFFF"/>
            <w:lang w:val="pt-BR"/>
          </w:rPr>
          <w:t>https://www.cureus.com/articles/238929-medicine-through-the-lens-of-humanity-exploring-the-legacy-of-oliver-sacks-the-storyteller-neurologist</w:t>
        </w:r>
      </w:hyperlink>
      <w:r>
        <w:rPr>
          <w:rFonts w:eastAsia="Segoe UI"/>
          <w:sz w:val="20"/>
          <w:szCs w:val="20"/>
          <w:shd w:val="clear" w:color="auto" w:fill="FFFFFF"/>
          <w:lang w:val="pt-BR"/>
        </w:rPr>
        <w:t>. </w:t>
      </w:r>
      <w:r>
        <w:rPr>
          <w:rFonts w:eastAsia="Segoe UI"/>
          <w:sz w:val="20"/>
          <w:szCs w:val="20"/>
          <w:lang w:val="pt-BR"/>
        </w:rPr>
        <w:t xml:space="preserve">Acesso em: 1o out. 2025. </w:t>
      </w:r>
    </w:p>
    <w:p w14:paraId="497E861B" w14:textId="77777777" w:rsidR="0003312E"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Style w:val="Forte"/>
          <w:b w:val="0"/>
          <w:bCs w:val="0"/>
          <w:sz w:val="20"/>
          <w:szCs w:val="20"/>
        </w:rPr>
        <w:t xml:space="preserve">TEMKIN, </w:t>
      </w:r>
      <w:proofErr w:type="spellStart"/>
      <w:r>
        <w:rPr>
          <w:rStyle w:val="Forte"/>
          <w:b w:val="0"/>
          <w:bCs w:val="0"/>
          <w:sz w:val="20"/>
          <w:szCs w:val="20"/>
        </w:rPr>
        <w:t>Owsei</w:t>
      </w:r>
      <w:proofErr w:type="spellEnd"/>
      <w:r>
        <w:rPr>
          <w:rStyle w:val="Forte"/>
          <w:b w:val="0"/>
          <w:bCs w:val="0"/>
          <w:sz w:val="20"/>
          <w:szCs w:val="20"/>
        </w:rPr>
        <w:t>.</w:t>
      </w:r>
      <w:r>
        <w:rPr>
          <w:sz w:val="20"/>
          <w:szCs w:val="20"/>
        </w:rPr>
        <w:t xml:space="preserve"> </w:t>
      </w:r>
      <w:r>
        <w:rPr>
          <w:rStyle w:val="nfase"/>
          <w:sz w:val="20"/>
          <w:szCs w:val="20"/>
        </w:rPr>
        <w:t>The Double Face of Janus and Other Essays in the History of Medicine</w:t>
      </w:r>
      <w:r>
        <w:rPr>
          <w:sz w:val="20"/>
          <w:szCs w:val="20"/>
        </w:rPr>
        <w:t xml:space="preserve">. Baltimore: Johns Hopkins University Press, 1977. </w:t>
      </w:r>
      <w:proofErr w:type="spellStart"/>
      <w:r>
        <w:rPr>
          <w:sz w:val="20"/>
          <w:szCs w:val="20"/>
        </w:rPr>
        <w:t>Disponível</w:t>
      </w:r>
      <w:proofErr w:type="spellEnd"/>
      <w:r>
        <w:rPr>
          <w:sz w:val="20"/>
          <w:szCs w:val="20"/>
        </w:rPr>
        <w:t xml:space="preserve"> </w:t>
      </w:r>
      <w:proofErr w:type="spellStart"/>
      <w:r>
        <w:rPr>
          <w:sz w:val="20"/>
          <w:szCs w:val="20"/>
        </w:rPr>
        <w:t>em</w:t>
      </w:r>
      <w:proofErr w:type="spellEnd"/>
      <w:r>
        <w:rPr>
          <w:sz w:val="20"/>
          <w:szCs w:val="20"/>
        </w:rPr>
        <w:t xml:space="preserve">: </w:t>
      </w:r>
      <w:hyperlink r:id="rId114" w:history="1">
        <w:r>
          <w:rPr>
            <w:rStyle w:val="Hyperlink"/>
            <w:color w:val="auto"/>
            <w:sz w:val="20"/>
            <w:szCs w:val="20"/>
            <w:u w:val="none"/>
          </w:rPr>
          <w:t>https://books.google.com.br/books?id=k37WlXxV1X0C</w:t>
        </w:r>
      </w:hyperlink>
      <w:r>
        <w:rPr>
          <w:sz w:val="20"/>
          <w:szCs w:val="20"/>
          <w:lang w:val="pt-BR"/>
        </w:rPr>
        <w:t xml:space="preserve"> </w:t>
      </w:r>
      <w:r>
        <w:rPr>
          <w:rFonts w:eastAsia="Segoe UI"/>
          <w:sz w:val="20"/>
          <w:szCs w:val="20"/>
          <w:lang w:val="pt-BR"/>
        </w:rPr>
        <w:t xml:space="preserve">Acesso em: 1o out. 2025. </w:t>
      </w:r>
    </w:p>
    <w:p w14:paraId="15EB857D" w14:textId="77777777" w:rsidR="0003312E" w:rsidRPr="000D7094" w:rsidRDefault="00000000">
      <w:pPr>
        <w:pStyle w:val="NormalWeb"/>
        <w:numPr>
          <w:ilvl w:val="0"/>
          <w:numId w:val="14"/>
        </w:numPr>
        <w:shd w:val="clear" w:color="auto" w:fill="FFFFFF"/>
        <w:spacing w:beforeAutospacing="0" w:after="0" w:afterAutospacing="0" w:line="360" w:lineRule="auto"/>
        <w:jc w:val="both"/>
        <w:rPr>
          <w:rFonts w:eastAsia="Segoe UI"/>
          <w:sz w:val="20"/>
          <w:szCs w:val="20"/>
          <w:lang w:val="pt-BR"/>
        </w:rPr>
      </w:pPr>
      <w:r>
        <w:rPr>
          <w:rStyle w:val="Forte"/>
          <w:b w:val="0"/>
          <w:bCs w:val="0"/>
          <w:sz w:val="20"/>
          <w:szCs w:val="20"/>
        </w:rPr>
        <w:t xml:space="preserve">TEMKIN, </w:t>
      </w:r>
      <w:proofErr w:type="spellStart"/>
      <w:r>
        <w:rPr>
          <w:rStyle w:val="Forte"/>
          <w:b w:val="0"/>
          <w:bCs w:val="0"/>
          <w:sz w:val="20"/>
          <w:szCs w:val="20"/>
        </w:rPr>
        <w:t>Owsei</w:t>
      </w:r>
      <w:proofErr w:type="spellEnd"/>
      <w:r>
        <w:rPr>
          <w:rStyle w:val="Forte"/>
          <w:b w:val="0"/>
          <w:bCs w:val="0"/>
          <w:sz w:val="20"/>
          <w:szCs w:val="20"/>
        </w:rPr>
        <w:t>.</w:t>
      </w:r>
      <w:r>
        <w:rPr>
          <w:sz w:val="20"/>
          <w:szCs w:val="20"/>
        </w:rPr>
        <w:t xml:space="preserve"> </w:t>
      </w:r>
      <w:r>
        <w:rPr>
          <w:rStyle w:val="nfase"/>
          <w:sz w:val="20"/>
          <w:szCs w:val="20"/>
        </w:rPr>
        <w:t>The Falling Sickness: A History of Epilepsy from the Greeks to the Beginnings of Modern Neurology</w:t>
      </w:r>
      <w:r>
        <w:rPr>
          <w:sz w:val="20"/>
          <w:szCs w:val="20"/>
        </w:rPr>
        <w:t xml:space="preserve">. 2. ed. Baltimore: Johns Hopkins University Press, 1971. </w:t>
      </w:r>
      <w:r w:rsidRPr="000D7094">
        <w:rPr>
          <w:sz w:val="20"/>
          <w:szCs w:val="20"/>
          <w:lang w:val="pt-BR"/>
        </w:rPr>
        <w:t xml:space="preserve">Disponível em: </w:t>
      </w:r>
      <w:hyperlink r:id="rId115" w:history="1">
        <w:r w:rsidRPr="000D7094">
          <w:rPr>
            <w:rStyle w:val="Hyperlink"/>
            <w:color w:val="auto"/>
            <w:sz w:val="20"/>
            <w:szCs w:val="20"/>
            <w:u w:val="none"/>
            <w:lang w:val="pt-BR"/>
          </w:rPr>
          <w:t>https://www.google.com.br/books/edition/The_Falling_Sickness/w33hgy52XKkC</w:t>
        </w:r>
      </w:hyperlink>
      <w:r w:rsidRPr="000D7094">
        <w:rPr>
          <w:sz w:val="20"/>
          <w:szCs w:val="20"/>
          <w:lang w:val="pt-BR"/>
        </w:rPr>
        <w:t xml:space="preserve"> </w:t>
      </w:r>
      <w:r w:rsidRPr="000D7094">
        <w:rPr>
          <w:rFonts w:eastAsia="Segoe UI"/>
          <w:sz w:val="20"/>
          <w:szCs w:val="20"/>
          <w:lang w:val="pt-BR"/>
        </w:rPr>
        <w:t xml:space="preserve">Acesso em: 1o out. 2025. </w:t>
      </w:r>
    </w:p>
    <w:p w14:paraId="076CD16C" w14:textId="77777777" w:rsidR="0003312E" w:rsidRPr="000D7094"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74AADADF" w14:textId="77777777" w:rsidR="0003312E" w:rsidRPr="000D7094" w:rsidRDefault="00000000">
      <w:pPr>
        <w:spacing w:after="0" w:line="240" w:lineRule="auto"/>
        <w:jc w:val="both"/>
        <w:rPr>
          <w:rFonts w:ascii="Times New Roman" w:eastAsia="Segoe UI" w:hAnsi="Times New Roman" w:cs="Times New Roman"/>
          <w:sz w:val="20"/>
          <w:szCs w:val="20"/>
          <w:shd w:val="clear" w:color="auto" w:fill="FFFFFF"/>
          <w:lang w:eastAsia="zh-CN"/>
        </w:rPr>
      </w:pPr>
      <w:r w:rsidRPr="000D7094">
        <w:rPr>
          <w:rFonts w:ascii="Times New Roman" w:eastAsia="Segoe UI" w:hAnsi="Times New Roman" w:cs="Times New Roman"/>
          <w:sz w:val="20"/>
          <w:szCs w:val="20"/>
          <w:shd w:val="clear" w:color="auto" w:fill="FFFFFF"/>
          <w:lang w:eastAsia="zh-CN"/>
        </w:rPr>
        <w:br w:type="page"/>
      </w:r>
    </w:p>
    <w:p w14:paraId="599B9785" w14:textId="77777777" w:rsidR="0003312E" w:rsidRDefault="0003312E">
      <w:pPr>
        <w:pStyle w:val="NormalWeb"/>
        <w:spacing w:beforeAutospacing="0" w:after="0" w:afterAutospacing="0" w:line="240" w:lineRule="auto"/>
        <w:jc w:val="both"/>
        <w:rPr>
          <w:rFonts w:eastAsia="Segoe UI"/>
          <w:sz w:val="20"/>
          <w:szCs w:val="20"/>
          <w:shd w:val="clear" w:color="auto" w:fill="FFFFFF"/>
          <w:lang w:val="pt-BR"/>
        </w:rPr>
      </w:pPr>
    </w:p>
    <w:p w14:paraId="4110A28E" w14:textId="77777777" w:rsidR="0003312E" w:rsidRDefault="00000000">
      <w:pPr>
        <w:spacing w:after="0" w:line="240" w:lineRule="auto"/>
        <w:jc w:val="both"/>
        <w:rPr>
          <w:rFonts w:ascii="Times New Roman" w:eastAsia="Segoe UI" w:hAnsi="Times New Roman" w:cs="Times New Roman"/>
          <w:sz w:val="24"/>
          <w:szCs w:val="24"/>
          <w:shd w:val="clear" w:color="auto" w:fill="FFFFFF"/>
          <w:lang w:eastAsia="zh-CN"/>
        </w:rPr>
      </w:pPr>
      <w:r>
        <w:rPr>
          <w:rFonts w:ascii="Times New Roman" w:eastAsia="Segoe UI" w:hAnsi="Times New Roman" w:cs="Times New Roman"/>
          <w:sz w:val="20"/>
          <w:szCs w:val="20"/>
          <w:shd w:val="clear" w:color="auto" w:fill="FFFFFF"/>
        </w:rPr>
        <w:br w:type="page"/>
      </w:r>
    </w:p>
    <w:p w14:paraId="3639083D" w14:textId="77777777" w:rsidR="0003312E" w:rsidRDefault="0003312E">
      <w:pPr>
        <w:rPr>
          <w:rFonts w:ascii="Times New Roman" w:eastAsia="Segoe UI" w:hAnsi="Times New Roman" w:cs="Times New Roman"/>
          <w:sz w:val="20"/>
          <w:szCs w:val="20"/>
          <w:shd w:val="clear" w:color="auto" w:fill="FFFFFF"/>
          <w:lang w:eastAsia="zh-CN"/>
        </w:rPr>
      </w:pPr>
    </w:p>
    <w:p w14:paraId="44FDE028" w14:textId="77777777" w:rsidR="0003312E"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7487DF66" w14:textId="77777777" w:rsidR="0003312E" w:rsidRDefault="00000000">
      <w:pPr>
        <w:pStyle w:val="NormalWeb"/>
        <w:shd w:val="clear" w:color="auto" w:fill="FFFFFF"/>
        <w:tabs>
          <w:tab w:val="left" w:pos="425"/>
        </w:tabs>
        <w:spacing w:beforeAutospacing="0" w:after="0" w:afterAutospacing="0" w:line="360" w:lineRule="auto"/>
        <w:jc w:val="both"/>
        <w:rPr>
          <w:rFonts w:eastAsia="Segoe UI"/>
          <w:b/>
          <w:bCs/>
          <w:sz w:val="20"/>
          <w:szCs w:val="20"/>
          <w:lang w:val="pt-BR"/>
        </w:rPr>
      </w:pPr>
      <w:r>
        <w:rPr>
          <w:rFonts w:eastAsia="Segoe UI"/>
          <w:b/>
          <w:bCs/>
          <w:sz w:val="20"/>
          <w:szCs w:val="20"/>
          <w:lang w:val="pt-BR"/>
        </w:rPr>
        <w:t>GLOSSÁRIO NEUROETIMOLÓGICO</w:t>
      </w:r>
    </w:p>
    <w:tbl>
      <w:tblPr>
        <w:tblStyle w:val="TabeladeGradeClara1"/>
        <w:tblW w:w="9209" w:type="dxa"/>
        <w:tblLook w:val="04A0" w:firstRow="1" w:lastRow="0" w:firstColumn="1" w:lastColumn="0" w:noHBand="0" w:noVBand="1"/>
      </w:tblPr>
      <w:tblGrid>
        <w:gridCol w:w="1250"/>
        <w:gridCol w:w="2147"/>
        <w:gridCol w:w="3488"/>
        <w:gridCol w:w="2324"/>
      </w:tblGrid>
      <w:tr w:rsidR="0003312E" w14:paraId="048FFBE3" w14:textId="77777777" w:rsidTr="000D7094">
        <w:tc>
          <w:tcPr>
            <w:tcW w:w="0" w:type="auto"/>
          </w:tcPr>
          <w:p w14:paraId="1B9249C9" w14:textId="77777777" w:rsidR="0003312E" w:rsidRDefault="00000000">
            <w:pPr>
              <w:pStyle w:val="NormalWeb"/>
              <w:shd w:val="clear" w:color="auto" w:fill="FFFFFF"/>
              <w:tabs>
                <w:tab w:val="left" w:pos="425"/>
              </w:tabs>
              <w:spacing w:beforeAutospacing="0" w:after="0" w:afterAutospacing="0" w:line="180" w:lineRule="exact"/>
              <w:rPr>
                <w:rFonts w:eastAsia="Segoe UI"/>
                <w:b/>
                <w:bCs/>
                <w:sz w:val="20"/>
                <w:szCs w:val="20"/>
                <w:lang w:val="pt-BR"/>
              </w:rPr>
            </w:pPr>
            <w:r>
              <w:rPr>
                <w:rFonts w:eastAsia="Segoe UI"/>
                <w:b/>
                <w:bCs/>
                <w:sz w:val="20"/>
                <w:szCs w:val="20"/>
                <w:lang w:val="pt-BR"/>
              </w:rPr>
              <w:t>Termo</w:t>
            </w:r>
          </w:p>
        </w:tc>
        <w:tc>
          <w:tcPr>
            <w:tcW w:w="2147" w:type="dxa"/>
          </w:tcPr>
          <w:p w14:paraId="56257611" w14:textId="77777777" w:rsidR="0003312E" w:rsidRDefault="00000000">
            <w:pPr>
              <w:pStyle w:val="NormalWeb"/>
              <w:shd w:val="clear" w:color="auto" w:fill="FFFFFF"/>
              <w:tabs>
                <w:tab w:val="left" w:pos="425"/>
              </w:tabs>
              <w:spacing w:beforeAutospacing="0" w:after="0" w:afterAutospacing="0" w:line="180" w:lineRule="exact"/>
              <w:rPr>
                <w:rFonts w:eastAsia="Segoe UI"/>
                <w:b/>
                <w:bCs/>
                <w:sz w:val="20"/>
                <w:szCs w:val="20"/>
                <w:lang w:val="pt-BR"/>
              </w:rPr>
            </w:pPr>
            <w:r>
              <w:rPr>
                <w:rFonts w:eastAsia="Segoe UI"/>
                <w:b/>
                <w:bCs/>
                <w:sz w:val="20"/>
                <w:szCs w:val="20"/>
                <w:lang w:val="pt-BR"/>
              </w:rPr>
              <w:t>Etimologia</w:t>
            </w:r>
          </w:p>
        </w:tc>
        <w:tc>
          <w:tcPr>
            <w:tcW w:w="3488" w:type="dxa"/>
          </w:tcPr>
          <w:p w14:paraId="762F400A" w14:textId="77777777" w:rsidR="0003312E" w:rsidRDefault="00000000">
            <w:pPr>
              <w:pStyle w:val="NormalWeb"/>
              <w:shd w:val="clear" w:color="auto" w:fill="FFFFFF"/>
              <w:tabs>
                <w:tab w:val="left" w:pos="425"/>
              </w:tabs>
              <w:spacing w:beforeAutospacing="0" w:after="0" w:afterAutospacing="0" w:line="180" w:lineRule="exact"/>
              <w:rPr>
                <w:rFonts w:eastAsia="Segoe UI"/>
                <w:b/>
                <w:bCs/>
                <w:sz w:val="20"/>
                <w:szCs w:val="20"/>
                <w:lang w:val="pt-BR"/>
              </w:rPr>
            </w:pPr>
            <w:r>
              <w:rPr>
                <w:rFonts w:eastAsia="Segoe UI"/>
                <w:b/>
                <w:bCs/>
                <w:sz w:val="20"/>
                <w:szCs w:val="20"/>
                <w:lang w:val="pt-BR"/>
              </w:rPr>
              <w:t>Significado Neurocientífico/Clínico</w:t>
            </w:r>
          </w:p>
        </w:tc>
        <w:tc>
          <w:tcPr>
            <w:tcW w:w="2324" w:type="dxa"/>
          </w:tcPr>
          <w:p w14:paraId="0DB8C5FC" w14:textId="77777777" w:rsidR="0003312E" w:rsidRDefault="00000000">
            <w:pPr>
              <w:pStyle w:val="NormalWeb"/>
              <w:shd w:val="clear" w:color="auto" w:fill="FFFFFF"/>
              <w:tabs>
                <w:tab w:val="left" w:pos="425"/>
              </w:tabs>
              <w:spacing w:beforeAutospacing="0" w:after="0" w:afterAutospacing="0" w:line="180" w:lineRule="exact"/>
              <w:rPr>
                <w:rFonts w:eastAsia="Segoe UI"/>
                <w:b/>
                <w:bCs/>
                <w:sz w:val="20"/>
                <w:szCs w:val="20"/>
                <w:lang w:val="pt-BR"/>
              </w:rPr>
            </w:pPr>
            <w:r>
              <w:rPr>
                <w:rFonts w:eastAsia="Segoe UI"/>
                <w:b/>
                <w:bCs/>
                <w:sz w:val="20"/>
                <w:szCs w:val="20"/>
                <w:lang w:val="pt-BR"/>
              </w:rPr>
              <w:t>Dimensão Poético-Filosófica</w:t>
            </w:r>
          </w:p>
        </w:tc>
      </w:tr>
      <w:tr w:rsidR="0003312E" w14:paraId="05F573B8" w14:textId="77777777" w:rsidTr="000D7094">
        <w:tc>
          <w:tcPr>
            <w:tcW w:w="0" w:type="auto"/>
          </w:tcPr>
          <w:p w14:paraId="22BEF4CE"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Hipnose</w:t>
            </w:r>
          </w:p>
        </w:tc>
        <w:tc>
          <w:tcPr>
            <w:tcW w:w="2147" w:type="dxa"/>
          </w:tcPr>
          <w:p w14:paraId="12C2454D"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hýpnos</w:t>
            </w:r>
            <w:proofErr w:type="spellEnd"/>
            <w:r>
              <w:rPr>
                <w:rFonts w:eastAsia="Segoe UI"/>
                <w:sz w:val="20"/>
                <w:szCs w:val="20"/>
                <w:lang w:val="pt-BR"/>
              </w:rPr>
              <w:t xml:space="preserve"> (ὕπ</w:t>
            </w:r>
            <w:proofErr w:type="spellStart"/>
            <w:r>
              <w:rPr>
                <w:rFonts w:eastAsia="Segoe UI"/>
                <w:sz w:val="20"/>
                <w:szCs w:val="20"/>
                <w:lang w:val="pt-BR"/>
              </w:rPr>
              <w:t>νος</w:t>
            </w:r>
            <w:proofErr w:type="spellEnd"/>
            <w:r>
              <w:rPr>
                <w:rFonts w:eastAsia="Segoe UI"/>
                <w:sz w:val="20"/>
                <w:szCs w:val="20"/>
                <w:lang w:val="pt-BR"/>
              </w:rPr>
              <w:t xml:space="preserve">): “sono”. Sufixo </w:t>
            </w:r>
            <w:r>
              <w:rPr>
                <w:rFonts w:eastAsia="Segoe UI"/>
                <w:i/>
                <w:iCs/>
                <w:sz w:val="20"/>
                <w:szCs w:val="20"/>
                <w:lang w:val="pt-BR"/>
              </w:rPr>
              <w:t>-</w:t>
            </w:r>
            <w:proofErr w:type="spellStart"/>
            <w:r>
              <w:rPr>
                <w:rFonts w:eastAsia="Segoe UI"/>
                <w:i/>
                <w:iCs/>
                <w:sz w:val="20"/>
                <w:szCs w:val="20"/>
                <w:lang w:val="pt-BR"/>
              </w:rPr>
              <w:t>osis</w:t>
            </w:r>
            <w:proofErr w:type="spellEnd"/>
            <w:r>
              <w:rPr>
                <w:rFonts w:eastAsia="Segoe UI"/>
                <w:sz w:val="20"/>
                <w:szCs w:val="20"/>
                <w:lang w:val="pt-BR"/>
              </w:rPr>
              <w:t xml:space="preserve"> (processo).</w:t>
            </w:r>
          </w:p>
        </w:tc>
        <w:tc>
          <w:tcPr>
            <w:tcW w:w="3488" w:type="dxa"/>
          </w:tcPr>
          <w:p w14:paraId="41E952DF"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Estado de </w:t>
            </w:r>
            <w:proofErr w:type="spellStart"/>
            <w:r>
              <w:rPr>
                <w:rFonts w:eastAsia="Segoe UI"/>
                <w:sz w:val="20"/>
                <w:szCs w:val="20"/>
                <w:lang w:val="pt-BR"/>
              </w:rPr>
              <w:t>hiperatenção</w:t>
            </w:r>
            <w:proofErr w:type="spellEnd"/>
            <w:r>
              <w:rPr>
                <w:rFonts w:eastAsia="Segoe UI"/>
                <w:sz w:val="20"/>
                <w:szCs w:val="20"/>
                <w:lang w:val="pt-BR"/>
              </w:rPr>
              <w:t xml:space="preserve"> focada (não sono), caracterizado por maior sugestionabilidade. Neuroimagens mostram ativação do córtex pré-frontal (controle executivo) e desativação da Rede de Modo Padrão (DMN).</w:t>
            </w:r>
          </w:p>
        </w:tc>
        <w:tc>
          <w:tcPr>
            <w:tcW w:w="2324" w:type="dxa"/>
          </w:tcPr>
          <w:p w14:paraId="2F1CFBD2"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O Portão. Estado liminar entre vigília e sono, onde a atenção é um portal para ressignificar a percepção e a memória.</w:t>
            </w:r>
          </w:p>
        </w:tc>
      </w:tr>
      <w:tr w:rsidR="0003312E" w14:paraId="3265F44E" w14:textId="77777777" w:rsidTr="000D7094">
        <w:tc>
          <w:tcPr>
            <w:tcW w:w="0" w:type="auto"/>
          </w:tcPr>
          <w:p w14:paraId="346517CF"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Coma</w:t>
            </w:r>
          </w:p>
        </w:tc>
        <w:tc>
          <w:tcPr>
            <w:tcW w:w="2147" w:type="dxa"/>
          </w:tcPr>
          <w:p w14:paraId="254F425B"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kôma</w:t>
            </w:r>
            <w:proofErr w:type="spellEnd"/>
            <w:r>
              <w:rPr>
                <w:rFonts w:eastAsia="Segoe UI"/>
                <w:sz w:val="20"/>
                <w:szCs w:val="20"/>
                <w:lang w:val="pt-BR"/>
              </w:rPr>
              <w:t xml:space="preserve"> (</w:t>
            </w:r>
            <w:proofErr w:type="spellStart"/>
            <w:r>
              <w:rPr>
                <w:rFonts w:eastAsia="Segoe UI"/>
                <w:sz w:val="20"/>
                <w:szCs w:val="20"/>
                <w:lang w:val="pt-BR"/>
              </w:rPr>
              <w:t>κῶμ</w:t>
            </w:r>
            <w:proofErr w:type="spellEnd"/>
            <w:r>
              <w:rPr>
                <w:rFonts w:eastAsia="Segoe UI"/>
                <w:sz w:val="20"/>
                <w:szCs w:val="20"/>
                <w:lang w:val="pt-BR"/>
              </w:rPr>
              <w:t>α): “sono profundo”.</w:t>
            </w:r>
          </w:p>
        </w:tc>
        <w:tc>
          <w:tcPr>
            <w:tcW w:w="3488" w:type="dxa"/>
          </w:tcPr>
          <w:p w14:paraId="6CB174F2"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Estado patológico de inconsciência profunda e sustentada, com ausência de ciclos sono-vigília. Resulta de uma desconexão entre o córtex cerebral e o Sistema de Ativação Reticular Ascendente (SARA).</w:t>
            </w:r>
          </w:p>
        </w:tc>
        <w:tc>
          <w:tcPr>
            <w:tcW w:w="2324" w:type="dxa"/>
          </w:tcPr>
          <w:p w14:paraId="6EE06A96"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O Silêncio. A antítese da consciência; um apagão neural que confronta os limites entre a vida biológica e a existência consciente.</w:t>
            </w:r>
          </w:p>
        </w:tc>
      </w:tr>
      <w:tr w:rsidR="0003312E" w14:paraId="383C0F83" w14:textId="77777777" w:rsidTr="000D7094">
        <w:tc>
          <w:tcPr>
            <w:tcW w:w="0" w:type="auto"/>
          </w:tcPr>
          <w:p w14:paraId="0C5A18E6"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Frenesi</w:t>
            </w:r>
          </w:p>
        </w:tc>
        <w:tc>
          <w:tcPr>
            <w:tcW w:w="2147" w:type="dxa"/>
          </w:tcPr>
          <w:p w14:paraId="7779EABF"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phrénēsis</w:t>
            </w:r>
            <w:proofErr w:type="spellEnd"/>
            <w:r>
              <w:rPr>
                <w:rFonts w:eastAsia="Segoe UI"/>
                <w:sz w:val="20"/>
                <w:szCs w:val="20"/>
                <w:lang w:val="pt-BR"/>
              </w:rPr>
              <w:t xml:space="preserve"> (</w:t>
            </w:r>
            <w:proofErr w:type="spellStart"/>
            <w:r>
              <w:rPr>
                <w:rFonts w:eastAsia="Segoe UI"/>
                <w:sz w:val="20"/>
                <w:szCs w:val="20"/>
                <w:lang w:val="pt-BR"/>
              </w:rPr>
              <w:t>φρένῃσις</w:t>
            </w:r>
            <w:proofErr w:type="spellEnd"/>
            <w:r>
              <w:rPr>
                <w:rFonts w:eastAsia="Segoe UI"/>
                <w:sz w:val="20"/>
                <w:szCs w:val="20"/>
                <w:lang w:val="pt-BR"/>
              </w:rPr>
              <w:t xml:space="preserve">): de </w:t>
            </w:r>
            <w:proofErr w:type="spellStart"/>
            <w:r>
              <w:rPr>
                <w:rFonts w:eastAsia="Segoe UI"/>
                <w:i/>
                <w:iCs/>
                <w:sz w:val="20"/>
                <w:szCs w:val="20"/>
                <w:lang w:val="pt-BR"/>
              </w:rPr>
              <w:t>phrēn</w:t>
            </w:r>
            <w:proofErr w:type="spellEnd"/>
            <w:r>
              <w:rPr>
                <w:rFonts w:eastAsia="Segoe UI"/>
                <w:sz w:val="20"/>
                <w:szCs w:val="20"/>
                <w:lang w:val="pt-BR"/>
              </w:rPr>
              <w:t xml:space="preserve"> (</w:t>
            </w:r>
            <w:proofErr w:type="spellStart"/>
            <w:r>
              <w:rPr>
                <w:rFonts w:eastAsia="Segoe UI"/>
                <w:sz w:val="20"/>
                <w:szCs w:val="20"/>
                <w:lang w:val="pt-BR"/>
              </w:rPr>
              <w:t>φρήν</w:t>
            </w:r>
            <w:proofErr w:type="spellEnd"/>
            <w:r>
              <w:rPr>
                <w:rFonts w:eastAsia="Segoe UI"/>
                <w:sz w:val="20"/>
                <w:szCs w:val="20"/>
                <w:lang w:val="pt-BR"/>
              </w:rPr>
              <w:t xml:space="preserve">, "mente, ânimo") + </w:t>
            </w:r>
            <w:r>
              <w:rPr>
                <w:rFonts w:eastAsia="Segoe UI"/>
                <w:i/>
                <w:iCs/>
                <w:sz w:val="20"/>
                <w:szCs w:val="20"/>
                <w:lang w:val="pt-BR"/>
              </w:rPr>
              <w:t>-</w:t>
            </w:r>
            <w:proofErr w:type="spellStart"/>
            <w:r>
              <w:rPr>
                <w:rFonts w:eastAsia="Segoe UI"/>
                <w:i/>
                <w:iCs/>
                <w:sz w:val="20"/>
                <w:szCs w:val="20"/>
                <w:lang w:val="pt-BR"/>
              </w:rPr>
              <w:t>sis</w:t>
            </w:r>
            <w:proofErr w:type="spellEnd"/>
            <w:r>
              <w:rPr>
                <w:rFonts w:eastAsia="Segoe UI"/>
                <w:sz w:val="20"/>
                <w:szCs w:val="20"/>
                <w:lang w:val="pt-BR"/>
              </w:rPr>
              <w:t xml:space="preserve"> (-</w:t>
            </w:r>
            <w:proofErr w:type="spellStart"/>
            <w:r>
              <w:rPr>
                <w:rFonts w:eastAsia="Segoe UI"/>
                <w:sz w:val="20"/>
                <w:szCs w:val="20"/>
                <w:lang w:val="pt-BR"/>
              </w:rPr>
              <w:t>σις</w:t>
            </w:r>
            <w:proofErr w:type="spellEnd"/>
            <w:r>
              <w:rPr>
                <w:rFonts w:eastAsia="Segoe UI"/>
                <w:sz w:val="20"/>
                <w:szCs w:val="20"/>
                <w:lang w:val="pt-BR"/>
              </w:rPr>
              <w:t>, "processo/estado"). Literalmente, "o processo de uma mente agitada".</w:t>
            </w:r>
          </w:p>
        </w:tc>
        <w:tc>
          <w:tcPr>
            <w:tcW w:w="3488" w:type="dxa"/>
          </w:tcPr>
          <w:p w14:paraId="1B2F8E43"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Estado de hiperexcitação psicológica (não inflamatória), com ativação de circuitos límbicos e corticais. Caracterizado por agitação, fluxo de pensamento acelerado e desinibição, associado a hiperatividade dopaminérgica e falha no controle inibitório do córtex pré-frontal.</w:t>
            </w:r>
          </w:p>
        </w:tc>
        <w:tc>
          <w:tcPr>
            <w:tcW w:w="2324" w:type="dxa"/>
          </w:tcPr>
          <w:p w14:paraId="0A7150F9"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O Fogo que Cria e Consome. A combustão dionisíaca da mente; força primordial de excitação mental que habita o limiar entre a genialidade inspirada e a autodestruição.</w:t>
            </w:r>
          </w:p>
        </w:tc>
      </w:tr>
      <w:tr w:rsidR="0003312E" w14:paraId="740E356F" w14:textId="77777777" w:rsidTr="000D7094">
        <w:tc>
          <w:tcPr>
            <w:tcW w:w="0" w:type="auto"/>
          </w:tcPr>
          <w:p w14:paraId="732BF120"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Melancolia</w:t>
            </w:r>
          </w:p>
        </w:tc>
        <w:tc>
          <w:tcPr>
            <w:tcW w:w="2147" w:type="dxa"/>
          </w:tcPr>
          <w:p w14:paraId="77CE3EF9"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melankholía</w:t>
            </w:r>
            <w:proofErr w:type="spellEnd"/>
            <w:r>
              <w:rPr>
                <w:rFonts w:eastAsia="Segoe UI"/>
                <w:sz w:val="20"/>
                <w:szCs w:val="20"/>
                <w:lang w:val="pt-BR"/>
              </w:rPr>
              <w:t xml:space="preserve"> (</w:t>
            </w:r>
            <w:proofErr w:type="spellStart"/>
            <w:r>
              <w:rPr>
                <w:rFonts w:eastAsia="Segoe UI"/>
                <w:sz w:val="20"/>
                <w:szCs w:val="20"/>
                <w:lang w:val="pt-BR"/>
              </w:rPr>
              <w:t>μελ</w:t>
            </w:r>
            <w:proofErr w:type="spellEnd"/>
            <w:r>
              <w:rPr>
                <w:rFonts w:eastAsia="Segoe UI"/>
                <w:sz w:val="20"/>
                <w:szCs w:val="20"/>
                <w:lang w:val="pt-BR"/>
              </w:rPr>
              <w:t xml:space="preserve">αγχολία): de </w:t>
            </w:r>
            <w:proofErr w:type="spellStart"/>
            <w:r>
              <w:rPr>
                <w:rFonts w:eastAsia="Segoe UI"/>
                <w:i/>
                <w:iCs/>
                <w:sz w:val="20"/>
                <w:szCs w:val="20"/>
                <w:lang w:val="pt-BR"/>
              </w:rPr>
              <w:t>mélas</w:t>
            </w:r>
            <w:proofErr w:type="spellEnd"/>
            <w:r>
              <w:rPr>
                <w:rFonts w:eastAsia="Segoe UI"/>
                <w:sz w:val="20"/>
                <w:szCs w:val="20"/>
                <w:lang w:val="pt-BR"/>
              </w:rPr>
              <w:t xml:space="preserve"> (</w:t>
            </w:r>
            <w:proofErr w:type="spellStart"/>
            <w:r>
              <w:rPr>
                <w:rFonts w:eastAsia="Segoe UI"/>
                <w:sz w:val="20"/>
                <w:szCs w:val="20"/>
                <w:lang w:val="pt-BR"/>
              </w:rPr>
              <w:t>μέλ</w:t>
            </w:r>
            <w:proofErr w:type="spellEnd"/>
            <w:r>
              <w:rPr>
                <w:rFonts w:eastAsia="Segoe UI"/>
                <w:sz w:val="20"/>
                <w:szCs w:val="20"/>
                <w:lang w:val="pt-BR"/>
              </w:rPr>
              <w:t xml:space="preserve">ας, "negro") + </w:t>
            </w:r>
            <w:proofErr w:type="spellStart"/>
            <w:r>
              <w:rPr>
                <w:rFonts w:eastAsia="Segoe UI"/>
                <w:i/>
                <w:iCs/>
                <w:sz w:val="20"/>
                <w:szCs w:val="20"/>
                <w:lang w:val="pt-BR"/>
              </w:rPr>
              <w:t>kholḗ</w:t>
            </w:r>
            <w:proofErr w:type="spellEnd"/>
            <w:r>
              <w:rPr>
                <w:rFonts w:eastAsia="Segoe UI"/>
                <w:sz w:val="20"/>
                <w:szCs w:val="20"/>
                <w:lang w:val="pt-BR"/>
              </w:rPr>
              <w:t xml:space="preserve"> (</w:t>
            </w:r>
            <w:proofErr w:type="spellStart"/>
            <w:r>
              <w:rPr>
                <w:rFonts w:eastAsia="Segoe UI"/>
                <w:sz w:val="20"/>
                <w:szCs w:val="20"/>
                <w:lang w:val="pt-BR"/>
              </w:rPr>
              <w:t>χολή</w:t>
            </w:r>
            <w:proofErr w:type="spellEnd"/>
            <w:r>
              <w:rPr>
                <w:rFonts w:eastAsia="Segoe UI"/>
                <w:sz w:val="20"/>
                <w:szCs w:val="20"/>
                <w:lang w:val="pt-BR"/>
              </w:rPr>
              <w:t>, "bile").</w:t>
            </w:r>
          </w:p>
        </w:tc>
        <w:tc>
          <w:tcPr>
            <w:tcW w:w="3488" w:type="dxa"/>
          </w:tcPr>
          <w:p w14:paraId="3E52DB75"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Humor depressivo profundo (anedonia, ruminação, lentidão). Neuroimagens mostram hipoatividade em circuitos de recompensa (dopamina) e hiperatividade em áreas associadas à autocrítica e ao medo.</w:t>
            </w:r>
          </w:p>
        </w:tc>
        <w:tc>
          <w:tcPr>
            <w:tcW w:w="2324" w:type="dxa"/>
          </w:tcPr>
          <w:p w14:paraId="0BB9DADE"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A Cidade Subterrânea. Um reino de introspecção e sofrimento que, nas profundezas, pode gerar sabedoria e insight criativo.</w:t>
            </w:r>
          </w:p>
        </w:tc>
      </w:tr>
      <w:tr w:rsidR="0003312E" w14:paraId="2EC63BB5" w14:textId="77777777" w:rsidTr="000D7094">
        <w:tc>
          <w:tcPr>
            <w:tcW w:w="0" w:type="auto"/>
          </w:tcPr>
          <w:p w14:paraId="6024EBC4"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Êxtase</w:t>
            </w:r>
          </w:p>
        </w:tc>
        <w:tc>
          <w:tcPr>
            <w:tcW w:w="2147" w:type="dxa"/>
          </w:tcPr>
          <w:p w14:paraId="0375B591"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ékstasis</w:t>
            </w:r>
            <w:proofErr w:type="spellEnd"/>
            <w:r>
              <w:rPr>
                <w:rFonts w:eastAsia="Segoe UI"/>
                <w:sz w:val="20"/>
                <w:szCs w:val="20"/>
                <w:lang w:val="pt-BR"/>
              </w:rPr>
              <w:t xml:space="preserve"> (</w:t>
            </w:r>
            <w:proofErr w:type="spellStart"/>
            <w:r>
              <w:rPr>
                <w:rFonts w:eastAsia="Segoe UI"/>
                <w:sz w:val="20"/>
                <w:szCs w:val="20"/>
                <w:lang w:val="pt-BR"/>
              </w:rPr>
              <w:t>ἔκστ</w:t>
            </w:r>
            <w:proofErr w:type="spellEnd"/>
            <w:r>
              <w:rPr>
                <w:rFonts w:eastAsia="Segoe UI"/>
                <w:sz w:val="20"/>
                <w:szCs w:val="20"/>
                <w:lang w:val="pt-BR"/>
              </w:rPr>
              <w:t xml:space="preserve">ασις): de </w:t>
            </w:r>
            <w:proofErr w:type="spellStart"/>
            <w:r>
              <w:rPr>
                <w:rFonts w:eastAsia="Segoe UI"/>
                <w:i/>
                <w:iCs/>
                <w:sz w:val="20"/>
                <w:szCs w:val="20"/>
                <w:lang w:val="pt-BR"/>
              </w:rPr>
              <w:t>ek</w:t>
            </w:r>
            <w:proofErr w:type="spellEnd"/>
            <w:r>
              <w:rPr>
                <w:rFonts w:eastAsia="Segoe UI"/>
                <w:sz w:val="20"/>
                <w:szCs w:val="20"/>
                <w:lang w:val="pt-BR"/>
              </w:rPr>
              <w:t xml:space="preserve"> (</w:t>
            </w:r>
            <w:proofErr w:type="spellStart"/>
            <w:r>
              <w:rPr>
                <w:rFonts w:eastAsia="Segoe UI"/>
                <w:sz w:val="20"/>
                <w:szCs w:val="20"/>
                <w:lang w:val="pt-BR"/>
              </w:rPr>
              <w:t>ἐκ</w:t>
            </w:r>
            <w:proofErr w:type="spellEnd"/>
            <w:r>
              <w:rPr>
                <w:rFonts w:eastAsia="Segoe UI"/>
                <w:sz w:val="20"/>
                <w:szCs w:val="20"/>
                <w:lang w:val="pt-BR"/>
              </w:rPr>
              <w:t xml:space="preserve">, "fora") + </w:t>
            </w:r>
            <w:proofErr w:type="spellStart"/>
            <w:r>
              <w:rPr>
                <w:rFonts w:eastAsia="Segoe UI"/>
                <w:i/>
                <w:iCs/>
                <w:sz w:val="20"/>
                <w:szCs w:val="20"/>
                <w:lang w:val="pt-BR"/>
              </w:rPr>
              <w:t>stásis</w:t>
            </w:r>
            <w:proofErr w:type="spellEnd"/>
            <w:r>
              <w:rPr>
                <w:rFonts w:eastAsia="Segoe UI"/>
                <w:sz w:val="20"/>
                <w:szCs w:val="20"/>
                <w:lang w:val="pt-BR"/>
              </w:rPr>
              <w:t xml:space="preserve"> (</w:t>
            </w:r>
            <w:proofErr w:type="spellStart"/>
            <w:r>
              <w:rPr>
                <w:rFonts w:eastAsia="Segoe UI"/>
                <w:sz w:val="20"/>
                <w:szCs w:val="20"/>
                <w:lang w:val="pt-BR"/>
              </w:rPr>
              <w:t>στάσις</w:t>
            </w:r>
            <w:proofErr w:type="spellEnd"/>
            <w:r>
              <w:rPr>
                <w:rFonts w:eastAsia="Segoe UI"/>
                <w:sz w:val="20"/>
                <w:szCs w:val="20"/>
                <w:lang w:val="pt-BR"/>
              </w:rPr>
              <w:t>, "posição, estabilidade").</w:t>
            </w:r>
          </w:p>
        </w:tc>
        <w:tc>
          <w:tcPr>
            <w:tcW w:w="3488" w:type="dxa"/>
          </w:tcPr>
          <w:p w14:paraId="55C33CB6"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Estado alterado de consciência caracterizado pela dissolução dos limites do </w:t>
            </w:r>
            <w:r>
              <w:rPr>
                <w:rFonts w:eastAsia="Segoe UI"/>
                <w:i/>
                <w:iCs/>
                <w:sz w:val="20"/>
                <w:szCs w:val="20"/>
                <w:lang w:val="pt-BR"/>
              </w:rPr>
              <w:t>self</w:t>
            </w:r>
            <w:r>
              <w:rPr>
                <w:rFonts w:eastAsia="Segoe UI"/>
                <w:sz w:val="20"/>
                <w:szCs w:val="20"/>
                <w:lang w:val="pt-BR"/>
              </w:rPr>
              <w:t>. Neuroimagens mostram desativação do lobo parietal (orientação espacial) e hiperatividade em circuitos límbicos (emoção intensa).</w:t>
            </w:r>
          </w:p>
        </w:tc>
        <w:tc>
          <w:tcPr>
            <w:tcW w:w="2324" w:type="dxa"/>
          </w:tcPr>
          <w:p w14:paraId="3DFD056F"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Além do Eu. A transcendência da dualidade; uma união paradoxal de agonia e bem-aventurança, onde o </w:t>
            </w:r>
            <w:r>
              <w:rPr>
                <w:rFonts w:eastAsia="Segoe UI"/>
                <w:i/>
                <w:iCs/>
                <w:sz w:val="20"/>
                <w:szCs w:val="20"/>
                <w:lang w:val="pt-BR"/>
              </w:rPr>
              <w:t>self</w:t>
            </w:r>
            <w:r>
              <w:rPr>
                <w:rFonts w:eastAsia="Segoe UI"/>
                <w:sz w:val="20"/>
                <w:szCs w:val="20"/>
                <w:lang w:val="pt-BR"/>
              </w:rPr>
              <w:t xml:space="preserve"> se funde com o todo.</w:t>
            </w:r>
          </w:p>
        </w:tc>
      </w:tr>
      <w:tr w:rsidR="0003312E" w14:paraId="03183790" w14:textId="77777777" w:rsidTr="000D7094">
        <w:tc>
          <w:tcPr>
            <w:tcW w:w="0" w:type="auto"/>
          </w:tcPr>
          <w:p w14:paraId="05ED5411"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Delírio</w:t>
            </w:r>
          </w:p>
        </w:tc>
        <w:tc>
          <w:tcPr>
            <w:tcW w:w="2147" w:type="dxa"/>
          </w:tcPr>
          <w:p w14:paraId="7CBEC453"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Latim </w:t>
            </w:r>
            <w:proofErr w:type="spellStart"/>
            <w:r>
              <w:rPr>
                <w:rFonts w:eastAsia="Segoe UI"/>
                <w:i/>
                <w:iCs/>
                <w:sz w:val="20"/>
                <w:szCs w:val="20"/>
                <w:lang w:val="pt-BR"/>
              </w:rPr>
              <w:t>dēlīrāre</w:t>
            </w:r>
            <w:proofErr w:type="spellEnd"/>
            <w:r>
              <w:rPr>
                <w:rFonts w:eastAsia="Segoe UI"/>
                <w:sz w:val="20"/>
                <w:szCs w:val="20"/>
                <w:lang w:val="pt-BR"/>
              </w:rPr>
              <w:t xml:space="preserve">: de </w:t>
            </w:r>
            <w:proofErr w:type="spellStart"/>
            <w:r>
              <w:rPr>
                <w:rFonts w:eastAsia="Segoe UI"/>
                <w:i/>
                <w:iCs/>
                <w:sz w:val="20"/>
                <w:szCs w:val="20"/>
                <w:lang w:val="pt-BR"/>
              </w:rPr>
              <w:t>dē</w:t>
            </w:r>
            <w:proofErr w:type="spellEnd"/>
            <w:r>
              <w:rPr>
                <w:rFonts w:eastAsia="Segoe UI"/>
                <w:i/>
                <w:iCs/>
                <w:sz w:val="20"/>
                <w:szCs w:val="20"/>
                <w:lang w:val="pt-BR"/>
              </w:rPr>
              <w:t>-</w:t>
            </w:r>
            <w:r>
              <w:rPr>
                <w:rFonts w:eastAsia="Segoe UI"/>
                <w:sz w:val="20"/>
                <w:szCs w:val="20"/>
                <w:lang w:val="pt-BR"/>
              </w:rPr>
              <w:t xml:space="preserve"> ("fora") + </w:t>
            </w:r>
            <w:proofErr w:type="spellStart"/>
            <w:r>
              <w:rPr>
                <w:rFonts w:eastAsia="Segoe UI"/>
                <w:i/>
                <w:iCs/>
                <w:sz w:val="20"/>
                <w:szCs w:val="20"/>
                <w:lang w:val="pt-BR"/>
              </w:rPr>
              <w:t>līra</w:t>
            </w:r>
            <w:proofErr w:type="spellEnd"/>
            <w:r>
              <w:rPr>
                <w:rFonts w:eastAsia="Segoe UI"/>
                <w:sz w:val="20"/>
                <w:szCs w:val="20"/>
                <w:lang w:val="pt-BR"/>
              </w:rPr>
              <w:t xml:space="preserve"> ("sulco do arado").</w:t>
            </w:r>
          </w:p>
        </w:tc>
        <w:tc>
          <w:tcPr>
            <w:tcW w:w="3488" w:type="dxa"/>
          </w:tcPr>
          <w:p w14:paraId="3D7E8E2D"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Desorganização aguda da atenção e da consciência, acompanhada de confusão e flutuação. Reflete disfunção do córtex pré-frontal e hiperatividade dopaminérgica.</w:t>
            </w:r>
          </w:p>
        </w:tc>
        <w:tc>
          <w:tcPr>
            <w:tcW w:w="2324" w:type="dxa"/>
          </w:tcPr>
          <w:p w14:paraId="3B212F16"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O Labirinto Invertido. A mente que "sai do sulco" da razão, perdendo-se em uma realidade caótica, muitas vezes aterrorizante.</w:t>
            </w:r>
          </w:p>
        </w:tc>
      </w:tr>
      <w:tr w:rsidR="0003312E" w14:paraId="29F1894C" w14:textId="77777777" w:rsidTr="000D7094">
        <w:tc>
          <w:tcPr>
            <w:tcW w:w="0" w:type="auto"/>
          </w:tcPr>
          <w:p w14:paraId="53183740"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Histeria</w:t>
            </w:r>
          </w:p>
        </w:tc>
        <w:tc>
          <w:tcPr>
            <w:tcW w:w="2147" w:type="dxa"/>
          </w:tcPr>
          <w:p w14:paraId="630C64F9"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sz w:val="20"/>
                <w:szCs w:val="20"/>
                <w:lang w:val="pt-BR"/>
              </w:rPr>
              <w:t>hystería</w:t>
            </w:r>
            <w:proofErr w:type="spellEnd"/>
            <w:r>
              <w:rPr>
                <w:rFonts w:eastAsia="Segoe UI"/>
                <w:sz w:val="20"/>
                <w:szCs w:val="20"/>
                <w:lang w:val="pt-BR"/>
              </w:rPr>
              <w:t xml:space="preserve"> (</w:t>
            </w:r>
            <w:proofErr w:type="spellStart"/>
            <w:r>
              <w:rPr>
                <w:rFonts w:eastAsia="Segoe UI"/>
                <w:sz w:val="20"/>
                <w:szCs w:val="20"/>
                <w:lang w:val="pt-BR"/>
              </w:rPr>
              <w:t>ὑστερί</w:t>
            </w:r>
            <w:proofErr w:type="spellEnd"/>
            <w:r>
              <w:rPr>
                <w:rFonts w:eastAsia="Segoe UI"/>
                <w:sz w:val="20"/>
                <w:szCs w:val="20"/>
                <w:lang w:val="pt-BR"/>
              </w:rPr>
              <w:t xml:space="preserve">α): de </w:t>
            </w:r>
            <w:proofErr w:type="spellStart"/>
            <w:r>
              <w:rPr>
                <w:rFonts w:eastAsia="Segoe UI"/>
                <w:i/>
                <w:iCs/>
                <w:sz w:val="20"/>
                <w:szCs w:val="20"/>
                <w:lang w:val="pt-BR"/>
              </w:rPr>
              <w:t>hystéra</w:t>
            </w:r>
            <w:proofErr w:type="spellEnd"/>
            <w:r>
              <w:rPr>
                <w:rFonts w:eastAsia="Segoe UI"/>
                <w:sz w:val="20"/>
                <w:szCs w:val="20"/>
                <w:lang w:val="pt-BR"/>
              </w:rPr>
              <w:t xml:space="preserve"> (“útero”) + o sufixo </w:t>
            </w:r>
            <w:r>
              <w:rPr>
                <w:rFonts w:eastAsia="Segoe UI"/>
                <w:i/>
                <w:iCs/>
                <w:sz w:val="20"/>
                <w:szCs w:val="20"/>
                <w:lang w:val="pt-BR"/>
              </w:rPr>
              <w:t>-</w:t>
            </w:r>
            <w:proofErr w:type="spellStart"/>
            <w:r>
              <w:rPr>
                <w:rFonts w:eastAsia="Segoe UI"/>
                <w:i/>
                <w:iCs/>
                <w:sz w:val="20"/>
                <w:szCs w:val="20"/>
                <w:lang w:val="pt-BR"/>
              </w:rPr>
              <w:t>ía</w:t>
            </w:r>
            <w:proofErr w:type="spellEnd"/>
            <w:r>
              <w:rPr>
                <w:rFonts w:eastAsia="Segoe UI"/>
                <w:sz w:val="20"/>
                <w:szCs w:val="20"/>
                <w:lang w:val="pt-BR"/>
              </w:rPr>
              <w:t xml:space="preserve"> (“estado/condição”). Literalmente, “condição uterina”.</w:t>
            </w:r>
          </w:p>
        </w:tc>
        <w:tc>
          <w:tcPr>
            <w:tcW w:w="3488" w:type="dxa"/>
          </w:tcPr>
          <w:p w14:paraId="6D8A8350"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Transtorno de Sintomas Neurológicos Funcionais (TSNF). Sintomas motores ou sensoriais sem correlação com lesão orgânica. Neuroimagens mostram dissociação entre intenção e ação.</w:t>
            </w:r>
          </w:p>
        </w:tc>
        <w:tc>
          <w:tcPr>
            <w:tcW w:w="2324" w:type="dxa"/>
          </w:tcPr>
          <w:p w14:paraId="75DC929D"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O Corpo que Fala. A encenação corporal do inconsciente; onde conflitos psíquicos mudos encontram uma voz física e simbólica.</w:t>
            </w:r>
          </w:p>
        </w:tc>
      </w:tr>
      <w:tr w:rsidR="0003312E" w14:paraId="59676543" w14:textId="77777777" w:rsidTr="000D7094">
        <w:tc>
          <w:tcPr>
            <w:tcW w:w="0" w:type="auto"/>
          </w:tcPr>
          <w:p w14:paraId="322CF09E"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Neurastenia</w:t>
            </w:r>
          </w:p>
        </w:tc>
        <w:tc>
          <w:tcPr>
            <w:tcW w:w="2147" w:type="dxa"/>
          </w:tcPr>
          <w:p w14:paraId="0117A63C"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neûron</w:t>
            </w:r>
            <w:proofErr w:type="spellEnd"/>
            <w:r>
              <w:rPr>
                <w:rFonts w:eastAsia="Segoe UI"/>
                <w:sz w:val="20"/>
                <w:szCs w:val="20"/>
                <w:lang w:val="pt-BR"/>
              </w:rPr>
              <w:t xml:space="preserve"> (</w:t>
            </w:r>
            <w:proofErr w:type="spellStart"/>
            <w:r>
              <w:rPr>
                <w:rFonts w:eastAsia="Segoe UI"/>
                <w:sz w:val="20"/>
                <w:szCs w:val="20"/>
                <w:lang w:val="pt-BR"/>
              </w:rPr>
              <w:t>νεῦρον</w:t>
            </w:r>
            <w:proofErr w:type="spellEnd"/>
            <w:r>
              <w:rPr>
                <w:rFonts w:eastAsia="Segoe UI"/>
                <w:sz w:val="20"/>
                <w:szCs w:val="20"/>
                <w:lang w:val="pt-BR"/>
              </w:rPr>
              <w:t xml:space="preserve">): “nervo” + </w:t>
            </w:r>
            <w:proofErr w:type="spellStart"/>
            <w:r>
              <w:rPr>
                <w:rFonts w:eastAsia="Segoe UI"/>
                <w:i/>
                <w:iCs/>
                <w:sz w:val="20"/>
                <w:szCs w:val="20"/>
                <w:lang w:val="pt-BR"/>
              </w:rPr>
              <w:t>asthéneia</w:t>
            </w:r>
            <w:proofErr w:type="spellEnd"/>
            <w:r>
              <w:rPr>
                <w:rFonts w:eastAsia="Segoe UI"/>
                <w:sz w:val="20"/>
                <w:szCs w:val="20"/>
                <w:lang w:val="pt-BR"/>
              </w:rPr>
              <w:t xml:space="preserve"> (</w:t>
            </w:r>
            <w:proofErr w:type="spellStart"/>
            <w:r>
              <w:rPr>
                <w:rFonts w:eastAsia="Segoe UI"/>
                <w:sz w:val="20"/>
                <w:szCs w:val="20"/>
                <w:lang w:val="pt-BR"/>
              </w:rPr>
              <w:t>ἀσθένει</w:t>
            </w:r>
            <w:proofErr w:type="spellEnd"/>
            <w:r>
              <w:rPr>
                <w:rFonts w:eastAsia="Segoe UI"/>
                <w:sz w:val="20"/>
                <w:szCs w:val="20"/>
                <w:lang w:val="pt-BR"/>
              </w:rPr>
              <w:t>α): “fraqueza, debilidade”.</w:t>
            </w:r>
          </w:p>
        </w:tc>
        <w:tc>
          <w:tcPr>
            <w:tcW w:w="3488" w:type="dxa"/>
          </w:tcPr>
          <w:p w14:paraId="0350EE31"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Síndrome de esgotamento nervoso (fadiga crônica, ansiedade, insônia). Correlato neurofisiológico envolve disfunção do </w:t>
            </w:r>
            <w:proofErr w:type="gramStart"/>
            <w:r>
              <w:rPr>
                <w:rFonts w:eastAsia="Segoe UI"/>
                <w:sz w:val="20"/>
                <w:szCs w:val="20"/>
                <w:lang w:val="pt-BR"/>
              </w:rPr>
              <w:t>eixo</w:t>
            </w:r>
            <w:proofErr w:type="gramEnd"/>
            <w:r>
              <w:rPr>
                <w:rFonts w:eastAsia="Segoe UI"/>
                <w:sz w:val="20"/>
                <w:szCs w:val="20"/>
                <w:lang w:val="pt-BR"/>
              </w:rPr>
              <w:t xml:space="preserve"> </w:t>
            </w:r>
            <w:proofErr w:type="spellStart"/>
            <w:r>
              <w:rPr>
                <w:rFonts w:eastAsia="Segoe UI"/>
                <w:sz w:val="20"/>
                <w:szCs w:val="20"/>
                <w:lang w:val="pt-BR"/>
              </w:rPr>
              <w:t>eixo</w:t>
            </w:r>
            <w:proofErr w:type="spellEnd"/>
            <w:r>
              <w:rPr>
                <w:rFonts w:eastAsia="Segoe UI"/>
                <w:sz w:val="20"/>
                <w:szCs w:val="20"/>
                <w:lang w:val="pt-BR"/>
              </w:rPr>
              <w:t xml:space="preserve"> HPA (hipotálamo-hipófise-</w:t>
            </w:r>
            <w:proofErr w:type="gramStart"/>
            <w:r>
              <w:rPr>
                <w:rFonts w:eastAsia="Segoe UI"/>
                <w:sz w:val="20"/>
                <w:szCs w:val="20"/>
                <w:lang w:val="pt-BR"/>
              </w:rPr>
              <w:t>adrenal)  (</w:t>
            </w:r>
            <w:proofErr w:type="gramEnd"/>
            <w:r>
              <w:rPr>
                <w:rFonts w:eastAsia="Segoe UI"/>
                <w:sz w:val="20"/>
                <w:szCs w:val="20"/>
                <w:lang w:val="pt-BR"/>
              </w:rPr>
              <w:t>cortisol crônico) e desregulação do sistema nervoso autônomo.</w:t>
            </w:r>
          </w:p>
        </w:tc>
        <w:tc>
          <w:tcPr>
            <w:tcW w:w="2324" w:type="dxa"/>
          </w:tcPr>
          <w:p w14:paraId="52CE8F97"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A Era do Excesso. O preço biológico do progresso; o colapso da energia nervosa diante das demandas da civilização moderna.</w:t>
            </w:r>
          </w:p>
        </w:tc>
      </w:tr>
      <w:tr w:rsidR="0003312E" w14:paraId="1724F93A" w14:textId="77777777" w:rsidTr="000D7094">
        <w:tc>
          <w:tcPr>
            <w:tcW w:w="0" w:type="auto"/>
          </w:tcPr>
          <w:p w14:paraId="6EA49EEB"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Ansiedade</w:t>
            </w:r>
          </w:p>
        </w:tc>
        <w:tc>
          <w:tcPr>
            <w:tcW w:w="2147" w:type="dxa"/>
          </w:tcPr>
          <w:p w14:paraId="3C718692"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Latim </w:t>
            </w:r>
            <w:proofErr w:type="spellStart"/>
            <w:r>
              <w:rPr>
                <w:rFonts w:eastAsia="Segoe UI"/>
                <w:i/>
                <w:iCs/>
                <w:sz w:val="20"/>
                <w:szCs w:val="20"/>
                <w:lang w:val="pt-BR"/>
              </w:rPr>
              <w:t>anxietas</w:t>
            </w:r>
            <w:proofErr w:type="spellEnd"/>
            <w:r>
              <w:rPr>
                <w:rFonts w:eastAsia="Segoe UI"/>
                <w:sz w:val="20"/>
                <w:szCs w:val="20"/>
                <w:lang w:val="pt-BR"/>
              </w:rPr>
              <w:t xml:space="preserve">, de </w:t>
            </w:r>
            <w:proofErr w:type="spellStart"/>
            <w:r>
              <w:rPr>
                <w:rFonts w:eastAsia="Segoe UI"/>
                <w:i/>
                <w:iCs/>
                <w:sz w:val="20"/>
                <w:szCs w:val="20"/>
                <w:lang w:val="pt-BR"/>
              </w:rPr>
              <w:t>angere</w:t>
            </w:r>
            <w:proofErr w:type="spellEnd"/>
            <w:r>
              <w:rPr>
                <w:rFonts w:eastAsia="Segoe UI"/>
                <w:sz w:val="20"/>
                <w:szCs w:val="20"/>
                <w:lang w:val="pt-BR"/>
              </w:rPr>
              <w:t xml:space="preserve"> ("apertar, sufocar"); Grego </w:t>
            </w:r>
            <w:proofErr w:type="spellStart"/>
            <w:r>
              <w:rPr>
                <w:rFonts w:eastAsia="Segoe UI"/>
                <w:i/>
                <w:iCs/>
                <w:sz w:val="20"/>
                <w:szCs w:val="20"/>
                <w:lang w:val="pt-BR"/>
              </w:rPr>
              <w:t>ánkhō</w:t>
            </w:r>
            <w:proofErr w:type="spellEnd"/>
            <w:r>
              <w:rPr>
                <w:rFonts w:eastAsia="Segoe UI"/>
                <w:sz w:val="20"/>
                <w:szCs w:val="20"/>
                <w:lang w:val="pt-BR"/>
              </w:rPr>
              <w:t xml:space="preserve"> (</w:t>
            </w:r>
            <w:proofErr w:type="spellStart"/>
            <w:r>
              <w:rPr>
                <w:rFonts w:eastAsia="Segoe UI"/>
                <w:sz w:val="20"/>
                <w:szCs w:val="20"/>
                <w:lang w:val="pt-BR"/>
              </w:rPr>
              <w:t>ἄγχω</w:t>
            </w:r>
            <w:proofErr w:type="spellEnd"/>
            <w:r>
              <w:rPr>
                <w:rFonts w:eastAsia="Segoe UI"/>
                <w:sz w:val="20"/>
                <w:szCs w:val="20"/>
                <w:lang w:val="pt-BR"/>
              </w:rPr>
              <w:t>, "estrangular").</w:t>
            </w:r>
          </w:p>
        </w:tc>
        <w:tc>
          <w:tcPr>
            <w:tcW w:w="3488" w:type="dxa"/>
          </w:tcPr>
          <w:p w14:paraId="6A4469C6"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Estado de hipervigilância e antecipação de ameaça. Caracterizado por hiperatividade da amígdala, </w:t>
            </w:r>
            <w:proofErr w:type="spellStart"/>
            <w:r>
              <w:rPr>
                <w:rFonts w:eastAsia="Segoe UI"/>
                <w:sz w:val="20"/>
                <w:szCs w:val="20"/>
                <w:lang w:val="pt-BR"/>
              </w:rPr>
              <w:t>hipofunção</w:t>
            </w:r>
            <w:proofErr w:type="spellEnd"/>
            <w:r>
              <w:rPr>
                <w:rFonts w:eastAsia="Segoe UI"/>
                <w:sz w:val="20"/>
                <w:szCs w:val="20"/>
                <w:lang w:val="pt-BR"/>
              </w:rPr>
              <w:t xml:space="preserve"> do córtex pré-frontal (regulação) e ativação do eixo HPA.</w:t>
            </w:r>
          </w:p>
        </w:tc>
        <w:tc>
          <w:tcPr>
            <w:tcW w:w="2324" w:type="dxa"/>
          </w:tcPr>
          <w:p w14:paraId="5D9ACFDB"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O Aperto. A vertigem da liberdade; a consciência angustiante do nada e das possibilidades infinitas que definem a existência.</w:t>
            </w:r>
          </w:p>
        </w:tc>
      </w:tr>
      <w:tr w:rsidR="0003312E" w14:paraId="2DDE1E28" w14:textId="77777777" w:rsidTr="000D7094">
        <w:tc>
          <w:tcPr>
            <w:tcW w:w="0" w:type="auto"/>
          </w:tcPr>
          <w:p w14:paraId="0079D26F"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b/>
                <w:bCs/>
                <w:sz w:val="20"/>
                <w:szCs w:val="20"/>
                <w:lang w:val="pt-BR"/>
              </w:rPr>
              <w:t>Eutimia</w:t>
            </w:r>
          </w:p>
        </w:tc>
        <w:tc>
          <w:tcPr>
            <w:tcW w:w="2147" w:type="dxa"/>
          </w:tcPr>
          <w:p w14:paraId="5C8A8DD1"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Grego </w:t>
            </w:r>
            <w:proofErr w:type="spellStart"/>
            <w:r>
              <w:rPr>
                <w:rFonts w:eastAsia="Segoe UI"/>
                <w:i/>
                <w:iCs/>
                <w:sz w:val="20"/>
                <w:szCs w:val="20"/>
                <w:lang w:val="pt-BR"/>
              </w:rPr>
              <w:t>euthymía</w:t>
            </w:r>
            <w:proofErr w:type="spellEnd"/>
            <w:r>
              <w:rPr>
                <w:rFonts w:eastAsia="Segoe UI"/>
                <w:sz w:val="20"/>
                <w:szCs w:val="20"/>
                <w:lang w:val="pt-BR"/>
              </w:rPr>
              <w:t xml:space="preserve"> (</w:t>
            </w:r>
            <w:proofErr w:type="spellStart"/>
            <w:r>
              <w:rPr>
                <w:rFonts w:eastAsia="Segoe UI"/>
                <w:sz w:val="20"/>
                <w:szCs w:val="20"/>
                <w:lang w:val="pt-BR"/>
              </w:rPr>
              <w:t>εὐθυμί</w:t>
            </w:r>
            <w:proofErr w:type="spellEnd"/>
            <w:r>
              <w:rPr>
                <w:rFonts w:eastAsia="Segoe UI"/>
                <w:sz w:val="20"/>
                <w:szCs w:val="20"/>
                <w:lang w:val="pt-BR"/>
              </w:rPr>
              <w:t xml:space="preserve">α): de </w:t>
            </w:r>
            <w:proofErr w:type="spellStart"/>
            <w:r>
              <w:rPr>
                <w:rFonts w:eastAsia="Segoe UI"/>
                <w:i/>
                <w:iCs/>
                <w:sz w:val="20"/>
                <w:szCs w:val="20"/>
                <w:lang w:val="pt-BR"/>
              </w:rPr>
              <w:t>eû</w:t>
            </w:r>
            <w:proofErr w:type="spellEnd"/>
            <w:r>
              <w:rPr>
                <w:rFonts w:eastAsia="Segoe UI"/>
                <w:sz w:val="20"/>
                <w:szCs w:val="20"/>
                <w:lang w:val="pt-BR"/>
              </w:rPr>
              <w:t xml:space="preserve"> ("bem"/"bom") e </w:t>
            </w:r>
            <w:proofErr w:type="spellStart"/>
            <w:r>
              <w:rPr>
                <w:rFonts w:eastAsia="Segoe UI"/>
                <w:i/>
                <w:iCs/>
                <w:sz w:val="20"/>
                <w:szCs w:val="20"/>
                <w:lang w:val="pt-BR"/>
              </w:rPr>
              <w:t>thymós</w:t>
            </w:r>
            <w:proofErr w:type="spellEnd"/>
            <w:r>
              <w:rPr>
                <w:rFonts w:eastAsia="Segoe UI"/>
                <w:sz w:val="20"/>
                <w:szCs w:val="20"/>
                <w:lang w:val="pt-BR"/>
              </w:rPr>
              <w:t xml:space="preserve"> ("alma", "ânimo" ou "vontade").</w:t>
            </w:r>
          </w:p>
        </w:tc>
        <w:tc>
          <w:tcPr>
            <w:tcW w:w="3488" w:type="dxa"/>
          </w:tcPr>
          <w:p w14:paraId="4A6F6C2F"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 xml:space="preserve">Estado de equilíbrio afetivo e psicológico caracterizado por remissão sintomática, afetos positivos, bem-estar subjetivo e resiliência. </w:t>
            </w:r>
            <w:proofErr w:type="spellStart"/>
            <w:r>
              <w:rPr>
                <w:rFonts w:eastAsia="Segoe UI"/>
                <w:sz w:val="20"/>
                <w:szCs w:val="20"/>
                <w:lang w:val="pt-BR"/>
              </w:rPr>
              <w:t>Neurobiologicamente</w:t>
            </w:r>
            <w:proofErr w:type="spellEnd"/>
            <w:r>
              <w:rPr>
                <w:rFonts w:eastAsia="Segoe UI"/>
                <w:sz w:val="20"/>
                <w:szCs w:val="20"/>
                <w:lang w:val="pt-BR"/>
              </w:rPr>
              <w:t>, envolve integração entre redes pré-frontais (autorregulação), límbicas (emoção) e homeostase neuroquímica.</w:t>
            </w:r>
          </w:p>
        </w:tc>
        <w:tc>
          <w:tcPr>
            <w:tcW w:w="2324" w:type="dxa"/>
          </w:tcPr>
          <w:p w14:paraId="2F962389" w14:textId="77777777" w:rsidR="0003312E" w:rsidRDefault="00000000">
            <w:pPr>
              <w:pStyle w:val="NormalWeb"/>
              <w:shd w:val="clear" w:color="auto" w:fill="FFFFFF"/>
              <w:tabs>
                <w:tab w:val="left" w:pos="425"/>
              </w:tabs>
              <w:spacing w:beforeAutospacing="0" w:after="0" w:afterAutospacing="0" w:line="180" w:lineRule="exact"/>
              <w:rPr>
                <w:rFonts w:eastAsia="Segoe UI"/>
                <w:sz w:val="20"/>
                <w:szCs w:val="20"/>
                <w:lang w:val="pt-BR"/>
              </w:rPr>
            </w:pPr>
            <w:r>
              <w:rPr>
                <w:rFonts w:eastAsia="Segoe UI"/>
                <w:sz w:val="20"/>
                <w:szCs w:val="20"/>
                <w:lang w:val="pt-BR"/>
              </w:rPr>
              <w:t>A Justa Medida. O timoneiro que conduz a alma por mares turbulentos sem se perder no excesso ou na carência; metáfora de uma vida vivida em serenidade ativa e dignidade interior.</w:t>
            </w:r>
          </w:p>
        </w:tc>
      </w:tr>
    </w:tbl>
    <w:p w14:paraId="3D37A0C6" w14:textId="77777777" w:rsidR="0003312E" w:rsidRDefault="0003312E">
      <w:pPr>
        <w:pStyle w:val="NormalWeb"/>
        <w:shd w:val="clear" w:color="auto" w:fill="FFFFFF"/>
        <w:tabs>
          <w:tab w:val="left" w:pos="425"/>
        </w:tabs>
        <w:spacing w:beforeAutospacing="0" w:after="0" w:afterAutospacing="0" w:line="360" w:lineRule="auto"/>
        <w:jc w:val="both"/>
        <w:rPr>
          <w:rFonts w:eastAsia="Segoe UI"/>
          <w:sz w:val="20"/>
          <w:szCs w:val="20"/>
          <w:lang w:val="pt-BR"/>
        </w:rPr>
      </w:pPr>
    </w:p>
    <w:p w14:paraId="1A1FA745" w14:textId="77777777" w:rsidR="0003312E" w:rsidRDefault="0003312E">
      <w:pPr>
        <w:spacing w:after="0" w:line="240" w:lineRule="auto"/>
        <w:rPr>
          <w:rFonts w:ascii="Times New Roman" w:eastAsiaTheme="majorEastAsia" w:hAnsi="Times New Roman" w:cs="Times New Roman"/>
        </w:rPr>
      </w:pPr>
    </w:p>
    <w:p w14:paraId="4B60C5A7" w14:textId="77777777" w:rsidR="0003312E" w:rsidRDefault="0003312E">
      <w:pPr>
        <w:spacing w:after="0" w:line="360" w:lineRule="auto"/>
        <w:ind w:firstLineChars="125" w:firstLine="301"/>
        <w:jc w:val="both"/>
        <w:rPr>
          <w:rFonts w:ascii="Times New Roman" w:hAnsi="Times New Roman" w:cs="Times New Roman"/>
          <w:b/>
          <w:bCs/>
          <w:sz w:val="24"/>
          <w:szCs w:val="24"/>
        </w:rPr>
      </w:pPr>
    </w:p>
    <w:p w14:paraId="5A8B6B5D" w14:textId="77777777" w:rsidR="0003312E" w:rsidRDefault="0003312E">
      <w:pPr>
        <w:spacing w:after="0" w:line="360" w:lineRule="auto"/>
        <w:ind w:firstLineChars="125" w:firstLine="301"/>
        <w:jc w:val="both"/>
        <w:rPr>
          <w:rFonts w:ascii="Times New Roman" w:hAnsi="Times New Roman" w:cs="Times New Roman"/>
          <w:b/>
          <w:bCs/>
          <w:sz w:val="24"/>
          <w:szCs w:val="24"/>
        </w:rPr>
        <w:sectPr w:rsidR="0003312E">
          <w:headerReference w:type="even" r:id="rId116"/>
          <w:headerReference w:type="default" r:id="rId117"/>
          <w:footerReference w:type="even" r:id="rId118"/>
          <w:footerReference w:type="default" r:id="rId119"/>
          <w:headerReference w:type="first" r:id="rId120"/>
          <w:footerReference w:type="first" r:id="rId121"/>
          <w:pgSz w:w="11906" w:h="16838"/>
          <w:pgMar w:top="1701" w:right="1134" w:bottom="1134" w:left="1701" w:header="709" w:footer="709" w:gutter="0"/>
          <w:pgNumType w:start="1"/>
          <w:cols w:space="708"/>
          <w:docGrid w:linePitch="360"/>
        </w:sectPr>
      </w:pPr>
    </w:p>
    <w:p w14:paraId="31A2A481" w14:textId="77777777" w:rsidR="0003312E" w:rsidRDefault="0003312E">
      <w:pPr>
        <w:spacing w:after="0" w:line="360" w:lineRule="auto"/>
        <w:ind w:firstLineChars="125" w:firstLine="301"/>
        <w:jc w:val="both"/>
        <w:rPr>
          <w:rFonts w:ascii="Times New Roman" w:hAnsi="Times New Roman" w:cs="Times New Roman"/>
          <w:b/>
          <w:bCs/>
          <w:sz w:val="24"/>
          <w:szCs w:val="24"/>
        </w:rPr>
      </w:pPr>
    </w:p>
    <w:p w14:paraId="478DBAE9" w14:textId="77777777" w:rsidR="0003312E" w:rsidRDefault="0003312E">
      <w:pPr>
        <w:spacing w:after="0" w:line="360" w:lineRule="auto"/>
        <w:ind w:firstLineChars="125" w:firstLine="301"/>
        <w:jc w:val="both"/>
        <w:rPr>
          <w:rFonts w:ascii="Times New Roman" w:hAnsi="Times New Roman" w:cs="Times New Roman"/>
          <w:b/>
          <w:bCs/>
          <w:sz w:val="24"/>
          <w:szCs w:val="24"/>
        </w:rPr>
        <w:sectPr w:rsidR="0003312E">
          <w:type w:val="continuous"/>
          <w:pgSz w:w="11906" w:h="16838"/>
          <w:pgMar w:top="1417" w:right="1701" w:bottom="1417" w:left="1701" w:header="708" w:footer="708" w:gutter="0"/>
          <w:cols w:space="708"/>
          <w:docGrid w:linePitch="360"/>
        </w:sectPr>
      </w:pPr>
    </w:p>
    <w:p w14:paraId="23485284" w14:textId="77777777" w:rsidR="0003312E" w:rsidRDefault="00000000">
      <w:pPr>
        <w:spacing w:after="0" w:line="360" w:lineRule="auto"/>
        <w:ind w:firstLineChars="125" w:firstLine="301"/>
        <w:jc w:val="both"/>
        <w:rPr>
          <w:rFonts w:ascii="Times New Roman" w:hAnsi="Times New Roman" w:cs="Times New Roman"/>
          <w:b/>
          <w:bCs/>
          <w:sz w:val="24"/>
          <w:szCs w:val="24"/>
        </w:rPr>
      </w:pPr>
      <w:r>
        <w:rPr>
          <w:rFonts w:ascii="Times New Roman" w:hAnsi="Times New Roman" w:cs="Times New Roman"/>
          <w:b/>
          <w:bCs/>
          <w:sz w:val="24"/>
          <w:szCs w:val="24"/>
        </w:rPr>
        <w:t>ORELHA ESQUERDA</w:t>
      </w:r>
    </w:p>
    <w:p w14:paraId="28924B93" w14:textId="77777777" w:rsidR="0003312E" w:rsidRDefault="00000000">
      <w:pPr>
        <w:spacing w:after="0" w:line="360" w:lineRule="auto"/>
        <w:ind w:firstLineChars="125" w:firstLine="275"/>
        <w:jc w:val="both"/>
        <w:rPr>
          <w:rFonts w:ascii="Times New Roman" w:hAnsi="Times New Roman" w:cs="Times New Roman"/>
        </w:rPr>
      </w:pPr>
      <w:r>
        <w:rPr>
          <w:rFonts w:ascii="Times New Roman" w:hAnsi="Times New Roman" w:cs="Times New Roman"/>
        </w:rPr>
        <w:t>Por que chamamos histeria a um mal que supostamente vinha de um útero errante? O que o delírio, a mente que "sai do sulco", tem a ver com Van Gogh?</w:t>
      </w:r>
      <w:r>
        <w:rPr>
          <w:rFonts w:ascii="Times New Roman" w:hAnsi="Times New Roman" w:cs="Times New Roman"/>
        </w:rPr>
        <w:br/>
        <w:t>Este livro não é sobre doenças. É sobre as histórias secretas que carregamos na linguagem. </w:t>
      </w:r>
      <w:proofErr w:type="spellStart"/>
      <w:r>
        <w:rPr>
          <w:rFonts w:ascii="Times New Roman" w:hAnsi="Times New Roman" w:cs="Times New Roman"/>
          <w:i/>
          <w:iCs/>
        </w:rPr>
        <w:t>Neuroetimologia</w:t>
      </w:r>
      <w:proofErr w:type="spellEnd"/>
      <w:r>
        <w:rPr>
          <w:rFonts w:ascii="Times New Roman" w:hAnsi="Times New Roman" w:cs="Times New Roman"/>
        </w:rPr>
        <w:t> é uma viagem fascinante pela origem de dez palavras - como êxtase, melancolia e frenesi - que emolduram nossa consciência.</w:t>
      </w:r>
      <w:r>
        <w:rPr>
          <w:rFonts w:ascii="Times New Roman" w:hAnsi="Times New Roman" w:cs="Times New Roman"/>
        </w:rPr>
        <w:br/>
        <w:t xml:space="preserve">Em cada capítulo, a </w:t>
      </w:r>
      <w:proofErr w:type="spellStart"/>
      <w:r>
        <w:rPr>
          <w:rFonts w:ascii="Times New Roman" w:hAnsi="Times New Roman" w:cs="Times New Roman"/>
        </w:rPr>
        <w:t>Profa</w:t>
      </w:r>
      <w:proofErr w:type="spellEnd"/>
      <w:r>
        <w:rPr>
          <w:rFonts w:ascii="Times New Roman" w:hAnsi="Times New Roman" w:cs="Times New Roman"/>
        </w:rPr>
        <w:t xml:space="preserve"> Marleide da Mota Gomes nos guia por uma paisagem interdisciplinar, onde a neurociência dialoga com a arte, a filosofia e a história. Prepare-se para descobrir que cada termo é um "fóssil de poesia", uma narrativa viva que ainda hoje define como entendemos a mente. A obra se apresenta como um ensaio acessível, oferecendo uma contribuição original ao examinar questões de </w:t>
      </w:r>
      <w:proofErr w:type="spellStart"/>
      <w:r>
        <w:rPr>
          <w:rFonts w:ascii="Times New Roman" w:hAnsi="Times New Roman" w:cs="Times New Roman"/>
        </w:rPr>
        <w:t>neurodivergência</w:t>
      </w:r>
      <w:proofErr w:type="spellEnd"/>
      <w:r>
        <w:rPr>
          <w:rFonts w:ascii="Times New Roman" w:hAnsi="Times New Roman" w:cs="Times New Roman"/>
        </w:rPr>
        <w:t> por um viés inesperado: o da jornada das próprias palavras.</w:t>
      </w:r>
      <w:r>
        <w:rPr>
          <w:rFonts w:ascii="Times New Roman" w:hAnsi="Times New Roman" w:cs="Times New Roman"/>
        </w:rPr>
        <w:br/>
        <w:t>Uma leitura que transformará para sempre a forma como você enxerga a linguagem — e a si mesmo. A jornada começa aqui.</w:t>
      </w:r>
    </w:p>
    <w:p w14:paraId="0F6A1408" w14:textId="77777777" w:rsidR="0003312E" w:rsidRDefault="00000000">
      <w:pPr>
        <w:spacing w:after="0" w:line="360" w:lineRule="auto"/>
        <w:ind w:firstLineChars="125" w:firstLine="275"/>
        <w:jc w:val="both"/>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b/>
          <w:bCs/>
          <w:sz w:val="24"/>
          <w:szCs w:val="24"/>
        </w:rPr>
        <w:t>ORELHA DIREITA</w:t>
      </w:r>
    </w:p>
    <w:p w14:paraId="738F3146" w14:textId="77777777" w:rsidR="0003312E" w:rsidRDefault="00000000">
      <w:pPr>
        <w:spacing w:after="0" w:line="360" w:lineRule="auto"/>
        <w:ind w:firstLineChars="125" w:firstLine="300"/>
        <w:jc w:val="both"/>
        <w:rPr>
          <w:rFonts w:ascii="Times New Roman" w:hAnsi="Times New Roman" w:cs="Times New Roman"/>
          <w:iCs/>
          <w:sz w:val="24"/>
          <w:szCs w:val="24"/>
        </w:rPr>
      </w:pPr>
      <w:r>
        <w:rPr>
          <w:rFonts w:ascii="Times New Roman" w:hAnsi="Times New Roman" w:cs="Times New Roman"/>
          <w:noProof/>
          <w:sz w:val="24"/>
          <w:szCs w:val="24"/>
        </w:rPr>
        <w:drawing>
          <wp:inline distT="0" distB="0" distL="0" distR="0" wp14:anchorId="1983E856" wp14:editId="7474F618">
            <wp:extent cx="1195070" cy="1295400"/>
            <wp:effectExtent l="0" t="0" r="5080" b="0"/>
            <wp:docPr id="10442929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9297" name="Imagem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200974" cy="1301548"/>
                    </a:xfrm>
                    <a:prstGeom prst="rect">
                      <a:avLst/>
                    </a:prstGeom>
                    <a:noFill/>
                    <a:ln>
                      <a:noFill/>
                    </a:ln>
                  </pic:spPr>
                </pic:pic>
              </a:graphicData>
            </a:graphic>
          </wp:inline>
        </w:drawing>
      </w:r>
      <w:r>
        <w:rPr>
          <w:rFonts w:ascii="Times New Roman" w:hAnsi="Times New Roman" w:cs="Times New Roman"/>
          <w:iCs/>
          <w:sz w:val="24"/>
          <w:szCs w:val="24"/>
        </w:rPr>
        <w:t xml:space="preserve"> </w:t>
      </w:r>
    </w:p>
    <w:p w14:paraId="57623760" w14:textId="77777777" w:rsidR="0003312E" w:rsidRDefault="00000000">
      <w:pPr>
        <w:spacing w:after="0" w:line="240" w:lineRule="auto"/>
        <w:ind w:firstLineChars="125" w:firstLine="250"/>
        <w:jc w:val="both"/>
        <w:rPr>
          <w:rFonts w:ascii="Times New Roman" w:hAnsi="Times New Roman" w:cs="Times New Roman"/>
          <w:iCs/>
          <w:sz w:val="20"/>
          <w:szCs w:val="20"/>
        </w:rPr>
      </w:pPr>
      <w:r>
        <w:rPr>
          <w:rFonts w:ascii="Times New Roman" w:hAnsi="Times New Roman" w:cs="Times New Roman"/>
          <w:iCs/>
          <w:sz w:val="20"/>
          <w:szCs w:val="20"/>
        </w:rPr>
        <w:t>Marleide da Mota Gomes é professora titular aposentada da Faculdade de Medicina da UFRJ. Graduada em Medicina pela UFRJ e Direito pela UNESA.</w:t>
      </w:r>
    </w:p>
    <w:p w14:paraId="6DF33BE8" w14:textId="77777777" w:rsidR="0003312E" w:rsidRDefault="00000000">
      <w:pPr>
        <w:spacing w:after="0" w:line="240" w:lineRule="auto"/>
        <w:ind w:firstLineChars="125" w:firstLine="250"/>
        <w:jc w:val="both"/>
        <w:rPr>
          <w:rFonts w:ascii="Times New Roman" w:hAnsi="Times New Roman" w:cs="Times New Roman"/>
          <w:iCs/>
          <w:sz w:val="20"/>
          <w:szCs w:val="20"/>
        </w:rPr>
      </w:pPr>
      <w:r>
        <w:rPr>
          <w:rFonts w:ascii="Times New Roman" w:hAnsi="Times New Roman" w:cs="Times New Roman"/>
          <w:iCs/>
          <w:sz w:val="20"/>
          <w:szCs w:val="20"/>
        </w:rPr>
        <w:t xml:space="preserve">Tem formação extensa como neurologista desde residência, especialização, mestrado, doutorado e pós-doutorado pela UFRJ, especializações em neurofisiologia clínica e sono, além de mestrado em Design, </w:t>
      </w:r>
      <w:proofErr w:type="spellStart"/>
      <w:r>
        <w:rPr>
          <w:rFonts w:ascii="Times New Roman" w:hAnsi="Times New Roman" w:cs="Times New Roman"/>
          <w:iCs/>
          <w:sz w:val="20"/>
          <w:szCs w:val="20"/>
        </w:rPr>
        <w:t>Measurement</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and</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Evaluation</w:t>
      </w:r>
      <w:proofErr w:type="spellEnd"/>
      <w:r>
        <w:rPr>
          <w:rFonts w:ascii="Times New Roman" w:hAnsi="Times New Roman" w:cs="Times New Roman"/>
          <w:iCs/>
          <w:sz w:val="20"/>
          <w:szCs w:val="20"/>
        </w:rPr>
        <w:t xml:space="preserve"> pela Universidade </w:t>
      </w:r>
      <w:proofErr w:type="spellStart"/>
      <w:r>
        <w:rPr>
          <w:rFonts w:ascii="Times New Roman" w:hAnsi="Times New Roman" w:cs="Times New Roman"/>
          <w:iCs/>
          <w:sz w:val="20"/>
          <w:szCs w:val="20"/>
        </w:rPr>
        <w:t>MacMaster</w:t>
      </w:r>
      <w:proofErr w:type="spellEnd"/>
      <w:r>
        <w:rPr>
          <w:rFonts w:ascii="Times New Roman" w:hAnsi="Times New Roman" w:cs="Times New Roman"/>
          <w:iCs/>
          <w:sz w:val="20"/>
          <w:szCs w:val="20"/>
        </w:rPr>
        <w:t>, Canadá. Tem também pós-graduação em Psiquiatria e Humanidades Médicas (História da Arte e Filosofia). Obteve o título de livre-docente em Neurologia pela antiga Faculdade de Medicina Gama Filho.</w:t>
      </w:r>
    </w:p>
    <w:p w14:paraId="274E31E9" w14:textId="77777777" w:rsidR="0003312E" w:rsidRDefault="00000000">
      <w:pPr>
        <w:spacing w:after="0" w:line="240" w:lineRule="auto"/>
        <w:ind w:firstLineChars="125" w:firstLine="250"/>
        <w:jc w:val="both"/>
        <w:rPr>
          <w:rFonts w:ascii="Times New Roman" w:hAnsi="Times New Roman" w:cs="Times New Roman"/>
          <w:iCs/>
          <w:sz w:val="20"/>
          <w:szCs w:val="20"/>
        </w:rPr>
      </w:pPr>
      <w:r>
        <w:rPr>
          <w:rFonts w:ascii="Times New Roman" w:hAnsi="Times New Roman" w:cs="Times New Roman"/>
          <w:iCs/>
          <w:sz w:val="20"/>
          <w:szCs w:val="20"/>
        </w:rPr>
        <w:t>É membro emérito das Academias Brasileiras de Neurologia, Neurologia-RJ e Academia Brasileira de Medicina e Reabilitação. Membro titular da Academia Brasileira de Médicos Escritores (posse em novembro 2025). No momento, é professora permanente do Programa de Psiquiatria e Saúde Mental (PROPSAM) do Instituto de Psiquiatria da UFRJ e de seu Laboratório de História da Psiquiatria, Neurologia e Saúde Mental.</w:t>
      </w:r>
    </w:p>
    <w:p w14:paraId="7DDD9095" w14:textId="77777777" w:rsidR="0003312E" w:rsidRDefault="00000000">
      <w:pPr>
        <w:spacing w:after="0" w:line="240" w:lineRule="auto"/>
        <w:ind w:firstLineChars="125" w:firstLine="250"/>
        <w:jc w:val="both"/>
        <w:rPr>
          <w:rFonts w:ascii="Times New Roman" w:hAnsi="Times New Roman" w:cs="Times New Roman"/>
          <w:iCs/>
          <w:sz w:val="20"/>
          <w:szCs w:val="20"/>
        </w:rPr>
      </w:pPr>
      <w:r>
        <w:rPr>
          <w:rFonts w:ascii="Times New Roman" w:hAnsi="Times New Roman" w:cs="Times New Roman"/>
          <w:iCs/>
          <w:sz w:val="20"/>
          <w:szCs w:val="20"/>
        </w:rPr>
        <w:t>Tem trabalhos publicados nas áreas de Epilepsia e Sono, bem como em Epidemiologia, História da Neurologia e da Psiquiatria.</w:t>
      </w:r>
    </w:p>
    <w:p w14:paraId="38009545" w14:textId="77777777" w:rsidR="0003312E" w:rsidRDefault="00000000">
      <w:pPr>
        <w:spacing w:after="0" w:line="240" w:lineRule="auto"/>
        <w:ind w:firstLineChars="125" w:firstLine="250"/>
        <w:jc w:val="both"/>
        <w:rPr>
          <w:rFonts w:ascii="Times New Roman" w:hAnsi="Times New Roman" w:cs="Times New Roman"/>
          <w:sz w:val="20"/>
          <w:szCs w:val="20"/>
        </w:rPr>
      </w:pPr>
      <w:r>
        <w:rPr>
          <w:rFonts w:ascii="Times New Roman" w:hAnsi="Times New Roman" w:cs="Times New Roman"/>
          <w:iCs/>
          <w:sz w:val="20"/>
          <w:szCs w:val="20"/>
        </w:rPr>
        <w:t xml:space="preserve">Recentemente, tem se voltado para a </w:t>
      </w:r>
      <w:proofErr w:type="spellStart"/>
      <w:r>
        <w:rPr>
          <w:rFonts w:ascii="Times New Roman" w:hAnsi="Times New Roman" w:cs="Times New Roman"/>
          <w:iCs/>
          <w:sz w:val="20"/>
          <w:szCs w:val="20"/>
        </w:rPr>
        <w:t>Neurocultura</w:t>
      </w:r>
      <w:proofErr w:type="spellEnd"/>
      <w:r>
        <w:rPr>
          <w:rFonts w:ascii="Times New Roman" w:hAnsi="Times New Roman" w:cs="Times New Roman"/>
          <w:iCs/>
          <w:sz w:val="20"/>
          <w:szCs w:val="20"/>
        </w:rPr>
        <w:t xml:space="preserve"> e as Humanidades Médicas.CV: </w:t>
      </w:r>
      <w:hyperlink r:id="rId123" w:history="1">
        <w:r>
          <w:rPr>
            <w:rStyle w:val="Hyperlink"/>
            <w:rFonts w:ascii="Times New Roman" w:hAnsi="Times New Roman" w:cs="Times New Roman"/>
            <w:iCs/>
            <w:color w:val="auto"/>
            <w:sz w:val="20"/>
            <w:szCs w:val="20"/>
          </w:rPr>
          <w:t>http://lattes.cnpq.br/1938883394582984</w:t>
        </w:r>
      </w:hyperlink>
    </w:p>
    <w:p w14:paraId="096B5CB3" w14:textId="77777777" w:rsidR="0003312E" w:rsidRDefault="0003312E">
      <w:pPr>
        <w:spacing w:after="0" w:line="360" w:lineRule="auto"/>
        <w:ind w:firstLineChars="125" w:firstLine="250"/>
        <w:jc w:val="both"/>
        <w:rPr>
          <w:rFonts w:ascii="Times New Roman" w:hAnsi="Times New Roman" w:cs="Times New Roman"/>
          <w:sz w:val="20"/>
          <w:szCs w:val="20"/>
        </w:rPr>
        <w:sectPr w:rsidR="0003312E">
          <w:type w:val="continuous"/>
          <w:pgSz w:w="11906" w:h="16838"/>
          <w:pgMar w:top="1417" w:right="1701" w:bottom="1417" w:left="1701" w:header="708" w:footer="708" w:gutter="0"/>
          <w:cols w:num="2" w:space="708"/>
          <w:docGrid w:linePitch="360"/>
        </w:sectPr>
      </w:pPr>
    </w:p>
    <w:p w14:paraId="76CFF054" w14:textId="77777777" w:rsidR="0003312E" w:rsidRDefault="00000000">
      <w:pPr>
        <w:spacing w:after="0" w:line="360" w:lineRule="auto"/>
        <w:ind w:firstLineChars="125" w:firstLine="250"/>
        <w:jc w:val="both"/>
        <w:rPr>
          <w:rFonts w:ascii="Times New Roman" w:hAnsi="Times New Roman" w:cs="Times New Roman"/>
          <w:sz w:val="20"/>
          <w:szCs w:val="20"/>
        </w:rPr>
      </w:pPr>
      <w:r>
        <w:rPr>
          <w:rFonts w:ascii="Times New Roman" w:hAnsi="Times New Roman" w:cs="Times New Roman"/>
          <w:sz w:val="20"/>
          <w:szCs w:val="20"/>
        </w:rPr>
        <w:t xml:space="preserve"> </w:t>
      </w:r>
    </w:p>
    <w:p w14:paraId="2243B44A" w14:textId="77777777" w:rsidR="0003312E" w:rsidRDefault="0003312E">
      <w:pPr>
        <w:spacing w:after="0" w:line="360" w:lineRule="auto"/>
        <w:ind w:firstLineChars="125" w:firstLine="300"/>
        <w:jc w:val="both"/>
        <w:rPr>
          <w:rFonts w:ascii="Times New Roman" w:hAnsi="Times New Roman" w:cs="Times New Roman"/>
          <w:sz w:val="24"/>
          <w:szCs w:val="24"/>
        </w:rPr>
      </w:pPr>
    </w:p>
    <w:p w14:paraId="1A683268" w14:textId="77777777" w:rsidR="0003312E" w:rsidRDefault="00000000">
      <w:pPr>
        <w:spacing w:after="0" w:line="360" w:lineRule="auto"/>
        <w:ind w:firstLineChars="125" w:firstLine="301"/>
        <w:jc w:val="both"/>
        <w:rPr>
          <w:rFonts w:ascii="Times New Roman" w:hAnsi="Times New Roman" w:cs="Times New Roman"/>
          <w:b/>
          <w:bCs/>
          <w:sz w:val="24"/>
          <w:szCs w:val="24"/>
          <w:lang w:val="en-US"/>
        </w:rPr>
      </w:pPr>
      <w:r>
        <w:rPr>
          <w:rFonts w:ascii="Times New Roman" w:hAnsi="Times New Roman" w:cs="Times New Roman"/>
          <w:b/>
          <w:bCs/>
          <w:sz w:val="24"/>
          <w:szCs w:val="24"/>
        </w:rPr>
        <w:lastRenderedPageBreak/>
        <w:t xml:space="preserve"> </w:t>
      </w:r>
      <w:r>
        <w:rPr>
          <w:rFonts w:ascii="Times New Roman" w:hAnsi="Times New Roman" w:cs="Times New Roman"/>
          <w:noProof/>
          <w:sz w:val="24"/>
          <w:szCs w:val="24"/>
        </w:rPr>
        <w:drawing>
          <wp:inline distT="0" distB="0" distL="0" distR="0" wp14:anchorId="4611E22A" wp14:editId="371E5161">
            <wp:extent cx="5400040" cy="4432300"/>
            <wp:effectExtent l="0" t="0" r="10160" b="2540"/>
            <wp:docPr id="948884663"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84663" name="Imagem 2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5400040" cy="4432300"/>
                    </a:xfrm>
                    <a:prstGeom prst="rect">
                      <a:avLst/>
                    </a:prstGeom>
                    <a:noFill/>
                    <a:ln>
                      <a:noFill/>
                    </a:ln>
                  </pic:spPr>
                </pic:pic>
              </a:graphicData>
            </a:graphic>
          </wp:inline>
        </w:drawing>
      </w:r>
    </w:p>
    <w:p w14:paraId="2A628A1D" w14:textId="77777777" w:rsidR="0003312E" w:rsidRDefault="00000000">
      <w:pPr>
        <w:spacing w:after="0" w:line="360" w:lineRule="auto"/>
        <w:ind w:firstLineChars="125" w:firstLine="300"/>
        <w:jc w:val="both"/>
        <w:rPr>
          <w:rFonts w:ascii="Times New Roman" w:hAnsi="Times New Roman" w:cs="Times New Roman"/>
          <w:i/>
          <w:iCs/>
          <w:sz w:val="24"/>
          <w:szCs w:val="24"/>
        </w:rPr>
      </w:pPr>
      <w:r>
        <w:rPr>
          <w:rFonts w:ascii="Times New Roman" w:hAnsi="Times New Roman" w:cs="Times New Roman"/>
          <w:noProof/>
          <w:sz w:val="24"/>
          <w:szCs w:val="24"/>
          <w14:ligatures w14:val="none"/>
        </w:rPr>
        <mc:AlternateContent>
          <mc:Choice Requires="wps">
            <w:drawing>
              <wp:anchor distT="0" distB="0" distL="114300" distR="114300" simplePos="0" relativeHeight="251660288" behindDoc="0" locked="0" layoutInCell="1" allowOverlap="1" wp14:anchorId="2124D433" wp14:editId="1CED79D4">
                <wp:simplePos x="0" y="0"/>
                <wp:positionH relativeFrom="column">
                  <wp:posOffset>91440</wp:posOffset>
                </wp:positionH>
                <wp:positionV relativeFrom="paragraph">
                  <wp:posOffset>1384300</wp:posOffset>
                </wp:positionV>
                <wp:extent cx="5264150" cy="2726055"/>
                <wp:effectExtent l="0" t="0" r="8890" b="1905"/>
                <wp:wrapNone/>
                <wp:docPr id="2061885375" name="Caixa de Texto 21"/>
                <wp:cNvGraphicFramePr/>
                <a:graphic xmlns:a="http://schemas.openxmlformats.org/drawingml/2006/main">
                  <a:graphicData uri="http://schemas.microsoft.com/office/word/2010/wordprocessingShape">
                    <wps:wsp>
                      <wps:cNvSpPr txBox="1"/>
                      <wps:spPr>
                        <a:xfrm>
                          <a:off x="0" y="0"/>
                          <a:ext cx="5264150" cy="2726055"/>
                        </a:xfrm>
                        <a:prstGeom prst="rect">
                          <a:avLst/>
                        </a:prstGeom>
                        <a:solidFill>
                          <a:schemeClr val="lt1"/>
                        </a:solidFill>
                        <a:ln w="6350">
                          <a:noFill/>
                        </a:ln>
                      </wps:spPr>
                      <wps:txbx>
                        <w:txbxContent>
                          <w:p w14:paraId="2C4FB40E" w14:textId="77777777" w:rsidR="0003312E" w:rsidRDefault="00000000" w:rsidP="000D7094">
                            <w:pPr>
                              <w:jc w:val="both"/>
                              <w:rPr>
                                <w:rFonts w:ascii="Times New Roman" w:eastAsia="SimSun" w:hAnsi="Times New Roman" w:cs="Times New Roman"/>
                                <w:szCs w:val="24"/>
                                <w:lang w:eastAsia="zh-CN"/>
                              </w:rPr>
                            </w:pPr>
                            <w:proofErr w:type="spellStart"/>
                            <w:r>
                              <w:rPr>
                                <w:rFonts w:ascii="Times New Roman" w:eastAsia="SimSun" w:hAnsi="Times New Roman" w:cs="Times New Roman"/>
                                <w:i/>
                                <w:iCs/>
                                <w:szCs w:val="24"/>
                                <w:lang w:eastAsia="zh-CN"/>
                              </w:rPr>
                              <w:t>Neuroetimologia</w:t>
                            </w:r>
                            <w:proofErr w:type="spellEnd"/>
                            <w:r>
                              <w:rPr>
                                <w:rFonts w:ascii="Times New Roman" w:eastAsia="SimSun" w:hAnsi="Times New Roman" w:cs="Times New Roman"/>
                                <w:szCs w:val="24"/>
                                <w:lang w:eastAsia="zh-CN"/>
                              </w:rPr>
                              <w:t xml:space="preserve"> desvenda como termos que definem estados mentais - de hipnose a eutimia - emergem de teorias médicas esquecidas, metáforas culturais e percepções ancestrais. Há uma articulação interdisciplinar consistente entre Neurociências, História e Artes, fugindo do lugar-comum para examinar temas contemporâneos cruciais, como as questões de </w:t>
                            </w:r>
                            <w:proofErr w:type="spellStart"/>
                            <w:r>
                              <w:rPr>
                                <w:rFonts w:ascii="Times New Roman" w:eastAsia="SimSun" w:hAnsi="Times New Roman" w:cs="Times New Roman"/>
                                <w:szCs w:val="24"/>
                                <w:lang w:eastAsia="zh-CN"/>
                              </w:rPr>
                              <w:t>neurodivergência</w:t>
                            </w:r>
                            <w:proofErr w:type="spellEnd"/>
                            <w:r>
                              <w:rPr>
                                <w:rFonts w:ascii="Times New Roman" w:eastAsia="SimSun" w:hAnsi="Times New Roman" w:cs="Times New Roman"/>
                                <w:szCs w:val="24"/>
                                <w:lang w:eastAsia="zh-CN"/>
                              </w:rPr>
                              <w:t>.</w:t>
                            </w:r>
                          </w:p>
                          <w:p w14:paraId="08BB519C" w14:textId="77777777" w:rsidR="0003312E" w:rsidRDefault="00000000" w:rsidP="000D7094">
                            <w:pPr>
                              <w:jc w:val="both"/>
                              <w:rPr>
                                <w:rFonts w:ascii="Times New Roman" w:eastAsia="SimSun" w:hAnsi="Times New Roman" w:cs="Times New Roman"/>
                                <w:szCs w:val="24"/>
                                <w:lang w:eastAsia="zh-CN"/>
                              </w:rPr>
                            </w:pPr>
                            <w:r>
                              <w:rPr>
                                <w:rFonts w:ascii="Times New Roman" w:eastAsia="SimSun" w:hAnsi="Times New Roman" w:cs="Times New Roman"/>
                                <w:szCs w:val="24"/>
                                <w:lang w:eastAsia="zh-CN"/>
                              </w:rPr>
                              <w:t>O cérebro é apresentado como um território onde linguagem e pensamento se fundem. Cada palavra é um jardim de interpretações, cujas camadas históricas sustentam nossos sentidos atuais. Através de figuras icônicas, a autora reconstrói a trajetória desses conceitos, mostrando que a linguagem é a bússola da mente. Decifrá-la nos permite uma compreensão mais profunda tanto da ciência quanto da experiência humana.</w:t>
                            </w:r>
                          </w:p>
                          <w:p w14:paraId="15367CF4" w14:textId="77777777" w:rsidR="0003312E" w:rsidRDefault="00000000" w:rsidP="000D7094">
                            <w:pPr>
                              <w:jc w:val="both"/>
                            </w:pPr>
                            <w:r>
                              <w:rPr>
                                <w:rFonts w:ascii="Times New Roman" w:eastAsia="SimSun" w:hAnsi="Times New Roman" w:cs="Times New Roman"/>
                                <w:szCs w:val="24"/>
                                <w:lang w:eastAsia="zh-CN"/>
                              </w:rPr>
                              <w:t>Mais do que uma jornada intelectual, este ensaio acessível é um convite para ver a linguagem clínica como um arquivo vivo, oferecendo uma contribuição original para todos os interessados nos mistérios da mente.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24D433" id="Caixa de Texto 21" o:spid="_x0000_s1027" type="#_x0000_t202" style="position:absolute;left:0;text-align:left;margin-left:7.2pt;margin-top:109pt;width:414.5pt;height:21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" fillcolor="white [3201]" stroked="f" strokeweight=".5pt">
                <v:textbox>
                  <w:txbxContent>
                    <w:p w14:paraId="2C4FB40E" w14:textId="77777777" w:rsidR="0003312E" w:rsidRDefault="00000000" w:rsidP="000D7094">
                      <w:pPr>
                        <w:jc w:val="both"/>
                        <w:rPr>
                          <w:rFonts w:ascii="Times New Roman" w:eastAsia="SimSun" w:hAnsi="Times New Roman" w:cs="Times New Roman"/>
                          <w:szCs w:val="24"/>
                          <w:lang w:eastAsia="zh-CN"/>
                        </w:rPr>
                      </w:pPr>
                      <w:proofErr w:type="spellStart"/>
                      <w:r>
                        <w:rPr>
                          <w:rFonts w:ascii="Times New Roman" w:eastAsia="SimSun" w:hAnsi="Times New Roman" w:cs="Times New Roman"/>
                          <w:i/>
                          <w:iCs/>
                          <w:szCs w:val="24"/>
                          <w:lang w:eastAsia="zh-CN"/>
                        </w:rPr>
                        <w:t>Neuroetimologia</w:t>
                      </w:r>
                      <w:proofErr w:type="spellEnd"/>
                      <w:r>
                        <w:rPr>
                          <w:rFonts w:ascii="Times New Roman" w:eastAsia="SimSun" w:hAnsi="Times New Roman" w:cs="Times New Roman"/>
                          <w:szCs w:val="24"/>
                          <w:lang w:eastAsia="zh-CN"/>
                        </w:rPr>
                        <w:t xml:space="preserve"> desvenda como termos que definem estados mentais - de hipnose a eutimia - emergem de teorias médicas esquecidas, metáforas culturais e percepções ancestrais. Há uma articulação interdisciplinar consistente entre Neurociências, História e Artes, fugindo do lugar-comum para examinar temas contemporâneos cruciais, como as questões de </w:t>
                      </w:r>
                      <w:proofErr w:type="spellStart"/>
                      <w:r>
                        <w:rPr>
                          <w:rFonts w:ascii="Times New Roman" w:eastAsia="SimSun" w:hAnsi="Times New Roman" w:cs="Times New Roman"/>
                          <w:szCs w:val="24"/>
                          <w:lang w:eastAsia="zh-CN"/>
                        </w:rPr>
                        <w:t>neurodivergência</w:t>
                      </w:r>
                      <w:proofErr w:type="spellEnd"/>
                      <w:r>
                        <w:rPr>
                          <w:rFonts w:ascii="Times New Roman" w:eastAsia="SimSun" w:hAnsi="Times New Roman" w:cs="Times New Roman"/>
                          <w:szCs w:val="24"/>
                          <w:lang w:eastAsia="zh-CN"/>
                        </w:rPr>
                        <w:t>.</w:t>
                      </w:r>
                    </w:p>
                    <w:p w14:paraId="08BB519C" w14:textId="77777777" w:rsidR="0003312E" w:rsidRDefault="00000000" w:rsidP="000D7094">
                      <w:pPr>
                        <w:jc w:val="both"/>
                        <w:rPr>
                          <w:rFonts w:ascii="Times New Roman" w:eastAsia="SimSun" w:hAnsi="Times New Roman" w:cs="Times New Roman"/>
                          <w:szCs w:val="24"/>
                          <w:lang w:eastAsia="zh-CN"/>
                        </w:rPr>
                      </w:pPr>
                      <w:r>
                        <w:rPr>
                          <w:rFonts w:ascii="Times New Roman" w:eastAsia="SimSun" w:hAnsi="Times New Roman" w:cs="Times New Roman"/>
                          <w:szCs w:val="24"/>
                          <w:lang w:eastAsia="zh-CN"/>
                        </w:rPr>
                        <w:t>O cérebro é apresentado como um território onde linguagem e pensamento se fundem. Cada palavra é um jardim de interpretações, cujas camadas históricas sustentam nossos sentidos atuais. Através de figuras icônicas, a autora reconstrói a trajetória desses conceitos, mostrando que a linguagem é a bússola da mente. Decifrá-la nos permite uma compreensão mais profunda tanto da ciência quanto da experiência humana.</w:t>
                      </w:r>
                    </w:p>
                    <w:p w14:paraId="15367CF4" w14:textId="77777777" w:rsidR="0003312E" w:rsidRDefault="00000000" w:rsidP="000D7094">
                      <w:pPr>
                        <w:jc w:val="both"/>
                      </w:pPr>
                      <w:r>
                        <w:rPr>
                          <w:rFonts w:ascii="Times New Roman" w:eastAsia="SimSun" w:hAnsi="Times New Roman" w:cs="Times New Roman"/>
                          <w:szCs w:val="24"/>
                          <w:lang w:eastAsia="zh-CN"/>
                        </w:rPr>
                        <w:t>Mais do que uma jornada intelectual, este ensaio acessível é um convite para ver a linguagem clínica como um arquivo vivo, oferecendo uma contribuição original para todos os interessados nos mistérios da mente.</w:t>
                      </w:r>
                    </w:p>
                  </w:txbxContent>
                </v:textbox>
              </v:shape>
            </w:pict>
          </mc:Fallback>
        </mc:AlternateContent>
      </w:r>
      <w:r>
        <w:rPr>
          <w:rFonts w:ascii="Times New Roman" w:hAnsi="Times New Roman" w:cs="Times New Roman"/>
          <w:noProof/>
          <w:sz w:val="24"/>
          <w:szCs w:val="24"/>
        </w:rPr>
        <w:drawing>
          <wp:inline distT="0" distB="0" distL="0" distR="0" wp14:anchorId="5D677090" wp14:editId="64562724">
            <wp:extent cx="5400040" cy="1171575"/>
            <wp:effectExtent l="0" t="0" r="10160" b="1905"/>
            <wp:docPr id="185340097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00976" name="Imagem 10"/>
                    <pic:cNvPicPr>
                      <a:picLocks noChangeAspect="1" noChangeArrowheads="1"/>
                    </pic:cNvPicPr>
                  </pic:nvPicPr>
                  <pic:blipFill>
                    <a:blip r:embed="rId125">
                      <a:extLst>
                        <a:ext uri="{28A0092B-C50C-407E-A947-70E740481C1C}">
                          <a14:useLocalDpi xmlns:a14="http://schemas.microsoft.com/office/drawing/2010/main" val="0"/>
                        </a:ext>
                      </a:extLst>
                    </a:blip>
                    <a:srcRect t="69849"/>
                    <a:stretch>
                      <a:fillRect/>
                    </a:stretch>
                  </pic:blipFill>
                  <pic:spPr>
                    <a:xfrm>
                      <a:off x="0" y="0"/>
                      <a:ext cx="5400040" cy="1171575"/>
                    </a:xfrm>
                    <a:prstGeom prst="rect">
                      <a:avLst/>
                    </a:prstGeom>
                    <a:noFill/>
                    <a:ln>
                      <a:noFill/>
                    </a:ln>
                  </pic:spPr>
                </pic:pic>
              </a:graphicData>
            </a:graphic>
          </wp:inline>
        </w:drawing>
      </w:r>
    </w:p>
    <w:sectPr w:rsidR="0003312E">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3B6C8" w14:textId="77777777" w:rsidR="00B852D2" w:rsidRDefault="00B852D2">
      <w:pPr>
        <w:spacing w:line="240" w:lineRule="auto"/>
      </w:pPr>
      <w:r>
        <w:separator/>
      </w:r>
    </w:p>
  </w:endnote>
  <w:endnote w:type="continuationSeparator" w:id="0">
    <w:p w14:paraId="3038863F" w14:textId="77777777" w:rsidR="00B852D2" w:rsidRDefault="00B852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default"/>
    <w:sig w:usb0="00000287" w:usb1="00000000" w:usb2="00000000" w:usb3="00000000" w:csb0="0000009F" w:csb1="DFD70000"/>
  </w:font>
  <w:font w:name="Segoe UI Emoji">
    <w:panose1 w:val="020B0502040204020203"/>
    <w:charset w:val="00"/>
    <w:family w:val="swiss"/>
    <w:pitch w:val="variable"/>
    <w:sig w:usb0="00000003" w:usb1="02000000" w:usb2="08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6DB1" w14:textId="77777777" w:rsidR="0003312E" w:rsidRDefault="0003312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008018"/>
    </w:sdtPr>
    <w:sdtContent>
      <w:p w14:paraId="62E93499" w14:textId="77777777" w:rsidR="0003312E" w:rsidRDefault="00000000">
        <w:pPr>
          <w:pStyle w:val="Rodap"/>
        </w:pPr>
        <w:r>
          <w:rPr>
            <w:noProof/>
          </w:rPr>
          <mc:AlternateContent>
            <mc:Choice Requires="wpg">
              <w:drawing>
                <wp:anchor distT="0" distB="0" distL="114300" distR="114300" simplePos="0" relativeHeight="251659264" behindDoc="0" locked="0" layoutInCell="1" allowOverlap="1" wp14:anchorId="327AEE7F" wp14:editId="311C4C5D">
                  <wp:simplePos x="0" y="0"/>
                  <wp:positionH relativeFrom="margin">
                    <wp:align>center</wp:align>
                  </wp:positionH>
                  <wp:positionV relativeFrom="page">
                    <wp:align>bottom</wp:align>
                  </wp:positionV>
                  <wp:extent cx="436880" cy="716915"/>
                  <wp:effectExtent l="9525" t="9525" r="10795" b="6985"/>
                  <wp:wrapNone/>
                  <wp:docPr id="1468689658" name="Agrupar 15"/>
                  <wp:cNvGraphicFramePr/>
                  <a:graphic xmlns:a="http://schemas.openxmlformats.org/drawingml/2006/main">
                    <a:graphicData uri="http://schemas.microsoft.com/office/word/2010/wordprocessingGroup">
                      <wpg:wgp>
                        <wpg:cNvGrpSpPr/>
                        <wpg:grpSpPr>
                          <a:xfrm>
                            <a:off x="0" y="0"/>
                            <a:ext cx="436880" cy="716915"/>
                            <a:chOff x="1743" y="14699"/>
                            <a:chExt cx="688" cy="1129"/>
                          </a:xfrm>
                        </wpg:grpSpPr>
                        <wps:wsp>
                          <wps:cNvPr id="1381708216" name="AutoShape 77"/>
                          <wps:cNvCnPr>
                            <a:cxnSpLocks noChangeShapeType="1"/>
                          </wps:cNvCnPr>
                          <wps:spPr bwMode="auto">
                            <a:xfrm flipV="1">
                              <a:off x="2111" y="15387"/>
                              <a:ext cx="0" cy="441"/>
                            </a:xfrm>
                            <a:prstGeom prst="straightConnector1">
                              <a:avLst/>
                            </a:prstGeom>
                            <a:noFill/>
                            <a:ln w="9525">
                              <a:solidFill>
                                <a:srgbClr val="7F7F7F"/>
                              </a:solidFill>
                              <a:round/>
                            </a:ln>
                          </wps:spPr>
                          <wps:bodyPr/>
                        </wps:wsp>
                        <wps:wsp>
                          <wps:cNvPr id="1014705784" name="Rectangle 78"/>
                          <wps:cNvSpPr>
                            <a:spLocks noChangeArrowheads="1"/>
                          </wps:cNvSpPr>
                          <wps:spPr bwMode="auto">
                            <a:xfrm>
                              <a:off x="1743" y="14699"/>
                              <a:ext cx="688" cy="688"/>
                            </a:xfrm>
                            <a:prstGeom prst="rect">
                              <a:avLst/>
                            </a:prstGeom>
                            <a:noFill/>
                            <a:ln w="9525">
                              <a:solidFill>
                                <a:srgbClr val="7F7F7F"/>
                              </a:solidFill>
                              <a:miter lim="800000"/>
                            </a:ln>
                          </wps:spPr>
                          <wps:txbx>
                            <w:txbxContent>
                              <w:p w14:paraId="1F1ECA6D" w14:textId="77777777" w:rsidR="0003312E" w:rsidRDefault="00000000">
                                <w:pPr>
                                  <w:pStyle w:val="Rodap"/>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anchor>
              </w:drawing>
            </mc:Choice>
            <mc:Fallback>
              <w:pict>
                <v:group w14:anchorId="327AEE7F" id="Agrupar 15" o:spid="_x0000_s1028"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6OZJbtAgAACQ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9"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" strokecolor="#7f7f7f"/>
                  <v:rect id="Rectangle 78" o:spid="_x0000_s1030"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" filled="f" strokecolor="#7f7f7f">
                    <v:textbox>
                      <w:txbxContent>
                        <w:p w14:paraId="1F1ECA6D" w14:textId="77777777" w:rsidR="0003312E" w:rsidRDefault="00000000">
                          <w:pPr>
                            <w:pStyle w:val="Rodap"/>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D3BC" w14:textId="77777777" w:rsidR="0003312E" w:rsidRDefault="0003312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8BF8" w14:textId="77777777" w:rsidR="00B852D2" w:rsidRDefault="00B852D2">
      <w:pPr>
        <w:spacing w:after="0"/>
      </w:pPr>
      <w:r>
        <w:separator/>
      </w:r>
    </w:p>
  </w:footnote>
  <w:footnote w:type="continuationSeparator" w:id="0">
    <w:p w14:paraId="69B44B41" w14:textId="77777777" w:rsidR="00B852D2" w:rsidRDefault="00B852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6691" w14:textId="77777777" w:rsidR="0003312E" w:rsidRDefault="0003312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9D2D" w14:textId="77777777" w:rsidR="0003312E" w:rsidRDefault="0003312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4D99" w14:textId="77777777" w:rsidR="0003312E" w:rsidRDefault="000331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30402"/>
    <w:multiLevelType w:val="multilevel"/>
    <w:tmpl w:val="0B1304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BBD7773"/>
    <w:multiLevelType w:val="multilevel"/>
    <w:tmpl w:val="0BBD77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6C2C1A6"/>
    <w:multiLevelType w:val="multilevel"/>
    <w:tmpl w:val="16C2C1A6"/>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firstLine="295"/>
      </w:pPr>
      <w:rPr>
        <w:rFonts w:hint="default"/>
      </w:rPr>
    </w:lvl>
    <w:lvl w:ilvl="2">
      <w:start w:val="1"/>
      <w:numFmt w:val="lowerRoman"/>
      <w:lvlText w:val="%3."/>
      <w:lvlJc w:val="right"/>
      <w:pPr>
        <w:tabs>
          <w:tab w:val="left" w:pos="425"/>
        </w:tabs>
        <w:ind w:left="425" w:firstLine="119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right"/>
      <w:pPr>
        <w:tabs>
          <w:tab w:val="left" w:pos="425"/>
        </w:tabs>
        <w:ind w:left="425" w:firstLine="335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right"/>
      <w:pPr>
        <w:tabs>
          <w:tab w:val="left" w:pos="425"/>
        </w:tabs>
        <w:ind w:left="425" w:firstLine="5515"/>
      </w:pPr>
      <w:rPr>
        <w:rFonts w:hint="default"/>
      </w:rPr>
    </w:lvl>
  </w:abstractNum>
  <w:abstractNum w:abstractNumId="3" w15:restartNumberingAfterBreak="0">
    <w:nsid w:val="2D1774B4"/>
    <w:multiLevelType w:val="multilevel"/>
    <w:tmpl w:val="2D1774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339B749C"/>
    <w:multiLevelType w:val="multilevel"/>
    <w:tmpl w:val="339B74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1C7BD5"/>
    <w:multiLevelType w:val="multilevel"/>
    <w:tmpl w:val="3A1C7BD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B35109E"/>
    <w:multiLevelType w:val="multilevel"/>
    <w:tmpl w:val="3B3510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33C1510"/>
    <w:multiLevelType w:val="multilevel"/>
    <w:tmpl w:val="433C15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D127B4"/>
    <w:multiLevelType w:val="multilevel"/>
    <w:tmpl w:val="49D12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826C18"/>
    <w:multiLevelType w:val="multilevel"/>
    <w:tmpl w:val="4B826C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B9601E0"/>
    <w:multiLevelType w:val="multilevel"/>
    <w:tmpl w:val="4B9601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DC55416"/>
    <w:multiLevelType w:val="multilevel"/>
    <w:tmpl w:val="4DC554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963B1B"/>
    <w:multiLevelType w:val="multilevel"/>
    <w:tmpl w:val="76963B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82017A"/>
    <w:multiLevelType w:val="multilevel"/>
    <w:tmpl w:val="7F820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5740841">
    <w:abstractNumId w:val="7"/>
  </w:num>
  <w:num w:numId="2" w16cid:durableId="504781913">
    <w:abstractNumId w:val="1"/>
  </w:num>
  <w:num w:numId="3" w16cid:durableId="607274062">
    <w:abstractNumId w:val="11"/>
  </w:num>
  <w:num w:numId="4" w16cid:durableId="1857183888">
    <w:abstractNumId w:val="5"/>
  </w:num>
  <w:num w:numId="5" w16cid:durableId="626937473">
    <w:abstractNumId w:val="6"/>
  </w:num>
  <w:num w:numId="6" w16cid:durableId="1334189147">
    <w:abstractNumId w:val="8"/>
  </w:num>
  <w:num w:numId="7" w16cid:durableId="1565606346">
    <w:abstractNumId w:val="12"/>
  </w:num>
  <w:num w:numId="8" w16cid:durableId="993874673">
    <w:abstractNumId w:val="0"/>
  </w:num>
  <w:num w:numId="9" w16cid:durableId="2030644437">
    <w:abstractNumId w:val="13"/>
  </w:num>
  <w:num w:numId="10" w16cid:durableId="1014115728">
    <w:abstractNumId w:val="4"/>
  </w:num>
  <w:num w:numId="11" w16cid:durableId="171575873">
    <w:abstractNumId w:val="9"/>
  </w:num>
  <w:num w:numId="12" w16cid:durableId="824778453">
    <w:abstractNumId w:val="10"/>
  </w:num>
  <w:num w:numId="13" w16cid:durableId="5239069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3582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F30"/>
    <w:rsid w:val="0000024D"/>
    <w:rsid w:val="000012E2"/>
    <w:rsid w:val="00002D37"/>
    <w:rsid w:val="0000433E"/>
    <w:rsid w:val="00010EE8"/>
    <w:rsid w:val="0001239D"/>
    <w:rsid w:val="00013DA3"/>
    <w:rsid w:val="000143A4"/>
    <w:rsid w:val="00017962"/>
    <w:rsid w:val="0003312E"/>
    <w:rsid w:val="0003574B"/>
    <w:rsid w:val="00044528"/>
    <w:rsid w:val="000450D5"/>
    <w:rsid w:val="00051112"/>
    <w:rsid w:val="00055BD9"/>
    <w:rsid w:val="00056720"/>
    <w:rsid w:val="00057C18"/>
    <w:rsid w:val="00064331"/>
    <w:rsid w:val="00067468"/>
    <w:rsid w:val="0008695A"/>
    <w:rsid w:val="00090F6F"/>
    <w:rsid w:val="00091B59"/>
    <w:rsid w:val="00091CA0"/>
    <w:rsid w:val="000941AA"/>
    <w:rsid w:val="00095AFB"/>
    <w:rsid w:val="000A0A9D"/>
    <w:rsid w:val="000A0D66"/>
    <w:rsid w:val="000A2B71"/>
    <w:rsid w:val="000A5723"/>
    <w:rsid w:val="000A7B2F"/>
    <w:rsid w:val="000B6E18"/>
    <w:rsid w:val="000D7094"/>
    <w:rsid w:val="000D7F9B"/>
    <w:rsid w:val="000E3179"/>
    <w:rsid w:val="000F341D"/>
    <w:rsid w:val="000F58E0"/>
    <w:rsid w:val="000F64AB"/>
    <w:rsid w:val="00104B20"/>
    <w:rsid w:val="00111710"/>
    <w:rsid w:val="00114FB4"/>
    <w:rsid w:val="00114FE4"/>
    <w:rsid w:val="001156F7"/>
    <w:rsid w:val="00115A29"/>
    <w:rsid w:val="00116D21"/>
    <w:rsid w:val="00122BE4"/>
    <w:rsid w:val="00133C54"/>
    <w:rsid w:val="0013616D"/>
    <w:rsid w:val="00143E7D"/>
    <w:rsid w:val="00155689"/>
    <w:rsid w:val="00160E9A"/>
    <w:rsid w:val="001629AD"/>
    <w:rsid w:val="00171C78"/>
    <w:rsid w:val="00184DE8"/>
    <w:rsid w:val="0018533B"/>
    <w:rsid w:val="001910CE"/>
    <w:rsid w:val="001A0AE8"/>
    <w:rsid w:val="001A1337"/>
    <w:rsid w:val="001A592E"/>
    <w:rsid w:val="001A7BF7"/>
    <w:rsid w:val="001B38BA"/>
    <w:rsid w:val="001B52E2"/>
    <w:rsid w:val="001B6A90"/>
    <w:rsid w:val="001C5E20"/>
    <w:rsid w:val="001D3CCF"/>
    <w:rsid w:val="001E33E5"/>
    <w:rsid w:val="001F11C2"/>
    <w:rsid w:val="001F3DFF"/>
    <w:rsid w:val="001F5654"/>
    <w:rsid w:val="001F5E00"/>
    <w:rsid w:val="002059AB"/>
    <w:rsid w:val="00211F84"/>
    <w:rsid w:val="00212835"/>
    <w:rsid w:val="002171B8"/>
    <w:rsid w:val="002206A8"/>
    <w:rsid w:val="00224F1A"/>
    <w:rsid w:val="00231A85"/>
    <w:rsid w:val="002364CE"/>
    <w:rsid w:val="002400B9"/>
    <w:rsid w:val="002419A6"/>
    <w:rsid w:val="00242CA3"/>
    <w:rsid w:val="002452CB"/>
    <w:rsid w:val="00250519"/>
    <w:rsid w:val="002544CA"/>
    <w:rsid w:val="00263646"/>
    <w:rsid w:val="002809BD"/>
    <w:rsid w:val="00291B1A"/>
    <w:rsid w:val="0029270F"/>
    <w:rsid w:val="00296FED"/>
    <w:rsid w:val="002A099B"/>
    <w:rsid w:val="002A4400"/>
    <w:rsid w:val="002B1180"/>
    <w:rsid w:val="002B1D8B"/>
    <w:rsid w:val="002D11B7"/>
    <w:rsid w:val="002D4306"/>
    <w:rsid w:val="002D4CA6"/>
    <w:rsid w:val="002D5E2B"/>
    <w:rsid w:val="002E207C"/>
    <w:rsid w:val="002F20EA"/>
    <w:rsid w:val="002F3618"/>
    <w:rsid w:val="003029B8"/>
    <w:rsid w:val="00322B5D"/>
    <w:rsid w:val="00324EF4"/>
    <w:rsid w:val="00327D76"/>
    <w:rsid w:val="00335AD0"/>
    <w:rsid w:val="003503F4"/>
    <w:rsid w:val="003514A3"/>
    <w:rsid w:val="00357AA0"/>
    <w:rsid w:val="00364DC1"/>
    <w:rsid w:val="00370A3A"/>
    <w:rsid w:val="00377A76"/>
    <w:rsid w:val="003870B4"/>
    <w:rsid w:val="003878EF"/>
    <w:rsid w:val="003900C0"/>
    <w:rsid w:val="003931B0"/>
    <w:rsid w:val="00397C64"/>
    <w:rsid w:val="003A5E09"/>
    <w:rsid w:val="003A650B"/>
    <w:rsid w:val="003A772F"/>
    <w:rsid w:val="003D269E"/>
    <w:rsid w:val="003D46F5"/>
    <w:rsid w:val="003D6DBA"/>
    <w:rsid w:val="003E0C66"/>
    <w:rsid w:val="003F618F"/>
    <w:rsid w:val="00400968"/>
    <w:rsid w:val="00402C2D"/>
    <w:rsid w:val="00410364"/>
    <w:rsid w:val="00425B69"/>
    <w:rsid w:val="00434541"/>
    <w:rsid w:val="00436848"/>
    <w:rsid w:val="00437C14"/>
    <w:rsid w:val="0044418D"/>
    <w:rsid w:val="00444F92"/>
    <w:rsid w:val="00457CB4"/>
    <w:rsid w:val="00460C0C"/>
    <w:rsid w:val="00460E58"/>
    <w:rsid w:val="00461D6F"/>
    <w:rsid w:val="00466346"/>
    <w:rsid w:val="0047072B"/>
    <w:rsid w:val="004768FB"/>
    <w:rsid w:val="00477CDD"/>
    <w:rsid w:val="00481AC5"/>
    <w:rsid w:val="004B0C99"/>
    <w:rsid w:val="004C2ECA"/>
    <w:rsid w:val="004C4A4C"/>
    <w:rsid w:val="004D2E4B"/>
    <w:rsid w:val="004E5EDE"/>
    <w:rsid w:val="004F0C6A"/>
    <w:rsid w:val="004F196B"/>
    <w:rsid w:val="004F3F74"/>
    <w:rsid w:val="004F411E"/>
    <w:rsid w:val="004F4703"/>
    <w:rsid w:val="005043B4"/>
    <w:rsid w:val="0051718A"/>
    <w:rsid w:val="005176A5"/>
    <w:rsid w:val="005177E2"/>
    <w:rsid w:val="00522968"/>
    <w:rsid w:val="00532A14"/>
    <w:rsid w:val="00534914"/>
    <w:rsid w:val="00536D6C"/>
    <w:rsid w:val="005439E3"/>
    <w:rsid w:val="00543E6C"/>
    <w:rsid w:val="00550ED4"/>
    <w:rsid w:val="0055368C"/>
    <w:rsid w:val="00554148"/>
    <w:rsid w:val="00555C73"/>
    <w:rsid w:val="00556CC5"/>
    <w:rsid w:val="00562C1D"/>
    <w:rsid w:val="00562D91"/>
    <w:rsid w:val="005646AD"/>
    <w:rsid w:val="0057118C"/>
    <w:rsid w:val="00572C7A"/>
    <w:rsid w:val="00584025"/>
    <w:rsid w:val="00584558"/>
    <w:rsid w:val="005859CB"/>
    <w:rsid w:val="005A732E"/>
    <w:rsid w:val="005B5E35"/>
    <w:rsid w:val="005C198C"/>
    <w:rsid w:val="005D32AF"/>
    <w:rsid w:val="005E14C9"/>
    <w:rsid w:val="005F0948"/>
    <w:rsid w:val="006028C5"/>
    <w:rsid w:val="00603059"/>
    <w:rsid w:val="00603C35"/>
    <w:rsid w:val="00604A2D"/>
    <w:rsid w:val="00607CFF"/>
    <w:rsid w:val="00610C5C"/>
    <w:rsid w:val="00612300"/>
    <w:rsid w:val="00615EB7"/>
    <w:rsid w:val="00616FE8"/>
    <w:rsid w:val="0061780D"/>
    <w:rsid w:val="00622150"/>
    <w:rsid w:val="0062219C"/>
    <w:rsid w:val="00624F08"/>
    <w:rsid w:val="0062585B"/>
    <w:rsid w:val="00627A26"/>
    <w:rsid w:val="00630A2B"/>
    <w:rsid w:val="0063208F"/>
    <w:rsid w:val="00640565"/>
    <w:rsid w:val="00640BCB"/>
    <w:rsid w:val="00643089"/>
    <w:rsid w:val="006452B3"/>
    <w:rsid w:val="006469A4"/>
    <w:rsid w:val="0065047F"/>
    <w:rsid w:val="006615BB"/>
    <w:rsid w:val="00663130"/>
    <w:rsid w:val="00665CDE"/>
    <w:rsid w:val="0068261A"/>
    <w:rsid w:val="00682C01"/>
    <w:rsid w:val="0068425F"/>
    <w:rsid w:val="006853CD"/>
    <w:rsid w:val="00686A25"/>
    <w:rsid w:val="0069572B"/>
    <w:rsid w:val="006975A1"/>
    <w:rsid w:val="006A6BEF"/>
    <w:rsid w:val="006B2418"/>
    <w:rsid w:val="006C0B40"/>
    <w:rsid w:val="006C45F2"/>
    <w:rsid w:val="006C7D49"/>
    <w:rsid w:val="006D086D"/>
    <w:rsid w:val="006E0DC8"/>
    <w:rsid w:val="006F3932"/>
    <w:rsid w:val="006F4942"/>
    <w:rsid w:val="006F6B60"/>
    <w:rsid w:val="00702AE9"/>
    <w:rsid w:val="007047AD"/>
    <w:rsid w:val="00706AA7"/>
    <w:rsid w:val="007115A2"/>
    <w:rsid w:val="00715D0A"/>
    <w:rsid w:val="00732F0A"/>
    <w:rsid w:val="0074473A"/>
    <w:rsid w:val="007452ED"/>
    <w:rsid w:val="007500BB"/>
    <w:rsid w:val="007518F0"/>
    <w:rsid w:val="00751E55"/>
    <w:rsid w:val="00753A29"/>
    <w:rsid w:val="0075747A"/>
    <w:rsid w:val="00764CFF"/>
    <w:rsid w:val="00772FA5"/>
    <w:rsid w:val="00774E6E"/>
    <w:rsid w:val="00775657"/>
    <w:rsid w:val="00776D76"/>
    <w:rsid w:val="00785516"/>
    <w:rsid w:val="00790AAB"/>
    <w:rsid w:val="007962C5"/>
    <w:rsid w:val="007A3F58"/>
    <w:rsid w:val="007A4E92"/>
    <w:rsid w:val="007B14C3"/>
    <w:rsid w:val="007B6297"/>
    <w:rsid w:val="007C4A6D"/>
    <w:rsid w:val="007C7412"/>
    <w:rsid w:val="007D3E14"/>
    <w:rsid w:val="007E16A1"/>
    <w:rsid w:val="007E68AC"/>
    <w:rsid w:val="007F157B"/>
    <w:rsid w:val="007F237A"/>
    <w:rsid w:val="007F52A4"/>
    <w:rsid w:val="00810442"/>
    <w:rsid w:val="00812A85"/>
    <w:rsid w:val="008201EE"/>
    <w:rsid w:val="008247F2"/>
    <w:rsid w:val="00831458"/>
    <w:rsid w:val="00832D36"/>
    <w:rsid w:val="00836279"/>
    <w:rsid w:val="00850A5C"/>
    <w:rsid w:val="008519EA"/>
    <w:rsid w:val="00852435"/>
    <w:rsid w:val="00855F95"/>
    <w:rsid w:val="00860E9E"/>
    <w:rsid w:val="00874590"/>
    <w:rsid w:val="00874B82"/>
    <w:rsid w:val="00875530"/>
    <w:rsid w:val="008768E1"/>
    <w:rsid w:val="00881297"/>
    <w:rsid w:val="008827C2"/>
    <w:rsid w:val="008A46E0"/>
    <w:rsid w:val="008B4DFA"/>
    <w:rsid w:val="008B6130"/>
    <w:rsid w:val="008C0BCC"/>
    <w:rsid w:val="008C6DC7"/>
    <w:rsid w:val="008D2325"/>
    <w:rsid w:val="008D4DBC"/>
    <w:rsid w:val="008D53BC"/>
    <w:rsid w:val="008E18CF"/>
    <w:rsid w:val="008E3A4D"/>
    <w:rsid w:val="008E7667"/>
    <w:rsid w:val="008F0735"/>
    <w:rsid w:val="008F0AC9"/>
    <w:rsid w:val="008F1BBE"/>
    <w:rsid w:val="0091044E"/>
    <w:rsid w:val="00922566"/>
    <w:rsid w:val="009227D7"/>
    <w:rsid w:val="00922AC4"/>
    <w:rsid w:val="00924EB5"/>
    <w:rsid w:val="009256B0"/>
    <w:rsid w:val="009274E4"/>
    <w:rsid w:val="0094309D"/>
    <w:rsid w:val="00947F75"/>
    <w:rsid w:val="00950AF6"/>
    <w:rsid w:val="00957F65"/>
    <w:rsid w:val="009823B4"/>
    <w:rsid w:val="00990088"/>
    <w:rsid w:val="00996A1C"/>
    <w:rsid w:val="00997756"/>
    <w:rsid w:val="009978C2"/>
    <w:rsid w:val="009A0C98"/>
    <w:rsid w:val="009B12A0"/>
    <w:rsid w:val="009B3F3B"/>
    <w:rsid w:val="009B444F"/>
    <w:rsid w:val="009B47E6"/>
    <w:rsid w:val="009B507F"/>
    <w:rsid w:val="009B52CD"/>
    <w:rsid w:val="009C1A8F"/>
    <w:rsid w:val="009C4FB4"/>
    <w:rsid w:val="009D70C7"/>
    <w:rsid w:val="009E181C"/>
    <w:rsid w:val="009E708D"/>
    <w:rsid w:val="00A0669C"/>
    <w:rsid w:val="00A06723"/>
    <w:rsid w:val="00A077F6"/>
    <w:rsid w:val="00A10B73"/>
    <w:rsid w:val="00A16F68"/>
    <w:rsid w:val="00A22972"/>
    <w:rsid w:val="00A265A2"/>
    <w:rsid w:val="00A351FF"/>
    <w:rsid w:val="00A40191"/>
    <w:rsid w:val="00A51C34"/>
    <w:rsid w:val="00A572E9"/>
    <w:rsid w:val="00A57AE6"/>
    <w:rsid w:val="00A65318"/>
    <w:rsid w:val="00A71754"/>
    <w:rsid w:val="00A75BD7"/>
    <w:rsid w:val="00A768A1"/>
    <w:rsid w:val="00A96FA4"/>
    <w:rsid w:val="00AA01FE"/>
    <w:rsid w:val="00AA1BC9"/>
    <w:rsid w:val="00AB4CA0"/>
    <w:rsid w:val="00AB6084"/>
    <w:rsid w:val="00AB61FF"/>
    <w:rsid w:val="00AC5C3D"/>
    <w:rsid w:val="00AC5CB3"/>
    <w:rsid w:val="00AC752E"/>
    <w:rsid w:val="00AD365B"/>
    <w:rsid w:val="00AD5763"/>
    <w:rsid w:val="00AD7682"/>
    <w:rsid w:val="00AE0965"/>
    <w:rsid w:val="00AE2609"/>
    <w:rsid w:val="00AF17A6"/>
    <w:rsid w:val="00B01D8C"/>
    <w:rsid w:val="00B07F94"/>
    <w:rsid w:val="00B10856"/>
    <w:rsid w:val="00B12764"/>
    <w:rsid w:val="00B20529"/>
    <w:rsid w:val="00B2259B"/>
    <w:rsid w:val="00B26E6A"/>
    <w:rsid w:val="00B3022F"/>
    <w:rsid w:val="00B318F9"/>
    <w:rsid w:val="00B33DD3"/>
    <w:rsid w:val="00B40B17"/>
    <w:rsid w:val="00B4191F"/>
    <w:rsid w:val="00B41F4D"/>
    <w:rsid w:val="00B506A4"/>
    <w:rsid w:val="00B67C21"/>
    <w:rsid w:val="00B70AF9"/>
    <w:rsid w:val="00B728B0"/>
    <w:rsid w:val="00B757D8"/>
    <w:rsid w:val="00B763B4"/>
    <w:rsid w:val="00B769BD"/>
    <w:rsid w:val="00B76FD2"/>
    <w:rsid w:val="00B852D2"/>
    <w:rsid w:val="00B90844"/>
    <w:rsid w:val="00B954E1"/>
    <w:rsid w:val="00BA0A6D"/>
    <w:rsid w:val="00BA0FE6"/>
    <w:rsid w:val="00BA7FAA"/>
    <w:rsid w:val="00BB0E47"/>
    <w:rsid w:val="00BB22A7"/>
    <w:rsid w:val="00BC0F19"/>
    <w:rsid w:val="00BC4651"/>
    <w:rsid w:val="00BC7FB9"/>
    <w:rsid w:val="00BD6B1D"/>
    <w:rsid w:val="00BF2A82"/>
    <w:rsid w:val="00BF32EA"/>
    <w:rsid w:val="00BF60B1"/>
    <w:rsid w:val="00C00DAE"/>
    <w:rsid w:val="00C02B92"/>
    <w:rsid w:val="00C03D00"/>
    <w:rsid w:val="00C06C67"/>
    <w:rsid w:val="00C221B2"/>
    <w:rsid w:val="00C22867"/>
    <w:rsid w:val="00C27E5B"/>
    <w:rsid w:val="00C40194"/>
    <w:rsid w:val="00C40F6D"/>
    <w:rsid w:val="00C41C9B"/>
    <w:rsid w:val="00C4544A"/>
    <w:rsid w:val="00C5526A"/>
    <w:rsid w:val="00C62F6C"/>
    <w:rsid w:val="00C63167"/>
    <w:rsid w:val="00C65ACE"/>
    <w:rsid w:val="00C7584D"/>
    <w:rsid w:val="00C767DC"/>
    <w:rsid w:val="00C90237"/>
    <w:rsid w:val="00C90276"/>
    <w:rsid w:val="00CA0B18"/>
    <w:rsid w:val="00CA17EF"/>
    <w:rsid w:val="00CA62DA"/>
    <w:rsid w:val="00CB4837"/>
    <w:rsid w:val="00CB4F99"/>
    <w:rsid w:val="00CD6ED1"/>
    <w:rsid w:val="00CE31EB"/>
    <w:rsid w:val="00CF6B1C"/>
    <w:rsid w:val="00D06E45"/>
    <w:rsid w:val="00D11CED"/>
    <w:rsid w:val="00D1645F"/>
    <w:rsid w:val="00D16A13"/>
    <w:rsid w:val="00D307F0"/>
    <w:rsid w:val="00D33E0E"/>
    <w:rsid w:val="00D3636D"/>
    <w:rsid w:val="00D4726D"/>
    <w:rsid w:val="00D57F30"/>
    <w:rsid w:val="00D6054B"/>
    <w:rsid w:val="00D6695E"/>
    <w:rsid w:val="00D723A0"/>
    <w:rsid w:val="00D73933"/>
    <w:rsid w:val="00D75EC5"/>
    <w:rsid w:val="00D7648F"/>
    <w:rsid w:val="00D914D2"/>
    <w:rsid w:val="00D9553C"/>
    <w:rsid w:val="00D96992"/>
    <w:rsid w:val="00DA023B"/>
    <w:rsid w:val="00DB36B3"/>
    <w:rsid w:val="00DB4244"/>
    <w:rsid w:val="00DB7F5C"/>
    <w:rsid w:val="00DC2728"/>
    <w:rsid w:val="00DC3589"/>
    <w:rsid w:val="00DC5E4B"/>
    <w:rsid w:val="00DC713F"/>
    <w:rsid w:val="00DC7F7B"/>
    <w:rsid w:val="00DD39B8"/>
    <w:rsid w:val="00DE7AE0"/>
    <w:rsid w:val="00DF7A20"/>
    <w:rsid w:val="00E04C26"/>
    <w:rsid w:val="00E15E3A"/>
    <w:rsid w:val="00E21317"/>
    <w:rsid w:val="00E21CBD"/>
    <w:rsid w:val="00E25C8E"/>
    <w:rsid w:val="00E46A48"/>
    <w:rsid w:val="00E51EFE"/>
    <w:rsid w:val="00E859CC"/>
    <w:rsid w:val="00E9272E"/>
    <w:rsid w:val="00E97452"/>
    <w:rsid w:val="00EA3D70"/>
    <w:rsid w:val="00EB2019"/>
    <w:rsid w:val="00EC125C"/>
    <w:rsid w:val="00EC3370"/>
    <w:rsid w:val="00EC33C7"/>
    <w:rsid w:val="00EC471A"/>
    <w:rsid w:val="00ED400C"/>
    <w:rsid w:val="00ED4DFD"/>
    <w:rsid w:val="00EE02C2"/>
    <w:rsid w:val="00EF15EF"/>
    <w:rsid w:val="00EF4E7B"/>
    <w:rsid w:val="00EF55EE"/>
    <w:rsid w:val="00EF7643"/>
    <w:rsid w:val="00EF7B3E"/>
    <w:rsid w:val="00F00739"/>
    <w:rsid w:val="00F00789"/>
    <w:rsid w:val="00F15417"/>
    <w:rsid w:val="00F23B2A"/>
    <w:rsid w:val="00F24198"/>
    <w:rsid w:val="00F27B40"/>
    <w:rsid w:val="00F3312B"/>
    <w:rsid w:val="00F33D7F"/>
    <w:rsid w:val="00F40AEC"/>
    <w:rsid w:val="00F43315"/>
    <w:rsid w:val="00F65037"/>
    <w:rsid w:val="00F70D49"/>
    <w:rsid w:val="00F76BF0"/>
    <w:rsid w:val="00F80D63"/>
    <w:rsid w:val="00F8138D"/>
    <w:rsid w:val="00F86946"/>
    <w:rsid w:val="00F92C53"/>
    <w:rsid w:val="00F93A37"/>
    <w:rsid w:val="00F95C26"/>
    <w:rsid w:val="00FA1667"/>
    <w:rsid w:val="00FA3058"/>
    <w:rsid w:val="00FA533F"/>
    <w:rsid w:val="00FA6ACC"/>
    <w:rsid w:val="00FB2AF5"/>
    <w:rsid w:val="00FC219F"/>
    <w:rsid w:val="00FC238D"/>
    <w:rsid w:val="00FD4FAF"/>
    <w:rsid w:val="00FE22A5"/>
    <w:rsid w:val="00FE79BC"/>
    <w:rsid w:val="00FE7DE8"/>
    <w:rsid w:val="00FF30AB"/>
    <w:rsid w:val="00FF3683"/>
    <w:rsid w:val="00FF554F"/>
    <w:rsid w:val="00FF578F"/>
    <w:rsid w:val="00FF7456"/>
    <w:rsid w:val="012C687B"/>
    <w:rsid w:val="01562BF7"/>
    <w:rsid w:val="01785675"/>
    <w:rsid w:val="01B72FDE"/>
    <w:rsid w:val="01B75B74"/>
    <w:rsid w:val="023B5B93"/>
    <w:rsid w:val="032234B3"/>
    <w:rsid w:val="03DE3866"/>
    <w:rsid w:val="03E04B6A"/>
    <w:rsid w:val="03F12CC2"/>
    <w:rsid w:val="03FA4DAE"/>
    <w:rsid w:val="04272D60"/>
    <w:rsid w:val="04441B5E"/>
    <w:rsid w:val="0449110F"/>
    <w:rsid w:val="04922410"/>
    <w:rsid w:val="04E27C10"/>
    <w:rsid w:val="051F7A75"/>
    <w:rsid w:val="053366E6"/>
    <w:rsid w:val="054A6C92"/>
    <w:rsid w:val="054F27C3"/>
    <w:rsid w:val="058B6DA4"/>
    <w:rsid w:val="058C4826"/>
    <w:rsid w:val="058D5B2B"/>
    <w:rsid w:val="05B60993"/>
    <w:rsid w:val="05F10904"/>
    <w:rsid w:val="072E19D4"/>
    <w:rsid w:val="0756780B"/>
    <w:rsid w:val="08200062"/>
    <w:rsid w:val="08325DB5"/>
    <w:rsid w:val="083C7992"/>
    <w:rsid w:val="083E573D"/>
    <w:rsid w:val="08575FBE"/>
    <w:rsid w:val="08617552"/>
    <w:rsid w:val="086735A3"/>
    <w:rsid w:val="0889521E"/>
    <w:rsid w:val="08EC4D76"/>
    <w:rsid w:val="08F438BE"/>
    <w:rsid w:val="09731C0E"/>
    <w:rsid w:val="09B90184"/>
    <w:rsid w:val="0A0D1E0C"/>
    <w:rsid w:val="0A3A6153"/>
    <w:rsid w:val="0A482EEB"/>
    <w:rsid w:val="0A627318"/>
    <w:rsid w:val="0A6328D3"/>
    <w:rsid w:val="0AB410E6"/>
    <w:rsid w:val="0BB43C70"/>
    <w:rsid w:val="0BD95C00"/>
    <w:rsid w:val="0BFC7B7F"/>
    <w:rsid w:val="0C1237DB"/>
    <w:rsid w:val="0C206374"/>
    <w:rsid w:val="0C605AD8"/>
    <w:rsid w:val="0C744FB4"/>
    <w:rsid w:val="0C93659B"/>
    <w:rsid w:val="0CC20740"/>
    <w:rsid w:val="0CC54BB3"/>
    <w:rsid w:val="0CDA3224"/>
    <w:rsid w:val="0CF672D1"/>
    <w:rsid w:val="0D06536D"/>
    <w:rsid w:val="0D0B7276"/>
    <w:rsid w:val="0D113AB2"/>
    <w:rsid w:val="0D4A6D5B"/>
    <w:rsid w:val="0D5A58EB"/>
    <w:rsid w:val="0DEC0AE2"/>
    <w:rsid w:val="0E506644"/>
    <w:rsid w:val="0EAC03A0"/>
    <w:rsid w:val="0EDA076B"/>
    <w:rsid w:val="0F65746E"/>
    <w:rsid w:val="0F8F7B0D"/>
    <w:rsid w:val="0FBF6FF0"/>
    <w:rsid w:val="0FCD031D"/>
    <w:rsid w:val="0FD77389"/>
    <w:rsid w:val="10090E5D"/>
    <w:rsid w:val="100C763C"/>
    <w:rsid w:val="105E5277"/>
    <w:rsid w:val="109542C4"/>
    <w:rsid w:val="109B61CD"/>
    <w:rsid w:val="10DE213A"/>
    <w:rsid w:val="10FF0696"/>
    <w:rsid w:val="11532616"/>
    <w:rsid w:val="116F3C27"/>
    <w:rsid w:val="117B32BD"/>
    <w:rsid w:val="1184614B"/>
    <w:rsid w:val="11EA09CA"/>
    <w:rsid w:val="11F6508A"/>
    <w:rsid w:val="12071486"/>
    <w:rsid w:val="122A23F0"/>
    <w:rsid w:val="128C30FA"/>
    <w:rsid w:val="12A365A3"/>
    <w:rsid w:val="12B63608"/>
    <w:rsid w:val="12FE3439"/>
    <w:rsid w:val="13110DD5"/>
    <w:rsid w:val="13165595"/>
    <w:rsid w:val="13371015"/>
    <w:rsid w:val="134712AF"/>
    <w:rsid w:val="13611E59"/>
    <w:rsid w:val="13693E46"/>
    <w:rsid w:val="136A4CE7"/>
    <w:rsid w:val="1379070E"/>
    <w:rsid w:val="13EE74BE"/>
    <w:rsid w:val="143C0B97"/>
    <w:rsid w:val="14687188"/>
    <w:rsid w:val="14732F9B"/>
    <w:rsid w:val="14782CA6"/>
    <w:rsid w:val="14A532A1"/>
    <w:rsid w:val="14BF1D95"/>
    <w:rsid w:val="151F0EB5"/>
    <w:rsid w:val="15565876"/>
    <w:rsid w:val="156E3D04"/>
    <w:rsid w:val="15A54611"/>
    <w:rsid w:val="15CF79D4"/>
    <w:rsid w:val="15E8637F"/>
    <w:rsid w:val="16560BB2"/>
    <w:rsid w:val="16760498"/>
    <w:rsid w:val="167669E7"/>
    <w:rsid w:val="16B11CB1"/>
    <w:rsid w:val="16F37B36"/>
    <w:rsid w:val="176F4F02"/>
    <w:rsid w:val="177244BD"/>
    <w:rsid w:val="17725E86"/>
    <w:rsid w:val="178B572B"/>
    <w:rsid w:val="17982843"/>
    <w:rsid w:val="17B26C70"/>
    <w:rsid w:val="17DB0903"/>
    <w:rsid w:val="17E52942"/>
    <w:rsid w:val="1855493F"/>
    <w:rsid w:val="1887214B"/>
    <w:rsid w:val="18B34294"/>
    <w:rsid w:val="18DF7FE8"/>
    <w:rsid w:val="19BD7FCA"/>
    <w:rsid w:val="19D05965"/>
    <w:rsid w:val="1A49562F"/>
    <w:rsid w:val="1A8E59AF"/>
    <w:rsid w:val="1A8F2520"/>
    <w:rsid w:val="1A955D8A"/>
    <w:rsid w:val="1AB3725D"/>
    <w:rsid w:val="1AD340DB"/>
    <w:rsid w:val="1ADE05E2"/>
    <w:rsid w:val="1B1C3409"/>
    <w:rsid w:val="1B3255AD"/>
    <w:rsid w:val="1B393FC1"/>
    <w:rsid w:val="1B633B7D"/>
    <w:rsid w:val="1B9C71DA"/>
    <w:rsid w:val="1BA05B71"/>
    <w:rsid w:val="1BA57518"/>
    <w:rsid w:val="1BD54DB6"/>
    <w:rsid w:val="1BD815BE"/>
    <w:rsid w:val="1BEE3761"/>
    <w:rsid w:val="1BFD5C42"/>
    <w:rsid w:val="1C2A22C1"/>
    <w:rsid w:val="1C361957"/>
    <w:rsid w:val="1C395ACC"/>
    <w:rsid w:val="1C484BD1"/>
    <w:rsid w:val="1CC00AB7"/>
    <w:rsid w:val="1CC214DB"/>
    <w:rsid w:val="1CDD2776"/>
    <w:rsid w:val="1CDF6DC5"/>
    <w:rsid w:val="1CFD64A9"/>
    <w:rsid w:val="1D0C0706"/>
    <w:rsid w:val="1D6445C8"/>
    <w:rsid w:val="1DCA77EF"/>
    <w:rsid w:val="1DDD2F8D"/>
    <w:rsid w:val="1E455657"/>
    <w:rsid w:val="1E8A2551"/>
    <w:rsid w:val="1EFF4369"/>
    <w:rsid w:val="1F710E25"/>
    <w:rsid w:val="1F7652AC"/>
    <w:rsid w:val="1FA50867"/>
    <w:rsid w:val="20112F2C"/>
    <w:rsid w:val="202A02E8"/>
    <w:rsid w:val="204022D8"/>
    <w:rsid w:val="20F32DEF"/>
    <w:rsid w:val="216215D5"/>
    <w:rsid w:val="21870A70"/>
    <w:rsid w:val="21C328F3"/>
    <w:rsid w:val="21FB04CE"/>
    <w:rsid w:val="223573AF"/>
    <w:rsid w:val="229606CD"/>
    <w:rsid w:val="2297034D"/>
    <w:rsid w:val="229E7CD7"/>
    <w:rsid w:val="229F26DF"/>
    <w:rsid w:val="2302327F"/>
    <w:rsid w:val="23082ED8"/>
    <w:rsid w:val="232C07AC"/>
    <w:rsid w:val="23411146"/>
    <w:rsid w:val="23EF5E38"/>
    <w:rsid w:val="23FD0F19"/>
    <w:rsid w:val="24556CF8"/>
    <w:rsid w:val="24E67C40"/>
    <w:rsid w:val="24F07227"/>
    <w:rsid w:val="251E0675"/>
    <w:rsid w:val="25A951E4"/>
    <w:rsid w:val="25C40884"/>
    <w:rsid w:val="25C82C57"/>
    <w:rsid w:val="25D2561C"/>
    <w:rsid w:val="25D97C51"/>
    <w:rsid w:val="260C0C79"/>
    <w:rsid w:val="262940BD"/>
    <w:rsid w:val="265E5200"/>
    <w:rsid w:val="267F234A"/>
    <w:rsid w:val="26B24032"/>
    <w:rsid w:val="26B62ADA"/>
    <w:rsid w:val="270B661D"/>
    <w:rsid w:val="273B2761"/>
    <w:rsid w:val="27401076"/>
    <w:rsid w:val="2741502E"/>
    <w:rsid w:val="27D824EE"/>
    <w:rsid w:val="280136B2"/>
    <w:rsid w:val="281E099D"/>
    <w:rsid w:val="282A31F1"/>
    <w:rsid w:val="282C18E4"/>
    <w:rsid w:val="28836D01"/>
    <w:rsid w:val="28990513"/>
    <w:rsid w:val="28AA2846"/>
    <w:rsid w:val="29283114"/>
    <w:rsid w:val="292D1B70"/>
    <w:rsid w:val="29BD1409"/>
    <w:rsid w:val="29C51798"/>
    <w:rsid w:val="29CB291D"/>
    <w:rsid w:val="2A803E28"/>
    <w:rsid w:val="2A8E045D"/>
    <w:rsid w:val="2AAC620A"/>
    <w:rsid w:val="2AD134D0"/>
    <w:rsid w:val="2AD157E9"/>
    <w:rsid w:val="2AD464BD"/>
    <w:rsid w:val="2AD64402"/>
    <w:rsid w:val="2B0B32AA"/>
    <w:rsid w:val="2B7C6874"/>
    <w:rsid w:val="2B966A33"/>
    <w:rsid w:val="2BF000A4"/>
    <w:rsid w:val="2C0931CD"/>
    <w:rsid w:val="2C2E2107"/>
    <w:rsid w:val="2C332846"/>
    <w:rsid w:val="2C3F7E23"/>
    <w:rsid w:val="2C4C7FAC"/>
    <w:rsid w:val="2C787FCC"/>
    <w:rsid w:val="2C940BB2"/>
    <w:rsid w:val="2CA929C0"/>
    <w:rsid w:val="2D3B618B"/>
    <w:rsid w:val="2D520878"/>
    <w:rsid w:val="2D886EC1"/>
    <w:rsid w:val="2DA3210B"/>
    <w:rsid w:val="2DBB2B93"/>
    <w:rsid w:val="2E2F793E"/>
    <w:rsid w:val="2E992581"/>
    <w:rsid w:val="2ED25BDE"/>
    <w:rsid w:val="2EFF79A7"/>
    <w:rsid w:val="2F137D7A"/>
    <w:rsid w:val="2F3F0791"/>
    <w:rsid w:val="2F5C4D3D"/>
    <w:rsid w:val="2FA6143A"/>
    <w:rsid w:val="2FC20D6A"/>
    <w:rsid w:val="30356A76"/>
    <w:rsid w:val="303867AA"/>
    <w:rsid w:val="308A2D31"/>
    <w:rsid w:val="30A35E59"/>
    <w:rsid w:val="312B4AB9"/>
    <w:rsid w:val="312F12EE"/>
    <w:rsid w:val="314C1846"/>
    <w:rsid w:val="31A47A8A"/>
    <w:rsid w:val="31BF532C"/>
    <w:rsid w:val="327A7C5E"/>
    <w:rsid w:val="328823F9"/>
    <w:rsid w:val="32B34462"/>
    <w:rsid w:val="32E20907"/>
    <w:rsid w:val="33091D11"/>
    <w:rsid w:val="33706858"/>
    <w:rsid w:val="339A00B5"/>
    <w:rsid w:val="33A90403"/>
    <w:rsid w:val="33B021C2"/>
    <w:rsid w:val="33CB0884"/>
    <w:rsid w:val="34386CBA"/>
    <w:rsid w:val="344A37EF"/>
    <w:rsid w:val="34677809"/>
    <w:rsid w:val="346F6E14"/>
    <w:rsid w:val="34894F51"/>
    <w:rsid w:val="348A1568"/>
    <w:rsid w:val="34C45C9F"/>
    <w:rsid w:val="34EC7A62"/>
    <w:rsid w:val="34ED71D7"/>
    <w:rsid w:val="35497DFC"/>
    <w:rsid w:val="355116D3"/>
    <w:rsid w:val="357F3FB8"/>
    <w:rsid w:val="35982C6C"/>
    <w:rsid w:val="361F64F5"/>
    <w:rsid w:val="363B2C08"/>
    <w:rsid w:val="3652282D"/>
    <w:rsid w:val="366E2B71"/>
    <w:rsid w:val="36712C3D"/>
    <w:rsid w:val="369E4EAA"/>
    <w:rsid w:val="36DA02B7"/>
    <w:rsid w:val="36E110C9"/>
    <w:rsid w:val="36E3431A"/>
    <w:rsid w:val="37225230"/>
    <w:rsid w:val="37587B5C"/>
    <w:rsid w:val="375955DE"/>
    <w:rsid w:val="376C3BC3"/>
    <w:rsid w:val="37A67753"/>
    <w:rsid w:val="37C6490D"/>
    <w:rsid w:val="38E96536"/>
    <w:rsid w:val="396E60F2"/>
    <w:rsid w:val="39BF6AC6"/>
    <w:rsid w:val="39C44E13"/>
    <w:rsid w:val="3A171E85"/>
    <w:rsid w:val="3A32028A"/>
    <w:rsid w:val="3A385485"/>
    <w:rsid w:val="3A6E1ECB"/>
    <w:rsid w:val="3A9C6182"/>
    <w:rsid w:val="3ADB199C"/>
    <w:rsid w:val="3AF834CA"/>
    <w:rsid w:val="3B1A787E"/>
    <w:rsid w:val="3B212110"/>
    <w:rsid w:val="3B5271AE"/>
    <w:rsid w:val="3B6B4404"/>
    <w:rsid w:val="3B83140E"/>
    <w:rsid w:val="3B840AAF"/>
    <w:rsid w:val="3B8678B6"/>
    <w:rsid w:val="3BB33BFE"/>
    <w:rsid w:val="3C022A83"/>
    <w:rsid w:val="3C0D4125"/>
    <w:rsid w:val="3C1C7DAA"/>
    <w:rsid w:val="3C9C50DC"/>
    <w:rsid w:val="3CD91462"/>
    <w:rsid w:val="3CFA521A"/>
    <w:rsid w:val="3D145DC3"/>
    <w:rsid w:val="3D595233"/>
    <w:rsid w:val="3D716CED"/>
    <w:rsid w:val="3DE5069A"/>
    <w:rsid w:val="3E2A590C"/>
    <w:rsid w:val="3F6D7BBB"/>
    <w:rsid w:val="3F996DE7"/>
    <w:rsid w:val="3FC73382"/>
    <w:rsid w:val="3FE710E5"/>
    <w:rsid w:val="4032477F"/>
    <w:rsid w:val="40440C61"/>
    <w:rsid w:val="40E054C7"/>
    <w:rsid w:val="41101E67"/>
    <w:rsid w:val="4135208B"/>
    <w:rsid w:val="414666B5"/>
    <w:rsid w:val="414D6A54"/>
    <w:rsid w:val="419A71F3"/>
    <w:rsid w:val="41DC6530"/>
    <w:rsid w:val="41E975B0"/>
    <w:rsid w:val="41F72149"/>
    <w:rsid w:val="42145E76"/>
    <w:rsid w:val="422B389D"/>
    <w:rsid w:val="427F3327"/>
    <w:rsid w:val="429060EA"/>
    <w:rsid w:val="42D74990"/>
    <w:rsid w:val="42F567E9"/>
    <w:rsid w:val="432F0FB3"/>
    <w:rsid w:val="438B2560"/>
    <w:rsid w:val="43A00E80"/>
    <w:rsid w:val="44071B29"/>
    <w:rsid w:val="441049B7"/>
    <w:rsid w:val="441379F2"/>
    <w:rsid w:val="441930C8"/>
    <w:rsid w:val="448E08A3"/>
    <w:rsid w:val="44EA090C"/>
    <w:rsid w:val="450C66EB"/>
    <w:rsid w:val="45591E70"/>
    <w:rsid w:val="45624364"/>
    <w:rsid w:val="457110FB"/>
    <w:rsid w:val="459638BA"/>
    <w:rsid w:val="463446BC"/>
    <w:rsid w:val="469211D3"/>
    <w:rsid w:val="46C61A2D"/>
    <w:rsid w:val="472707CD"/>
    <w:rsid w:val="47852BC0"/>
    <w:rsid w:val="47E80980"/>
    <w:rsid w:val="47EF5275"/>
    <w:rsid w:val="47F75622"/>
    <w:rsid w:val="48262E51"/>
    <w:rsid w:val="48673685"/>
    <w:rsid w:val="491E2E86"/>
    <w:rsid w:val="494168BE"/>
    <w:rsid w:val="497F11C2"/>
    <w:rsid w:val="499B5CD3"/>
    <w:rsid w:val="49A3785C"/>
    <w:rsid w:val="49A464A0"/>
    <w:rsid w:val="4A051617"/>
    <w:rsid w:val="4A2778A6"/>
    <w:rsid w:val="4A876BD5"/>
    <w:rsid w:val="4A8D0ADE"/>
    <w:rsid w:val="4A9546D8"/>
    <w:rsid w:val="4AAA7711"/>
    <w:rsid w:val="4AC00034"/>
    <w:rsid w:val="4AD124CC"/>
    <w:rsid w:val="4B076F62"/>
    <w:rsid w:val="4B0B13AD"/>
    <w:rsid w:val="4B611E8C"/>
    <w:rsid w:val="4B722358"/>
    <w:rsid w:val="4B8D6483"/>
    <w:rsid w:val="4B986A12"/>
    <w:rsid w:val="4BB53DC4"/>
    <w:rsid w:val="4BF300EC"/>
    <w:rsid w:val="4C586E50"/>
    <w:rsid w:val="4CDE4B2B"/>
    <w:rsid w:val="4CE950BA"/>
    <w:rsid w:val="4D774610"/>
    <w:rsid w:val="4D7E7648"/>
    <w:rsid w:val="4DA954F8"/>
    <w:rsid w:val="4DF542F3"/>
    <w:rsid w:val="4E056842"/>
    <w:rsid w:val="4E0D453F"/>
    <w:rsid w:val="4E113C23"/>
    <w:rsid w:val="4E6F1A3E"/>
    <w:rsid w:val="4E7735C7"/>
    <w:rsid w:val="4E8726EB"/>
    <w:rsid w:val="4E912727"/>
    <w:rsid w:val="4ED74CDA"/>
    <w:rsid w:val="4EEB1F69"/>
    <w:rsid w:val="4EED11AF"/>
    <w:rsid w:val="4F4A13A1"/>
    <w:rsid w:val="4F9D33AA"/>
    <w:rsid w:val="4FBB30CE"/>
    <w:rsid w:val="4FDF4343"/>
    <w:rsid w:val="4FEE5D92"/>
    <w:rsid w:val="5008134F"/>
    <w:rsid w:val="50092F8E"/>
    <w:rsid w:val="50186577"/>
    <w:rsid w:val="504F6D33"/>
    <w:rsid w:val="507307D1"/>
    <w:rsid w:val="50812723"/>
    <w:rsid w:val="50C22F3B"/>
    <w:rsid w:val="5139664E"/>
    <w:rsid w:val="51424D5F"/>
    <w:rsid w:val="514327E1"/>
    <w:rsid w:val="51750A31"/>
    <w:rsid w:val="51D569AB"/>
    <w:rsid w:val="5202523E"/>
    <w:rsid w:val="52212A0C"/>
    <w:rsid w:val="52FF0538"/>
    <w:rsid w:val="53370692"/>
    <w:rsid w:val="53672F77"/>
    <w:rsid w:val="53F01145"/>
    <w:rsid w:val="54B95788"/>
    <w:rsid w:val="54E32CBF"/>
    <w:rsid w:val="54E603D9"/>
    <w:rsid w:val="54E838DC"/>
    <w:rsid w:val="55167ADF"/>
    <w:rsid w:val="55866C5D"/>
    <w:rsid w:val="558C43EA"/>
    <w:rsid w:val="55BE361E"/>
    <w:rsid w:val="560F50B3"/>
    <w:rsid w:val="5621723E"/>
    <w:rsid w:val="5622235F"/>
    <w:rsid w:val="563436FD"/>
    <w:rsid w:val="564F598F"/>
    <w:rsid w:val="568E3AD3"/>
    <w:rsid w:val="56BB1258"/>
    <w:rsid w:val="56D70B89"/>
    <w:rsid w:val="56E4241D"/>
    <w:rsid w:val="56FF3FAA"/>
    <w:rsid w:val="57467D1D"/>
    <w:rsid w:val="574D2167"/>
    <w:rsid w:val="57500440"/>
    <w:rsid w:val="5782579E"/>
    <w:rsid w:val="57851700"/>
    <w:rsid w:val="58050A03"/>
    <w:rsid w:val="5810652D"/>
    <w:rsid w:val="583C4F09"/>
    <w:rsid w:val="588D01EC"/>
    <w:rsid w:val="59B911A1"/>
    <w:rsid w:val="59D10C5C"/>
    <w:rsid w:val="5A2B4431"/>
    <w:rsid w:val="5A615BD7"/>
    <w:rsid w:val="5B4019C2"/>
    <w:rsid w:val="5B77571F"/>
    <w:rsid w:val="5B8853FB"/>
    <w:rsid w:val="5BAE1AFA"/>
    <w:rsid w:val="5BC07242"/>
    <w:rsid w:val="5BDA6F0A"/>
    <w:rsid w:val="5BDC2FE2"/>
    <w:rsid w:val="5BF47723"/>
    <w:rsid w:val="5C1509E5"/>
    <w:rsid w:val="5C7B1749"/>
    <w:rsid w:val="5C9B27BA"/>
    <w:rsid w:val="5CFC2F9C"/>
    <w:rsid w:val="5D1715C8"/>
    <w:rsid w:val="5D1B5DD0"/>
    <w:rsid w:val="5D21575A"/>
    <w:rsid w:val="5D620742"/>
    <w:rsid w:val="5D803576"/>
    <w:rsid w:val="5DA4233B"/>
    <w:rsid w:val="5DEF19B9"/>
    <w:rsid w:val="5DFB763C"/>
    <w:rsid w:val="5DFC50BD"/>
    <w:rsid w:val="5E716381"/>
    <w:rsid w:val="5EA30D39"/>
    <w:rsid w:val="5EBC76FA"/>
    <w:rsid w:val="5EBD2F7D"/>
    <w:rsid w:val="5ECC1F13"/>
    <w:rsid w:val="5F14629A"/>
    <w:rsid w:val="5F441A67"/>
    <w:rsid w:val="5F4750E0"/>
    <w:rsid w:val="5F7C037B"/>
    <w:rsid w:val="5FD9588D"/>
    <w:rsid w:val="60017D91"/>
    <w:rsid w:val="6018255B"/>
    <w:rsid w:val="6032214C"/>
    <w:rsid w:val="60343A63"/>
    <w:rsid w:val="606232AE"/>
    <w:rsid w:val="60790CD5"/>
    <w:rsid w:val="60DB1C73"/>
    <w:rsid w:val="60DD7375"/>
    <w:rsid w:val="60E768D0"/>
    <w:rsid w:val="61081DD1"/>
    <w:rsid w:val="61096F7A"/>
    <w:rsid w:val="610E3029"/>
    <w:rsid w:val="6124336C"/>
    <w:rsid w:val="61292B4F"/>
    <w:rsid w:val="612F4F80"/>
    <w:rsid w:val="61373C36"/>
    <w:rsid w:val="615109B8"/>
    <w:rsid w:val="61A00B8F"/>
    <w:rsid w:val="61DC2B1A"/>
    <w:rsid w:val="61F247B7"/>
    <w:rsid w:val="62045246"/>
    <w:rsid w:val="6217167A"/>
    <w:rsid w:val="62386EDA"/>
    <w:rsid w:val="62860C95"/>
    <w:rsid w:val="62CC1D94"/>
    <w:rsid w:val="62EC3532"/>
    <w:rsid w:val="63547F41"/>
    <w:rsid w:val="638763D9"/>
    <w:rsid w:val="63A922B3"/>
    <w:rsid w:val="6449314F"/>
    <w:rsid w:val="64741502"/>
    <w:rsid w:val="64A358AC"/>
    <w:rsid w:val="64B21C64"/>
    <w:rsid w:val="6510045E"/>
    <w:rsid w:val="655D4CDA"/>
    <w:rsid w:val="656F518E"/>
    <w:rsid w:val="66216657"/>
    <w:rsid w:val="66487559"/>
    <w:rsid w:val="664A4D92"/>
    <w:rsid w:val="66721FC2"/>
    <w:rsid w:val="66756D59"/>
    <w:rsid w:val="6679192E"/>
    <w:rsid w:val="66B25959"/>
    <w:rsid w:val="66D5282C"/>
    <w:rsid w:val="66DB09CF"/>
    <w:rsid w:val="674E3DF0"/>
    <w:rsid w:val="67B92DBE"/>
    <w:rsid w:val="67BE43AB"/>
    <w:rsid w:val="68256629"/>
    <w:rsid w:val="682F7FFB"/>
    <w:rsid w:val="685D37C7"/>
    <w:rsid w:val="688D0CC5"/>
    <w:rsid w:val="68B90CB2"/>
    <w:rsid w:val="68E95479"/>
    <w:rsid w:val="69154B8A"/>
    <w:rsid w:val="69262B12"/>
    <w:rsid w:val="692A5DD2"/>
    <w:rsid w:val="693571E0"/>
    <w:rsid w:val="69621119"/>
    <w:rsid w:val="69F03C74"/>
    <w:rsid w:val="6A2B4494"/>
    <w:rsid w:val="6A4341E3"/>
    <w:rsid w:val="6ABF0C4F"/>
    <w:rsid w:val="6AFD6E95"/>
    <w:rsid w:val="6AFE4916"/>
    <w:rsid w:val="6B463AD3"/>
    <w:rsid w:val="6B850073"/>
    <w:rsid w:val="6B8D2F01"/>
    <w:rsid w:val="6BA32EA6"/>
    <w:rsid w:val="6BB71B46"/>
    <w:rsid w:val="6BE771E0"/>
    <w:rsid w:val="6BF105FF"/>
    <w:rsid w:val="6C0D6CD2"/>
    <w:rsid w:val="6C3D7821"/>
    <w:rsid w:val="6C4D333F"/>
    <w:rsid w:val="6C4E553D"/>
    <w:rsid w:val="6C6110BF"/>
    <w:rsid w:val="6CD74A6D"/>
    <w:rsid w:val="6CFE1E3B"/>
    <w:rsid w:val="6D84656C"/>
    <w:rsid w:val="6D9F3BE5"/>
    <w:rsid w:val="6DB203FF"/>
    <w:rsid w:val="6DE05CD4"/>
    <w:rsid w:val="6DEB74D8"/>
    <w:rsid w:val="6DFD7E7C"/>
    <w:rsid w:val="6E32225B"/>
    <w:rsid w:val="6E334459"/>
    <w:rsid w:val="6E5714FF"/>
    <w:rsid w:val="6F2B6BEF"/>
    <w:rsid w:val="6F310AF8"/>
    <w:rsid w:val="6F360803"/>
    <w:rsid w:val="6F7C56F5"/>
    <w:rsid w:val="6F873A86"/>
    <w:rsid w:val="6FCA43FE"/>
    <w:rsid w:val="6FD75B93"/>
    <w:rsid w:val="70077534"/>
    <w:rsid w:val="70080B5C"/>
    <w:rsid w:val="70126BC7"/>
    <w:rsid w:val="70307D42"/>
    <w:rsid w:val="705553D8"/>
    <w:rsid w:val="70A0425A"/>
    <w:rsid w:val="70AC166A"/>
    <w:rsid w:val="70E5402B"/>
    <w:rsid w:val="714C18BC"/>
    <w:rsid w:val="716B3833"/>
    <w:rsid w:val="717A746F"/>
    <w:rsid w:val="718C2ED6"/>
    <w:rsid w:val="718F3E5B"/>
    <w:rsid w:val="71C77838"/>
    <w:rsid w:val="71D22D7A"/>
    <w:rsid w:val="71F24C08"/>
    <w:rsid w:val="72070621"/>
    <w:rsid w:val="722865D8"/>
    <w:rsid w:val="727F276B"/>
    <w:rsid w:val="72A72729"/>
    <w:rsid w:val="72F07947"/>
    <w:rsid w:val="72FC60A4"/>
    <w:rsid w:val="73042AC3"/>
    <w:rsid w:val="732764FB"/>
    <w:rsid w:val="734207AF"/>
    <w:rsid w:val="739553D7"/>
    <w:rsid w:val="73E269A6"/>
    <w:rsid w:val="73FE06C5"/>
    <w:rsid w:val="74350C36"/>
    <w:rsid w:val="74621B1D"/>
    <w:rsid w:val="7464257C"/>
    <w:rsid w:val="74666DF6"/>
    <w:rsid w:val="74A96777"/>
    <w:rsid w:val="74D777E8"/>
    <w:rsid w:val="74F963F6"/>
    <w:rsid w:val="74FA76FB"/>
    <w:rsid w:val="752217B8"/>
    <w:rsid w:val="7523723A"/>
    <w:rsid w:val="75442FF2"/>
    <w:rsid w:val="757949F0"/>
    <w:rsid w:val="75D75DE4"/>
    <w:rsid w:val="76466098"/>
    <w:rsid w:val="764F0F26"/>
    <w:rsid w:val="768716B0"/>
    <w:rsid w:val="76A72C39"/>
    <w:rsid w:val="77016106"/>
    <w:rsid w:val="773A7C2A"/>
    <w:rsid w:val="776C5E7A"/>
    <w:rsid w:val="77866A24"/>
    <w:rsid w:val="77981002"/>
    <w:rsid w:val="77CC4F9A"/>
    <w:rsid w:val="77F21BB9"/>
    <w:rsid w:val="78223477"/>
    <w:rsid w:val="784760C5"/>
    <w:rsid w:val="789D1A6F"/>
    <w:rsid w:val="789E7CD8"/>
    <w:rsid w:val="79032A98"/>
    <w:rsid w:val="7918496C"/>
    <w:rsid w:val="791D5841"/>
    <w:rsid w:val="795E1A03"/>
    <w:rsid w:val="799C1992"/>
    <w:rsid w:val="79E113BD"/>
    <w:rsid w:val="7A207202"/>
    <w:rsid w:val="7A4869B1"/>
    <w:rsid w:val="7A6647DD"/>
    <w:rsid w:val="7A8E0021"/>
    <w:rsid w:val="7A905959"/>
    <w:rsid w:val="7ACF1679"/>
    <w:rsid w:val="7ADB489D"/>
    <w:rsid w:val="7AFF705B"/>
    <w:rsid w:val="7B3152AC"/>
    <w:rsid w:val="7B5B3EF1"/>
    <w:rsid w:val="7B873D32"/>
    <w:rsid w:val="7C014C99"/>
    <w:rsid w:val="7C1B2CAB"/>
    <w:rsid w:val="7C2648BF"/>
    <w:rsid w:val="7C3334D6"/>
    <w:rsid w:val="7C536688"/>
    <w:rsid w:val="7D1F3620"/>
    <w:rsid w:val="7D2B43BB"/>
    <w:rsid w:val="7D8540F1"/>
    <w:rsid w:val="7D9D7924"/>
    <w:rsid w:val="7DEC5247"/>
    <w:rsid w:val="7DF601EB"/>
    <w:rsid w:val="7E1F6BF8"/>
    <w:rsid w:val="7E34331A"/>
    <w:rsid w:val="7EB65E72"/>
    <w:rsid w:val="7ECF286F"/>
    <w:rsid w:val="7EF8435D"/>
    <w:rsid w:val="7F4E37F7"/>
    <w:rsid w:val="7F712D22"/>
    <w:rsid w:val="7FBB0BC4"/>
    <w:rsid w:val="7FEA29E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D77399B"/>
  <w15:docId w15:val="{78193A61-C4B5-43EC-A512-5B505D04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tulo1">
    <w:name w:val="heading 1"/>
    <w:basedOn w:val="Normal"/>
    <w:next w:val="Normal"/>
    <w:link w:val="Ttulo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CdigoHTML">
    <w:name w:val="HTML Code"/>
    <w:basedOn w:val="Fontepargpadro"/>
    <w:uiPriority w:val="99"/>
    <w:semiHidden/>
    <w:unhideWhenUsed/>
    <w:qFormat/>
    <w:rPr>
      <w:rFonts w:ascii="Courier New" w:hAnsi="Courier New" w:cs="Courier New"/>
      <w:sz w:val="20"/>
      <w:szCs w:val="20"/>
    </w:rPr>
  </w:style>
  <w:style w:type="character" w:styleId="nfase">
    <w:name w:val="Emphasis"/>
    <w:basedOn w:val="Fontepargpadro"/>
    <w:uiPriority w:val="20"/>
    <w:qFormat/>
    <w:rPr>
      <w:i/>
      <w:iCs/>
    </w:rPr>
  </w:style>
  <w:style w:type="character" w:styleId="CitaoHTML">
    <w:name w:val="HTML Cite"/>
    <w:basedOn w:val="Fontepargpadro"/>
    <w:uiPriority w:val="99"/>
    <w:semiHidden/>
    <w:unhideWhenUsed/>
    <w:qFormat/>
    <w:rPr>
      <w:i/>
      <w:iCs/>
    </w:rPr>
  </w:style>
  <w:style w:type="character" w:styleId="Hyperlink">
    <w:name w:val="Hyperlink"/>
    <w:basedOn w:val="Fontepargpadro"/>
    <w:uiPriority w:val="99"/>
    <w:unhideWhenUsed/>
    <w:qFormat/>
    <w:rPr>
      <w:color w:val="0563C1" w:themeColor="hyperlink"/>
      <w:u w:val="single"/>
    </w:rPr>
  </w:style>
  <w:style w:type="paragraph" w:styleId="Corpodetexto">
    <w:name w:val="Body Text"/>
    <w:basedOn w:val="Normal"/>
    <w:uiPriority w:val="1"/>
    <w:qFormat/>
    <w:rPr>
      <w:rFonts w:ascii="Times New Roman" w:eastAsia="Times New Roman" w:hAnsi="Times New Roman" w:cs="Times New Roman"/>
      <w:lang w:val="en-US"/>
    </w:rPr>
  </w:style>
  <w:style w:type="paragraph" w:styleId="Ttulo">
    <w:name w:val="Title"/>
    <w:basedOn w:val="Normal"/>
    <w:link w:val="Ttulo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qFormat/>
    <w:pPr>
      <w:spacing w:beforeAutospacing="1" w:afterAutospacing="1"/>
    </w:pPr>
    <w:rPr>
      <w:rFonts w:ascii="Times New Roman" w:eastAsia="SimSun" w:hAnsi="Times New Roman" w:cs="Times New Roman"/>
      <w:szCs w:val="24"/>
      <w:lang w:val="en-US" w:eastAsia="zh-CN"/>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Subttulo">
    <w:name w:val="Subtitle"/>
    <w:basedOn w:val="Normal"/>
    <w:next w:val="Normal"/>
    <w:link w:val="SubttuloChar"/>
    <w:uiPriority w:val="11"/>
    <w:qFormat/>
    <w:rPr>
      <w:rFonts w:eastAsiaTheme="majorEastAsia" w:cstheme="majorBidi"/>
      <w:color w:val="595959" w:themeColor="text1" w:themeTint="A6"/>
      <w:spacing w:val="15"/>
      <w:sz w:val="28"/>
      <w:szCs w:val="28"/>
    </w:rPr>
  </w:style>
  <w:style w:type="table" w:styleId="Tabelacomgrade">
    <w:name w:val="Table Grid"/>
    <w:uiPriority w:val="99"/>
    <w:qFormat/>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0" w:type="dxa"/>
        <w:bottom w:w="0" w:type="dxa"/>
        <w:right w:w="100" w:type="dxa"/>
      </w:tblCellMar>
    </w:tblPr>
    <w:tcPr>
      <w:tcBorders>
        <w:top w:val="single" w:sz="2" w:space="0" w:color="auto"/>
        <w:left w:val="single" w:sz="2" w:space="0" w:color="auto"/>
        <w:bottom w:val="single" w:sz="2" w:space="0" w:color="auto"/>
        <w:right w:val="single" w:sz="2" w:space="0" w:color="auto"/>
      </w:tcBorders>
    </w:tc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qFormat/>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qFormat/>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qFormat/>
    <w:rPr>
      <w:rFonts w:eastAsiaTheme="majorEastAsia" w:cstheme="majorBidi"/>
      <w:color w:val="2F5496" w:themeColor="accent1" w:themeShade="BF"/>
    </w:rPr>
  </w:style>
  <w:style w:type="character" w:customStyle="1" w:styleId="Ttulo6Char">
    <w:name w:val="Título 6 Char"/>
    <w:basedOn w:val="Fontepargpadro"/>
    <w:link w:val="Ttulo6"/>
    <w:uiPriority w:val="9"/>
    <w:semiHidden/>
    <w:qFormat/>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Pr>
      <w:rFonts w:eastAsiaTheme="majorEastAsia" w:cstheme="majorBidi"/>
      <w:i/>
      <w:iCs/>
      <w:color w:val="262626" w:themeColor="text1" w:themeTint="D9"/>
    </w:rPr>
  </w:style>
  <w:style w:type="character" w:customStyle="1" w:styleId="Ttulo9Char">
    <w:name w:val="Título 9 Char"/>
    <w:basedOn w:val="Fontepargpadro"/>
    <w:link w:val="Ttulo9"/>
    <w:uiPriority w:val="9"/>
    <w:semiHidden/>
    <w:qFormat/>
    <w:rPr>
      <w:rFonts w:eastAsiaTheme="majorEastAsia" w:cstheme="majorBidi"/>
      <w:color w:val="262626" w:themeColor="text1" w:themeTint="D9"/>
    </w:rPr>
  </w:style>
  <w:style w:type="character" w:customStyle="1" w:styleId="TtuloChar">
    <w:name w:val="Título Char"/>
    <w:basedOn w:val="Fontepargpadro"/>
    <w:link w:val="Ttulo"/>
    <w:uiPriority w:val="10"/>
    <w:qFormat/>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qFormat/>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qFormat/>
    <w:rPr>
      <w:i/>
      <w:iCs/>
      <w:color w:val="404040" w:themeColor="text1" w:themeTint="BF"/>
    </w:rPr>
  </w:style>
  <w:style w:type="paragraph" w:styleId="PargrafodaLista">
    <w:name w:val="List Paragraph"/>
    <w:basedOn w:val="Normal"/>
    <w:uiPriority w:val="34"/>
    <w:qFormat/>
    <w:pPr>
      <w:ind w:left="720"/>
      <w:contextualSpacing/>
    </w:pPr>
  </w:style>
  <w:style w:type="character" w:customStyle="1" w:styleId="nfaseIntensa1">
    <w:name w:val="Ênfase Intensa1"/>
    <w:basedOn w:val="Fontepargpadro"/>
    <w:uiPriority w:val="21"/>
    <w:qFormat/>
    <w:rPr>
      <w:i/>
      <w:iCs/>
      <w:color w:val="2F5496" w:themeColor="accent1" w:themeShade="BF"/>
    </w:rPr>
  </w:style>
  <w:style w:type="paragraph" w:styleId="CitaoIntensa">
    <w:name w:val="Intense Quote"/>
    <w:basedOn w:val="Normal"/>
    <w:next w:val="Normal"/>
    <w:link w:val="CitaoIntensa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qFormat/>
    <w:rPr>
      <w:i/>
      <w:iCs/>
      <w:color w:val="2F5496" w:themeColor="accent1" w:themeShade="BF"/>
    </w:rPr>
  </w:style>
  <w:style w:type="character" w:customStyle="1" w:styleId="RefernciaIntensa1">
    <w:name w:val="Referência Intensa1"/>
    <w:basedOn w:val="Fontepargpadro"/>
    <w:uiPriority w:val="32"/>
    <w:qFormat/>
    <w:rPr>
      <w:b/>
      <w:bCs/>
      <w:smallCaps/>
      <w:color w:val="2F5496" w:themeColor="accent1" w:themeShade="BF"/>
      <w:spacing w:val="5"/>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customStyle="1" w:styleId="Style42">
    <w:name w:val="_Style 42"/>
    <w:basedOn w:val="Normal"/>
    <w:next w:val="Normal"/>
    <w:qFormat/>
    <w:pPr>
      <w:pBdr>
        <w:bottom w:val="single" w:sz="6" w:space="1" w:color="auto"/>
      </w:pBdr>
      <w:jc w:val="center"/>
    </w:pPr>
    <w:rPr>
      <w:rFonts w:ascii="Arial" w:eastAsia="SimSun"/>
      <w:vanish/>
      <w:sz w:val="16"/>
    </w:rPr>
  </w:style>
  <w:style w:type="paragraph" w:customStyle="1" w:styleId="Style43">
    <w:name w:val="_Style 43"/>
    <w:basedOn w:val="Normal"/>
    <w:next w:val="Normal"/>
    <w:qFormat/>
    <w:pPr>
      <w:pBdr>
        <w:top w:val="single" w:sz="6" w:space="1" w:color="auto"/>
      </w:pBdr>
      <w:jc w:val="center"/>
    </w:pPr>
    <w:rPr>
      <w:rFonts w:ascii="Arial" w:eastAsia="SimSun"/>
      <w:vanish/>
      <w:sz w:val="16"/>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MenoPendente3">
    <w:name w:val="Menção Pendente3"/>
    <w:basedOn w:val="Fontepargpadro"/>
    <w:uiPriority w:val="99"/>
    <w:semiHidden/>
    <w:unhideWhenUsed/>
    <w:qFormat/>
    <w:rPr>
      <w:color w:val="605E5C"/>
      <w:shd w:val="clear" w:color="auto" w:fill="E1DFDD"/>
    </w:rPr>
  </w:style>
  <w:style w:type="character" w:customStyle="1" w:styleId="MenoPendente4">
    <w:name w:val="Menção Pendente4"/>
    <w:basedOn w:val="Fontepargpadro"/>
    <w:uiPriority w:val="99"/>
    <w:semiHidden/>
    <w:unhideWhenUsed/>
    <w:qFormat/>
    <w:rPr>
      <w:color w:val="605E5C"/>
      <w:shd w:val="clear" w:color="auto" w:fill="E1DFDD"/>
    </w:rPr>
  </w:style>
  <w:style w:type="table" w:customStyle="1" w:styleId="TabeladeGradeClara1">
    <w:name w:val="Tabela de Grade Clara1"/>
    <w:basedOn w:val="Tabela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markdown-paragraph">
    <w:name w:val="ds-markdown-paragraph"/>
    <w:basedOn w:val="Normal"/>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MenoPendente5">
    <w:name w:val="Menção Pendente5"/>
    <w:basedOn w:val="Fontepargpadro"/>
    <w:uiPriority w:val="99"/>
    <w:semiHidden/>
    <w:unhideWhenUsed/>
    <w:qFormat/>
    <w:rPr>
      <w:color w:val="605E5C"/>
      <w:shd w:val="clear" w:color="auto" w:fill="E1DFDD"/>
    </w:rPr>
  </w:style>
  <w:style w:type="character" w:customStyle="1" w:styleId="15">
    <w:name w:val="15"/>
    <w:basedOn w:val="Fontepargpadro"/>
    <w:qFormat/>
    <w:rPr>
      <w:rFonts w:ascii="Times New Roman" w:hAnsi="Times New Roman" w:cs="Times New Roman" w:hint="default"/>
      <w:b/>
      <w:bCs/>
    </w:rPr>
  </w:style>
  <w:style w:type="character" w:customStyle="1" w:styleId="MenoPendente6">
    <w:name w:val="Menção Pendente6"/>
    <w:basedOn w:val="Fontepargpadro"/>
    <w:uiPriority w:val="99"/>
    <w:semiHidden/>
    <w:unhideWhenUsed/>
    <w:qFormat/>
    <w:rPr>
      <w:color w:val="605E5C"/>
      <w:shd w:val="clear" w:color="auto" w:fill="E1DFDD"/>
    </w:rPr>
  </w:style>
  <w:style w:type="character" w:customStyle="1" w:styleId="MenoPendente7">
    <w:name w:val="Menção Pendente7"/>
    <w:basedOn w:val="Fontepargpadro"/>
    <w:uiPriority w:val="99"/>
    <w:semiHidden/>
    <w:unhideWhenUsed/>
    <w:qFormat/>
    <w:rPr>
      <w:color w:val="605E5C"/>
      <w:shd w:val="clear" w:color="auto" w:fill="E1DFDD"/>
    </w:rPr>
  </w:style>
  <w:style w:type="character" w:customStyle="1" w:styleId="MenoPendente8">
    <w:name w:val="Menção Pendente8"/>
    <w:basedOn w:val="Fontepargpadro"/>
    <w:uiPriority w:val="99"/>
    <w:semiHidden/>
    <w:unhideWhenUsed/>
    <w:qFormat/>
    <w:rPr>
      <w:color w:val="605E5C"/>
      <w:shd w:val="clear" w:color="auto" w:fill="E1DFDD"/>
    </w:rPr>
  </w:style>
  <w:style w:type="character" w:customStyle="1" w:styleId="MenoPendente9">
    <w:name w:val="Menção Pendente9"/>
    <w:basedOn w:val="Fontepargpadro"/>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eader" Target="header2.xml"/><Relationship Id="rId21" Type="http://schemas.openxmlformats.org/officeDocument/2006/relationships/image" Target="media/image13.emf"/><Relationship Id="rId42" Type="http://schemas.openxmlformats.org/officeDocument/2006/relationships/hyperlink" Target="https://archive.org/details/oxfordguidetoety0000durk" TargetMode="External"/><Relationship Id="rId47" Type="http://schemas.openxmlformats.org/officeDocument/2006/relationships/hyperlink" Target="https://www.researchgate.net/publication/283542546" TargetMode="External"/><Relationship Id="rId63" Type="http://schemas.openxmlformats.org/officeDocument/2006/relationships/hyperlink" Target="https://etimologias.dechile.net/?frenesi" TargetMode="External"/><Relationship Id="rId68" Type="http://schemas.openxmlformats.org/officeDocument/2006/relationships/hyperlink" Target="https://www.gutenberg.org/files/52263/52263-h/52263-h.htm" TargetMode="External"/><Relationship Id="rId84" Type="http://schemas.openxmlformats.org/officeDocument/2006/relationships/hyperlink" Target="https://www.webexhibits.org/vangogh/letter/" TargetMode="External"/><Relationship Id="rId89" Type="http://schemas.openxmlformats.org/officeDocument/2006/relationships/hyperlink" Target="https://karger.com/ene/article/76/3-4/175/125173/Sydenham-on-Hysteria" TargetMode="External"/><Relationship Id="rId112" Type="http://schemas.openxmlformats.org/officeDocument/2006/relationships/hyperlink" Target="https://virtualmmx.ddns.net/gbooks/Awakenings.pdf" TargetMode="External"/><Relationship Id="rId16" Type="http://schemas.openxmlformats.org/officeDocument/2006/relationships/image" Target="media/image8.png"/><Relationship Id="rId107" Type="http://schemas.openxmlformats.org/officeDocument/2006/relationships/hyperlink" Target="https://karger.com/pps/article/91/3/156/824788/The-Clinical-Science-of-Euthymia-A-Conceptual-Map" TargetMode="External"/><Relationship Id="rId11" Type="http://schemas.microsoft.com/office/2007/relationships/hdphoto" Target="media/hdphoto1.wdp"/><Relationship Id="rId32" Type="http://schemas.openxmlformats.org/officeDocument/2006/relationships/image" Target="media/image24.png"/><Relationship Id="rId37" Type="http://schemas.openxmlformats.org/officeDocument/2006/relationships/hyperlink" Target="http://educa.fcc.org.br/scielo.php?script=sci_arttext&amp;pid=S2178-52012019000100127&amp;lng=pt&amp;nrm=iso" TargetMode="External"/><Relationship Id="rId53" Type="http://schemas.openxmlformats.org/officeDocument/2006/relationships/hyperlink" Target="http://dx.doi.org/10.11606/issn.2176-9419.v15ispep27-67" TargetMode="External"/><Relationship Id="rId58" Type="http://schemas.openxmlformats.org/officeDocument/2006/relationships/hyperlink" Target="https://doi.org/10.1080/00029157.2021.189241.%20" TargetMode="External"/><Relationship Id="rId74" Type="http://schemas.openxmlformats.org/officeDocument/2006/relationships/hyperlink" Target="https://journals.sagepub.com/doi/pdf/10.1177/0957154X11408725" TargetMode="External"/><Relationship Id="rId79" Type="http://schemas.openxmlformats.org/officeDocument/2006/relationships/hyperlink" Target="https://www.academia.edu/121940119/St_Teresa_of_Avila_Her_Writings_and_Life" TargetMode="External"/><Relationship Id="rId102" Type="http://schemas.openxmlformats.org/officeDocument/2006/relationships/hyperlink" Target="https://www.etymonline.com/" TargetMode="External"/><Relationship Id="rId123" Type="http://schemas.openxmlformats.org/officeDocument/2006/relationships/hyperlink" Target="http://lattes.cnpq.br/1938883394582984" TargetMode="External"/><Relationship Id="rId5" Type="http://schemas.openxmlformats.org/officeDocument/2006/relationships/webSettings" Target="webSettings.xml"/><Relationship Id="rId90" Type="http://schemas.openxmlformats.org/officeDocument/2006/relationships/hyperlink" Target="https://journals.sagepub.com/doi/pdf/10.1177/1751143717709420" TargetMode="External"/><Relationship Id="rId95" Type="http://schemas.openxmlformats.org/officeDocument/2006/relationships/hyperlink" Target="https://www.etymonline.com/search?q=neurasthenia" TargetMode="External"/><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hyperlink" Target="http://www.ijmse.com/uploads/1/4/0/3/14032141/ijmse2020_7_1_._8-11.pdf" TargetMode="External"/><Relationship Id="rId48" Type="http://schemas.openxmlformats.org/officeDocument/2006/relationships/hyperlink" Target="https://kops.uni-konstanz.de/bitstream/handle/123456789/10734/Pulvermueller_1999_Words_in_the.pdf" TargetMode="External"/><Relationship Id="rId64" Type="http://schemas.openxmlformats.org/officeDocument/2006/relationships/hyperlink" Target="https://www.jstor.org/stable/pdf/26302577.pdf" TargetMode="External"/><Relationship Id="rId69" Type="http://schemas.openxmlformats.org/officeDocument/2006/relationships/hyperlink" Target="https://dle.rae.es/" TargetMode="External"/><Relationship Id="rId113" Type="http://schemas.openxmlformats.org/officeDocument/2006/relationships/hyperlink" Target="https://www.cureus.com/articles/238929-medicine-through-the-lens-of-humanity-exploring-the-legacy-of-oliver-sacks-the-storyteller-neurologist" TargetMode="External"/><Relationship Id="rId118" Type="http://schemas.openxmlformats.org/officeDocument/2006/relationships/footer" Target="footer1.xml"/><Relationship Id="rId80" Type="http://schemas.openxmlformats.org/officeDocument/2006/relationships/hyperlink" Target="https://etimologias.dechile.net/?delirio" TargetMode="External"/><Relationship Id="rId85" Type="http://schemas.openxmlformats.org/officeDocument/2006/relationships/hyperlink" Target="https://archive.org/details/leonsdumardi02char" TargetMode="External"/><Relationship Id="rId12" Type="http://schemas.openxmlformats.org/officeDocument/2006/relationships/image" Target="media/image4.png"/><Relationship Id="rId17" Type="http://schemas.openxmlformats.org/officeDocument/2006/relationships/image" Target="media/image9.emf"/><Relationship Id="rId33" Type="http://schemas.openxmlformats.org/officeDocument/2006/relationships/image" Target="media/image25.jpeg"/><Relationship Id="rId38" Type="http://schemas.openxmlformats.org/officeDocument/2006/relationships/hyperlink" Target="https://pdfs.semanticscholar.org/69d8/280764c91ce1d4c793a57fd505c22d2eccde.pdf" TargetMode="External"/><Relationship Id="rId59" Type="http://schemas.openxmlformats.org/officeDocument/2006/relationships/hyperlink" Target="https://etimologias.dechile.net/?hipnosis" TargetMode="External"/><Relationship Id="rId103" Type="http://schemas.openxmlformats.org/officeDocument/2006/relationships/hyperlink" Target="https://www.etymonline.com/word/anxiety" TargetMode="External"/><Relationship Id="rId108" Type="http://schemas.openxmlformats.org/officeDocument/2006/relationships/hyperlink" Target="https://www.bjp.org.br/details/297/en-US/is-it-time-for-psychiatry-to-discuss-consensus-criteria-for-euthymia--clinical--methodological--research--and-ethical-perspectives" TargetMode="External"/><Relationship Id="rId124" Type="http://schemas.openxmlformats.org/officeDocument/2006/relationships/image" Target="media/image29.jpeg"/><Relationship Id="rId54" Type="http://schemas.openxmlformats.org/officeDocument/2006/relationships/hyperlink" Target="https://journals.sagepub.com/doi/epdf/10.1177/014107680409700412" TargetMode="External"/><Relationship Id="rId70" Type="http://schemas.openxmlformats.org/officeDocument/2006/relationships/hyperlink" Target="https://www.gutenberg.org/ebooks/10800" TargetMode="External"/><Relationship Id="rId75" Type="http://schemas.openxmlformats.org/officeDocument/2006/relationships/hyperlink" Target="https://etimologias.dechile.net/?e.xtasis" TargetMode="External"/><Relationship Id="rId91" Type="http://schemas.openxmlformats.org/officeDocument/2006/relationships/hyperlink" Target="https://dictionary.apa.org/neurasthenia" TargetMode="External"/><Relationship Id="rId96" Type="http://schemas.openxmlformats.org/officeDocument/2006/relationships/hyperlink" Target="https://www.jstor.org/stable/pdf/44449492.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hyperlink" Target="https://dle.rae.es/" TargetMode="External"/><Relationship Id="rId114" Type="http://schemas.openxmlformats.org/officeDocument/2006/relationships/hyperlink" Target="https://books.google.com.br/books?id=k37WlXxV1X0C" TargetMode="External"/><Relationship Id="rId119" Type="http://schemas.openxmlformats.org/officeDocument/2006/relationships/footer" Target="footer2.xml"/><Relationship Id="rId44" Type="http://schemas.openxmlformats.org/officeDocument/2006/relationships/hyperlink" Target="https://www.etymonline.com/" TargetMode="External"/><Relationship Id="rId60" Type="http://schemas.openxmlformats.org/officeDocument/2006/relationships/hyperlink" Target="https://dle.rae.es/" TargetMode="External"/><Relationship Id="rId65" Type="http://schemas.openxmlformats.org/officeDocument/2006/relationships/hyperlink" Target="https://www.etymonline.com/" TargetMode="External"/><Relationship Id="rId81" Type="http://schemas.openxmlformats.org/officeDocument/2006/relationships/hyperlink" Target="https://www.frontiersin.org/journals/aging-neuroscience/articles/10.3389/fnagi.2024.1446523/full" TargetMode="External"/><Relationship Id="rId86" Type="http://schemas.openxmlformats.org/officeDocument/2006/relationships/hyperlink" Target="https://www.dicionarioetimologico.com.br/"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21860/J.10.1.7" TargetMode="External"/><Relationship Id="rId109" Type="http://schemas.openxmlformats.org/officeDocument/2006/relationships/hyperlink" Target="https://www.britannica.com/biography/Oliver-Sacks." TargetMode="External"/><Relationship Id="rId34" Type="http://schemas.openxmlformats.org/officeDocument/2006/relationships/image" Target="media/image26.png"/><Relationship Id="rId50" Type="http://schemas.openxmlformats.org/officeDocument/2006/relationships/hyperlink" Target="https://www.researchgate.net/publication/231951027_Philip_Durkin_The_Oxford_guide_to_etymology_Oxford_Oxford_University_Press_2009_Pp_x_350_Hardback_2500" TargetMode="External"/><Relationship Id="rId55" Type="http://schemas.openxmlformats.org/officeDocument/2006/relationships/hyperlink" Target="https://archive.org/download/braidonhypnotism00brai/braidonhypnotism00brai.pdf" TargetMode="External"/><Relationship Id="rId76" Type="http://schemas.openxmlformats.org/officeDocument/2006/relationships/hyperlink" Target="https://www.etymonline.com/word/ecstasy" TargetMode="External"/><Relationship Id="rId97" Type="http://schemas.openxmlformats.org/officeDocument/2006/relationships/hyperlink" Target="https://archives.yale.edu/repositories/12/resources/3104" TargetMode="External"/><Relationship Id="rId104" Type="http://schemas.openxmlformats.org/officeDocument/2006/relationships/hyperlink" Target="https://www.thecollector.com/anxiety-soren-kierkegaard/" TargetMode="External"/><Relationship Id="rId120" Type="http://schemas.openxmlformats.org/officeDocument/2006/relationships/header" Target="header3.xml"/><Relationship Id="rId125" Type="http://schemas.openxmlformats.org/officeDocument/2006/relationships/image" Target="media/image30.jpeg"/><Relationship Id="rId7" Type="http://schemas.openxmlformats.org/officeDocument/2006/relationships/endnotes" Target="endnotes.xml"/><Relationship Id="rId71" Type="http://schemas.openxmlformats.org/officeDocument/2006/relationships/hyperlink" Target="https://www.britannica.com/biography/Robert-Burton" TargetMode="External"/><Relationship Id="rId92" Type="http://schemas.openxmlformats.org/officeDocument/2006/relationships/hyperlink" Target="https://archive.org/details/americannervousn00bearuoft"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hyperlink" Target="https://www.cnrtl.fr/etymologie" TargetMode="External"/><Relationship Id="rId45" Type="http://schemas.openxmlformats.org/officeDocument/2006/relationships/hyperlink" Target="https://www.perseus.tufts.edu/hopper/text?doc=Perseus%3Atext%3A1999.04.0059" TargetMode="External"/><Relationship Id="rId66" Type="http://schemas.openxmlformats.org/officeDocument/2006/relationships/hyperlink" Target="https://www.perseus.tufts.edu/hopper/text?doc=Perseus:text:1999.04.0059" TargetMode="External"/><Relationship Id="rId87" Type="http://schemas.openxmlformats.org/officeDocument/2006/relationships/hyperlink" Target="https://etimologias.dechile.net/?histeria" TargetMode="External"/><Relationship Id="rId110" Type="http://schemas.openxmlformats.org/officeDocument/2006/relationships/hyperlink" Target="https://doi.org/10.18359/rlbi.7331" TargetMode="External"/><Relationship Id="rId115" Type="http://schemas.openxmlformats.org/officeDocument/2006/relationships/hyperlink" Target="https://www.google.com.br/books/edition/The_Falling_Sickness/w33hgy52XKkC" TargetMode="External"/><Relationship Id="rId61" Type="http://schemas.openxmlformats.org/officeDocument/2006/relationships/hyperlink" Target="https://archive.org/details/b29825672" TargetMode="External"/><Relationship Id="rId82" Type="http://schemas.openxmlformats.org/officeDocument/2006/relationships/hyperlink" Target="https://www.etymonline.com/" TargetMode="External"/><Relationship Id="rId19" Type="http://schemas.openxmlformats.org/officeDocument/2006/relationships/image" Target="media/image11.emf"/><Relationship Id="rId14" Type="http://schemas.openxmlformats.org/officeDocument/2006/relationships/image" Target="media/image6.jpeg"/><Relationship Id="rId30" Type="http://schemas.openxmlformats.org/officeDocument/2006/relationships/image" Target="media/image22.png"/><Relationship Id="rId35" Type="http://schemas.microsoft.com/office/2007/relationships/hdphoto" Target="media/hdphoto2.wdp"/><Relationship Id="rId56" Type="http://schemas.openxmlformats.org/officeDocument/2006/relationships/hyperlink" Target="https://go.gale.com/ps/i.do?id=GALE%7CA663245346" TargetMode="External"/><Relationship Id="rId77" Type="http://schemas.openxmlformats.org/officeDocument/2006/relationships/hyperlink" Target="https://onlinelibrary.wiley.com/doi/pdf/10.1111/j.1467-9744.2005.00679.x" TargetMode="External"/><Relationship Id="rId100" Type="http://schemas.openxmlformats.org/officeDocument/2006/relationships/hyperlink" Target="https://pubmed.ncbi.nlm.nih.gov/26487812/" TargetMode="External"/><Relationship Id="rId105" Type="http://schemas.openxmlformats.org/officeDocument/2006/relationships/hyperlink" Target="https://onlinelibrary.wiley.com/doi/full/10.1002/wps.20698" TargetMode="External"/><Relationship Id="rId12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s://gavinadair.files.wordpress.com/2017/04/sacks-the-case-of-the-colorblind-painter.pdf" TargetMode="External"/><Relationship Id="rId72" Type="http://schemas.openxmlformats.org/officeDocument/2006/relationships/hyperlink" Target="https://www.etymonline.com/word/melancholy" TargetMode="External"/><Relationship Id="rId93" Type="http://schemas.openxmlformats.org/officeDocument/2006/relationships/hyperlink" Target="https://etimologias.dechile.net/?neurastenia" TargetMode="External"/><Relationship Id="rId98" Type="http://schemas.openxmlformats.org/officeDocument/2006/relationships/hyperlink" Target="https://doi.org/10.1590/S0104-59702010000600010" TargetMode="External"/><Relationship Id="rId121"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hyperlink" Target="https://academic.oup.com/brain/article/143/1/374/5679563" TargetMode="External"/><Relationship Id="rId67" Type="http://schemas.openxmlformats.org/officeDocument/2006/relationships/hyperlink" Target="https://www.britannica.com/biography/Friedrich-Nietzsche" TargetMode="External"/><Relationship Id="rId11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hyperlink" Target="https://www.dicionarioetimologico.com.br/" TargetMode="External"/><Relationship Id="rId62" Type="http://schemas.openxmlformats.org/officeDocument/2006/relationships/hyperlink" Target="https://www.etymonline.com/word/coma" TargetMode="External"/><Relationship Id="rId83" Type="http://schemas.openxmlformats.org/officeDocument/2006/relationships/hyperlink" Target="https://journalbipolardisorders.springeropen.com/articles/10.1186/s40345-020-00196-z" TargetMode="External"/><Relationship Id="rId88" Type="http://schemas.openxmlformats.org/officeDocument/2006/relationships/hyperlink" Target="https://www.etymonline.com/" TargetMode="External"/><Relationship Id="rId111" Type="http://schemas.openxmlformats.org/officeDocument/2006/relationships/hyperlink" Target="https://doi.org/10.1017/S0025727300056398" TargetMode="External"/><Relationship Id="rId15" Type="http://schemas.openxmlformats.org/officeDocument/2006/relationships/image" Target="media/image7.emf"/><Relationship Id="rId36" Type="http://schemas.openxmlformats.org/officeDocument/2006/relationships/image" Target="media/image27.png"/><Relationship Id="rId57" Type="http://schemas.openxmlformats.org/officeDocument/2006/relationships/hyperlink" Target="https://www.dicionarioetimologico.com.br/" TargetMode="External"/><Relationship Id="rId106" Type="http://schemas.openxmlformats.org/officeDocument/2006/relationships/hyperlink" Target="https://www.karger.com/Article/Abstract/441244" TargetMode="External"/><Relationship Id="rId12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3.png"/><Relationship Id="rId52" Type="http://schemas.openxmlformats.org/officeDocument/2006/relationships/hyperlink" Target="https://www.cureus.com/articles/287853-medicine-through-the-lens-of-humanity-exploring-the-legacy-of-oliver-sacks-the-storyteller-neurologist" TargetMode="External"/><Relationship Id="rId73" Type="http://schemas.openxmlformats.org/officeDocument/2006/relationships/hyperlink" Target="https://dle.rae.es/" TargetMode="External"/><Relationship Id="rId78" Type="http://schemas.openxmlformats.org/officeDocument/2006/relationships/hyperlink" Target="https://www.gutenberg.org/files/8120/8120-h/8120-h.htm" TargetMode="External"/><Relationship Id="rId94" Type="http://schemas.openxmlformats.org/officeDocument/2006/relationships/hyperlink" Target="https://www.etymonline.com/" TargetMode="External"/><Relationship Id="rId99" Type="http://schemas.openxmlformats.org/officeDocument/2006/relationships/hyperlink" Target="https://www.who.int/news/item/28-05-2019-burn-out-an-occupational-phenomenon-international-classification-of-diseases" TargetMode="External"/><Relationship Id="rId101" Type="http://schemas.openxmlformats.org/officeDocument/2006/relationships/hyperlink" Target="https://psycnet.apa.org/record/2013-26225-018" TargetMode="External"/><Relationship Id="rId122"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85</Pages>
  <Words>29148</Words>
  <Characters>174018</Characters>
  <Application>Microsoft Office Word</Application>
  <DocSecurity>0</DocSecurity>
  <Lines>3480</Lines>
  <Paragraphs>1110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Marleide da Mota Gomes</dc:creator>
  <cp:lastModifiedBy>Marleide da Mota Gomes</cp:lastModifiedBy>
  <cp:revision>10</cp:revision>
  <cp:lastPrinted>2025-09-19T22:25:00Z</cp:lastPrinted>
  <dcterms:created xsi:type="dcterms:W3CDTF">2025-10-05T21:50:00Z</dcterms:created>
  <dcterms:modified xsi:type="dcterms:W3CDTF">2025-10-06T13:02:00Z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ec7df2b3-6491-44f2-bcb3-7e8e4db39e7f</vt:lpwstr>
  </property>
  <property fmtid="{D5CDD505-2E9C-101B-9397-08002B2CF9AE}" pid="3" name="KSOProductBuildVer">
    <vt:lpwstr>1046-12.2.0.22549</vt:lpwstr>
  </property>
  <property fmtid="{D5CDD505-2E9C-101B-9397-08002B2CF9AE}" pid="4" name="ICV">
    <vt:lpwstr>80F25B33C7244B50AD5EF1DAAAF91B97_13</vt:lpwstr>
  </property>
</Properties>
</file>