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D272B" w14:textId="7D59DE06" w:rsidR="00D50A6B" w:rsidRDefault="00D50A6B" w:rsidP="00D50A6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0A6B">
        <w:rPr>
          <w:rFonts w:ascii="Times New Roman" w:hAnsi="Times New Roman"/>
          <w:b/>
          <w:sz w:val="24"/>
          <w:szCs w:val="24"/>
        </w:rPr>
        <w:t>RESUMO</w:t>
      </w:r>
      <w:r>
        <w:rPr>
          <w:rFonts w:ascii="Times New Roman" w:hAnsi="Times New Roman"/>
          <w:b/>
          <w:sz w:val="24"/>
          <w:szCs w:val="24"/>
        </w:rPr>
        <w:t xml:space="preserve"> (cinco linhas)</w:t>
      </w:r>
      <w:r w:rsidRPr="00F36B84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6B84">
        <w:rPr>
          <w:rFonts w:ascii="Times New Roman" w:hAnsi="Times New Roman"/>
          <w:bCs/>
          <w:sz w:val="24"/>
          <w:szCs w:val="24"/>
        </w:rPr>
        <w:t xml:space="preserve">Partindo da tese </w:t>
      </w:r>
      <w:proofErr w:type="spellStart"/>
      <w:r w:rsidRPr="00F36B84">
        <w:rPr>
          <w:rFonts w:ascii="Times New Roman" w:hAnsi="Times New Roman"/>
          <w:bCs/>
          <w:sz w:val="24"/>
          <w:szCs w:val="24"/>
        </w:rPr>
        <w:t>butleriana</w:t>
      </w:r>
      <w:proofErr w:type="spellEnd"/>
      <w:r w:rsidRPr="00F36B84">
        <w:rPr>
          <w:rFonts w:ascii="Times New Roman" w:hAnsi="Times New Roman"/>
          <w:bCs/>
          <w:sz w:val="24"/>
          <w:szCs w:val="24"/>
        </w:rPr>
        <w:t xml:space="preserve"> sobre as recepções de Hegel na França do século XX</w:t>
      </w:r>
      <w:r w:rsidRPr="00F36B84">
        <w:rPr>
          <w:rFonts w:ascii="Times New Roman" w:hAnsi="Times New Roman"/>
          <w:bCs/>
          <w:i/>
          <w:iCs/>
          <w:sz w:val="24"/>
          <w:szCs w:val="24"/>
        </w:rPr>
        <w:t xml:space="preserve">, </w:t>
      </w:r>
      <w:r w:rsidRPr="00F36B84">
        <w:rPr>
          <w:rFonts w:ascii="Times New Roman" w:hAnsi="Times New Roman"/>
          <w:bCs/>
          <w:sz w:val="24"/>
          <w:szCs w:val="24"/>
        </w:rPr>
        <w:t xml:space="preserve">este estudo visa “encrencar” com as concepções tradicionais da subjetividade, na intenção de fazer pensar o quanto o sujeito, ao invés de uma essência identitária metafisicamente estável, se faz como um </w:t>
      </w:r>
      <w:r w:rsidRPr="00F36B84">
        <w:rPr>
          <w:rFonts w:ascii="Times New Roman" w:hAnsi="Times New Roman"/>
          <w:bCs/>
          <w:i/>
          <w:iCs/>
          <w:sz w:val="24"/>
          <w:szCs w:val="24"/>
        </w:rPr>
        <w:t>devir</w:t>
      </w:r>
      <w:r w:rsidRPr="00F36B84">
        <w:rPr>
          <w:rFonts w:ascii="Times New Roman" w:hAnsi="Times New Roman"/>
          <w:bCs/>
          <w:sz w:val="24"/>
          <w:szCs w:val="24"/>
        </w:rPr>
        <w:t> performativo, transitivo e não teleológico, forjado nas e por relações de poder, desejo e diferenciação</w:t>
      </w:r>
    </w:p>
    <w:p w14:paraId="4936FD2C" w14:textId="77777777" w:rsidR="00D50A6B" w:rsidRDefault="00D50A6B" w:rsidP="00D50A6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9A5C4F0" w14:textId="11FA80A9" w:rsidR="00C36602" w:rsidRPr="00D50A6B" w:rsidRDefault="001A6E95" w:rsidP="00D50A6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50A6B">
        <w:rPr>
          <w:rFonts w:ascii="Times New Roman" w:hAnsi="Times New Roman"/>
          <w:b/>
          <w:sz w:val="24"/>
          <w:szCs w:val="24"/>
        </w:rPr>
        <w:t>RESUMO</w:t>
      </w:r>
      <w:r w:rsidR="00D50A6B">
        <w:rPr>
          <w:rFonts w:ascii="Times New Roman" w:hAnsi="Times New Roman"/>
          <w:b/>
          <w:sz w:val="24"/>
          <w:szCs w:val="24"/>
        </w:rPr>
        <w:t xml:space="preserve"> (3000 caracteres)</w:t>
      </w:r>
      <w:r w:rsidRPr="00F36B84">
        <w:rPr>
          <w:rFonts w:ascii="Times New Roman" w:hAnsi="Times New Roman"/>
          <w:bCs/>
          <w:sz w:val="24"/>
          <w:szCs w:val="24"/>
        </w:rPr>
        <w:t xml:space="preserve">: Partindo da tese </w:t>
      </w:r>
      <w:proofErr w:type="spellStart"/>
      <w:r w:rsidRPr="00F36B84">
        <w:rPr>
          <w:rFonts w:ascii="Times New Roman" w:hAnsi="Times New Roman"/>
          <w:bCs/>
          <w:sz w:val="24"/>
          <w:szCs w:val="24"/>
        </w:rPr>
        <w:t>butleriana</w:t>
      </w:r>
      <w:proofErr w:type="spellEnd"/>
      <w:r w:rsidRPr="00F36B84">
        <w:rPr>
          <w:rFonts w:ascii="Times New Roman" w:hAnsi="Times New Roman"/>
          <w:bCs/>
          <w:sz w:val="24"/>
          <w:szCs w:val="24"/>
        </w:rPr>
        <w:t xml:space="preserve"> sobre as recepções de Hegel na França do século XX</w:t>
      </w:r>
      <w:r w:rsidRPr="00F36B84">
        <w:rPr>
          <w:rFonts w:ascii="Times New Roman" w:hAnsi="Times New Roman"/>
          <w:bCs/>
          <w:i/>
          <w:iCs/>
          <w:sz w:val="24"/>
          <w:szCs w:val="24"/>
        </w:rPr>
        <w:t xml:space="preserve">, </w:t>
      </w:r>
      <w:r w:rsidRPr="00F36B84">
        <w:rPr>
          <w:rFonts w:ascii="Times New Roman" w:hAnsi="Times New Roman"/>
          <w:bCs/>
          <w:sz w:val="24"/>
          <w:szCs w:val="24"/>
        </w:rPr>
        <w:t xml:space="preserve">este estudo visa “encrencar” com as concepções tradicionais da subjetividade, na intenção de fazer pensar o quanto o sujeito, ao invés de uma essência identitária metafisicamente estável, se faz como um </w:t>
      </w:r>
      <w:r w:rsidRPr="00F36B84">
        <w:rPr>
          <w:rFonts w:ascii="Times New Roman" w:hAnsi="Times New Roman"/>
          <w:bCs/>
          <w:i/>
          <w:iCs/>
          <w:sz w:val="24"/>
          <w:szCs w:val="24"/>
        </w:rPr>
        <w:t>devir</w:t>
      </w:r>
      <w:r w:rsidRPr="00F36B84">
        <w:rPr>
          <w:rFonts w:ascii="Times New Roman" w:hAnsi="Times New Roman"/>
          <w:bCs/>
          <w:sz w:val="24"/>
          <w:szCs w:val="24"/>
        </w:rPr>
        <w:t xml:space="preserve"> performativo, transitivo e não teleológico, forjado nas e por relações de poder, desejo e diferenciação. Demonstrando o quanto desejo e reconhecimento são frutos das assimetrias existentes entre o Eu e o Outro, é através de </w:t>
      </w:r>
      <w:r w:rsidRPr="00F36B84">
        <w:rPr>
          <w:rFonts w:ascii="Times New Roman" w:hAnsi="Times New Roman"/>
          <w:bCs/>
          <w:i/>
          <w:iCs/>
          <w:sz w:val="24"/>
          <w:szCs w:val="24"/>
        </w:rPr>
        <w:t xml:space="preserve">Sujeitos do desejo (1987) </w:t>
      </w:r>
      <w:r w:rsidRPr="00F36B84">
        <w:rPr>
          <w:rFonts w:ascii="Times New Roman" w:hAnsi="Times New Roman"/>
          <w:bCs/>
          <w:sz w:val="24"/>
          <w:szCs w:val="24"/>
        </w:rPr>
        <w:t xml:space="preserve">que problematizaremos a antinomia hegeliana do senhor e do escravo, argumentando que a </w:t>
      </w:r>
      <w:proofErr w:type="spellStart"/>
      <w:r w:rsidRPr="00F36B84">
        <w:rPr>
          <w:rFonts w:ascii="Times New Roman" w:hAnsi="Times New Roman"/>
          <w:bCs/>
          <w:sz w:val="24"/>
          <w:szCs w:val="24"/>
        </w:rPr>
        <w:t>sujeitificação</w:t>
      </w:r>
      <w:proofErr w:type="spellEnd"/>
      <w:r w:rsidRPr="00F36B84">
        <w:rPr>
          <w:rFonts w:ascii="Times New Roman" w:hAnsi="Times New Roman"/>
          <w:bCs/>
          <w:sz w:val="24"/>
          <w:szCs w:val="24"/>
        </w:rPr>
        <w:t xml:space="preserve"> é um processo performativo que se dá pela repetição das leis que nos constituem e nos delimitam em termos de inteligibilidade. Para além de qualquer suposta universalidade identitária, trata-se de sugerir: o sujeito já não pode mais continuar sendo teorizado como uma ideia fixa e plenamente autônoma, mas sempre como um horizonte de disputas e (</w:t>
      </w:r>
      <w:proofErr w:type="spellStart"/>
      <w:r w:rsidRPr="00F36B84">
        <w:rPr>
          <w:rFonts w:ascii="Times New Roman" w:hAnsi="Times New Roman"/>
          <w:bCs/>
          <w:sz w:val="24"/>
          <w:szCs w:val="24"/>
        </w:rPr>
        <w:t>re</w:t>
      </w:r>
      <w:proofErr w:type="spellEnd"/>
      <w:r w:rsidRPr="00F36B84">
        <w:rPr>
          <w:rFonts w:ascii="Times New Roman" w:hAnsi="Times New Roman"/>
          <w:bCs/>
          <w:sz w:val="24"/>
          <w:szCs w:val="24"/>
        </w:rPr>
        <w:t xml:space="preserve">)negociações, mediado por um campo histórico, social, linguístico e performativo, onde alguns são legitimados como inteligíveis, enquanto que </w:t>
      </w:r>
      <w:r w:rsidRPr="00F36B84">
        <w:rPr>
          <w:rFonts w:ascii="Times New Roman" w:hAnsi="Times New Roman"/>
          <w:bCs/>
          <w:i/>
          <w:iCs/>
          <w:sz w:val="24"/>
          <w:szCs w:val="24"/>
        </w:rPr>
        <w:t>Outros</w:t>
      </w:r>
      <w:r w:rsidRPr="00F36B84">
        <w:rPr>
          <w:rFonts w:ascii="Times New Roman" w:hAnsi="Times New Roman"/>
          <w:bCs/>
          <w:sz w:val="24"/>
          <w:szCs w:val="24"/>
        </w:rPr>
        <w:t xml:space="preserve"> são relegadas ao apagamento e à abjeção </w:t>
      </w:r>
      <w:r w:rsidRPr="00F36B84">
        <w:rPr>
          <w:rFonts w:ascii="Times New Roman" w:hAnsi="Times New Roman"/>
          <w:bCs/>
          <w:i/>
          <w:iCs/>
          <w:sz w:val="24"/>
          <w:szCs w:val="24"/>
        </w:rPr>
        <w:t xml:space="preserve">a priori. </w:t>
      </w:r>
      <w:r w:rsidRPr="00F36B84">
        <w:rPr>
          <w:rFonts w:ascii="Times New Roman" w:hAnsi="Times New Roman"/>
          <w:bCs/>
          <w:sz w:val="24"/>
          <w:szCs w:val="24"/>
        </w:rPr>
        <w:t xml:space="preserve">No sentido de promover “fissuras” nas definições hegemônicas da subjetividade, notaremos que é desde 1987 que Butler nos propõe pensar em </w:t>
      </w:r>
      <w:r w:rsidRPr="00F36B84">
        <w:rPr>
          <w:rFonts w:ascii="Times New Roman" w:hAnsi="Times New Roman"/>
          <w:bCs/>
          <w:i/>
          <w:iCs/>
          <w:sz w:val="24"/>
          <w:szCs w:val="24"/>
        </w:rPr>
        <w:t xml:space="preserve">práxis </w:t>
      </w:r>
      <w:r w:rsidRPr="00F36B84">
        <w:rPr>
          <w:rFonts w:ascii="Times New Roman" w:hAnsi="Times New Roman"/>
          <w:bCs/>
          <w:sz w:val="24"/>
          <w:szCs w:val="24"/>
        </w:rPr>
        <w:t>de desejo e reconhecimento onde as diferentes possibilidades de corpo-</w:t>
      </w:r>
      <w:proofErr w:type="spellStart"/>
      <w:r w:rsidRPr="00F36B84">
        <w:rPr>
          <w:rFonts w:ascii="Times New Roman" w:hAnsi="Times New Roman"/>
          <w:bCs/>
          <w:sz w:val="24"/>
          <w:szCs w:val="24"/>
        </w:rPr>
        <w:t>sujeitificação</w:t>
      </w:r>
      <w:proofErr w:type="spellEnd"/>
      <w:r w:rsidRPr="00F36B84">
        <w:rPr>
          <w:rFonts w:ascii="Times New Roman" w:hAnsi="Times New Roman"/>
          <w:bCs/>
          <w:sz w:val="24"/>
          <w:szCs w:val="24"/>
        </w:rPr>
        <w:t xml:space="preserve"> e </w:t>
      </w:r>
      <w:proofErr w:type="spellStart"/>
      <w:r w:rsidRPr="00F36B84">
        <w:rPr>
          <w:rFonts w:ascii="Times New Roman" w:hAnsi="Times New Roman"/>
          <w:bCs/>
          <w:sz w:val="24"/>
          <w:szCs w:val="24"/>
        </w:rPr>
        <w:t>generificação</w:t>
      </w:r>
      <w:proofErr w:type="spellEnd"/>
      <w:r w:rsidRPr="00F36B84">
        <w:rPr>
          <w:rFonts w:ascii="Times New Roman" w:hAnsi="Times New Roman"/>
          <w:bCs/>
          <w:sz w:val="24"/>
          <w:szCs w:val="24"/>
        </w:rPr>
        <w:t xml:space="preserve"> permanecem em constante estado de </w:t>
      </w:r>
      <w:proofErr w:type="spellStart"/>
      <w:r w:rsidRPr="00F36B84">
        <w:rPr>
          <w:rFonts w:ascii="Times New Roman" w:hAnsi="Times New Roman"/>
          <w:bCs/>
          <w:sz w:val="24"/>
          <w:szCs w:val="24"/>
        </w:rPr>
        <w:t>vir-a-ser</w:t>
      </w:r>
      <w:proofErr w:type="spellEnd"/>
      <w:r w:rsidRPr="00F36B84">
        <w:rPr>
          <w:rFonts w:ascii="Times New Roman" w:hAnsi="Times New Roman"/>
          <w:bCs/>
          <w:sz w:val="24"/>
          <w:szCs w:val="24"/>
        </w:rPr>
        <w:t xml:space="preserve">, considerando as normas de gênero, raça, classe, sexualidade e corporeidade que as tangenciam. Sem incorrer no risco de promover o apagamento dialético das diferenças no Eu, Butler diz ser preciso que as acolhamos como partes constitutivas de tudo que nos tornamos a cada ato, no mundo e com os </w:t>
      </w:r>
      <w:r w:rsidRPr="00F36B84">
        <w:rPr>
          <w:rFonts w:ascii="Times New Roman" w:hAnsi="Times New Roman"/>
          <w:bCs/>
          <w:i/>
          <w:iCs/>
          <w:sz w:val="24"/>
          <w:szCs w:val="24"/>
        </w:rPr>
        <w:t xml:space="preserve">Outros. </w:t>
      </w:r>
      <w:r w:rsidRPr="00F36B84">
        <w:rPr>
          <w:rFonts w:ascii="Times New Roman" w:hAnsi="Times New Roman"/>
          <w:bCs/>
          <w:sz w:val="24"/>
          <w:szCs w:val="24"/>
        </w:rPr>
        <w:t>Fazendo pensar em possibilidades de ampliar os limiares nunca estáveis da inteligibilidade humana, suas crítica às (</w:t>
      </w:r>
      <w:proofErr w:type="spellStart"/>
      <w:r w:rsidRPr="00F36B84">
        <w:rPr>
          <w:rFonts w:ascii="Times New Roman" w:hAnsi="Times New Roman"/>
          <w:bCs/>
          <w:sz w:val="24"/>
          <w:szCs w:val="24"/>
        </w:rPr>
        <w:t>re</w:t>
      </w:r>
      <w:proofErr w:type="spellEnd"/>
      <w:r w:rsidRPr="00F36B84">
        <w:rPr>
          <w:rFonts w:ascii="Times New Roman" w:hAnsi="Times New Roman"/>
          <w:bCs/>
          <w:sz w:val="24"/>
          <w:szCs w:val="24"/>
        </w:rPr>
        <w:t xml:space="preserve">)interpretações francesas de Hegel ao longo do século XX nos permitirão, portanto, “encrencar” </w:t>
      </w:r>
      <w:r w:rsidRPr="00F36B84">
        <w:rPr>
          <w:rFonts w:ascii="Times New Roman" w:eastAsia="LiberationSans" w:hAnsi="Times New Roman"/>
          <w:color w:val="1A1818"/>
          <w:sz w:val="24"/>
          <w:szCs w:val="24"/>
          <w:lang w:eastAsia="pt-BR"/>
        </w:rPr>
        <w:t>com as definições hegemônicas da subjetividade e da corpo-</w:t>
      </w:r>
      <w:proofErr w:type="spellStart"/>
      <w:r w:rsidRPr="00F36B84">
        <w:rPr>
          <w:rFonts w:ascii="Times New Roman" w:eastAsia="LiberationSans" w:hAnsi="Times New Roman"/>
          <w:color w:val="1A1818"/>
          <w:sz w:val="24"/>
          <w:szCs w:val="24"/>
          <w:lang w:eastAsia="pt-BR"/>
        </w:rPr>
        <w:t>generificação</w:t>
      </w:r>
      <w:proofErr w:type="spellEnd"/>
      <w:r w:rsidRPr="00F36B84">
        <w:rPr>
          <w:rFonts w:ascii="Times New Roman" w:eastAsia="LiberationSans" w:hAnsi="Times New Roman"/>
          <w:color w:val="1A1818"/>
          <w:sz w:val="24"/>
          <w:szCs w:val="24"/>
          <w:lang w:eastAsia="pt-BR"/>
        </w:rPr>
        <w:t xml:space="preserve">, entendendo-nos como impermanentes e sempre transitivos, desprovidos de universalidades acríticas, de </w:t>
      </w:r>
      <w:proofErr w:type="spellStart"/>
      <w:r w:rsidRPr="00F36B84">
        <w:rPr>
          <w:rFonts w:ascii="Times New Roman" w:eastAsia="LiberationSans" w:hAnsi="Times New Roman"/>
          <w:i/>
          <w:iCs/>
          <w:color w:val="1A1818"/>
          <w:sz w:val="24"/>
          <w:szCs w:val="24"/>
          <w:lang w:eastAsia="pt-BR"/>
        </w:rPr>
        <w:t>telos</w:t>
      </w:r>
      <w:proofErr w:type="spellEnd"/>
      <w:r w:rsidRPr="00F36B84">
        <w:rPr>
          <w:rFonts w:ascii="Times New Roman" w:eastAsia="LiberationSans" w:hAnsi="Times New Roman"/>
          <w:i/>
          <w:iCs/>
          <w:color w:val="1A1818"/>
          <w:sz w:val="24"/>
          <w:szCs w:val="24"/>
          <w:lang w:eastAsia="pt-BR"/>
        </w:rPr>
        <w:t xml:space="preserve"> </w:t>
      </w:r>
      <w:r w:rsidRPr="00F36B84">
        <w:rPr>
          <w:rFonts w:ascii="Times New Roman" w:eastAsia="LiberationSans" w:hAnsi="Times New Roman"/>
          <w:color w:val="1A1818"/>
          <w:sz w:val="24"/>
          <w:szCs w:val="24"/>
          <w:lang w:eastAsia="pt-BR"/>
        </w:rPr>
        <w:t xml:space="preserve">definidores </w:t>
      </w:r>
      <w:r w:rsidRPr="00F36B84">
        <w:rPr>
          <w:rFonts w:ascii="Times New Roman" w:eastAsia="LiberationSans" w:hAnsi="Times New Roman"/>
          <w:i/>
          <w:iCs/>
          <w:color w:val="1A1818"/>
          <w:sz w:val="24"/>
          <w:szCs w:val="24"/>
          <w:lang w:eastAsia="pt-BR"/>
        </w:rPr>
        <w:t xml:space="preserve">a priori, </w:t>
      </w:r>
      <w:r w:rsidRPr="00F36B84">
        <w:rPr>
          <w:rFonts w:ascii="Times New Roman" w:eastAsia="LiberationSans" w:hAnsi="Times New Roman"/>
          <w:color w:val="1A1818"/>
          <w:sz w:val="24"/>
          <w:szCs w:val="24"/>
          <w:lang w:eastAsia="pt-BR"/>
        </w:rPr>
        <w:t xml:space="preserve">de quaisquer sínteses dialéticas </w:t>
      </w:r>
      <w:proofErr w:type="spellStart"/>
      <w:r w:rsidRPr="00F36B84">
        <w:rPr>
          <w:rFonts w:ascii="Times New Roman" w:eastAsia="LiberationSans" w:hAnsi="Times New Roman"/>
          <w:color w:val="1A1818"/>
          <w:sz w:val="24"/>
          <w:szCs w:val="24"/>
          <w:lang w:eastAsia="pt-BR"/>
        </w:rPr>
        <w:t>apagadoras</w:t>
      </w:r>
      <w:proofErr w:type="spellEnd"/>
      <w:r w:rsidRPr="00F36B84">
        <w:rPr>
          <w:rFonts w:ascii="Times New Roman" w:eastAsia="LiberationSans" w:hAnsi="Times New Roman"/>
          <w:color w:val="1A1818"/>
          <w:sz w:val="24"/>
          <w:szCs w:val="24"/>
          <w:lang w:eastAsia="pt-BR"/>
        </w:rPr>
        <w:t xml:space="preserve"> destes tantos </w:t>
      </w:r>
      <w:r w:rsidRPr="00F36B84">
        <w:rPr>
          <w:rFonts w:ascii="Times New Roman" w:eastAsia="LiberationSans" w:hAnsi="Times New Roman"/>
          <w:i/>
          <w:iCs/>
          <w:color w:val="1A1818"/>
          <w:sz w:val="24"/>
          <w:szCs w:val="24"/>
          <w:lang w:eastAsia="pt-BR"/>
        </w:rPr>
        <w:t xml:space="preserve">Outros </w:t>
      </w:r>
      <w:r w:rsidRPr="00F36B84">
        <w:rPr>
          <w:rFonts w:ascii="Times New Roman" w:eastAsia="LiberationSans" w:hAnsi="Times New Roman"/>
          <w:color w:val="1A1818"/>
          <w:sz w:val="24"/>
          <w:szCs w:val="24"/>
          <w:lang w:eastAsia="pt-BR"/>
        </w:rPr>
        <w:t>que se atravessam entre nossos atos.</w:t>
      </w:r>
      <w:r w:rsidRPr="00F36B84">
        <w:rPr>
          <w:rFonts w:ascii="Times New Roman" w:hAnsi="Times New Roman"/>
          <w:bCs/>
          <w:sz w:val="24"/>
          <w:szCs w:val="24"/>
        </w:rPr>
        <w:t xml:space="preserve"> </w:t>
      </w:r>
    </w:p>
    <w:sectPr w:rsidR="00C36602" w:rsidRPr="00D50A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95"/>
    <w:rsid w:val="00134645"/>
    <w:rsid w:val="001A6E95"/>
    <w:rsid w:val="00333C24"/>
    <w:rsid w:val="00C36602"/>
    <w:rsid w:val="00D50A6B"/>
    <w:rsid w:val="00ED58B6"/>
    <w:rsid w:val="00FB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DA330"/>
  <w15:chartTrackingRefBased/>
  <w15:docId w15:val="{DBF83FAF-5053-49EB-B953-57C720B3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E95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A6E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A6E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A6E9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A6E9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A6E9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A6E9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A6E9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A6E9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A6E9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A6E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A6E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A6E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A6E9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A6E9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A6E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A6E9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A6E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A6E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A6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A6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A6E9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A6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A6E9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A6E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A6E9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A6E9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A6E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A6E9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A6E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428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luiz warmling</dc:creator>
  <cp:keywords/>
  <dc:description/>
  <cp:lastModifiedBy>diego luiz warmling</cp:lastModifiedBy>
  <cp:revision>1</cp:revision>
  <dcterms:created xsi:type="dcterms:W3CDTF">2025-09-18T15:06:00Z</dcterms:created>
  <dcterms:modified xsi:type="dcterms:W3CDTF">2025-09-18T16:22:00Z</dcterms:modified>
</cp:coreProperties>
</file>